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C90E47" w14:textId="77777777" w:rsidR="00D1338E" w:rsidRPr="00DD08AA" w:rsidRDefault="00D1338E" w:rsidP="00EF0772">
      <w:pPr>
        <w:pStyle w:val="NormalWeb"/>
        <w:rPr>
          <w:rFonts w:eastAsiaTheme="minorHAnsi"/>
          <w:b/>
          <w:bCs/>
          <w:lang w:val="en-GB"/>
        </w:rPr>
      </w:pPr>
    </w:p>
    <w:p w14:paraId="5F5C71A8" w14:textId="3B8192E1" w:rsidR="006768D1" w:rsidRPr="003C1D92" w:rsidRDefault="006768D1" w:rsidP="00EF0772">
      <w:pPr>
        <w:pStyle w:val="NormalWeb"/>
        <w:jc w:val="center"/>
        <w:rPr>
          <w:rFonts w:eastAsiaTheme="minorHAnsi"/>
          <w:b/>
          <w:bCs/>
        </w:rPr>
      </w:pPr>
      <w:r w:rsidRPr="003C1D92">
        <w:rPr>
          <w:rFonts w:eastAsiaTheme="minorHAnsi"/>
          <w:b/>
          <w:bCs/>
        </w:rPr>
        <w:t>Machine Learning Reveals a Multimodal, Transdiagnostic Signature of Emotion Dysregulation Vulnerability Across Patients, Offspring, and Controls</w:t>
      </w:r>
    </w:p>
    <w:p w14:paraId="7B428CF8" w14:textId="35642E99" w:rsidR="00D1338E" w:rsidRPr="003C1D92" w:rsidRDefault="00D1338E" w:rsidP="00EF0772">
      <w:pPr>
        <w:pStyle w:val="NormalWeb"/>
      </w:pPr>
      <w:r w:rsidRPr="003C1D92">
        <w:rPr>
          <w:b/>
          <w:bCs/>
        </w:rPr>
        <w:t xml:space="preserve">Running head: </w:t>
      </w:r>
      <w:r w:rsidRPr="003C1D92">
        <w:t>Multimodal Markers of Emotion Dysregulation</w:t>
      </w:r>
    </w:p>
    <w:p w14:paraId="43270C71" w14:textId="77777777" w:rsidR="00D1338E" w:rsidRPr="003C1D92" w:rsidRDefault="00D1338E" w:rsidP="00EF0772">
      <w:pPr>
        <w:pStyle w:val="NormalWeb"/>
        <w:ind w:left="360"/>
        <w:rPr>
          <w:b/>
          <w:bCs/>
          <w:lang w:val="en-GB"/>
        </w:rPr>
      </w:pPr>
      <w:r w:rsidRPr="003C1D92">
        <w:rPr>
          <w:b/>
          <w:bCs/>
          <w:lang w:val="en-GB"/>
        </w:rPr>
        <w:t>List of authors</w:t>
      </w:r>
    </w:p>
    <w:p w14:paraId="4C1518C0" w14:textId="2116A092" w:rsidR="00D1338E" w:rsidRPr="003C1D92" w:rsidRDefault="00D1338E" w:rsidP="00EF0772">
      <w:pPr>
        <w:pStyle w:val="NormalWeb"/>
        <w:rPr>
          <w:vertAlign w:val="superscript"/>
          <w:lang w:val="en-GB"/>
        </w:rPr>
      </w:pPr>
      <w:r w:rsidRPr="003C1D92">
        <w:rPr>
          <w:lang w:val="en-GB"/>
        </w:rPr>
        <w:t xml:space="preserve">Luigi F </w:t>
      </w:r>
      <w:proofErr w:type="spellStart"/>
      <w:proofErr w:type="gramStart"/>
      <w:r w:rsidRPr="003C1D92">
        <w:rPr>
          <w:lang w:val="en-GB"/>
        </w:rPr>
        <w:t>Saccaro</w:t>
      </w:r>
      <w:r w:rsidRPr="003C1D92">
        <w:rPr>
          <w:vertAlign w:val="superscript"/>
          <w:lang w:val="en-GB"/>
        </w:rPr>
        <w:t>a,b</w:t>
      </w:r>
      <w:proofErr w:type="gramEnd"/>
      <w:r w:rsidRPr="003C1D92">
        <w:rPr>
          <w:vertAlign w:val="superscript"/>
          <w:lang w:val="en-GB"/>
        </w:rPr>
        <w:t>,e</w:t>
      </w:r>
      <w:proofErr w:type="spellEnd"/>
      <w:r w:rsidRPr="003C1D92">
        <w:rPr>
          <w:vertAlign w:val="superscript"/>
          <w:lang w:val="en-GB"/>
        </w:rPr>
        <w:t>*</w:t>
      </w:r>
      <w:r w:rsidRPr="003C1D92">
        <w:rPr>
          <w:lang w:val="en-GB"/>
        </w:rPr>
        <w:t>; Thomas Larrieu</w:t>
      </w:r>
      <w:r w:rsidRPr="003C1D92">
        <w:rPr>
          <w:vertAlign w:val="superscript"/>
          <w:lang w:val="en-GB"/>
        </w:rPr>
        <w:t>c</w:t>
      </w:r>
      <w:r w:rsidRPr="003C1D92">
        <w:rPr>
          <w:lang w:val="en-GB"/>
        </w:rPr>
        <w:t xml:space="preserve">; Farnaz </w:t>
      </w:r>
      <w:proofErr w:type="spellStart"/>
      <w:proofErr w:type="gramStart"/>
      <w:r w:rsidRPr="003C1D92">
        <w:rPr>
          <w:lang w:val="en-GB"/>
        </w:rPr>
        <w:t>Delavari</w:t>
      </w:r>
      <w:r w:rsidRPr="003C1D92">
        <w:rPr>
          <w:vertAlign w:val="superscript"/>
          <w:lang w:val="en-GB"/>
        </w:rPr>
        <w:t>d,e</w:t>
      </w:r>
      <w:proofErr w:type="spellEnd"/>
      <w:proofErr w:type="gramEnd"/>
      <w:r w:rsidRPr="003C1D92">
        <w:rPr>
          <w:lang w:val="en-GB"/>
        </w:rPr>
        <w:t>; Céline Pellaton</w:t>
      </w:r>
      <w:r w:rsidRPr="003C1D92">
        <w:rPr>
          <w:vertAlign w:val="superscript"/>
          <w:lang w:val="en-GB"/>
        </w:rPr>
        <w:t>g</w:t>
      </w:r>
      <w:r w:rsidRPr="003C1D92">
        <w:rPr>
          <w:lang w:val="en-GB"/>
        </w:rPr>
        <w:t xml:space="preserve">; Ben </w:t>
      </w:r>
      <w:proofErr w:type="spellStart"/>
      <w:proofErr w:type="gramStart"/>
      <w:r w:rsidRPr="003C1D92">
        <w:rPr>
          <w:lang w:val="en-GB"/>
        </w:rPr>
        <w:t>Meuleman</w:t>
      </w:r>
      <w:r w:rsidRPr="003C1D92">
        <w:rPr>
          <w:vertAlign w:val="superscript"/>
          <w:lang w:val="en-GB"/>
        </w:rPr>
        <w:t>a,h</w:t>
      </w:r>
      <w:proofErr w:type="spellEnd"/>
      <w:proofErr w:type="gramEnd"/>
      <w:r w:rsidRPr="003C1D92">
        <w:rPr>
          <w:lang w:val="en-GB"/>
        </w:rPr>
        <w:t xml:space="preserve">; Nader </w:t>
      </w:r>
      <w:proofErr w:type="spellStart"/>
      <w:proofErr w:type="gramStart"/>
      <w:r w:rsidRPr="003C1D92">
        <w:rPr>
          <w:lang w:val="en-GB"/>
        </w:rPr>
        <w:t>Perroud</w:t>
      </w:r>
      <w:r w:rsidRPr="003C1D92">
        <w:rPr>
          <w:vertAlign w:val="superscript"/>
          <w:lang w:val="en-GB"/>
        </w:rPr>
        <w:t>a,b</w:t>
      </w:r>
      <w:proofErr w:type="spellEnd"/>
      <w:proofErr w:type="gramEnd"/>
      <w:r w:rsidRPr="003C1D92">
        <w:rPr>
          <w:lang w:val="en-GB"/>
        </w:rPr>
        <w:t xml:space="preserve">; Dimitri Van De </w:t>
      </w:r>
      <w:proofErr w:type="spellStart"/>
      <w:proofErr w:type="gramStart"/>
      <w:r w:rsidRPr="003C1D92">
        <w:rPr>
          <w:lang w:val="en-GB"/>
        </w:rPr>
        <w:t>Ville</w:t>
      </w:r>
      <w:r w:rsidRPr="003C1D92">
        <w:rPr>
          <w:vertAlign w:val="superscript"/>
          <w:lang w:val="en-GB"/>
        </w:rPr>
        <w:t>e,f</w:t>
      </w:r>
      <w:proofErr w:type="spellEnd"/>
      <w:proofErr w:type="gramEnd"/>
      <w:r w:rsidRPr="003C1D92">
        <w:rPr>
          <w:lang w:val="en-GB"/>
        </w:rPr>
        <w:t>; Nicolas Toni</w:t>
      </w:r>
      <w:r w:rsidRPr="003C1D92">
        <w:rPr>
          <w:vertAlign w:val="superscript"/>
          <w:lang w:val="en-GB"/>
        </w:rPr>
        <w:t>c</w:t>
      </w:r>
      <w:r w:rsidRPr="003C1D92">
        <w:rPr>
          <w:lang w:val="en-GB"/>
        </w:rPr>
        <w:t xml:space="preserve">; Camille </w:t>
      </w:r>
      <w:proofErr w:type="spellStart"/>
      <w:proofErr w:type="gramStart"/>
      <w:r w:rsidRPr="003C1D92">
        <w:rPr>
          <w:lang w:val="en-GB"/>
        </w:rPr>
        <w:t>Piguet</w:t>
      </w:r>
      <w:r w:rsidRPr="003C1D92">
        <w:rPr>
          <w:vertAlign w:val="superscript"/>
          <w:lang w:val="en-GB"/>
        </w:rPr>
        <w:t>a,i</w:t>
      </w:r>
      <w:proofErr w:type="spellEnd"/>
      <w:proofErr w:type="gramEnd"/>
    </w:p>
    <w:p w14:paraId="60636573" w14:textId="77777777" w:rsidR="00D1338E" w:rsidRPr="003C1D92" w:rsidRDefault="00D1338E" w:rsidP="00EF0772">
      <w:pPr>
        <w:pStyle w:val="MDPI16affiliation"/>
        <w:spacing w:line="480" w:lineRule="auto"/>
        <w:ind w:left="0" w:firstLine="0"/>
        <w:jc w:val="both"/>
        <w:rPr>
          <w:rFonts w:ascii="Times New Roman" w:hAnsi="Times New Roman"/>
          <w:b/>
          <w:bCs/>
          <w:color w:val="auto"/>
          <w:sz w:val="24"/>
          <w:szCs w:val="24"/>
          <w:lang w:val="en-GB"/>
        </w:rPr>
      </w:pPr>
    </w:p>
    <w:p w14:paraId="6037D59A" w14:textId="77777777" w:rsidR="00D1338E" w:rsidRPr="003C1D92" w:rsidRDefault="00D1338E" w:rsidP="00EF0772">
      <w:pPr>
        <w:pStyle w:val="MDPI16affiliation"/>
        <w:spacing w:line="480" w:lineRule="auto"/>
        <w:ind w:left="0" w:firstLine="360"/>
        <w:jc w:val="both"/>
        <w:rPr>
          <w:rFonts w:ascii="Times New Roman" w:hAnsi="Times New Roman"/>
          <w:b/>
          <w:bCs/>
          <w:color w:val="auto"/>
          <w:sz w:val="24"/>
          <w:szCs w:val="24"/>
          <w:lang w:val="en-GB"/>
        </w:rPr>
      </w:pPr>
      <w:r w:rsidRPr="003C1D92">
        <w:rPr>
          <w:rFonts w:ascii="Times New Roman" w:hAnsi="Times New Roman"/>
          <w:b/>
          <w:bCs/>
          <w:color w:val="auto"/>
          <w:sz w:val="24"/>
          <w:szCs w:val="24"/>
          <w:lang w:val="en-GB"/>
        </w:rPr>
        <w:t>Affiliations</w:t>
      </w:r>
    </w:p>
    <w:p w14:paraId="590A5334" w14:textId="77777777" w:rsidR="00D1338E" w:rsidRPr="003C1D92" w:rsidRDefault="00D1338E" w:rsidP="00EF0772">
      <w:pPr>
        <w:pStyle w:val="MDPI16affiliation"/>
        <w:spacing w:line="480" w:lineRule="auto"/>
        <w:ind w:left="0" w:firstLine="0"/>
        <w:jc w:val="both"/>
        <w:rPr>
          <w:rFonts w:ascii="Times New Roman" w:hAnsi="Times New Roman"/>
          <w:b/>
          <w:bCs/>
          <w:color w:val="auto"/>
          <w:sz w:val="24"/>
          <w:szCs w:val="24"/>
          <w:lang w:val="en-GB"/>
        </w:rPr>
      </w:pPr>
    </w:p>
    <w:p w14:paraId="7C26DF0F" w14:textId="77777777" w:rsidR="00D1338E" w:rsidRPr="003C1D92" w:rsidRDefault="00D1338E" w:rsidP="00EF0772">
      <w:pPr>
        <w:pStyle w:val="MDPI16affiliation"/>
        <w:spacing w:line="480" w:lineRule="auto"/>
        <w:ind w:left="360" w:firstLine="0"/>
        <w:jc w:val="both"/>
        <w:rPr>
          <w:rFonts w:ascii="Times New Roman" w:hAnsi="Times New Roman"/>
          <w:color w:val="auto"/>
          <w:sz w:val="24"/>
          <w:szCs w:val="24"/>
          <w:lang w:val="en-GB"/>
        </w:rPr>
      </w:pPr>
      <w:r w:rsidRPr="003C1D92">
        <w:rPr>
          <w:rFonts w:ascii="Times New Roman" w:hAnsi="Times New Roman"/>
          <w:color w:val="auto"/>
          <w:sz w:val="24"/>
          <w:szCs w:val="24"/>
          <w:vertAlign w:val="superscript"/>
          <w:lang w:val="en-GB"/>
        </w:rPr>
        <w:t xml:space="preserve">a </w:t>
      </w:r>
      <w:r w:rsidRPr="003C1D92">
        <w:rPr>
          <w:rFonts w:ascii="Times New Roman" w:hAnsi="Times New Roman"/>
          <w:color w:val="auto"/>
          <w:sz w:val="24"/>
          <w:szCs w:val="24"/>
          <w:lang w:val="en-GB"/>
        </w:rPr>
        <w:t>Psychiatry Department, Faculty of Medicine, University of Geneva, Switzerland</w:t>
      </w:r>
    </w:p>
    <w:p w14:paraId="7A48353C" w14:textId="77777777" w:rsidR="00D1338E" w:rsidRPr="003C1D92" w:rsidRDefault="00D1338E" w:rsidP="00EF0772">
      <w:pPr>
        <w:pStyle w:val="MDPI16affiliation"/>
        <w:spacing w:line="480" w:lineRule="auto"/>
        <w:ind w:left="360" w:firstLine="0"/>
        <w:jc w:val="both"/>
        <w:rPr>
          <w:rFonts w:ascii="Times New Roman" w:hAnsi="Times New Roman"/>
          <w:color w:val="auto"/>
          <w:sz w:val="24"/>
          <w:szCs w:val="24"/>
          <w:lang w:val="en-GB"/>
        </w:rPr>
      </w:pPr>
      <w:r w:rsidRPr="003C1D92">
        <w:rPr>
          <w:rFonts w:ascii="Times New Roman" w:hAnsi="Times New Roman"/>
          <w:color w:val="auto"/>
          <w:sz w:val="24"/>
          <w:szCs w:val="24"/>
          <w:vertAlign w:val="superscript"/>
          <w:lang w:val="en-GB"/>
        </w:rPr>
        <w:t xml:space="preserve">b </w:t>
      </w:r>
      <w:r w:rsidRPr="003C1D92">
        <w:rPr>
          <w:rFonts w:ascii="Times New Roman" w:hAnsi="Times New Roman"/>
          <w:color w:val="auto"/>
          <w:sz w:val="24"/>
          <w:szCs w:val="24"/>
          <w:lang w:val="en-GB"/>
        </w:rPr>
        <w:t>Psychiatry Department, Geneva University Hospital, Switzerland</w:t>
      </w:r>
    </w:p>
    <w:p w14:paraId="3F2F497D" w14:textId="77777777" w:rsidR="00D1338E" w:rsidRPr="003C1D92" w:rsidRDefault="00D1338E" w:rsidP="00EF0772">
      <w:pPr>
        <w:pStyle w:val="MDPI16affiliation"/>
        <w:spacing w:line="480" w:lineRule="auto"/>
        <w:ind w:left="360" w:firstLine="0"/>
        <w:jc w:val="both"/>
        <w:rPr>
          <w:rFonts w:ascii="Times New Roman" w:hAnsi="Times New Roman"/>
          <w:color w:val="auto"/>
          <w:sz w:val="24"/>
          <w:szCs w:val="24"/>
          <w:lang w:val="en-GB"/>
        </w:rPr>
      </w:pPr>
      <w:r w:rsidRPr="003C1D92">
        <w:rPr>
          <w:rFonts w:ascii="Times New Roman" w:hAnsi="Times New Roman"/>
          <w:color w:val="auto"/>
          <w:sz w:val="24"/>
          <w:szCs w:val="24"/>
          <w:vertAlign w:val="superscript"/>
          <w:lang w:val="en-GB"/>
        </w:rPr>
        <w:t xml:space="preserve">c </w:t>
      </w:r>
      <w:proofErr w:type="spellStart"/>
      <w:r w:rsidRPr="003C1D92">
        <w:rPr>
          <w:rFonts w:ascii="Times New Roman" w:hAnsi="Times New Roman"/>
          <w:color w:val="auto"/>
          <w:sz w:val="24"/>
          <w:szCs w:val="24"/>
          <w:lang w:val="en-GB"/>
        </w:rPr>
        <w:t>Center</w:t>
      </w:r>
      <w:proofErr w:type="spellEnd"/>
      <w:r w:rsidRPr="003C1D92">
        <w:rPr>
          <w:rFonts w:ascii="Times New Roman" w:hAnsi="Times New Roman"/>
          <w:color w:val="auto"/>
          <w:sz w:val="24"/>
          <w:szCs w:val="24"/>
          <w:lang w:val="en-GB"/>
        </w:rPr>
        <w:t xml:space="preserve"> for Psychiatric Neuroscience, Department of Psychiatry, Lausanne University Hospital, University of Lausanne, </w:t>
      </w:r>
      <w:proofErr w:type="spellStart"/>
      <w:r w:rsidRPr="003C1D92">
        <w:rPr>
          <w:rFonts w:ascii="Times New Roman" w:hAnsi="Times New Roman"/>
          <w:color w:val="auto"/>
          <w:sz w:val="24"/>
          <w:szCs w:val="24"/>
          <w:lang w:val="en-GB"/>
        </w:rPr>
        <w:t>Prilly</w:t>
      </w:r>
      <w:proofErr w:type="spellEnd"/>
      <w:r w:rsidRPr="003C1D92">
        <w:rPr>
          <w:rFonts w:ascii="Times New Roman" w:hAnsi="Times New Roman"/>
          <w:color w:val="auto"/>
          <w:sz w:val="24"/>
          <w:szCs w:val="24"/>
          <w:lang w:val="en-GB"/>
        </w:rPr>
        <w:t>, Switzerland</w:t>
      </w:r>
    </w:p>
    <w:p w14:paraId="142322A5" w14:textId="77777777" w:rsidR="00D1338E" w:rsidRPr="003C1D92" w:rsidRDefault="00D1338E" w:rsidP="00EF0772">
      <w:pPr>
        <w:pStyle w:val="MDPI16affiliation"/>
        <w:spacing w:line="480" w:lineRule="auto"/>
        <w:ind w:left="360" w:firstLine="0"/>
        <w:jc w:val="both"/>
        <w:rPr>
          <w:rFonts w:ascii="Times New Roman" w:hAnsi="Times New Roman"/>
          <w:color w:val="auto"/>
          <w:sz w:val="24"/>
          <w:szCs w:val="24"/>
          <w:lang w:val="en-GB"/>
        </w:rPr>
      </w:pPr>
      <w:r w:rsidRPr="003C1D92">
        <w:rPr>
          <w:rFonts w:ascii="Times New Roman" w:hAnsi="Times New Roman"/>
          <w:color w:val="auto"/>
          <w:sz w:val="24"/>
          <w:szCs w:val="24"/>
          <w:vertAlign w:val="superscript"/>
          <w:lang w:val="en-GB"/>
        </w:rPr>
        <w:t>d</w:t>
      </w:r>
      <w:r w:rsidRPr="003C1D92">
        <w:rPr>
          <w:rFonts w:ascii="Times New Roman" w:hAnsi="Times New Roman"/>
          <w:color w:val="auto"/>
          <w:sz w:val="24"/>
          <w:szCs w:val="24"/>
          <w:lang w:val="en-GB"/>
        </w:rPr>
        <w:t xml:space="preserve"> Developmental Imaging and Psychopathology Laboratory, University of Geneva School of Medicine, Geneva, Switzerland</w:t>
      </w:r>
    </w:p>
    <w:p w14:paraId="22F4CC70" w14:textId="77777777" w:rsidR="00D1338E" w:rsidRPr="003C1D92" w:rsidRDefault="00D1338E" w:rsidP="00EF0772">
      <w:pPr>
        <w:pStyle w:val="MDPI16affiliation"/>
        <w:spacing w:line="480" w:lineRule="auto"/>
        <w:ind w:left="360" w:firstLine="0"/>
        <w:jc w:val="both"/>
        <w:rPr>
          <w:rFonts w:ascii="Times New Roman" w:hAnsi="Times New Roman"/>
          <w:color w:val="auto"/>
          <w:sz w:val="24"/>
          <w:szCs w:val="24"/>
          <w:lang w:val="fr-CH"/>
        </w:rPr>
      </w:pPr>
      <w:proofErr w:type="gramStart"/>
      <w:r w:rsidRPr="003C1D92">
        <w:rPr>
          <w:rFonts w:ascii="Times New Roman" w:hAnsi="Times New Roman"/>
          <w:color w:val="auto"/>
          <w:sz w:val="24"/>
          <w:szCs w:val="24"/>
          <w:vertAlign w:val="superscript"/>
          <w:lang w:val="fr-CH"/>
        </w:rPr>
        <w:t>e</w:t>
      </w:r>
      <w:proofErr w:type="gramEnd"/>
      <w:r w:rsidRPr="003C1D92">
        <w:rPr>
          <w:rFonts w:ascii="Times New Roman" w:hAnsi="Times New Roman"/>
          <w:color w:val="auto"/>
          <w:sz w:val="24"/>
          <w:szCs w:val="24"/>
          <w:lang w:val="fr-CH"/>
        </w:rPr>
        <w:t xml:space="preserve"> </w:t>
      </w:r>
      <w:proofErr w:type="spellStart"/>
      <w:r w:rsidRPr="003C1D92">
        <w:rPr>
          <w:rFonts w:ascii="Times New Roman" w:hAnsi="Times New Roman"/>
          <w:color w:val="auto"/>
          <w:sz w:val="24"/>
          <w:szCs w:val="24"/>
          <w:lang w:val="fr-CH"/>
        </w:rPr>
        <w:t>Medical</w:t>
      </w:r>
      <w:proofErr w:type="spellEnd"/>
      <w:r w:rsidRPr="003C1D92">
        <w:rPr>
          <w:rFonts w:ascii="Times New Roman" w:hAnsi="Times New Roman"/>
          <w:color w:val="auto"/>
          <w:sz w:val="24"/>
          <w:szCs w:val="24"/>
          <w:lang w:val="fr-CH"/>
        </w:rPr>
        <w:t xml:space="preserve"> Image </w:t>
      </w:r>
      <w:proofErr w:type="spellStart"/>
      <w:r w:rsidRPr="003C1D92">
        <w:rPr>
          <w:rFonts w:ascii="Times New Roman" w:hAnsi="Times New Roman"/>
          <w:color w:val="auto"/>
          <w:sz w:val="24"/>
          <w:szCs w:val="24"/>
          <w:lang w:val="fr-CH"/>
        </w:rPr>
        <w:t>Processing</w:t>
      </w:r>
      <w:proofErr w:type="spellEnd"/>
      <w:r w:rsidRPr="003C1D92">
        <w:rPr>
          <w:rFonts w:ascii="Times New Roman" w:hAnsi="Times New Roman"/>
          <w:color w:val="auto"/>
          <w:sz w:val="24"/>
          <w:szCs w:val="24"/>
          <w:lang w:val="fr-CH"/>
        </w:rPr>
        <w:t xml:space="preserve"> </w:t>
      </w:r>
      <w:proofErr w:type="spellStart"/>
      <w:r w:rsidRPr="003C1D92">
        <w:rPr>
          <w:rFonts w:ascii="Times New Roman" w:hAnsi="Times New Roman"/>
          <w:color w:val="auto"/>
          <w:sz w:val="24"/>
          <w:szCs w:val="24"/>
          <w:lang w:val="fr-CH"/>
        </w:rPr>
        <w:t>Laboratory</w:t>
      </w:r>
      <w:proofErr w:type="spellEnd"/>
      <w:r w:rsidRPr="003C1D92">
        <w:rPr>
          <w:rFonts w:ascii="Times New Roman" w:hAnsi="Times New Roman"/>
          <w:color w:val="auto"/>
          <w:sz w:val="24"/>
          <w:szCs w:val="24"/>
          <w:lang w:val="fr-CH"/>
        </w:rPr>
        <w:t xml:space="preserve">, Neuro-X Institute, École Polytechnique Fédérale de Lausanne, Geneva, </w:t>
      </w:r>
      <w:proofErr w:type="spellStart"/>
      <w:r w:rsidRPr="003C1D92">
        <w:rPr>
          <w:rFonts w:ascii="Times New Roman" w:hAnsi="Times New Roman"/>
          <w:color w:val="auto"/>
          <w:sz w:val="24"/>
          <w:szCs w:val="24"/>
          <w:lang w:val="fr-CH"/>
        </w:rPr>
        <w:t>Switzerland</w:t>
      </w:r>
      <w:proofErr w:type="spellEnd"/>
    </w:p>
    <w:p w14:paraId="2453BCE1" w14:textId="77777777" w:rsidR="00D1338E" w:rsidRPr="003C1D92" w:rsidRDefault="00D1338E" w:rsidP="00EF0772">
      <w:pPr>
        <w:pStyle w:val="MDPI16affiliation"/>
        <w:spacing w:line="480" w:lineRule="auto"/>
        <w:ind w:left="360" w:firstLine="0"/>
        <w:jc w:val="both"/>
        <w:rPr>
          <w:rFonts w:ascii="Times New Roman" w:hAnsi="Times New Roman"/>
          <w:sz w:val="24"/>
          <w:szCs w:val="24"/>
        </w:rPr>
      </w:pPr>
      <w:r w:rsidRPr="003C1D92">
        <w:rPr>
          <w:rFonts w:ascii="Times New Roman" w:hAnsi="Times New Roman"/>
          <w:color w:val="auto"/>
          <w:position w:val="6"/>
          <w:sz w:val="24"/>
          <w:szCs w:val="24"/>
          <w:vertAlign w:val="superscript"/>
          <w:lang w:val="en-GB" w:eastAsia="en-GB"/>
        </w:rPr>
        <w:t xml:space="preserve">f </w:t>
      </w:r>
      <w:r w:rsidRPr="003C1D92">
        <w:rPr>
          <w:rFonts w:ascii="Times New Roman" w:hAnsi="Times New Roman"/>
          <w:color w:val="auto"/>
          <w:sz w:val="24"/>
          <w:szCs w:val="24"/>
          <w:lang w:val="en-GB" w:eastAsia="en-GB"/>
        </w:rPr>
        <w:t>Department of Radiology and Medical Informatics, Faculty of Medicine, University of Geneva, Geneva, Switzerland</w:t>
      </w:r>
      <w:r w:rsidRPr="003C1D92">
        <w:rPr>
          <w:rFonts w:ascii="Times New Roman" w:hAnsi="Times New Roman"/>
          <w:sz w:val="24"/>
          <w:szCs w:val="24"/>
        </w:rPr>
        <w:t xml:space="preserve"> </w:t>
      </w:r>
    </w:p>
    <w:p w14:paraId="3B81D590" w14:textId="77777777" w:rsidR="00D1338E" w:rsidRPr="003C1D92" w:rsidRDefault="00D1338E" w:rsidP="00EF0772">
      <w:pPr>
        <w:pStyle w:val="MDPI16affiliation"/>
        <w:spacing w:line="480" w:lineRule="auto"/>
        <w:ind w:left="360" w:firstLine="0"/>
        <w:jc w:val="both"/>
        <w:rPr>
          <w:rFonts w:ascii="Times New Roman" w:hAnsi="Times New Roman"/>
          <w:color w:val="auto"/>
          <w:sz w:val="24"/>
          <w:szCs w:val="24"/>
          <w:lang w:val="en-GB" w:eastAsia="en-GB"/>
        </w:rPr>
      </w:pPr>
      <w:r w:rsidRPr="003C1D92">
        <w:rPr>
          <w:rFonts w:ascii="Times New Roman" w:hAnsi="Times New Roman"/>
          <w:color w:val="auto"/>
          <w:sz w:val="24"/>
          <w:szCs w:val="24"/>
          <w:vertAlign w:val="superscript"/>
          <w:lang w:val="en-GB" w:eastAsia="en-GB"/>
        </w:rPr>
        <w:t>g</w:t>
      </w:r>
      <w:r w:rsidRPr="003C1D92">
        <w:rPr>
          <w:rFonts w:ascii="Times New Roman" w:hAnsi="Times New Roman"/>
          <w:color w:val="auto"/>
          <w:sz w:val="24"/>
          <w:szCs w:val="24"/>
          <w:lang w:val="en-GB" w:eastAsia="en-GB"/>
        </w:rPr>
        <w:t xml:space="preserve"> Division of Immunology and Allergy, Lausanne University Hospital (CHUV) and University of Lausanne, Lausanne, Switzerland.</w:t>
      </w:r>
    </w:p>
    <w:p w14:paraId="300B0A93" w14:textId="26DD4CF3" w:rsidR="00303E24" w:rsidRPr="003C1D92" w:rsidRDefault="00303E24" w:rsidP="00EF0772">
      <w:pPr>
        <w:pStyle w:val="MDPI16affiliation"/>
        <w:spacing w:line="480" w:lineRule="auto"/>
        <w:ind w:left="360" w:firstLine="0"/>
        <w:jc w:val="both"/>
        <w:rPr>
          <w:rFonts w:ascii="Times New Roman" w:hAnsi="Times New Roman"/>
          <w:color w:val="auto"/>
          <w:sz w:val="24"/>
          <w:szCs w:val="24"/>
          <w:lang w:val="en-GB"/>
        </w:rPr>
      </w:pPr>
      <w:r w:rsidRPr="003C1D92">
        <w:rPr>
          <w:rFonts w:ascii="Times New Roman" w:hAnsi="Times New Roman"/>
          <w:color w:val="auto"/>
          <w:sz w:val="24"/>
          <w:szCs w:val="24"/>
          <w:vertAlign w:val="superscript"/>
          <w:lang w:val="en-GB"/>
        </w:rPr>
        <w:t xml:space="preserve">h </w:t>
      </w:r>
      <w:r w:rsidRPr="003C1D92">
        <w:rPr>
          <w:rFonts w:ascii="Times New Roman" w:hAnsi="Times New Roman"/>
          <w:color w:val="auto"/>
          <w:sz w:val="24"/>
          <w:szCs w:val="24"/>
          <w:lang w:val="en-GB"/>
        </w:rPr>
        <w:t xml:space="preserve">Swiss </w:t>
      </w:r>
      <w:proofErr w:type="spellStart"/>
      <w:r w:rsidRPr="003C1D92">
        <w:rPr>
          <w:rFonts w:ascii="Times New Roman" w:hAnsi="Times New Roman"/>
          <w:color w:val="auto"/>
          <w:sz w:val="24"/>
          <w:szCs w:val="24"/>
          <w:lang w:val="en-GB"/>
        </w:rPr>
        <w:t>Center</w:t>
      </w:r>
      <w:proofErr w:type="spellEnd"/>
      <w:r w:rsidRPr="003C1D92">
        <w:rPr>
          <w:rFonts w:ascii="Times New Roman" w:hAnsi="Times New Roman"/>
          <w:color w:val="auto"/>
          <w:sz w:val="24"/>
          <w:szCs w:val="24"/>
          <w:lang w:val="en-GB"/>
        </w:rPr>
        <w:t xml:space="preserve"> for Affective Sciences, University of Geneva, Geneva, Switzerland</w:t>
      </w:r>
    </w:p>
    <w:p w14:paraId="7EEAB646" w14:textId="5FEF69FD" w:rsidR="00D1338E" w:rsidRPr="003C1D92" w:rsidRDefault="00303E24" w:rsidP="00EF0772">
      <w:pPr>
        <w:pStyle w:val="MDPI16affiliation"/>
        <w:spacing w:line="480" w:lineRule="auto"/>
        <w:ind w:left="360" w:firstLine="0"/>
        <w:jc w:val="both"/>
        <w:rPr>
          <w:rFonts w:ascii="Times New Roman" w:hAnsi="Times New Roman"/>
          <w:color w:val="auto"/>
          <w:sz w:val="24"/>
          <w:szCs w:val="24"/>
          <w:lang w:val="en-GB"/>
        </w:rPr>
      </w:pPr>
      <w:proofErr w:type="spellStart"/>
      <w:r w:rsidRPr="003C1D92">
        <w:rPr>
          <w:rFonts w:ascii="Times New Roman" w:hAnsi="Times New Roman"/>
          <w:color w:val="auto"/>
          <w:position w:val="6"/>
          <w:sz w:val="24"/>
          <w:szCs w:val="24"/>
          <w:vertAlign w:val="superscript"/>
          <w:lang w:val="en-GB" w:eastAsia="en-GB"/>
        </w:rPr>
        <w:lastRenderedPageBreak/>
        <w:t>i</w:t>
      </w:r>
      <w:proofErr w:type="spellEnd"/>
      <w:r w:rsidRPr="003C1D92">
        <w:rPr>
          <w:rFonts w:ascii="Times New Roman" w:hAnsi="Times New Roman"/>
          <w:color w:val="auto"/>
          <w:position w:val="6"/>
          <w:sz w:val="24"/>
          <w:szCs w:val="24"/>
          <w:vertAlign w:val="superscript"/>
          <w:lang w:val="en-GB" w:eastAsia="en-GB"/>
        </w:rPr>
        <w:t xml:space="preserve"> </w:t>
      </w:r>
      <w:r w:rsidRPr="003C1D92">
        <w:rPr>
          <w:rFonts w:ascii="Times New Roman" w:hAnsi="Times New Roman"/>
          <w:color w:val="auto"/>
          <w:sz w:val="24"/>
          <w:szCs w:val="24"/>
          <w:lang w:val="en-GB"/>
        </w:rPr>
        <w:t xml:space="preserve">General </w:t>
      </w:r>
      <w:proofErr w:type="spellStart"/>
      <w:r w:rsidRPr="003C1D92">
        <w:rPr>
          <w:rFonts w:ascii="Times New Roman" w:hAnsi="Times New Roman"/>
          <w:color w:val="auto"/>
          <w:sz w:val="24"/>
          <w:szCs w:val="24"/>
          <w:lang w:val="en-GB"/>
        </w:rPr>
        <w:t>Pediatric</w:t>
      </w:r>
      <w:proofErr w:type="spellEnd"/>
      <w:r w:rsidRPr="003C1D92">
        <w:rPr>
          <w:rFonts w:ascii="Times New Roman" w:hAnsi="Times New Roman"/>
          <w:color w:val="auto"/>
          <w:sz w:val="24"/>
          <w:szCs w:val="24"/>
          <w:lang w:val="en-GB"/>
        </w:rPr>
        <w:t xml:space="preserve"> Division, Geneva University Hospital, Switzerland</w:t>
      </w:r>
    </w:p>
    <w:p w14:paraId="4CE47BDA" w14:textId="77777777" w:rsidR="00031BD0" w:rsidRPr="003C1D92" w:rsidRDefault="00031BD0" w:rsidP="00EF0772">
      <w:pPr>
        <w:pStyle w:val="MDPI16affiliation"/>
        <w:spacing w:line="480" w:lineRule="auto"/>
        <w:ind w:left="360" w:firstLine="0"/>
        <w:jc w:val="both"/>
        <w:rPr>
          <w:rFonts w:ascii="Times New Roman" w:hAnsi="Times New Roman"/>
          <w:color w:val="auto"/>
          <w:sz w:val="24"/>
          <w:szCs w:val="24"/>
          <w:lang w:val="en-GB"/>
        </w:rPr>
      </w:pPr>
    </w:p>
    <w:p w14:paraId="0CC6BC0C" w14:textId="77777777" w:rsidR="00D1338E" w:rsidRPr="003C1D92" w:rsidRDefault="00D1338E" w:rsidP="00EF0772">
      <w:pPr>
        <w:pStyle w:val="NormalWeb"/>
        <w:rPr>
          <w:b/>
          <w:bCs/>
        </w:rPr>
      </w:pPr>
      <w:r w:rsidRPr="003C1D92">
        <w:rPr>
          <w:b/>
          <w:bCs/>
        </w:rPr>
        <w:t xml:space="preserve">*Corresponding author: </w:t>
      </w:r>
      <w:r w:rsidRPr="003C1D92">
        <w:t xml:space="preserve">Luigi Francesco Saccaro, MD, Psychiatry Department, Faculty of Medicine, University of Geneva, Switzerland; Psychiatry Division, Geneva University Hospital, Rue Gabrielle-Perret-Gentil 4, 1205 Geneva, Switzerland; email: </w:t>
      </w:r>
      <w:hyperlink r:id="rId8" w:history="1">
        <w:r w:rsidRPr="003C1D92">
          <w:rPr>
            <w:rStyle w:val="Hyperlink"/>
          </w:rPr>
          <w:t>LuigiFrancesco.Saccaro@unige.ch</w:t>
        </w:r>
      </w:hyperlink>
    </w:p>
    <w:p w14:paraId="446ABA4B" w14:textId="77777777" w:rsidR="00901F74" w:rsidRPr="003C1D92" w:rsidRDefault="008C3F4C" w:rsidP="00EF0772">
      <w:pPr>
        <w:pStyle w:val="NormalWeb"/>
        <w:tabs>
          <w:tab w:val="left" w:pos="3523"/>
        </w:tabs>
      </w:pPr>
      <w:r w:rsidRPr="003C1D92">
        <w:br w:type="column"/>
      </w:r>
    </w:p>
    <w:sdt>
      <w:sdtPr>
        <w:rPr>
          <w:rFonts w:ascii="Times New Roman" w:eastAsiaTheme="minorHAnsi" w:hAnsi="Times New Roman" w:cstheme="minorBidi"/>
          <w:color w:val="auto"/>
          <w:sz w:val="24"/>
          <w:szCs w:val="24"/>
          <w:lang w:val="en-CH"/>
        </w:rPr>
        <w:id w:val="991916375"/>
        <w:docPartObj>
          <w:docPartGallery w:val="Table of Contents"/>
          <w:docPartUnique/>
        </w:docPartObj>
      </w:sdtPr>
      <w:sdtEndPr>
        <w:rPr>
          <w:b/>
          <w:bCs/>
          <w:noProof/>
        </w:rPr>
      </w:sdtEndPr>
      <w:sdtContent>
        <w:p w14:paraId="4D79A50A" w14:textId="31D3988C" w:rsidR="00901F74" w:rsidRPr="003C1D92" w:rsidRDefault="00901F74" w:rsidP="00EF0772">
          <w:pPr>
            <w:pStyle w:val="TOCHeading"/>
            <w:spacing w:line="480" w:lineRule="auto"/>
            <w:rPr>
              <w:rFonts w:ascii="Times New Roman" w:hAnsi="Times New Roman" w:cs="Times New Roman"/>
              <w:b/>
              <w:bCs/>
              <w:color w:val="auto"/>
            </w:rPr>
          </w:pPr>
          <w:r w:rsidRPr="003C1D92">
            <w:rPr>
              <w:rFonts w:ascii="Times New Roman" w:hAnsi="Times New Roman" w:cs="Times New Roman"/>
              <w:b/>
              <w:bCs/>
              <w:color w:val="auto"/>
            </w:rPr>
            <w:t>Contents</w:t>
          </w:r>
        </w:p>
        <w:p w14:paraId="218DC19E" w14:textId="607B7D0A" w:rsidR="008D6F9C" w:rsidRPr="003C1D92" w:rsidRDefault="00901F74">
          <w:pPr>
            <w:pStyle w:val="TOC1"/>
            <w:tabs>
              <w:tab w:val="right" w:leader="dot" w:pos="9016"/>
            </w:tabs>
            <w:rPr>
              <w:rFonts w:asciiTheme="minorHAnsi" w:eastAsiaTheme="minorEastAsia" w:hAnsiTheme="minorHAnsi" w:cstheme="minorBidi"/>
              <w:b w:val="0"/>
              <w:bCs w:val="0"/>
              <w:caps w:val="0"/>
              <w:noProof/>
              <w:kern w:val="2"/>
              <w:lang w:eastAsia="en-GB"/>
              <w14:ligatures w14:val="standardContextual"/>
            </w:rPr>
          </w:pPr>
          <w:r w:rsidRPr="003C1D92">
            <w:fldChar w:fldCharType="begin"/>
          </w:r>
          <w:r w:rsidRPr="003C1D92">
            <w:instrText xml:space="preserve"> TOC \o "1-3" \h \z \u </w:instrText>
          </w:r>
          <w:r w:rsidRPr="003C1D92">
            <w:fldChar w:fldCharType="separate"/>
          </w:r>
          <w:hyperlink w:anchor="_Toc229229952" w:history="1">
            <w:r w:rsidRPr="003C1D92">
              <w:rPr>
                <w:rStyle w:val="Hyperlink"/>
                <w:noProof/>
              </w:rPr>
              <w:t>SUPPLEMENTARY BACKGROUND</w:t>
            </w:r>
            <w:r w:rsidRPr="003C1D92">
              <w:rPr>
                <w:noProof/>
                <w:webHidden/>
              </w:rPr>
              <w:tab/>
            </w:r>
            <w:r w:rsidRPr="003C1D92">
              <w:rPr>
                <w:noProof/>
                <w:webHidden/>
              </w:rPr>
              <w:fldChar w:fldCharType="begin"/>
            </w:r>
            <w:r w:rsidRPr="003C1D92">
              <w:rPr>
                <w:noProof/>
                <w:webHidden/>
              </w:rPr>
              <w:instrText xml:space="preserve"> PAGEREF _Toc229229952 \h </w:instrText>
            </w:r>
            <w:r w:rsidRPr="003C1D92">
              <w:rPr>
                <w:noProof/>
                <w:webHidden/>
              </w:rPr>
            </w:r>
            <w:r w:rsidRPr="003C1D92">
              <w:rPr>
                <w:noProof/>
                <w:webHidden/>
              </w:rPr>
              <w:fldChar w:fldCharType="separate"/>
            </w:r>
            <w:r w:rsidR="00B96437" w:rsidRPr="003C1D92">
              <w:rPr>
                <w:noProof/>
                <w:webHidden/>
              </w:rPr>
              <w:t>5</w:t>
            </w:r>
            <w:r w:rsidRPr="003C1D92">
              <w:rPr>
                <w:noProof/>
                <w:webHidden/>
              </w:rPr>
              <w:fldChar w:fldCharType="end"/>
            </w:r>
          </w:hyperlink>
        </w:p>
        <w:p w14:paraId="564988F6" w14:textId="3F733182"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53" w:history="1">
            <w:r w:rsidRPr="003C1D92">
              <w:rPr>
                <w:rStyle w:val="Hyperlink"/>
                <w:noProof/>
              </w:rPr>
              <w:t>Shared features call for a transdiagnostic study of emotion dysregulation in BD, BPD, and ADHD</w:t>
            </w:r>
            <w:r w:rsidRPr="003C1D92">
              <w:rPr>
                <w:noProof/>
                <w:webHidden/>
              </w:rPr>
              <w:tab/>
            </w:r>
            <w:r w:rsidRPr="003C1D92">
              <w:rPr>
                <w:noProof/>
                <w:webHidden/>
              </w:rPr>
              <w:fldChar w:fldCharType="begin"/>
            </w:r>
            <w:r w:rsidRPr="003C1D92">
              <w:rPr>
                <w:noProof/>
                <w:webHidden/>
              </w:rPr>
              <w:instrText xml:space="preserve"> PAGEREF _Toc229229953 \h </w:instrText>
            </w:r>
            <w:r w:rsidRPr="003C1D92">
              <w:rPr>
                <w:noProof/>
                <w:webHidden/>
              </w:rPr>
            </w:r>
            <w:r w:rsidRPr="003C1D92">
              <w:rPr>
                <w:noProof/>
                <w:webHidden/>
              </w:rPr>
              <w:fldChar w:fldCharType="separate"/>
            </w:r>
            <w:r w:rsidR="00B96437" w:rsidRPr="003C1D92">
              <w:rPr>
                <w:noProof/>
                <w:webHidden/>
              </w:rPr>
              <w:t>5</w:t>
            </w:r>
            <w:r w:rsidRPr="003C1D92">
              <w:rPr>
                <w:noProof/>
                <w:webHidden/>
              </w:rPr>
              <w:fldChar w:fldCharType="end"/>
            </w:r>
          </w:hyperlink>
        </w:p>
        <w:p w14:paraId="5E1838E8" w14:textId="2F4129E2"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54" w:history="1">
            <w:r w:rsidRPr="003C1D92">
              <w:rPr>
                <w:rStyle w:val="Hyperlink"/>
                <w:noProof/>
              </w:rPr>
              <w:t>Rationale for Focusing on Hippocampal Dynamic Functional Connectivity and whole-brain structural connectivity</w:t>
            </w:r>
            <w:r w:rsidRPr="003C1D92">
              <w:rPr>
                <w:noProof/>
                <w:webHidden/>
              </w:rPr>
              <w:tab/>
            </w:r>
            <w:r w:rsidRPr="003C1D92">
              <w:rPr>
                <w:noProof/>
                <w:webHidden/>
              </w:rPr>
              <w:fldChar w:fldCharType="begin"/>
            </w:r>
            <w:r w:rsidRPr="003C1D92">
              <w:rPr>
                <w:noProof/>
                <w:webHidden/>
              </w:rPr>
              <w:instrText xml:space="preserve"> PAGEREF _Toc229229954 \h </w:instrText>
            </w:r>
            <w:r w:rsidRPr="003C1D92">
              <w:rPr>
                <w:noProof/>
                <w:webHidden/>
              </w:rPr>
            </w:r>
            <w:r w:rsidRPr="003C1D92">
              <w:rPr>
                <w:noProof/>
                <w:webHidden/>
              </w:rPr>
              <w:fldChar w:fldCharType="separate"/>
            </w:r>
            <w:r w:rsidR="00B96437" w:rsidRPr="003C1D92">
              <w:rPr>
                <w:noProof/>
                <w:webHidden/>
              </w:rPr>
              <w:t>6</w:t>
            </w:r>
            <w:r w:rsidRPr="003C1D92">
              <w:rPr>
                <w:noProof/>
                <w:webHidden/>
              </w:rPr>
              <w:fldChar w:fldCharType="end"/>
            </w:r>
          </w:hyperlink>
        </w:p>
        <w:p w14:paraId="624BF991" w14:textId="333B03D5" w:rsidR="008D6F9C" w:rsidRPr="003C1D92" w:rsidRDefault="008D6F9C">
          <w:pPr>
            <w:pStyle w:val="TOC1"/>
            <w:tabs>
              <w:tab w:val="right" w:leader="dot" w:pos="9016"/>
            </w:tabs>
            <w:rPr>
              <w:rFonts w:asciiTheme="minorHAnsi" w:eastAsiaTheme="minorEastAsia" w:hAnsiTheme="minorHAnsi" w:cstheme="minorBidi"/>
              <w:b w:val="0"/>
              <w:bCs w:val="0"/>
              <w:caps w:val="0"/>
              <w:noProof/>
              <w:kern w:val="2"/>
              <w:lang w:eastAsia="en-GB"/>
              <w14:ligatures w14:val="standardContextual"/>
            </w:rPr>
          </w:pPr>
          <w:hyperlink w:anchor="_Toc229229955" w:history="1">
            <w:r w:rsidRPr="003C1D92">
              <w:rPr>
                <w:rStyle w:val="Hyperlink"/>
                <w:noProof/>
              </w:rPr>
              <w:t>SUPPLEMENTARY METHODS</w:t>
            </w:r>
            <w:r w:rsidRPr="003C1D92">
              <w:rPr>
                <w:noProof/>
                <w:webHidden/>
              </w:rPr>
              <w:tab/>
            </w:r>
            <w:r w:rsidRPr="003C1D92">
              <w:rPr>
                <w:noProof/>
                <w:webHidden/>
              </w:rPr>
              <w:fldChar w:fldCharType="begin"/>
            </w:r>
            <w:r w:rsidRPr="003C1D92">
              <w:rPr>
                <w:noProof/>
                <w:webHidden/>
              </w:rPr>
              <w:instrText xml:space="preserve"> PAGEREF _Toc229229955 \h </w:instrText>
            </w:r>
            <w:r w:rsidRPr="003C1D92">
              <w:rPr>
                <w:noProof/>
                <w:webHidden/>
              </w:rPr>
            </w:r>
            <w:r w:rsidRPr="003C1D92">
              <w:rPr>
                <w:noProof/>
                <w:webHidden/>
              </w:rPr>
              <w:fldChar w:fldCharType="separate"/>
            </w:r>
            <w:r w:rsidR="00B96437" w:rsidRPr="003C1D92">
              <w:rPr>
                <w:noProof/>
                <w:webHidden/>
              </w:rPr>
              <w:t>9</w:t>
            </w:r>
            <w:r w:rsidRPr="003C1D92">
              <w:rPr>
                <w:noProof/>
                <w:webHidden/>
              </w:rPr>
              <w:fldChar w:fldCharType="end"/>
            </w:r>
          </w:hyperlink>
        </w:p>
        <w:p w14:paraId="17B20EFD" w14:textId="258534A4"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56" w:history="1">
            <w:r w:rsidRPr="003C1D92">
              <w:rPr>
                <w:rStyle w:val="Hyperlink"/>
                <w:noProof/>
              </w:rPr>
              <w:t>Participants’ clinical evaluation and exclusion criteria</w:t>
            </w:r>
            <w:r w:rsidRPr="003C1D92">
              <w:rPr>
                <w:noProof/>
                <w:webHidden/>
              </w:rPr>
              <w:tab/>
            </w:r>
            <w:r w:rsidRPr="003C1D92">
              <w:rPr>
                <w:noProof/>
                <w:webHidden/>
              </w:rPr>
              <w:fldChar w:fldCharType="begin"/>
            </w:r>
            <w:r w:rsidRPr="003C1D92">
              <w:rPr>
                <w:noProof/>
                <w:webHidden/>
              </w:rPr>
              <w:instrText xml:space="preserve"> PAGEREF _Toc229229956 \h </w:instrText>
            </w:r>
            <w:r w:rsidRPr="003C1D92">
              <w:rPr>
                <w:noProof/>
                <w:webHidden/>
              </w:rPr>
            </w:r>
            <w:r w:rsidRPr="003C1D92">
              <w:rPr>
                <w:noProof/>
                <w:webHidden/>
              </w:rPr>
              <w:fldChar w:fldCharType="separate"/>
            </w:r>
            <w:r w:rsidR="00B96437" w:rsidRPr="003C1D92">
              <w:rPr>
                <w:noProof/>
                <w:webHidden/>
              </w:rPr>
              <w:t>9</w:t>
            </w:r>
            <w:r w:rsidRPr="003C1D92">
              <w:rPr>
                <w:noProof/>
                <w:webHidden/>
              </w:rPr>
              <w:fldChar w:fldCharType="end"/>
            </w:r>
          </w:hyperlink>
        </w:p>
        <w:p w14:paraId="24F5B530" w14:textId="1BBE2B80"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57" w:history="1">
            <w:r w:rsidRPr="003C1D92">
              <w:rPr>
                <w:rStyle w:val="Hyperlink"/>
                <w:noProof/>
              </w:rPr>
              <w:t>Serum markers: multiplex bead-based immunoassay</w:t>
            </w:r>
            <w:r w:rsidRPr="003C1D92">
              <w:rPr>
                <w:noProof/>
                <w:webHidden/>
              </w:rPr>
              <w:tab/>
            </w:r>
            <w:r w:rsidRPr="003C1D92">
              <w:rPr>
                <w:noProof/>
                <w:webHidden/>
              </w:rPr>
              <w:fldChar w:fldCharType="begin"/>
            </w:r>
            <w:r w:rsidRPr="003C1D92">
              <w:rPr>
                <w:noProof/>
                <w:webHidden/>
              </w:rPr>
              <w:instrText xml:space="preserve"> PAGEREF _Toc229229957 \h </w:instrText>
            </w:r>
            <w:r w:rsidRPr="003C1D92">
              <w:rPr>
                <w:noProof/>
                <w:webHidden/>
              </w:rPr>
            </w:r>
            <w:r w:rsidRPr="003C1D92">
              <w:rPr>
                <w:noProof/>
                <w:webHidden/>
              </w:rPr>
              <w:fldChar w:fldCharType="separate"/>
            </w:r>
            <w:r w:rsidR="00B96437" w:rsidRPr="003C1D92">
              <w:rPr>
                <w:noProof/>
                <w:webHidden/>
              </w:rPr>
              <w:t>10</w:t>
            </w:r>
            <w:r w:rsidRPr="003C1D92">
              <w:rPr>
                <w:noProof/>
                <w:webHidden/>
              </w:rPr>
              <w:fldChar w:fldCharType="end"/>
            </w:r>
          </w:hyperlink>
        </w:p>
        <w:p w14:paraId="0134AB89" w14:textId="73616952"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58" w:history="1">
            <w:r w:rsidRPr="003C1D92">
              <w:rPr>
                <w:rStyle w:val="Hyperlink"/>
                <w:noProof/>
              </w:rPr>
              <w:t>Resting-state fMRI acquisition and analysis of hippocampal dynamic functional connectivity with micro-CoActivation Patterns (μCAPs)</w:t>
            </w:r>
            <w:r w:rsidRPr="003C1D92">
              <w:rPr>
                <w:noProof/>
                <w:webHidden/>
              </w:rPr>
              <w:tab/>
            </w:r>
            <w:r w:rsidRPr="003C1D92">
              <w:rPr>
                <w:noProof/>
                <w:webHidden/>
              </w:rPr>
              <w:fldChar w:fldCharType="begin"/>
            </w:r>
            <w:r w:rsidRPr="003C1D92">
              <w:rPr>
                <w:noProof/>
                <w:webHidden/>
              </w:rPr>
              <w:instrText xml:space="preserve"> PAGEREF _Toc229229958 \h </w:instrText>
            </w:r>
            <w:r w:rsidRPr="003C1D92">
              <w:rPr>
                <w:noProof/>
                <w:webHidden/>
              </w:rPr>
            </w:r>
            <w:r w:rsidRPr="003C1D92">
              <w:rPr>
                <w:noProof/>
                <w:webHidden/>
              </w:rPr>
              <w:fldChar w:fldCharType="separate"/>
            </w:r>
            <w:r w:rsidR="00B96437" w:rsidRPr="003C1D92">
              <w:rPr>
                <w:noProof/>
                <w:webHidden/>
              </w:rPr>
              <w:t>11</w:t>
            </w:r>
            <w:r w:rsidRPr="003C1D92">
              <w:rPr>
                <w:noProof/>
                <w:webHidden/>
              </w:rPr>
              <w:fldChar w:fldCharType="end"/>
            </w:r>
          </w:hyperlink>
        </w:p>
        <w:p w14:paraId="5CA569FB" w14:textId="0CBD3D82" w:rsidR="008D6F9C" w:rsidRPr="003C1D92" w:rsidRDefault="008D6F9C">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9229959" w:history="1">
            <w:r w:rsidRPr="003C1D92">
              <w:rPr>
                <w:rStyle w:val="Hyperlink"/>
                <w:noProof/>
                <w:lang w:val="en-US"/>
              </w:rPr>
              <w:t>MRI acquisition</w:t>
            </w:r>
            <w:r w:rsidRPr="003C1D92">
              <w:rPr>
                <w:noProof/>
                <w:webHidden/>
              </w:rPr>
              <w:tab/>
            </w:r>
            <w:r w:rsidRPr="003C1D92">
              <w:rPr>
                <w:noProof/>
                <w:webHidden/>
              </w:rPr>
              <w:fldChar w:fldCharType="begin"/>
            </w:r>
            <w:r w:rsidRPr="003C1D92">
              <w:rPr>
                <w:noProof/>
                <w:webHidden/>
              </w:rPr>
              <w:instrText xml:space="preserve"> PAGEREF _Toc229229959 \h </w:instrText>
            </w:r>
            <w:r w:rsidRPr="003C1D92">
              <w:rPr>
                <w:noProof/>
                <w:webHidden/>
              </w:rPr>
            </w:r>
            <w:r w:rsidRPr="003C1D92">
              <w:rPr>
                <w:noProof/>
                <w:webHidden/>
              </w:rPr>
              <w:fldChar w:fldCharType="separate"/>
            </w:r>
            <w:r w:rsidR="00B96437" w:rsidRPr="003C1D92">
              <w:rPr>
                <w:noProof/>
                <w:webHidden/>
              </w:rPr>
              <w:t>12</w:t>
            </w:r>
            <w:r w:rsidRPr="003C1D92">
              <w:rPr>
                <w:noProof/>
                <w:webHidden/>
              </w:rPr>
              <w:fldChar w:fldCharType="end"/>
            </w:r>
          </w:hyperlink>
        </w:p>
        <w:p w14:paraId="50DF9967" w14:textId="79CB3DB6" w:rsidR="008D6F9C" w:rsidRPr="003C1D92" w:rsidRDefault="008D6F9C">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9229960" w:history="1">
            <w:r w:rsidRPr="003C1D92">
              <w:rPr>
                <w:rStyle w:val="Hyperlink"/>
                <w:noProof/>
              </w:rPr>
              <w:t>Preprocessing of functional MRI data</w:t>
            </w:r>
            <w:r w:rsidRPr="003C1D92">
              <w:rPr>
                <w:noProof/>
                <w:webHidden/>
              </w:rPr>
              <w:tab/>
            </w:r>
            <w:r w:rsidRPr="003C1D92">
              <w:rPr>
                <w:noProof/>
                <w:webHidden/>
              </w:rPr>
              <w:fldChar w:fldCharType="begin"/>
            </w:r>
            <w:r w:rsidRPr="003C1D92">
              <w:rPr>
                <w:noProof/>
                <w:webHidden/>
              </w:rPr>
              <w:instrText xml:space="preserve"> PAGEREF _Toc229229960 \h </w:instrText>
            </w:r>
            <w:r w:rsidRPr="003C1D92">
              <w:rPr>
                <w:noProof/>
                <w:webHidden/>
              </w:rPr>
            </w:r>
            <w:r w:rsidRPr="003C1D92">
              <w:rPr>
                <w:noProof/>
                <w:webHidden/>
              </w:rPr>
              <w:fldChar w:fldCharType="separate"/>
            </w:r>
            <w:r w:rsidR="00B96437" w:rsidRPr="003C1D92">
              <w:rPr>
                <w:noProof/>
                <w:webHidden/>
              </w:rPr>
              <w:t>12</w:t>
            </w:r>
            <w:r w:rsidRPr="003C1D92">
              <w:rPr>
                <w:noProof/>
                <w:webHidden/>
              </w:rPr>
              <w:fldChar w:fldCharType="end"/>
            </w:r>
          </w:hyperlink>
        </w:p>
        <w:p w14:paraId="2D0CD3D8" w14:textId="1FB25175" w:rsidR="008D6F9C" w:rsidRPr="003C1D92" w:rsidRDefault="008D6F9C">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9229961" w:history="1">
            <w:r w:rsidRPr="003C1D92">
              <w:rPr>
                <w:rStyle w:val="Hyperlink"/>
                <w:noProof/>
              </w:rPr>
              <w:t>fMRI seed selection</w:t>
            </w:r>
            <w:r w:rsidRPr="003C1D92">
              <w:rPr>
                <w:noProof/>
                <w:webHidden/>
              </w:rPr>
              <w:tab/>
            </w:r>
            <w:r w:rsidRPr="003C1D92">
              <w:rPr>
                <w:noProof/>
                <w:webHidden/>
              </w:rPr>
              <w:fldChar w:fldCharType="begin"/>
            </w:r>
            <w:r w:rsidRPr="003C1D92">
              <w:rPr>
                <w:noProof/>
                <w:webHidden/>
              </w:rPr>
              <w:instrText xml:space="preserve"> PAGEREF _Toc229229961 \h </w:instrText>
            </w:r>
            <w:r w:rsidRPr="003C1D92">
              <w:rPr>
                <w:noProof/>
                <w:webHidden/>
              </w:rPr>
            </w:r>
            <w:r w:rsidRPr="003C1D92">
              <w:rPr>
                <w:noProof/>
                <w:webHidden/>
              </w:rPr>
              <w:fldChar w:fldCharType="separate"/>
            </w:r>
            <w:r w:rsidR="00B96437" w:rsidRPr="003C1D92">
              <w:rPr>
                <w:noProof/>
                <w:webHidden/>
              </w:rPr>
              <w:t>13</w:t>
            </w:r>
            <w:r w:rsidRPr="003C1D92">
              <w:rPr>
                <w:noProof/>
                <w:webHidden/>
              </w:rPr>
              <w:fldChar w:fldCharType="end"/>
            </w:r>
          </w:hyperlink>
        </w:p>
        <w:p w14:paraId="6027CDA0" w14:textId="6ABE4B58" w:rsidR="008D6F9C" w:rsidRPr="003C1D92" w:rsidRDefault="008D6F9C">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9229962" w:history="1">
            <w:r w:rsidRPr="003C1D92">
              <w:rPr>
                <w:rStyle w:val="Hyperlink"/>
                <w:noProof/>
                <w:lang w:val="en-US"/>
              </w:rPr>
              <w:t>Micro-CAPs (μCAPs) analysis</w:t>
            </w:r>
            <w:r w:rsidRPr="003C1D92">
              <w:rPr>
                <w:noProof/>
                <w:webHidden/>
              </w:rPr>
              <w:tab/>
            </w:r>
            <w:r w:rsidRPr="003C1D92">
              <w:rPr>
                <w:noProof/>
                <w:webHidden/>
              </w:rPr>
              <w:fldChar w:fldCharType="begin"/>
            </w:r>
            <w:r w:rsidRPr="003C1D92">
              <w:rPr>
                <w:noProof/>
                <w:webHidden/>
              </w:rPr>
              <w:instrText xml:space="preserve"> PAGEREF _Toc229229962 \h </w:instrText>
            </w:r>
            <w:r w:rsidRPr="003C1D92">
              <w:rPr>
                <w:noProof/>
                <w:webHidden/>
              </w:rPr>
            </w:r>
            <w:r w:rsidRPr="003C1D92">
              <w:rPr>
                <w:noProof/>
                <w:webHidden/>
              </w:rPr>
              <w:fldChar w:fldCharType="separate"/>
            </w:r>
            <w:r w:rsidR="00B96437" w:rsidRPr="003C1D92">
              <w:rPr>
                <w:noProof/>
                <w:webHidden/>
              </w:rPr>
              <w:t>13</w:t>
            </w:r>
            <w:r w:rsidRPr="003C1D92">
              <w:rPr>
                <w:noProof/>
                <w:webHidden/>
              </w:rPr>
              <w:fldChar w:fldCharType="end"/>
            </w:r>
          </w:hyperlink>
        </w:p>
        <w:p w14:paraId="720849E4" w14:textId="1534828D"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63" w:history="1">
            <w:r w:rsidRPr="003C1D92">
              <w:rPr>
                <w:rStyle w:val="Hyperlink"/>
                <w:noProof/>
              </w:rPr>
              <w:t>Diffusion MRI analysis: structural connectivity (fractional anisotropy)</w:t>
            </w:r>
            <w:r w:rsidRPr="003C1D92">
              <w:rPr>
                <w:noProof/>
                <w:webHidden/>
              </w:rPr>
              <w:tab/>
            </w:r>
            <w:r w:rsidRPr="003C1D92">
              <w:rPr>
                <w:noProof/>
                <w:webHidden/>
              </w:rPr>
              <w:fldChar w:fldCharType="begin"/>
            </w:r>
            <w:r w:rsidRPr="003C1D92">
              <w:rPr>
                <w:noProof/>
                <w:webHidden/>
              </w:rPr>
              <w:instrText xml:space="preserve"> PAGEREF _Toc229229963 \h </w:instrText>
            </w:r>
            <w:r w:rsidRPr="003C1D92">
              <w:rPr>
                <w:noProof/>
                <w:webHidden/>
              </w:rPr>
            </w:r>
            <w:r w:rsidRPr="003C1D92">
              <w:rPr>
                <w:noProof/>
                <w:webHidden/>
              </w:rPr>
              <w:fldChar w:fldCharType="separate"/>
            </w:r>
            <w:r w:rsidR="00B96437" w:rsidRPr="003C1D92">
              <w:rPr>
                <w:noProof/>
                <w:webHidden/>
              </w:rPr>
              <w:t>17</w:t>
            </w:r>
            <w:r w:rsidRPr="003C1D92">
              <w:rPr>
                <w:noProof/>
                <w:webHidden/>
              </w:rPr>
              <w:fldChar w:fldCharType="end"/>
            </w:r>
          </w:hyperlink>
        </w:p>
        <w:p w14:paraId="430796B4" w14:textId="66C6FC0C"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64" w:history="1">
            <w:r w:rsidRPr="003C1D92">
              <w:rPr>
                <w:rStyle w:val="Hyperlink"/>
                <w:noProof/>
              </w:rPr>
              <w:t>Statistical data preprocessing and general statistical details</w:t>
            </w:r>
            <w:r w:rsidRPr="003C1D92">
              <w:rPr>
                <w:noProof/>
                <w:webHidden/>
              </w:rPr>
              <w:tab/>
            </w:r>
            <w:r w:rsidRPr="003C1D92">
              <w:rPr>
                <w:noProof/>
                <w:webHidden/>
              </w:rPr>
              <w:fldChar w:fldCharType="begin"/>
            </w:r>
            <w:r w:rsidRPr="003C1D92">
              <w:rPr>
                <w:noProof/>
                <w:webHidden/>
              </w:rPr>
              <w:instrText xml:space="preserve"> PAGEREF _Toc229229964 \h </w:instrText>
            </w:r>
            <w:r w:rsidRPr="003C1D92">
              <w:rPr>
                <w:noProof/>
                <w:webHidden/>
              </w:rPr>
            </w:r>
            <w:r w:rsidRPr="003C1D92">
              <w:rPr>
                <w:noProof/>
                <w:webHidden/>
              </w:rPr>
              <w:fldChar w:fldCharType="separate"/>
            </w:r>
            <w:r w:rsidR="00B96437" w:rsidRPr="003C1D92">
              <w:rPr>
                <w:noProof/>
                <w:webHidden/>
              </w:rPr>
              <w:t>19</w:t>
            </w:r>
            <w:r w:rsidRPr="003C1D92">
              <w:rPr>
                <w:noProof/>
                <w:webHidden/>
              </w:rPr>
              <w:fldChar w:fldCharType="end"/>
            </w:r>
          </w:hyperlink>
        </w:p>
        <w:p w14:paraId="152D605E" w14:textId="3D5D9D27"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65" w:history="1">
            <w:r w:rsidRPr="003C1D92">
              <w:rPr>
                <w:rStyle w:val="Hyperlink"/>
                <w:noProof/>
              </w:rPr>
              <w:t>Further details on RF model for group prediction</w:t>
            </w:r>
            <w:r w:rsidRPr="003C1D92">
              <w:rPr>
                <w:noProof/>
                <w:webHidden/>
              </w:rPr>
              <w:tab/>
            </w:r>
            <w:r w:rsidRPr="003C1D92">
              <w:rPr>
                <w:noProof/>
                <w:webHidden/>
              </w:rPr>
              <w:fldChar w:fldCharType="begin"/>
            </w:r>
            <w:r w:rsidRPr="003C1D92">
              <w:rPr>
                <w:noProof/>
                <w:webHidden/>
              </w:rPr>
              <w:instrText xml:space="preserve"> PAGEREF _Toc229229965 \h </w:instrText>
            </w:r>
            <w:r w:rsidRPr="003C1D92">
              <w:rPr>
                <w:noProof/>
                <w:webHidden/>
              </w:rPr>
            </w:r>
            <w:r w:rsidRPr="003C1D92">
              <w:rPr>
                <w:noProof/>
                <w:webHidden/>
              </w:rPr>
              <w:fldChar w:fldCharType="separate"/>
            </w:r>
            <w:r w:rsidR="00B96437" w:rsidRPr="003C1D92">
              <w:rPr>
                <w:noProof/>
                <w:webHidden/>
              </w:rPr>
              <w:t>22</w:t>
            </w:r>
            <w:r w:rsidRPr="003C1D92">
              <w:rPr>
                <w:noProof/>
                <w:webHidden/>
              </w:rPr>
              <w:fldChar w:fldCharType="end"/>
            </w:r>
          </w:hyperlink>
        </w:p>
        <w:p w14:paraId="08D6BBFC" w14:textId="24FAD56B"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66" w:history="1">
            <w:r w:rsidRPr="003C1D92">
              <w:rPr>
                <w:rStyle w:val="Hyperlink"/>
                <w:noProof/>
              </w:rPr>
              <w:t>Baseline group predictor model: ridge regression</w:t>
            </w:r>
            <w:r w:rsidRPr="003C1D92">
              <w:rPr>
                <w:noProof/>
                <w:webHidden/>
              </w:rPr>
              <w:tab/>
            </w:r>
            <w:r w:rsidRPr="003C1D92">
              <w:rPr>
                <w:noProof/>
                <w:webHidden/>
              </w:rPr>
              <w:fldChar w:fldCharType="begin"/>
            </w:r>
            <w:r w:rsidRPr="003C1D92">
              <w:rPr>
                <w:noProof/>
                <w:webHidden/>
              </w:rPr>
              <w:instrText xml:space="preserve"> PAGEREF _Toc229229966 \h </w:instrText>
            </w:r>
            <w:r w:rsidRPr="003C1D92">
              <w:rPr>
                <w:noProof/>
                <w:webHidden/>
              </w:rPr>
            </w:r>
            <w:r w:rsidRPr="003C1D92">
              <w:rPr>
                <w:noProof/>
                <w:webHidden/>
              </w:rPr>
              <w:fldChar w:fldCharType="separate"/>
            </w:r>
            <w:r w:rsidR="00B96437" w:rsidRPr="003C1D92">
              <w:rPr>
                <w:noProof/>
                <w:webHidden/>
              </w:rPr>
              <w:t>22</w:t>
            </w:r>
            <w:r w:rsidRPr="003C1D92">
              <w:rPr>
                <w:noProof/>
                <w:webHidden/>
              </w:rPr>
              <w:fldChar w:fldCharType="end"/>
            </w:r>
          </w:hyperlink>
        </w:p>
        <w:p w14:paraId="30F6711D" w14:textId="5F5F0611"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67" w:history="1">
            <w:r w:rsidRPr="003C1D92">
              <w:rPr>
                <w:rStyle w:val="Hyperlink"/>
                <w:noProof/>
              </w:rPr>
              <w:t>Further details on RF model for clinical symptoms prediction</w:t>
            </w:r>
            <w:r w:rsidRPr="003C1D92">
              <w:rPr>
                <w:noProof/>
                <w:webHidden/>
              </w:rPr>
              <w:tab/>
            </w:r>
            <w:r w:rsidRPr="003C1D92">
              <w:rPr>
                <w:noProof/>
                <w:webHidden/>
              </w:rPr>
              <w:fldChar w:fldCharType="begin"/>
            </w:r>
            <w:r w:rsidRPr="003C1D92">
              <w:rPr>
                <w:noProof/>
                <w:webHidden/>
              </w:rPr>
              <w:instrText xml:space="preserve"> PAGEREF _Toc229229967 \h </w:instrText>
            </w:r>
            <w:r w:rsidRPr="003C1D92">
              <w:rPr>
                <w:noProof/>
                <w:webHidden/>
              </w:rPr>
            </w:r>
            <w:r w:rsidRPr="003C1D92">
              <w:rPr>
                <w:noProof/>
                <w:webHidden/>
              </w:rPr>
              <w:fldChar w:fldCharType="separate"/>
            </w:r>
            <w:r w:rsidR="00B96437" w:rsidRPr="003C1D92">
              <w:rPr>
                <w:noProof/>
                <w:webHidden/>
              </w:rPr>
              <w:t>23</w:t>
            </w:r>
            <w:r w:rsidRPr="003C1D92">
              <w:rPr>
                <w:noProof/>
                <w:webHidden/>
              </w:rPr>
              <w:fldChar w:fldCharType="end"/>
            </w:r>
          </w:hyperlink>
        </w:p>
        <w:p w14:paraId="795E32B5" w14:textId="3DB059A8"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68" w:history="1">
            <w:r w:rsidRPr="003C1D92">
              <w:rPr>
                <w:rStyle w:val="Hyperlink"/>
                <w:noProof/>
              </w:rPr>
              <w:t>Code availability</w:t>
            </w:r>
            <w:r w:rsidRPr="003C1D92">
              <w:rPr>
                <w:noProof/>
                <w:webHidden/>
              </w:rPr>
              <w:tab/>
            </w:r>
            <w:r w:rsidRPr="003C1D92">
              <w:rPr>
                <w:noProof/>
                <w:webHidden/>
              </w:rPr>
              <w:fldChar w:fldCharType="begin"/>
            </w:r>
            <w:r w:rsidRPr="003C1D92">
              <w:rPr>
                <w:noProof/>
                <w:webHidden/>
              </w:rPr>
              <w:instrText xml:space="preserve"> PAGEREF _Toc229229968 \h </w:instrText>
            </w:r>
            <w:r w:rsidRPr="003C1D92">
              <w:rPr>
                <w:noProof/>
                <w:webHidden/>
              </w:rPr>
            </w:r>
            <w:r w:rsidRPr="003C1D92">
              <w:rPr>
                <w:noProof/>
                <w:webHidden/>
              </w:rPr>
              <w:fldChar w:fldCharType="separate"/>
            </w:r>
            <w:r w:rsidR="00B96437" w:rsidRPr="003C1D92">
              <w:rPr>
                <w:noProof/>
                <w:webHidden/>
              </w:rPr>
              <w:t>23</w:t>
            </w:r>
            <w:r w:rsidRPr="003C1D92">
              <w:rPr>
                <w:noProof/>
                <w:webHidden/>
              </w:rPr>
              <w:fldChar w:fldCharType="end"/>
            </w:r>
          </w:hyperlink>
        </w:p>
        <w:p w14:paraId="2DCC4D68" w14:textId="25F34157"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69" w:history="1">
            <w:r w:rsidRPr="003C1D92">
              <w:rPr>
                <w:rStyle w:val="Hyperlink"/>
                <w:noProof/>
              </w:rPr>
              <w:t>Figures and graphs</w:t>
            </w:r>
            <w:r w:rsidRPr="003C1D92">
              <w:rPr>
                <w:noProof/>
                <w:webHidden/>
              </w:rPr>
              <w:tab/>
            </w:r>
            <w:r w:rsidRPr="003C1D92">
              <w:rPr>
                <w:noProof/>
                <w:webHidden/>
              </w:rPr>
              <w:fldChar w:fldCharType="begin"/>
            </w:r>
            <w:r w:rsidRPr="003C1D92">
              <w:rPr>
                <w:noProof/>
                <w:webHidden/>
              </w:rPr>
              <w:instrText xml:space="preserve"> PAGEREF _Toc229229969 \h </w:instrText>
            </w:r>
            <w:r w:rsidRPr="003C1D92">
              <w:rPr>
                <w:noProof/>
                <w:webHidden/>
              </w:rPr>
            </w:r>
            <w:r w:rsidRPr="003C1D92">
              <w:rPr>
                <w:noProof/>
                <w:webHidden/>
              </w:rPr>
              <w:fldChar w:fldCharType="separate"/>
            </w:r>
            <w:r w:rsidR="00B96437" w:rsidRPr="003C1D92">
              <w:rPr>
                <w:noProof/>
                <w:webHidden/>
              </w:rPr>
              <w:t>24</w:t>
            </w:r>
            <w:r w:rsidRPr="003C1D92">
              <w:rPr>
                <w:noProof/>
                <w:webHidden/>
              </w:rPr>
              <w:fldChar w:fldCharType="end"/>
            </w:r>
          </w:hyperlink>
        </w:p>
        <w:p w14:paraId="11C247CE" w14:textId="29B74F2E" w:rsidR="008D6F9C" w:rsidRPr="003C1D92" w:rsidRDefault="008D6F9C">
          <w:pPr>
            <w:pStyle w:val="TOC1"/>
            <w:tabs>
              <w:tab w:val="right" w:leader="dot" w:pos="9016"/>
            </w:tabs>
            <w:rPr>
              <w:rFonts w:asciiTheme="minorHAnsi" w:eastAsiaTheme="minorEastAsia" w:hAnsiTheme="minorHAnsi" w:cstheme="minorBidi"/>
              <w:b w:val="0"/>
              <w:bCs w:val="0"/>
              <w:caps w:val="0"/>
              <w:noProof/>
              <w:kern w:val="2"/>
              <w:lang w:eastAsia="en-GB"/>
              <w14:ligatures w14:val="standardContextual"/>
            </w:rPr>
          </w:pPr>
          <w:hyperlink w:anchor="_Toc229229970" w:history="1">
            <w:r w:rsidRPr="003C1D92">
              <w:rPr>
                <w:rStyle w:val="Hyperlink"/>
                <w:noProof/>
                <w:lang w:val="en-US"/>
              </w:rPr>
              <w:t>SUPPLEMENTARY RESULTS AND DISCUSSION</w:t>
            </w:r>
            <w:r w:rsidRPr="003C1D92">
              <w:rPr>
                <w:noProof/>
                <w:webHidden/>
              </w:rPr>
              <w:tab/>
            </w:r>
            <w:r w:rsidRPr="003C1D92">
              <w:rPr>
                <w:noProof/>
                <w:webHidden/>
              </w:rPr>
              <w:fldChar w:fldCharType="begin"/>
            </w:r>
            <w:r w:rsidRPr="003C1D92">
              <w:rPr>
                <w:noProof/>
                <w:webHidden/>
              </w:rPr>
              <w:instrText xml:space="preserve"> PAGEREF _Toc229229970 \h </w:instrText>
            </w:r>
            <w:r w:rsidRPr="003C1D92">
              <w:rPr>
                <w:noProof/>
                <w:webHidden/>
              </w:rPr>
            </w:r>
            <w:r w:rsidRPr="003C1D92">
              <w:rPr>
                <w:noProof/>
                <w:webHidden/>
              </w:rPr>
              <w:fldChar w:fldCharType="separate"/>
            </w:r>
            <w:r w:rsidR="00B96437" w:rsidRPr="003C1D92">
              <w:rPr>
                <w:noProof/>
                <w:webHidden/>
              </w:rPr>
              <w:t>25</w:t>
            </w:r>
            <w:r w:rsidRPr="003C1D92">
              <w:rPr>
                <w:noProof/>
                <w:webHidden/>
              </w:rPr>
              <w:fldChar w:fldCharType="end"/>
            </w:r>
          </w:hyperlink>
        </w:p>
        <w:p w14:paraId="65496614" w14:textId="62ABBD5B"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71" w:history="1">
            <w:r w:rsidRPr="003C1D92">
              <w:rPr>
                <w:rStyle w:val="Hyperlink"/>
                <w:noProof/>
              </w:rPr>
              <w:t>Details on the subgroups</w:t>
            </w:r>
            <w:r w:rsidRPr="003C1D92">
              <w:rPr>
                <w:noProof/>
                <w:webHidden/>
              </w:rPr>
              <w:tab/>
            </w:r>
            <w:r w:rsidRPr="003C1D92">
              <w:rPr>
                <w:noProof/>
                <w:webHidden/>
              </w:rPr>
              <w:fldChar w:fldCharType="begin"/>
            </w:r>
            <w:r w:rsidRPr="003C1D92">
              <w:rPr>
                <w:noProof/>
                <w:webHidden/>
              </w:rPr>
              <w:instrText xml:space="preserve"> PAGEREF _Toc229229971 \h </w:instrText>
            </w:r>
            <w:r w:rsidRPr="003C1D92">
              <w:rPr>
                <w:noProof/>
                <w:webHidden/>
              </w:rPr>
            </w:r>
            <w:r w:rsidRPr="003C1D92">
              <w:rPr>
                <w:noProof/>
                <w:webHidden/>
              </w:rPr>
              <w:fldChar w:fldCharType="separate"/>
            </w:r>
            <w:r w:rsidR="00B96437" w:rsidRPr="003C1D92">
              <w:rPr>
                <w:noProof/>
                <w:webHidden/>
              </w:rPr>
              <w:t>25</w:t>
            </w:r>
            <w:r w:rsidRPr="003C1D92">
              <w:rPr>
                <w:noProof/>
                <w:webHidden/>
              </w:rPr>
              <w:fldChar w:fldCharType="end"/>
            </w:r>
          </w:hyperlink>
        </w:p>
        <w:p w14:paraId="4BDDE89A" w14:textId="2862FC8E"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72" w:history="1">
            <w:r w:rsidRPr="003C1D92">
              <w:rPr>
                <w:rStyle w:val="Hyperlink"/>
                <w:noProof/>
              </w:rPr>
              <w:t>Identification of the micro-coactivation patterns (μCAPs) and the corresponding hippocampal subdivisions</w:t>
            </w:r>
            <w:r w:rsidRPr="003C1D92">
              <w:rPr>
                <w:noProof/>
                <w:webHidden/>
              </w:rPr>
              <w:tab/>
            </w:r>
            <w:r w:rsidRPr="003C1D92">
              <w:rPr>
                <w:noProof/>
                <w:webHidden/>
              </w:rPr>
              <w:fldChar w:fldCharType="begin"/>
            </w:r>
            <w:r w:rsidRPr="003C1D92">
              <w:rPr>
                <w:noProof/>
                <w:webHidden/>
              </w:rPr>
              <w:instrText xml:space="preserve"> PAGEREF _Toc229229972 \h </w:instrText>
            </w:r>
            <w:r w:rsidRPr="003C1D92">
              <w:rPr>
                <w:noProof/>
                <w:webHidden/>
              </w:rPr>
            </w:r>
            <w:r w:rsidRPr="003C1D92">
              <w:rPr>
                <w:noProof/>
                <w:webHidden/>
              </w:rPr>
              <w:fldChar w:fldCharType="separate"/>
            </w:r>
            <w:r w:rsidR="00B96437" w:rsidRPr="003C1D92">
              <w:rPr>
                <w:noProof/>
                <w:webHidden/>
              </w:rPr>
              <w:t>25</w:t>
            </w:r>
            <w:r w:rsidRPr="003C1D92">
              <w:rPr>
                <w:noProof/>
                <w:webHidden/>
              </w:rPr>
              <w:fldChar w:fldCharType="end"/>
            </w:r>
          </w:hyperlink>
        </w:p>
        <w:p w14:paraId="1B3145E6" w14:textId="54BA0571"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73" w:history="1">
            <w:r w:rsidRPr="003C1D92">
              <w:rPr>
                <w:rStyle w:val="Hyperlink"/>
                <w:noProof/>
              </w:rPr>
              <w:t>Potential confounders</w:t>
            </w:r>
            <w:r w:rsidRPr="003C1D92">
              <w:rPr>
                <w:noProof/>
                <w:webHidden/>
              </w:rPr>
              <w:tab/>
            </w:r>
            <w:r w:rsidRPr="003C1D92">
              <w:rPr>
                <w:noProof/>
                <w:webHidden/>
              </w:rPr>
              <w:fldChar w:fldCharType="begin"/>
            </w:r>
            <w:r w:rsidRPr="003C1D92">
              <w:rPr>
                <w:noProof/>
                <w:webHidden/>
              </w:rPr>
              <w:instrText xml:space="preserve"> PAGEREF _Toc229229973 \h </w:instrText>
            </w:r>
            <w:r w:rsidRPr="003C1D92">
              <w:rPr>
                <w:noProof/>
                <w:webHidden/>
              </w:rPr>
            </w:r>
            <w:r w:rsidRPr="003C1D92">
              <w:rPr>
                <w:noProof/>
                <w:webHidden/>
              </w:rPr>
              <w:fldChar w:fldCharType="separate"/>
            </w:r>
            <w:r w:rsidR="00B96437" w:rsidRPr="003C1D92">
              <w:rPr>
                <w:noProof/>
                <w:webHidden/>
              </w:rPr>
              <w:t>26</w:t>
            </w:r>
            <w:r w:rsidRPr="003C1D92">
              <w:rPr>
                <w:noProof/>
                <w:webHidden/>
              </w:rPr>
              <w:fldChar w:fldCharType="end"/>
            </w:r>
          </w:hyperlink>
        </w:p>
        <w:p w14:paraId="4C5335E3" w14:textId="79133E9D"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74" w:history="1">
            <w:r w:rsidRPr="003C1D92">
              <w:rPr>
                <w:rStyle w:val="Hyperlink"/>
                <w:noProof/>
                <w:lang w:eastAsia="en-GB"/>
              </w:rPr>
              <w:t>Baseline linear model (ridge regression) for group prediction</w:t>
            </w:r>
            <w:r w:rsidRPr="003C1D92">
              <w:rPr>
                <w:noProof/>
                <w:webHidden/>
              </w:rPr>
              <w:tab/>
            </w:r>
            <w:r w:rsidRPr="003C1D92">
              <w:rPr>
                <w:noProof/>
                <w:webHidden/>
              </w:rPr>
              <w:fldChar w:fldCharType="begin"/>
            </w:r>
            <w:r w:rsidRPr="003C1D92">
              <w:rPr>
                <w:noProof/>
                <w:webHidden/>
              </w:rPr>
              <w:instrText xml:space="preserve"> PAGEREF _Toc229229974 \h </w:instrText>
            </w:r>
            <w:r w:rsidRPr="003C1D92">
              <w:rPr>
                <w:noProof/>
                <w:webHidden/>
              </w:rPr>
            </w:r>
            <w:r w:rsidRPr="003C1D92">
              <w:rPr>
                <w:noProof/>
                <w:webHidden/>
              </w:rPr>
              <w:fldChar w:fldCharType="separate"/>
            </w:r>
            <w:r w:rsidR="00B96437" w:rsidRPr="003C1D92">
              <w:rPr>
                <w:noProof/>
                <w:webHidden/>
              </w:rPr>
              <w:t>28</w:t>
            </w:r>
            <w:r w:rsidRPr="003C1D92">
              <w:rPr>
                <w:noProof/>
                <w:webHidden/>
              </w:rPr>
              <w:fldChar w:fldCharType="end"/>
            </w:r>
          </w:hyperlink>
        </w:p>
        <w:p w14:paraId="2F471B2F" w14:textId="6C071ABB"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75" w:history="1">
            <w:r w:rsidRPr="003C1D92">
              <w:rPr>
                <w:rStyle w:val="Hyperlink"/>
                <w:noProof/>
              </w:rPr>
              <w:t>Negative control features confirm RF models validity</w:t>
            </w:r>
            <w:r w:rsidRPr="003C1D92">
              <w:rPr>
                <w:noProof/>
                <w:webHidden/>
              </w:rPr>
              <w:tab/>
            </w:r>
            <w:r w:rsidRPr="003C1D92">
              <w:rPr>
                <w:noProof/>
                <w:webHidden/>
              </w:rPr>
              <w:fldChar w:fldCharType="begin"/>
            </w:r>
            <w:r w:rsidRPr="003C1D92">
              <w:rPr>
                <w:noProof/>
                <w:webHidden/>
              </w:rPr>
              <w:instrText xml:space="preserve"> PAGEREF _Toc229229975 \h </w:instrText>
            </w:r>
            <w:r w:rsidRPr="003C1D92">
              <w:rPr>
                <w:noProof/>
                <w:webHidden/>
              </w:rPr>
            </w:r>
            <w:r w:rsidRPr="003C1D92">
              <w:rPr>
                <w:noProof/>
                <w:webHidden/>
              </w:rPr>
              <w:fldChar w:fldCharType="separate"/>
            </w:r>
            <w:r w:rsidR="00B96437" w:rsidRPr="003C1D92">
              <w:rPr>
                <w:noProof/>
                <w:webHidden/>
              </w:rPr>
              <w:t>28</w:t>
            </w:r>
            <w:r w:rsidRPr="003C1D92">
              <w:rPr>
                <w:noProof/>
                <w:webHidden/>
              </w:rPr>
              <w:fldChar w:fldCharType="end"/>
            </w:r>
          </w:hyperlink>
        </w:p>
        <w:p w14:paraId="55EAAC1F" w14:textId="02444F43"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76" w:history="1">
            <w:r w:rsidRPr="003C1D92">
              <w:rPr>
                <w:rStyle w:val="Hyperlink"/>
                <w:noProof/>
                <w:lang w:eastAsia="en-GB"/>
              </w:rPr>
              <w:t>RF prediction of cognitive emotion regulation strategies</w:t>
            </w:r>
            <w:r w:rsidRPr="003C1D92">
              <w:rPr>
                <w:noProof/>
                <w:webHidden/>
              </w:rPr>
              <w:tab/>
            </w:r>
            <w:r w:rsidRPr="003C1D92">
              <w:rPr>
                <w:noProof/>
                <w:webHidden/>
              </w:rPr>
              <w:fldChar w:fldCharType="begin"/>
            </w:r>
            <w:r w:rsidRPr="003C1D92">
              <w:rPr>
                <w:noProof/>
                <w:webHidden/>
              </w:rPr>
              <w:instrText xml:space="preserve"> PAGEREF _Toc229229976 \h </w:instrText>
            </w:r>
            <w:r w:rsidRPr="003C1D92">
              <w:rPr>
                <w:noProof/>
                <w:webHidden/>
              </w:rPr>
            </w:r>
            <w:r w:rsidRPr="003C1D92">
              <w:rPr>
                <w:noProof/>
                <w:webHidden/>
              </w:rPr>
              <w:fldChar w:fldCharType="separate"/>
            </w:r>
            <w:r w:rsidR="00B96437" w:rsidRPr="003C1D92">
              <w:rPr>
                <w:noProof/>
                <w:webHidden/>
              </w:rPr>
              <w:t>29</w:t>
            </w:r>
            <w:r w:rsidRPr="003C1D92">
              <w:rPr>
                <w:noProof/>
                <w:webHidden/>
              </w:rPr>
              <w:fldChar w:fldCharType="end"/>
            </w:r>
          </w:hyperlink>
        </w:p>
        <w:p w14:paraId="26D9F722" w14:textId="7BB95958"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77" w:history="1">
            <w:r w:rsidRPr="003C1D92">
              <w:rPr>
                <w:rStyle w:val="Hyperlink"/>
                <w:noProof/>
                <w:lang w:eastAsia="en-GB"/>
              </w:rPr>
              <w:t>Group differences in the within-block PCA</w:t>
            </w:r>
            <w:r w:rsidRPr="003C1D92">
              <w:rPr>
                <w:noProof/>
                <w:webHidden/>
              </w:rPr>
              <w:tab/>
            </w:r>
            <w:r w:rsidRPr="003C1D92">
              <w:rPr>
                <w:noProof/>
                <w:webHidden/>
              </w:rPr>
              <w:fldChar w:fldCharType="begin"/>
            </w:r>
            <w:r w:rsidRPr="003C1D92">
              <w:rPr>
                <w:noProof/>
                <w:webHidden/>
              </w:rPr>
              <w:instrText xml:space="preserve"> PAGEREF _Toc229229977 \h </w:instrText>
            </w:r>
            <w:r w:rsidRPr="003C1D92">
              <w:rPr>
                <w:noProof/>
                <w:webHidden/>
              </w:rPr>
            </w:r>
            <w:r w:rsidRPr="003C1D92">
              <w:rPr>
                <w:noProof/>
                <w:webHidden/>
              </w:rPr>
              <w:fldChar w:fldCharType="separate"/>
            </w:r>
            <w:r w:rsidR="00B96437" w:rsidRPr="003C1D92">
              <w:rPr>
                <w:noProof/>
                <w:webHidden/>
              </w:rPr>
              <w:t>29</w:t>
            </w:r>
            <w:r w:rsidRPr="003C1D92">
              <w:rPr>
                <w:noProof/>
                <w:webHidden/>
              </w:rPr>
              <w:fldChar w:fldCharType="end"/>
            </w:r>
          </w:hyperlink>
        </w:p>
        <w:p w14:paraId="12EA8CF9" w14:textId="37B0C937"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78" w:history="1">
            <w:r w:rsidRPr="003C1D92">
              <w:rPr>
                <w:rStyle w:val="Hyperlink"/>
                <w:noProof/>
                <w:lang w:eastAsia="en-GB"/>
              </w:rPr>
              <w:t xml:space="preserve">Multimodal diagnostic </w:t>
            </w:r>
            <w:r w:rsidR="009D531A" w:rsidRPr="003C1D92">
              <w:rPr>
                <w:rStyle w:val="Hyperlink"/>
                <w:noProof/>
                <w:lang w:eastAsia="en-GB"/>
              </w:rPr>
              <w:t>subgroup</w:t>
            </w:r>
            <w:r w:rsidRPr="003C1D92">
              <w:rPr>
                <w:rStyle w:val="Hyperlink"/>
                <w:noProof/>
                <w:lang w:eastAsia="en-GB"/>
              </w:rPr>
              <w:t xml:space="preserve"> differences</w:t>
            </w:r>
            <w:r w:rsidRPr="003C1D92">
              <w:rPr>
                <w:noProof/>
                <w:webHidden/>
              </w:rPr>
              <w:tab/>
            </w:r>
            <w:r w:rsidRPr="003C1D92">
              <w:rPr>
                <w:noProof/>
                <w:webHidden/>
              </w:rPr>
              <w:fldChar w:fldCharType="begin"/>
            </w:r>
            <w:r w:rsidRPr="003C1D92">
              <w:rPr>
                <w:noProof/>
                <w:webHidden/>
              </w:rPr>
              <w:instrText xml:space="preserve"> PAGEREF _Toc229229978 \h </w:instrText>
            </w:r>
            <w:r w:rsidRPr="003C1D92">
              <w:rPr>
                <w:noProof/>
                <w:webHidden/>
              </w:rPr>
            </w:r>
            <w:r w:rsidRPr="003C1D92">
              <w:rPr>
                <w:noProof/>
                <w:webHidden/>
              </w:rPr>
              <w:fldChar w:fldCharType="separate"/>
            </w:r>
            <w:r w:rsidR="00B96437" w:rsidRPr="003C1D92">
              <w:rPr>
                <w:noProof/>
                <w:webHidden/>
              </w:rPr>
              <w:t>30</w:t>
            </w:r>
            <w:r w:rsidRPr="003C1D92">
              <w:rPr>
                <w:noProof/>
                <w:webHidden/>
              </w:rPr>
              <w:fldChar w:fldCharType="end"/>
            </w:r>
          </w:hyperlink>
        </w:p>
        <w:p w14:paraId="4B2EFA15" w14:textId="499A88A4"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79" w:history="1">
            <w:r w:rsidRPr="003C1D92">
              <w:rPr>
                <w:rStyle w:val="Hyperlink"/>
                <w:noProof/>
                <w:lang w:eastAsia="en-GB"/>
              </w:rPr>
              <w:t>Correlations among the retained components of multimodal PCA</w:t>
            </w:r>
            <w:r w:rsidRPr="003C1D92">
              <w:rPr>
                <w:noProof/>
                <w:webHidden/>
              </w:rPr>
              <w:tab/>
            </w:r>
            <w:r w:rsidRPr="003C1D92">
              <w:rPr>
                <w:noProof/>
                <w:webHidden/>
              </w:rPr>
              <w:fldChar w:fldCharType="begin"/>
            </w:r>
            <w:r w:rsidRPr="003C1D92">
              <w:rPr>
                <w:noProof/>
                <w:webHidden/>
              </w:rPr>
              <w:instrText xml:space="preserve"> PAGEREF _Toc229229979 \h </w:instrText>
            </w:r>
            <w:r w:rsidRPr="003C1D92">
              <w:rPr>
                <w:noProof/>
                <w:webHidden/>
              </w:rPr>
            </w:r>
            <w:r w:rsidRPr="003C1D92">
              <w:rPr>
                <w:noProof/>
                <w:webHidden/>
              </w:rPr>
              <w:fldChar w:fldCharType="separate"/>
            </w:r>
            <w:r w:rsidR="00B96437" w:rsidRPr="003C1D92">
              <w:rPr>
                <w:noProof/>
                <w:webHidden/>
              </w:rPr>
              <w:t>31</w:t>
            </w:r>
            <w:r w:rsidRPr="003C1D92">
              <w:rPr>
                <w:noProof/>
                <w:webHidden/>
              </w:rPr>
              <w:fldChar w:fldCharType="end"/>
            </w:r>
          </w:hyperlink>
        </w:p>
        <w:p w14:paraId="643CD85C" w14:textId="5E302096"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80" w:history="1">
            <w:r w:rsidRPr="003C1D92">
              <w:rPr>
                <w:rStyle w:val="Hyperlink"/>
                <w:noProof/>
                <w:lang w:eastAsia="en-GB"/>
              </w:rPr>
              <w:t>Further details on retained components of within-block PCAs</w:t>
            </w:r>
            <w:r w:rsidRPr="003C1D92">
              <w:rPr>
                <w:noProof/>
                <w:webHidden/>
              </w:rPr>
              <w:tab/>
            </w:r>
            <w:r w:rsidRPr="003C1D92">
              <w:rPr>
                <w:noProof/>
                <w:webHidden/>
              </w:rPr>
              <w:fldChar w:fldCharType="begin"/>
            </w:r>
            <w:r w:rsidRPr="003C1D92">
              <w:rPr>
                <w:noProof/>
                <w:webHidden/>
              </w:rPr>
              <w:instrText xml:space="preserve"> PAGEREF _Toc229229980 \h </w:instrText>
            </w:r>
            <w:r w:rsidRPr="003C1D92">
              <w:rPr>
                <w:noProof/>
                <w:webHidden/>
              </w:rPr>
            </w:r>
            <w:r w:rsidRPr="003C1D92">
              <w:rPr>
                <w:noProof/>
                <w:webHidden/>
              </w:rPr>
              <w:fldChar w:fldCharType="separate"/>
            </w:r>
            <w:r w:rsidR="00B96437" w:rsidRPr="003C1D92">
              <w:rPr>
                <w:noProof/>
                <w:webHidden/>
              </w:rPr>
              <w:t>31</w:t>
            </w:r>
            <w:r w:rsidRPr="003C1D92">
              <w:rPr>
                <w:noProof/>
                <w:webHidden/>
              </w:rPr>
              <w:fldChar w:fldCharType="end"/>
            </w:r>
          </w:hyperlink>
        </w:p>
        <w:p w14:paraId="0D452E5F" w14:textId="11D5C6C9" w:rsidR="008D6F9C" w:rsidRPr="003C1D92" w:rsidRDefault="008D6F9C">
          <w:pPr>
            <w:pStyle w:val="TOC2"/>
            <w:tabs>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9229981" w:history="1">
            <w:r w:rsidRPr="003C1D92">
              <w:rPr>
                <w:rStyle w:val="Hyperlink"/>
                <w:noProof/>
                <w:lang w:eastAsia="en-GB"/>
              </w:rPr>
              <w:t>Further details on retained components of the multimodal PCA</w:t>
            </w:r>
            <w:r w:rsidRPr="003C1D92">
              <w:rPr>
                <w:noProof/>
                <w:webHidden/>
              </w:rPr>
              <w:tab/>
            </w:r>
            <w:r w:rsidRPr="003C1D92">
              <w:rPr>
                <w:noProof/>
                <w:webHidden/>
              </w:rPr>
              <w:fldChar w:fldCharType="begin"/>
            </w:r>
            <w:r w:rsidRPr="003C1D92">
              <w:rPr>
                <w:noProof/>
                <w:webHidden/>
              </w:rPr>
              <w:instrText xml:space="preserve"> PAGEREF _Toc229229981 \h </w:instrText>
            </w:r>
            <w:r w:rsidRPr="003C1D92">
              <w:rPr>
                <w:noProof/>
                <w:webHidden/>
              </w:rPr>
            </w:r>
            <w:r w:rsidRPr="003C1D92">
              <w:rPr>
                <w:noProof/>
                <w:webHidden/>
              </w:rPr>
              <w:fldChar w:fldCharType="separate"/>
            </w:r>
            <w:r w:rsidR="00B96437" w:rsidRPr="003C1D92">
              <w:rPr>
                <w:noProof/>
                <w:webHidden/>
              </w:rPr>
              <w:t>34</w:t>
            </w:r>
            <w:r w:rsidRPr="003C1D92">
              <w:rPr>
                <w:noProof/>
                <w:webHidden/>
              </w:rPr>
              <w:fldChar w:fldCharType="end"/>
            </w:r>
          </w:hyperlink>
        </w:p>
        <w:p w14:paraId="3210AA09" w14:textId="641CCB95" w:rsidR="008D6F9C" w:rsidRPr="003C1D92" w:rsidRDefault="008D6F9C">
          <w:pPr>
            <w:pStyle w:val="TOC1"/>
            <w:tabs>
              <w:tab w:val="right" w:leader="dot" w:pos="9016"/>
            </w:tabs>
            <w:rPr>
              <w:rFonts w:asciiTheme="minorHAnsi" w:eastAsiaTheme="minorEastAsia" w:hAnsiTheme="minorHAnsi" w:cstheme="minorBidi"/>
              <w:b w:val="0"/>
              <w:bCs w:val="0"/>
              <w:caps w:val="0"/>
              <w:noProof/>
              <w:kern w:val="2"/>
              <w:lang w:eastAsia="en-GB"/>
              <w14:ligatures w14:val="standardContextual"/>
            </w:rPr>
          </w:pPr>
          <w:hyperlink w:anchor="_Toc229229982" w:history="1">
            <w:r w:rsidRPr="003C1D92">
              <w:rPr>
                <w:rStyle w:val="Hyperlink"/>
                <w:noProof/>
              </w:rPr>
              <w:t>SUPPLEMENTARY TABLES AND SUPPLEMENTARY TABLES LEGENDS</w:t>
            </w:r>
            <w:r w:rsidRPr="003C1D92">
              <w:rPr>
                <w:noProof/>
                <w:webHidden/>
              </w:rPr>
              <w:tab/>
            </w:r>
            <w:r w:rsidRPr="003C1D92">
              <w:rPr>
                <w:noProof/>
                <w:webHidden/>
              </w:rPr>
              <w:fldChar w:fldCharType="begin"/>
            </w:r>
            <w:r w:rsidRPr="003C1D92">
              <w:rPr>
                <w:noProof/>
                <w:webHidden/>
              </w:rPr>
              <w:instrText xml:space="preserve"> PAGEREF _Toc229229982 \h </w:instrText>
            </w:r>
            <w:r w:rsidRPr="003C1D92">
              <w:rPr>
                <w:noProof/>
                <w:webHidden/>
              </w:rPr>
            </w:r>
            <w:r w:rsidRPr="003C1D92">
              <w:rPr>
                <w:noProof/>
                <w:webHidden/>
              </w:rPr>
              <w:fldChar w:fldCharType="separate"/>
            </w:r>
            <w:r w:rsidR="00B96437" w:rsidRPr="003C1D92">
              <w:rPr>
                <w:noProof/>
                <w:webHidden/>
              </w:rPr>
              <w:t>37</w:t>
            </w:r>
            <w:r w:rsidRPr="003C1D92">
              <w:rPr>
                <w:noProof/>
                <w:webHidden/>
              </w:rPr>
              <w:fldChar w:fldCharType="end"/>
            </w:r>
          </w:hyperlink>
        </w:p>
        <w:p w14:paraId="4457E599" w14:textId="021EAC64" w:rsidR="008D6F9C" w:rsidRPr="003C1D92" w:rsidRDefault="008D6F9C">
          <w:pPr>
            <w:pStyle w:val="TOC1"/>
            <w:tabs>
              <w:tab w:val="right" w:leader="dot" w:pos="9016"/>
            </w:tabs>
            <w:rPr>
              <w:rFonts w:asciiTheme="minorHAnsi" w:eastAsiaTheme="minorEastAsia" w:hAnsiTheme="minorHAnsi" w:cstheme="minorBidi"/>
              <w:b w:val="0"/>
              <w:bCs w:val="0"/>
              <w:caps w:val="0"/>
              <w:noProof/>
              <w:kern w:val="2"/>
              <w:lang w:eastAsia="en-GB"/>
              <w14:ligatures w14:val="standardContextual"/>
            </w:rPr>
          </w:pPr>
          <w:hyperlink w:anchor="_Toc229229983" w:history="1">
            <w:r w:rsidRPr="003C1D92">
              <w:rPr>
                <w:rStyle w:val="Hyperlink"/>
                <w:noProof/>
              </w:rPr>
              <w:t>SUPPLEMENTARY FIGURES AND SUPPLEMENTARY FIGURES LEGENDS</w:t>
            </w:r>
            <w:r w:rsidRPr="003C1D92">
              <w:rPr>
                <w:noProof/>
                <w:webHidden/>
              </w:rPr>
              <w:tab/>
            </w:r>
            <w:r w:rsidRPr="003C1D92">
              <w:rPr>
                <w:noProof/>
                <w:webHidden/>
              </w:rPr>
              <w:fldChar w:fldCharType="begin"/>
            </w:r>
            <w:r w:rsidRPr="003C1D92">
              <w:rPr>
                <w:noProof/>
                <w:webHidden/>
              </w:rPr>
              <w:instrText xml:space="preserve"> PAGEREF _Toc229229983 \h </w:instrText>
            </w:r>
            <w:r w:rsidRPr="003C1D92">
              <w:rPr>
                <w:noProof/>
                <w:webHidden/>
              </w:rPr>
            </w:r>
            <w:r w:rsidRPr="003C1D92">
              <w:rPr>
                <w:noProof/>
                <w:webHidden/>
              </w:rPr>
              <w:fldChar w:fldCharType="separate"/>
            </w:r>
            <w:r w:rsidR="00B96437" w:rsidRPr="003C1D92">
              <w:rPr>
                <w:noProof/>
                <w:webHidden/>
              </w:rPr>
              <w:t>42</w:t>
            </w:r>
            <w:r w:rsidRPr="003C1D92">
              <w:rPr>
                <w:noProof/>
                <w:webHidden/>
              </w:rPr>
              <w:fldChar w:fldCharType="end"/>
            </w:r>
          </w:hyperlink>
        </w:p>
        <w:p w14:paraId="7B0FFF9C" w14:textId="30992E4A" w:rsidR="008D6F9C" w:rsidRPr="003C1D92" w:rsidRDefault="008D6F9C">
          <w:pPr>
            <w:pStyle w:val="TOC1"/>
            <w:tabs>
              <w:tab w:val="right" w:leader="dot" w:pos="9016"/>
            </w:tabs>
            <w:rPr>
              <w:rFonts w:asciiTheme="minorHAnsi" w:eastAsiaTheme="minorEastAsia" w:hAnsiTheme="minorHAnsi" w:cstheme="minorBidi"/>
              <w:b w:val="0"/>
              <w:bCs w:val="0"/>
              <w:caps w:val="0"/>
              <w:noProof/>
              <w:kern w:val="2"/>
              <w:lang w:eastAsia="en-GB"/>
              <w14:ligatures w14:val="standardContextual"/>
            </w:rPr>
          </w:pPr>
          <w:hyperlink w:anchor="_Toc229229984" w:history="1">
            <w:r w:rsidRPr="003C1D92">
              <w:rPr>
                <w:rStyle w:val="Hyperlink"/>
                <w:noProof/>
                <w:lang w:val="en-US"/>
              </w:rPr>
              <w:t>SUPPLEMENTARY REFERENCES</w:t>
            </w:r>
            <w:r w:rsidRPr="003C1D92">
              <w:rPr>
                <w:noProof/>
                <w:webHidden/>
              </w:rPr>
              <w:tab/>
            </w:r>
            <w:r w:rsidRPr="003C1D92">
              <w:rPr>
                <w:noProof/>
                <w:webHidden/>
              </w:rPr>
              <w:fldChar w:fldCharType="begin"/>
            </w:r>
            <w:r w:rsidRPr="003C1D92">
              <w:rPr>
                <w:noProof/>
                <w:webHidden/>
              </w:rPr>
              <w:instrText xml:space="preserve"> PAGEREF _Toc229229984 \h </w:instrText>
            </w:r>
            <w:r w:rsidRPr="003C1D92">
              <w:rPr>
                <w:noProof/>
                <w:webHidden/>
              </w:rPr>
            </w:r>
            <w:r w:rsidRPr="003C1D92">
              <w:rPr>
                <w:noProof/>
                <w:webHidden/>
              </w:rPr>
              <w:fldChar w:fldCharType="separate"/>
            </w:r>
            <w:r w:rsidR="00B96437" w:rsidRPr="003C1D92">
              <w:rPr>
                <w:noProof/>
                <w:webHidden/>
              </w:rPr>
              <w:t>77</w:t>
            </w:r>
            <w:r w:rsidRPr="003C1D92">
              <w:rPr>
                <w:noProof/>
                <w:webHidden/>
              </w:rPr>
              <w:fldChar w:fldCharType="end"/>
            </w:r>
          </w:hyperlink>
        </w:p>
        <w:p w14:paraId="4EBD49A6" w14:textId="2FCE0C7E" w:rsidR="00901F74" w:rsidRPr="003C1D92" w:rsidRDefault="00901F74" w:rsidP="00EF0772">
          <w:r w:rsidRPr="003C1D92">
            <w:rPr>
              <w:b/>
              <w:bCs/>
              <w:noProof/>
            </w:rPr>
            <w:fldChar w:fldCharType="end"/>
          </w:r>
        </w:p>
      </w:sdtContent>
    </w:sdt>
    <w:p w14:paraId="5BB4A49D" w14:textId="5F970B78" w:rsidR="00E04400" w:rsidRPr="003C1D92" w:rsidRDefault="003D360F" w:rsidP="00EF0772">
      <w:pPr>
        <w:pStyle w:val="NormalWeb"/>
        <w:tabs>
          <w:tab w:val="left" w:pos="3523"/>
        </w:tabs>
      </w:pPr>
      <w:r w:rsidRPr="003C1D92">
        <w:tab/>
      </w:r>
    </w:p>
    <w:p w14:paraId="322C110E" w14:textId="77777777" w:rsidR="00FF6A90" w:rsidRPr="003C1D92" w:rsidRDefault="00E04400" w:rsidP="00EF0772">
      <w:pPr>
        <w:pStyle w:val="NormalWeb"/>
        <w:tabs>
          <w:tab w:val="left" w:pos="3523"/>
        </w:tabs>
        <w:rPr>
          <w:b/>
          <w:bCs/>
        </w:rPr>
      </w:pPr>
      <w:r w:rsidRPr="003C1D92">
        <w:br w:type="column"/>
      </w:r>
    </w:p>
    <w:p w14:paraId="4F460D9D" w14:textId="575C3A17" w:rsidR="008D501E" w:rsidRPr="003C1D92" w:rsidRDefault="008D501E" w:rsidP="00EF0772">
      <w:pPr>
        <w:pStyle w:val="Heading1"/>
        <w:spacing w:line="480" w:lineRule="auto"/>
      </w:pPr>
      <w:bookmarkStart w:id="0" w:name="_Toc229229952"/>
      <w:r w:rsidRPr="003C1D92">
        <w:t>SUPPLEMENTARY BACKGROUND</w:t>
      </w:r>
      <w:bookmarkEnd w:id="0"/>
    </w:p>
    <w:p w14:paraId="4FFC3067" w14:textId="77777777" w:rsidR="008D501E" w:rsidRPr="003C1D92" w:rsidRDefault="008D501E" w:rsidP="00EF0772">
      <w:pPr>
        <w:pStyle w:val="SezioneBD"/>
        <w:numPr>
          <w:ilvl w:val="0"/>
          <w:numId w:val="0"/>
        </w:numPr>
        <w:ind w:left="714" w:hanging="357"/>
        <w:rPr>
          <w:sz w:val="24"/>
          <w:szCs w:val="24"/>
        </w:rPr>
      </w:pPr>
    </w:p>
    <w:p w14:paraId="4E2E417C" w14:textId="77777777" w:rsidR="008D501E" w:rsidRPr="003C1D92" w:rsidRDefault="008D501E" w:rsidP="00EF0772">
      <w:pPr>
        <w:pStyle w:val="Heading2"/>
        <w:spacing w:line="480" w:lineRule="auto"/>
        <w:rPr>
          <w:b w:val="0"/>
        </w:rPr>
      </w:pPr>
      <w:bookmarkStart w:id="1" w:name="_Toc229229953"/>
      <w:bookmarkStart w:id="2" w:name="_Hlk215573801"/>
      <w:bookmarkStart w:id="3" w:name="_Hlk215243066"/>
      <w:r w:rsidRPr="003C1D92">
        <w:t>Shared features call for a transdiagnostic study of emotion dysregulation in BD, BPD, and ADHD</w:t>
      </w:r>
      <w:bookmarkEnd w:id="1"/>
      <w:r w:rsidRPr="003C1D92">
        <w:t> </w:t>
      </w:r>
    </w:p>
    <w:bookmarkEnd w:id="2"/>
    <w:p w14:paraId="594BDB70" w14:textId="29E53FC3" w:rsidR="008D501E" w:rsidRPr="003C1D92" w:rsidRDefault="0010113B" w:rsidP="00EF0772">
      <w:r w:rsidRPr="003C1D92">
        <w:rPr>
          <w:rFonts w:cs="Times New Roman"/>
          <w:lang w:val="en-US"/>
        </w:rPr>
        <w:t xml:space="preserve">Identifying transdiagnostic, multimodal markers of vulnerability to emotion dysregulation (ED) specifically in bipolar disorder (BD), borderline personality disorder (BPD), and attention-deficit/hyperactivity disorder (ADHD), </w:t>
      </w:r>
      <w:bookmarkStart w:id="4" w:name="_Hlk220339614"/>
      <w:r w:rsidRPr="003C1D92">
        <w:rPr>
          <w:rFonts w:cs="Times New Roman"/>
          <w:lang w:val="en-US"/>
        </w:rPr>
        <w:t xml:space="preserve">collectively referred to here as emotion dysregulation disorders (EDD), </w:t>
      </w:r>
      <w:bookmarkStart w:id="5" w:name="_Hlk220339610"/>
      <w:r w:rsidRPr="003C1D92">
        <w:rPr>
          <w:rFonts w:cs="Times New Roman"/>
          <w:lang w:val="en-US"/>
        </w:rPr>
        <w:t xml:space="preserve">holds significant clinical relevance for several </w:t>
      </w:r>
      <w:bookmarkEnd w:id="4"/>
      <w:bookmarkEnd w:id="5"/>
      <w:r w:rsidRPr="003C1D92">
        <w:rPr>
          <w:rFonts w:cs="Times New Roman"/>
          <w:lang w:val="en-US"/>
        </w:rPr>
        <w:t>reasons, as previously described</w:t>
      </w:r>
      <w:r w:rsidRPr="003C1D92">
        <w:rPr>
          <w:rFonts w:cs="Times New Roman"/>
          <w:lang w:val="en-US"/>
        </w:rPr>
        <w:fldChar w:fldCharType="begin"/>
      </w:r>
      <w:r w:rsidRPr="003C1D92">
        <w:rPr>
          <w:rFonts w:cs="Times New Roman"/>
          <w:lang w:val="en-US"/>
        </w:rPr>
        <w:instrText xml:space="preserve"> ADDIN ZOTERO_ITEM CSL_CITATION {"citationID":"0TP89IYL","properties":{"formattedCitation":"(1)","plainCitation":"(1)","noteIndex":0},"citationItems":[{"id":28752,"uris":["http://zotero.org/users/8364405/items/AEAV5VYB"],"itemData":{"id":28752,"type":"article-journal","abstract":"Background\nEmotion dysregulation (ED) is a key transdiagnostic symptom in several psychiatric disorders such as borderline personality disorder (BPD), bipolar disorder (BD), and attention-deficit/hyperactivity disorder (ADHD). These disorders, here defined as ED disorders (EDD), share similarities in symptoms, comorbidity, and heritability, emphasizing the importance of a transdiagnostic approach to identify markers of vulnerability to EDD in high-risk populations, such as EDD patients’ offspring (EDDoff). The hippocampus, central to ED, exhibits alterations across EDD.\nMethods\nWe employed a state-of-the-art approach (micro-co-activation patterns, μCAPs) to study the transdiagnostic dynamic functional connectivity (dFC) of hippocampal subregions from resting-state functional MRI of 201 participants (74 EDD patients, 57 EDDoff, 70 controls). μCAPs provide a data-driven differentiation within the seed region.\nResults\nDFC between the sensorimotor network (SMN) and the hippocampal body was lower in EDD patients (pFDR=0.0002) and EDDoff (pFDR=0.01) compared to controls, with EDDoff displaying an intermediate pattern between EDD patients and controls. dFC between the limbic network (LN) and the hippocampal head was higher in EDD patients than in controls (pFDR=0.01) and in EDDoff (pFDR=0.01). A negative correlation was found between ED and SMN (pFDR=0.01), suggesting increasing ED with decreasing SMN dFC with the hippocampus.\nConclusions\nIncreased dFC between the hippocampal head and the LN, at the expense of the SMN, may represent a marker of disease in EDD patients. Lower dFC between the SMN and the hippocampal body may represent a marker of vulnerability to EDD in EDDoff, correlating with ED. Such a transdiagnostic construct represents a clinically relevant target for early interventions aimed at reducing vulnerability to EDD in high-risk populations.","container-title":"Biological Psychiatry: Cognitive Neuroscience and Neuroimaging","DOI":"10.1016/j.bpsc.2025.03.007","ISSN":"2451-9022","journalAbbreviation":"Biological Psychiatry: Cognitive Neuroscience and Neuroimaging","source":"ScienceDirect","title":"Limbic-Sensorimotor Tug of War for the Hippocampus: Dynamic Functional Connectivity as a Transdiagnostic Vulnerability Marker in Offspring of Emotion Dysregulation Patients","title-short":"Limbic-Sensorimotor Tug of War for the Hippocampus","URL":"https://www.sciencedirect.com/science/article/pii/S245190222500120X","author":[{"family":"Saccaro","given":"Luigi F."},{"family":"Delavari","given":"Farnaz"},{"family":"Meuleman","given":"Ben"},{"family":"Perroud","given":"Nader"},{"family":"Van De Ville","given":"Dimitri"},{"family":"Piguet","given":"Camille"}],"accessed":{"date-parts":[["2025",3,31]]},"issued":{"date-parts":[["2025",3,28]]}}}],"schema":"https://github.com/citation-style-language/schema/raw/master/csl-citation.json"} </w:instrText>
      </w:r>
      <w:r w:rsidRPr="003C1D92">
        <w:rPr>
          <w:rFonts w:cs="Times New Roman"/>
          <w:lang w:val="en-US"/>
        </w:rPr>
        <w:fldChar w:fldCharType="separate"/>
      </w:r>
      <w:r w:rsidRPr="003C1D92">
        <w:rPr>
          <w:rFonts w:cs="Times New Roman"/>
          <w:noProof/>
          <w:lang w:val="en-US"/>
        </w:rPr>
        <w:t>(1)</w:t>
      </w:r>
      <w:r w:rsidRPr="003C1D92">
        <w:rPr>
          <w:rFonts w:cs="Times New Roman"/>
          <w:lang w:val="en-US"/>
        </w:rPr>
        <w:fldChar w:fldCharType="end"/>
      </w:r>
      <w:r w:rsidRPr="003C1D92">
        <w:rPr>
          <w:rFonts w:cs="Times New Roman"/>
          <w:lang w:val="en-US"/>
        </w:rPr>
        <w:t>. Firstly, these disorders are notably prevalent and associated with considerable impairment in daily functioning and quality of life</w:t>
      </w:r>
      <w:r w:rsidRPr="003C1D92">
        <w:rPr>
          <w:rFonts w:cs="Times New Roman"/>
          <w:lang w:val="en-US"/>
        </w:rPr>
        <w:fldChar w:fldCharType="begin"/>
      </w:r>
      <w:r w:rsidRPr="003C1D92">
        <w:rPr>
          <w:rFonts w:cs="Times New Roman"/>
          <w:lang w:val="en-US"/>
        </w:rPr>
        <w:instrText xml:space="preserve"> ADDIN ZOTERO_ITEM CSL_CITATION {"citationID":"kuDG6vj8","properties":{"formattedCitation":"(2,3)","plainCitation":"(2,3)","noteIndex":0},"citationItems":[{"id":28426,"uris":["http://zotero.org/users/8364405/items/WACSXMP3"],"itemData":{"id":28426,"type":"article-journal","abstract":"Several studies of the prevalence of borderline personality disorder in community and clinical settings have been carried out to date. Although results vary according to sampling method and assessment method, median point prevalence is roughly 1%, with higher or lower rates in certain community subpopulations. In clinical settings, the prevalence is around 10% to 12% in outpatient psychiatric clinics and 20% to 22% among inpatient clinics. Further research is needed to identify the prevalence and correlates of borderline personality disorder in other clinical settings (eg, primary care) and to investigate the impact of demographic variables on borderline personality disorder prevalence.","container-title":"The Psychiatric Clinics of North America","DOI":"10.1016/j.psc.2018.07.008","ISSN":"1558-3147","issue":"4","journalAbbreviation":"Psychiatr Clin North Am","language":"eng","note":"PMID: 30447724","page":"561-573","source":"PubMed","title":"Community and Clinical Epidemiology of Borderline Personality Disorder","volume":"41","author":[{"family":"Ellison","given":"William D."},{"family":"Rosenstein","given":"Lia K."},{"family":"Morgan","given":"Theresa A."},{"family":"Zimmerman","given":"Mark"}],"issued":{"date-parts":[["2018",12]]}}},{"id":8611,"uris":["http://zotero.org/users/8364405/items/F4QTTHVJ"],"itemData":{"id":8611,"type":"article-journal","abstract":"http://www.healthdata.org/sites/default/files/files/research_articles/2021/GBD_Mental-Disorders_Research-Article.pdf","container-title":"The Lancet Psychiatry","DOI":"10.1016/S2215-0366(21)00395-3","ISSN":"2215-0366","issue":"21","note":"publisher: The Author(s). Published by Elsevier Ltd. This is an Open Access article under the CC BY 4.0 license","page":"1-43","title":"Global , regional , and national burden of 12 mental disorders in 204 countries and territories , 1990 – 2019 : a systematic analysis from the Global Burden of Disease Study 2019 Accepted for publication at The Lancet Psychiatry","volume":"0366","author":[{"family":"Collaborators","given":"G. B. D. 2019 Mental Disorders"}],"issued":{"date-parts":[["2019"]]}}}],"schema":"https://github.com/citation-style-language/schema/raw/master/csl-citation.json"} </w:instrText>
      </w:r>
      <w:r w:rsidRPr="003C1D92">
        <w:rPr>
          <w:rFonts w:cs="Times New Roman"/>
          <w:lang w:val="en-US"/>
        </w:rPr>
        <w:fldChar w:fldCharType="separate"/>
      </w:r>
      <w:r w:rsidRPr="003C1D92">
        <w:rPr>
          <w:rFonts w:cs="Times New Roman"/>
          <w:lang w:val="en-GB"/>
        </w:rPr>
        <w:t>(2,3)</w:t>
      </w:r>
      <w:r w:rsidRPr="003C1D92">
        <w:rPr>
          <w:rFonts w:cs="Times New Roman"/>
          <w:lang w:val="en-US"/>
        </w:rPr>
        <w:fldChar w:fldCharType="end"/>
      </w:r>
      <w:r w:rsidRPr="003C1D92">
        <w:rPr>
          <w:rFonts w:cs="Times New Roman"/>
          <w:lang w:val="en-US"/>
        </w:rPr>
        <w:t>. Secondly, EDD exhibit a meaningful degree of genetic heritability</w:t>
      </w:r>
      <w:r w:rsidRPr="003C1D92">
        <w:rPr>
          <w:rFonts w:cs="Times New Roman"/>
          <w:lang w:val="en-US"/>
        </w:rPr>
        <w:fldChar w:fldCharType="begin"/>
      </w:r>
      <w:r w:rsidRPr="003C1D92">
        <w:rPr>
          <w:rFonts w:cs="Times New Roman"/>
          <w:lang w:val="en-US"/>
        </w:rPr>
        <w:instrText xml:space="preserve"> ADDIN ZOTERO_ITEM CSL_CITATION {"citationID":"uGB086AL","properties":{"formattedCitation":"(4\\uc0\\u8211{}8)","plainCitation":"(4–8)","noteIndex":0},"citationItems":[{"id":7966,"uris":["http://zotero.org/users/8364405/items/4VQJLQK9"],"itemData":{"id":7966,"type":"article-journal","abstract":"Family and twin studies of Borderline Personality Disorder (BPD) have found familial aggregation and genetic propensity for BPD, but estimates vary widely. Large-scale family studies of clinically diagnosed BPD are lacking. Therefore, we performed a total-population study estimating the familial aggregation and heritability of clinically diagnosed BPD. We followed 1,851,755 individuals born 1973–1993 in linked Swedish national registries. BPD-diagnosis was ascertained between 1997 and 2013, 11,665 received a BPD-diagnosis. We identified relatives and estimated sex and birth year adjusted hazard ratios, i.e., the rate of BPD-diagnoses in relatives to individuals with BPD-diagnosis compared to individuals with unaffected relatives, and used structural equation modeling to estimate heritability. The familial association decreased along with genetic relatedness. The hazard ratio was 11.5 (95% confidence interval (CI) = 1.6–83.8) for monozygotic twins; 7.4 (95% CI = 1.0–55.3) for dizygotic twins; 4.7 (95% CI = 3.9–5.6) for full siblings; 2.1 (95% CI = 1.5–3.0) for maternal half-siblings; 1.3 (95% CI = 0.9–2.1) for paternal half-siblings; 1.7 (95% CI = 1.4–2.0) for cousins whose parents were full siblings; 1.1 (95% CI = 0.7–1.8) for cousins whose parents were maternal half-siblings; and 1.9 (95% CI = 1.2–2.9) for cousins whose parents were paternal half-siblings. Heritability was estimated at 46% (95% CI = 39–53), and the remaining variance was explained by individually unique environmental factors. Our findings pave the way for further research into specific genetic variants, unique environmental factors implicated, and their interplay in risk for BPD.","container-title":"Molecular Psychiatry","DOI":"10.1038/s41380-019-0442-0","ISSN":"14765578","issue":"3","note":"publisher: Springer US\nPMID: 31160693","page":"999-1008","title":"Familial risk and heritability of diagnosed borderline personality disorder: a register study of the Swedish population","volume":"26","author":[{"family":"Skoglund","given":"Charlotte"},{"family":"Tiger","given":"Annika"},{"family":"Rück","given":"Christian"},{"family":"Petrovic","given":"Predrag"},{"family":"Asherson","given":"Philip"},{"family":"Hellner","given":"Clara"},{"family":"Mataix-Cols","given":"David"},{"family":"Kuja-Halkola","given":"Ralf"}],"issued":{"date-parts":[["2021"]]}}},{"id":7952,"uris":["http://zotero.org/users/8364405/items/VZC88QUG"],"itemData":{"id":7952,"type":"article-journal","abstract":"Bipolar disorder is a highly heritable psychiatric disorder. We performed a genome-wide association study (GWAS) including 20,352 cases and 31,358 controls of European descent, with follow-up analysis of 822 variants with P &lt; 1 × 10 −4 in an additional 9,412 cases and 137,760 controls. Eight of the 19 variants that were genome-wide significant (P &lt; 5 × 10 −8 ) in the discovery GWAS were not genome-wide significant in the combined analysis, consistent with small effect sizes and limited power but also with genetic heterogeneity. In the combined analysis, 30 loci were genome-wide significant, including 20 newly identified loci. The significant loci contain genes encoding ion channels, neurotransmitter transporters and synaptic components. Pathway analysis revealed nine significantly enriched gene sets, including regulation of insulin secretion and endocannabinoid signaling. Bipolar I disorder is strongly genetically correlated with schizophrenia, driven by psychosis, whereas bipolar II disorder is more strongly correlated with major depressive disorder. These findings address key clinical questions and provide potential biological mechanisms for bipolar disorder.","container-title":"Nature Genetics","DOI":"10.1038/s41588-019-0397-8","ISSN":"15461718","issue":"5","note":"PMID: 31043756","page":"793-803","title":"Genome-wide association study identifies 30 loci associated with bipolar disorder","volume":"51","author":[{"family":"Stahl","given":"Eli A."},{"family":"Breen","given":"Gerome"},{"family":"Forstner","given":"Andreas J."},{"family":"McQuillin","given":"Andrew"},{"family":"Ripke","given":"Stephan"},{"family":"Trubetskoy","given":"Vassily"},{"family":"Mattheisen","given":"Manuel"},{"family":"Wang","given":"Yunpeng"},{"family":"Coleman","given":"Jonathan R. I."},{"family":"Gaspar","given":"Héléna A."},{"family":"Leeuw","given":"Christiaan A.","dropping-particle":"de"},{"family":"Steinberg","given":"Stacy"},{"family":"Pavlides","given":"Jennifer M. Whitehead"},{"family":"Trzaskowski","given":"Maciej"},{"family":"Byrne","given":"Enda M."},{"family":"Pers","given":"Tune H."},{"family":"Holmans","given":"Peter A."},{"family":"Richards","given":"Alexander L."},{"family":"Abbott","given":"Liam"},{"family":"Agerbo","given":"Esben"},{"family":"Akil","given":"Huda"},{"family":"Albani","given":"Diego"},{"family":"Alliey-Rodriguez","given":"Ney"},{"family":"Als","given":"Thomas D."},{"family":"Anjorin","given":"Adebayo"},{"family":"Antilla","given":"Verneri"},{"family":"Awasthi","given":"Swapnil"},{"family":"Badner","given":"Judith A."},{"family":"Bækvad-Hansen","given":"Marie"},{"family":"Barchas","given":"Jack D."},{"family":"Bass","given":"Nicholas"},{"family":"Bauer","given":"Michael"},{"family":"Belliveau","given":"Richard"},{"family":"Bergen","given":"Sarah E."},{"family":"Pedersen","given":"Carsten Bøcker"},{"family":"Bøen","given":"Erlend"},{"family":"Boks","given":"Marco P."},{"family":"Boocock","given":"James"},{"family":"Budde","given":"Monika"},{"family":"Bunney","given":"William"},{"family":"Burmeister","given":"Margit"},{"family":"Bybjerg-Grauholm","given":"Jonas"},{"family":"Byerley","given":"William"},{"family":"Casas","given":"Miquel"},{"family":"Cerrato","given":"Felecia"},{"family":"Cervantes","given":"Pablo"},{"family":"Chambert","given":"Kimberly"},{"family":"Charney","given":"Alexander W."},{"family":"Chen","given":"Danfeng"},{"family":"Churchhouse","given":"Claire"},{"family":"Clarke","given":"Toni Kim"},{"family":"Coryell","given":"William"},{"family":"Craig","given":"David W."},{"family":"Cruceanu","given":"Cristiana"},{"family":"Curtis","given":"David"},{"family":"Czerski","given":"Piotr M."},{"family":"Dale","given":"Anders M."},{"family":"Jong","given":"Simone","dropping-particle":"de"},{"family":"Degenhardt","given":"Franziska"},{"family":"Del-Favero","given":"Jurgen"},{"family":"DePaulo","given":"J. Raymond"},{"family":"Djurovic","given":"Srdjan"},{"family":"Dobbyn","given":"Amanda L."},{"family":"Dumont","given":"Ashley"},{"family":"Elvsåshagen","given":"Torbjørn"},{"family":"Escott-Price","given":"Valentina"},{"family":"Fan","given":"Chun Chieh"},{"family":"Fischer","given":"Sascha B."},{"family":"Flickinger","given":"Matthew"},{"family":"Foroud","given":"Tatiana M."},{"family":"Forty","given":"Liz"},{"family":"Frank","given":"Josef"},{"family":"Fraser","given":"Christine"},{"family":"Freimer","given":"Nelson B."},{"family":"Frisén","given":"Louise"},{"family":"Gade","given":"Katrin"},{"family":"Gage","given":"Diane"},{"family":"Garnham","given":"Julie"},{"family":"Giambartolomei","given":"Claudia"},{"family":"Pedersen","given":"Marianne Giørtz"},{"family":"Goldstein","given":"Jaqueline"},{"family":"Gordon","given":"Scott D."},{"family":"Gordon-Smith","given":"Katherine"},{"family":"Green","given":"Elaine K."},{"family":"Green","given":"Melissa J."},{"family":"Greenwood","given":"Tiffany A."},{"family":"Grove","given":"Jakob"},{"family":"Guan","given":"Weihua"},{"family":"Guzman-Parra","given":"José"},{"family":"Hamshere","given":"Marian L."},{"family":"Hautzinger","given":"Martin"},{"family":"Heilbronner","given":"Urs"},{"family":"Herms","given":"Stefan"},{"family":"Hipolito","given":"Maria"},{"family":"Hoffmann","given":"Per"},{"family":"Holland","given":"Dominic"},{"family":"Huckins","given":"Laura"},{"family":"Jamain","given":"Stéphane"},{"family":"Johnson","given":"Jessica S."},{"family":"Juréus","given":"Anders"},{"family":"Kandaswamy","given":"Radhika"},{"family":"Karlsson","given":"Robert"},{"family":"Kennedy","given":"James L."},{"family":"Kittel-Schneider","given":"Sarah"},{"family":"Knowles","given":"James A."},{"family":"Kogevinas","given":"Manolis"},{"family":"Koller","given":"Anna C."},{"family":"Kupka","given":"Ralph"},{"family":"Lavebratt","given":"Catharina"},{"family":"Lawrence","given":"Jacob"},{"family":"Lawson","given":"William B."},{"family":"Leber","given":"Markus"},{"family":"Lee","given":"Phil H."},{"family":"Levy","given":"Shawn E."},{"family":"Li","given":"Jun Z."},{"family":"Liu","given":"Chunyu"},{"family":"Lucae","given":"Susanne"},{"family":"Maaser","given":"Anna"},{"family":"MacIntyre","given":"Donald J."},{"family":"Mahon","given":"Pamela B."},{"family":"Maier","given":"Wolfgang"},{"family":"Martinsson","given":"Lina"},{"family":"McCarroll","given":"Steve"},{"family":"McGuffin","given":"Peter"},{"family":"McInnis","given":"Melvin G."},{"family":"McKay","given":"James D."},{"family":"Medeiros","given":"Helena"},{"family":"Medland","given":"Sarah E."},{"family":"Meng","given":"Fan"},{"family":"Milani","given":"Lili"},{"family":"Montgomery","given":"Grant W."},{"family":"Morris","given":"Derek W."},{"family":"Mühleisen","given":"Thomas W."},{"family":"Mullins","given":"Niamh"},{"family":"Nguyen","given":"Hoang"},{"family":"Nievergelt","given":"Caroline M."},{"family":"Adolfsson","given":"Annelie Nordin"},{"family":"Nwulia","given":"Evaristus A."},{"family":"O'Donovan","given":"Claire"},{"family":"Loohuis","given":"Loes M. Olde"},{"family":"Ori","given":"Anil P. S."},{"family":"Oruc","given":"Lilijana"},{"family":"Ösby","given":"Urban"},{"family":"Perlis","given":"Roy H."},{"family":"Perry","given":"Amy"},{"family":"Pfennig","given":"Andrea"},{"family":"Potash","given":"James B."},{"family":"Purcell","given":"Shaun M."},{"family":"Regeer","given":"Eline J."},{"family":"Reif","given":"Andreas"},{"family":"Reinbold","given":"Céline S."},{"family":"Rice","given":"John P."},{"family":"Rivas","given":"Fabio"},{"family":"Rivera","given":"Margarita"},{"family":"Roussos","given":"Panos"},{"family":"Ruderfer","given":"Douglas M."},{"family":"Ryu","given":"Euijung"},{"family":"Sánchez-Mora","given":"Cristina"},{"family":"Schatzberg","given":"Alan F."},{"family":"Scheftner","given":"William A."},{"family":"Schork","given":"Nicholas J."},{"family":"Weickert","given":"Cynthia Shannon"},{"family":"Shehktman","given":"Tatyana"},{"family":"Shilling","given":"Paul D."},{"family":"Sigurdsson","given":"Engilbert"},{"family":"Slaney","given":"Claire"},{"family":"Smeland","given":"Olav B."},{"family":"Sobell","given":"Janet L."},{"family":"Hansen","given":"Christine Søholm"},{"family":"Spijker","given":"Anne T."},{"family":"Clair","given":"David St"},{"family":"Steffens","given":"Michael"},{"family":"Strauss","given":"John S."},{"family":"Streit","given":"Fabian"},{"family":"Strohmaier","given":"Jana"},{"family":"Szelinger","given":"Szabolcs"},{"family":"Thompson","given":"Robert C."},{"family":"Thorgeirsson","given":"Thorgeir E."},{"family":"Treutlein","given":"Jens"},{"family":"Vedder","given":"Helmut"},{"family":"Wang","given":"Weiqing"},{"family":"Watson","given":"Stanley J."},{"family":"Weickert","given":"Thomas W."},{"family":"Witt","given":"Stephanie H."},{"family":"Xi","given":"Simon"},{"family":"Xu","given":"Wei"},{"family":"Young","given":"Allan H."},{"family":"Zandi","given":"Peter"},{"family":"Zhang","given":"Peng"},{"family":"Zöllner","given":"Sebastian"},{"family":"Adolfsson","given":"Rolf"},{"family":"Agartz","given":"Ingrid"},{"family":"Alda","given":"Martin"},{"family":"Backlund","given":"Lena"},{"family":"Baune","given":"Bernhard T."},{"family":"Bellivier","given":"Frank"},{"family":"Berrettini","given":"Wade H."},{"family":"Biernacka","given":"Joanna M."},{"family":"Blackwood","given":"Douglas H. R."},{"family":"Boehnke","given":"Michael"},{"family":"Børglum","given":"Anders D."},{"family":"Corvin","given":"Aiden"},{"family":"Craddock","given":"Nicholas"},{"family":"Daly","given":"Mark J."},{"family":"Dannlowski","given":"Udo"},{"family":"Esko","given":"T</w:instrText>
      </w:r>
      <w:r w:rsidRPr="003C1D92">
        <w:rPr>
          <w:rFonts w:ascii="Cambria Math" w:hAnsi="Cambria Math" w:cs="Cambria Math"/>
          <w:lang w:val="en-US"/>
        </w:rPr>
        <w:instrText>∼</w:instrText>
      </w:r>
      <w:r w:rsidRPr="003C1D92">
        <w:rPr>
          <w:rFonts w:cs="Times New Roman"/>
          <w:lang w:val="en-US"/>
        </w:rPr>
        <w:instrText xml:space="preserve">{o}nu"},{"family":"Etain","given":"Bruno"},{"family":"Frye","given":"Mark"},{"family":"Fullerton","given":"Janice M."},{"family":"Gershon","given":"Elliot S."},{"family":"Gill","given":"Michael"},{"family":"Goes","given":"Fernando"},{"family":"Grigoroiu-Serbanescu","given":"Maria"},{"family":"Hauser","given":"Joanna"},{"family":"Hougaard","given":"David M."},{"family":"Hultman","given":"Christina M."},{"family":"Jones","given":"Ian"},{"family":"Jones","given":"Lisa A."},{"family":"Kahn","given":"René S."},{"family":"Kirov","given":"George"},{"family":"Landén","given":"Mikael"},{"family":"Leboyer","given":"Marion"},{"family":"Lewis","given":"Cathryn M."},{"family":"Li","given":"Qingqin S."},{"family":"Lissowska","given":"Jolanta"},{"family":"Martin","given":"Nicholas G."},{"family":"Mayoral","given":"Fermin"},{"family":"McElroy","given":"Susan L."},{"family":"McIntosh","given":"Andrew M."},{"family":"McMahon","given":"Francis J."},{"family":"Melle","given":"Ingrid"},{"family":"Metspalu","given":"Andres"},{"family":"Mitchell","given":"Philip B."},{"family":"Morken","given":"Gunnar"},{"family":"Mors","given":"Ole"},{"family":"Mortensen","given":"Preben Bo"},{"family":"Müller-Myhsok","given":"Bertram"},{"family":"Myers","given":"Richard M."},{"family":"Neale","given":"Benjamin M."},{"family":"Nimgaonkar","given":"Vishwajit"},{"family":"Nordentoft","given":"Merete"},{"family":"Nöthen","given":"Markus M."},{"family":"O'Donovan","given":"Michael C."},{"family":"Oedegaard","given":"Ketil J."},{"family":"Owen","given":"Michael J."},{"family":"Paciga","given":"Sara A."},{"family":"Pato","given":"Carlos"},{"family":"Pato","given":"Michele T."},{"family":"Posthuma","given":"Danielle"},{"family":"Ramos-Quiroga","given":"Josep Antoni"},{"family":"Ribasés","given":"Marta"},{"family":"Rietschel","given":"Marcella"},{"family":"Rouleau","given":"Guy A."},{"family":"Schalling","given":"Martin"},{"family":"Schofield","given":"Peter R."},{"family":"Schulze","given":"Thomas G."},{"family":"Serretti","given":"Alessandro"},{"family":"Smoller","given":"Jordan W."},{"family":"Stefansson","given":"Hreinn"},{"family":"Stefansson","given":"Kari"},{"family":"Stordal","given":"Eystein"},{"family":"Sullivan","given":"Patrick F."},{"family":"Turecki","given":"Gustavo"},{"family":"Vaaler","given":"Arne E."},{"family":"Vieta","given":"Eduard"},{"family":"Vincent","given":"John B."},{"family":"Werge","given":"Thomas"},{"family":"Nurnberger","given":"John I."},{"family":"Wray","given":"Naomi R."},{"family":"Florio","given":"Arianna Di"},{"family":"Edenberg","given":"Howard J."},{"family":"Cichon","given":"Sven"},{"family":"Ophoff","given":"Roel A."},{"family":"Scott","given":"Laura J."},{"family":"Andreassen","given":"Ole A."},{"family":"Kelsoe","given":"John"},{"family":"Sklar","given":"Pamela"}],"issued":{"date-parts":[["2019"]]}}},{"id":7964,"uris":["http://zotero.org/users/8364405/items/YNQJPVQF"],"itemData":{"id":7964,"type":"article-journal","abstract":"file:///C:/Users/Marika/Desktop/università di pavia/articoli/strategie per l'infertilità/nihms964087.pdf","container-title":"Physiology &amp; behavior","DOI":"10.1038/mp.2013.109.Genome-wide","issue":"1","note":"ISBN: 2163684814","page":"139-148","title":"Genome-wide analyses of borderline personality features","volume":"176","author":[{"family":"Lener","given":"Marc S."}],"issued":{"date-parts":[["2016"]]}}},{"id":7961,"uris":["http://zotero.org/users/8364405/items/2RGSQIMR"],"itemData":{"id":7961,"type":"article-journal","abstract":"Background: The genetic etiology of schizophrenia (SCZ) overlaps with that of other major psychiatric disorders in samples of European ancestry. The present study investigated transethnic polygenetic features shared between Japanese SCZ or their unaffected first-degree relatives and European patients with major psychiatric disorders by conducting polygenic risk score (PRS) analyses. Methods: To calculate PRSs for 5 psychiatric disorders (SCZ, bipolar disorder [BIP], major depressive disorder, autism spectrum disorder, and attention-deficit/hyperactivity disorder) and PRSs differentiating SCZ from BIP, we utilized large-scale European genome-wide association study (GWAS) datasets as discovery samples. PRSs derived from these GWASs were calculated for 335 Japanese target participants [SCZ patients, FRs, and healthy controls (HCs)]. We took these PRSs based on GWASs of European psychiatric disorders and investigated their effect on risk in Japanese SCZ patients and unaffected first-degree relatives. Results: The PRSs obtained from European SCZ and BIP patients were higher in Japanese SCZ patients than in HCs. Furthermore, PRSs differentiating SCZ patients from European BIP patients were higher in Japanese SCZ patients than in HCs. Interestingly, PRSs related to European autism spectrum disorder were lower in Japanese first-degree relatives than in HCs or SCZ patients. The PRSs of autism spectrum disorder were positively correlated with a young onset age of SCZ. Conclusions: These findings suggest that polygenic factors related to European SCZ and BIP and the polygenic components differentiating SCZ from BIP can transethnically contribute to SCZ risk in Japanese people. Furthermore, we suggest that reduced levels of an ASD-related genetic factor in unaffected first-degree relatives may help protect against SCZ development.","container-title":"International Journal of Neuropsychopharmacology","DOI":"10.1093/ijnp/pyz073","ISSN":"14695111","issue":"3","note":"PMID: 31900488","page":"157-164","title":"Polygenetic risk scores for major psychiatric disorders among schizophrenia patients, their first-degree relatives, and healthy participants","volume":"23","author":[{"family":"Ohi","given":"Kazutaka"},{"family":"Nishizawa","given":"Daisuke"},{"family":"Shimada","given":"Takamitsu"},{"family":"Kataoka","given":"Yuzuru"},{"family":"Hasegawa","given":"Junko"},{"family":"Shioiri","given":"Toshiki"},{"family":"Kawasaki","given":"Yasuhiro"},{"family":"Hashimoto","given":"Ryota"},{"family":"Ikeda","given":"Kazutaka"}],"issued":{"date-parts":[["2020"]]}}},{"id":7960,"uris":["http://zotero.org/users/8364405/items/CWEUTPRL"],"itemData":{"id":7960,"type":"article-journal","abstract":"Attention deficit/hyperactivity disorder (ADHD) is a highly heritable childhood behavioral disorder affecting 5% of children and 2.5% of adults. Common genetic variants contribute substantially to ADHD susceptibility, but no variants have been robustly associated with ADHD. We report a genome-wide association meta-analysis of 20,183 individuals diagnosed with ADHD and 35,191 controls that identifies variants surpassing genome-wide significance in 12 independent loci, finding important new information about the underlying biology of ADHD. Associations are enriched in evolutionarily constrained genomic regions and loss-of-function intolerant genes and around brain-expressed regulatory marks. Analyses of three replication studies: a cohort of individuals diagnosed with ADHD, a self-reported ADHD sample and a meta-analysis of quantitative measures of ADHD symptoms in the population, support these findings while highlighting study-specific differences on genetic overlap with educational attainment. Strong concordance with GWAS of quantitative population measures of ADHD symptoms supports that clinical diagnosis of ADHD is an extreme expression of continuous heritable traits.","container-title":"Nature genetics","DOI":"10.1038/s41588-018-0269-7","ISSN":"1546-1718 (Electronic)","issue":"1","note":"publisher: ADHD Working Group of the Psychiatric Genomics Consortium (PGC)\nPMID: 30478444","page":"63-75","title":"Discovery of the first genome-wide significant risk loci for attention deficit/hyperactivity disorder.","volume":"51","author":[{"family":"Demontis","given":"Ditte"},{"family":"Walters","given":"Raymond K."},{"family":"Martin","given":"Joanna"},{"family":"Mattheisen","given":"Manuel"},{"family":"Als","given":"Thomas D."},{"family":"Agerbo","given":"Esben"},{"family":"Baldursson","given":"Gísli"},{"family":"Belliveau","given":"Rich"},{"family":"Bybjerg-Grauholm","given":"Jonas"},{"family":"Bækvad-Hansen","given":"Marie"},{"family":"Cerrato","given":"Felecia"},{"family":"Chambert","given":"Kimberly"},{"family":"Churchhouse","given":"Claire"},{"family":"Dumont","given":"Ashley"},{"family":"Eriksson","given":"Nicholas"},{"family":"Gandal","given":"Michael"},{"family":"Goldstein","given":"Jacqueline I."},{"family":"Grasby","given":"Katrina L."},{"family":"Grove","given":"Jakob"},{"family":"Gudmundsson","given":"Olafur O."},{"family":"Hansen","given":"Christine S."},{"family":"Hauberg","given":"Mads Engel"},{"family":"Hollegaard","given":"Mads V."},{"family":"Howrigan","given":"Daniel P."},{"family":"Huang","given":"Hailiang"},{"family":"Maller","given":"Julian B."},{"family":"Martin","given":"Alicia R."},{"family":"Martin","given":"Nicholas G."},{"family":"Moran","given":"Jennifer"},{"family":"Pallesen","given":"Jonatan"},{"family":"Palmer","given":"Duncan S."},{"family":"Pedersen","given":"Carsten Bøcker"},{"family":"Pedersen","given":"Marianne Giørtz"},{"family":"Poterba","given":"Timothy"},{"family":"Poulsen","given":"Jesper Buchhave"},{"family":"Ripke","given":"Stephan"},{"family":"Robinson","given":"Elise B."},{"family":"Satterstrom","given":"F. Kyle"},{"family":"Stefansson","given":"Hreinn"},{"family":"Stevens","given":"Christine"},{"family":"Turley","given":"Patrick"},{"family":"Walters","given":"G. Bragi"},{"family":"Won","given":"Hyejung"},{"family":"Wright","given":"Margaret J."},{"family":"Andreassen","given":"Ole A."},{"family":"Asherson","given":"Philip"},{"family":"Burton","given":"Christie L."},{"family":"Boomsma","given":"Dorret I."},{"family":"Cormand","given":"Bru"},{"family":"Dalsgaard","given":"Søren"},{"family":"Franke","given":"Barbara"},{"family":"Gelernter","given":"Joel"},{"family":"Geschwind","given":"Daniel"},{"family":"Hakonarson","given":"Hakon"},{"family":"Haavik","given":"Jan"},{"family":"Kranzler","given":"Henry R."},{"family":"Kuntsi","given":"Jonna"},{"family":"Langley","given":"Kate"},{"family":"Lesch","given":"Klaus-Peter"},{"family":"Middeldorp","given":"Christel"},{"family":"Reif","given":"Andreas"},{"family":"Rohde","given":"Luis Augusto"},{"family":"Roussos","given":"Panos"},{"family":"Schachar","given":"Russell"},{"family":"Sklar","given":"Pamela"},{"family":"Sonuga-Barke","given":"Edmund J. S."},{"family":"Sullivan","given":"Patrick F."},{"family":"Thapar","given":"Anita"},{"family":"Tung","given":"Joyce Y."},{"family":"Waldman","given":"Irwin D."},{"family":"Medland","given":"Sarah E."},{"family":"Stefansson","given":"Kari"},{"family":"Nordentoft","given":"Merete"},{"family":"Hougaard","given":"David M."},{"family":"Werge","given":"Thomas"},{"family":"Mors","given":"Ole"},{"family":"Mortensen","given":"Preben Bo"},{"family":"Daly","given":"Mark J."},{"family":"Faraone","given":"Stephen V."},{"family":"Børglum","given":"Anders D."},{"family":"Neale","given":"Benjamin M."}],"issued":{"date-parts":[["2019",1]]}}}],"schema":"https://github.com/citation-style-language/schema/raw/master/csl-citation.json"} </w:instrText>
      </w:r>
      <w:r w:rsidRPr="003C1D92">
        <w:rPr>
          <w:rFonts w:cs="Times New Roman"/>
          <w:lang w:val="en-US"/>
        </w:rPr>
        <w:fldChar w:fldCharType="separate"/>
      </w:r>
      <w:r w:rsidRPr="003C1D92">
        <w:rPr>
          <w:rFonts w:cs="Times New Roman"/>
          <w:lang w:val="en-GB"/>
        </w:rPr>
        <w:t>(4–8)</w:t>
      </w:r>
      <w:r w:rsidRPr="003C1D92">
        <w:rPr>
          <w:rFonts w:cs="Times New Roman"/>
          <w:lang w:val="en-US"/>
        </w:rPr>
        <w:fldChar w:fldCharType="end"/>
      </w:r>
      <w:r w:rsidRPr="003C1D92">
        <w:rPr>
          <w:rFonts w:cs="Times New Roman"/>
          <w:lang w:val="en-US"/>
        </w:rPr>
        <w:t>, suggesting shared underlying biological mechanisms. Thirdly, existing literature underscores substantial overlap in symptoms and psychopathological profiles across EDD, which frequently co-occur. For instance, offspring of individuals diagnosed with BD may exhibit increased risk not only for BD but also for BPD and ADHD</w:t>
      </w:r>
      <w:r w:rsidRPr="003C1D92">
        <w:rPr>
          <w:rFonts w:cs="Times New Roman"/>
          <w:lang w:val="en-US"/>
        </w:rPr>
        <w:fldChar w:fldCharType="begin"/>
      </w:r>
      <w:r w:rsidRPr="003C1D92">
        <w:rPr>
          <w:rFonts w:cs="Times New Roman"/>
          <w:lang w:val="en-US"/>
        </w:rPr>
        <w:instrText xml:space="preserve"> ADDIN ZOTERO_ITEM CSL_CITATION {"citationID":"ghGMlq5Z","properties":{"formattedCitation":"(9\\uc0\\u8211{}17)","plainCitation":"(9–17)","noteIndex":0},"citationItems":[{"id":8222,"uris":["http://zotero.org/users/8364405/items/TLPCITWE"],"itemData":{"id":8222,"type":"article-journal","abstract":"Attention-deficit/hyperactivity disorder (ADHD) in the adult population is frequently associated with comorbid psychiatric diseases that complicate its recognition, diagnosis and management. The prevalence of ADHD in the general adult population is 2.5% and it is associated with substantial personal and individual burden. The most frequent comorbid psychopathologies include mood and anxiety disorders, substance use disorders, and personality disorders. There are strong familial links and neurobiological similarities between ADHD and the various associated psychiatric comorbidities. The overlapping symptoms between ADHD and comorbid psychopathologies represent challenges for diagnosis and treatment. Guidelines recommend that when ADHD coexists with other psychopathologies in adults, the most impairing condition should generally be treated first. Early recognition and treatment of ADHD and its comorbidities has the potential to change the trajectory of psychiatric morbidity later in life. The use of validated assessment scales and high-yield clinical questions can help identify adults with ADHD who could potentially benefit from evidence-based management strategies.","container-title":"BMC Psychiatry","DOI":"10.1186/s12888-017-1463-3","ISSN":"1471244X","issue":"1","note":"ISBN: 1288801714633\npublisher: BMC Psychiatry\nPMID: 28830387","page":"1-15","title":"Adult ADHD and comorbid disorders: Clinical implications of a dimensional approach","volume":"17","author":[{"family":"Katzman","given":"Martin A."},{"family":"Bilkey","given":"Timothy S."},{"family":"Chokka","given":"Pratap R."},{"family":"Fallu","given":"Angelo"},{"family":"Klassen","given":"Larry J."}],"issued":{"date-parts":[["2017"]]}}},{"id":6411,"uris":["http://zotero.org/users/8364405/items/9SAU62I2"],"itemData":{"id":6411,"type":"article-journal","abstract":"Attention deficit hyperactivity disorder (ADHD) and borderline personality disorder (BPD) are particularly common disorders, that are highly comorbid in adult populations. The symptomatic overlap between adult ADHD and BPD includes impulsivity, emotional dysregulation and interpersonal impairment, which makes the differential diagnosis difficult. Our review aims at focusing on recent data on the comorbid ADHD+BPD form, as well as the risk factors involved in the emergence of the two disorders. While adult ADHD and BPD share some genetic and temperamental risk factors, adult ADHD is characterized by more severe trait-impulsivity compared to non-comorbid BPD; BPD patients display more severe trait-emotion regulation symptoms compared to non-comorbid ADHD. Patients with the comorbid ADHD+BPD form have severe symptoms in both dimensions. Early-life exposure to adverse events is a shared risk factor for the development of ADHD and BPD, but type and timing of adversity seem to play a differential role in the development of BPD and ADHD symptoms. Age of onset used to be a discriminative diagnostic criterion between ADHD, an early-onset neurodevelopmental disorder, and BPD, a late-onset psychological disorder. However, this distinction has been recently called into question, increasing the need for more research aiming at delineating the disorders from a developmental and clinical standpoint. Clinicians should carefully consider the comorbidity, and consider ADHD and BPD dimensionally, in order to provide more effective patient management. This might improve early preventive interventions, and treatment for comorbid conditions in adulthood.","container-title":"Neuropsychiatric disease and treatment","DOI":"10.2147/NDT.S192871","ISSN":"1176-6328 (Print)","note":"PMID: 31806978","page":"3115-3129","title":"Attention Deficit Hyperactivity Disorder And Borderline Personality Disorder In Adults: A Review Of Their Links And Risks.","volume":"15","author":[{"family":"Weiner","given":"Luisa"},{"family":"Perroud","given":"Nader"},{"family":"Weibel","given":"Sébastien"}],"issued":{"date-parts":[["2019"]]}}},{"id":6403,"uris":["http://zotero.org/users/8364405/items/56FS689N"],"itemData":{"id":6403,"type":"article-journal","container-title":"Dialogues in clinical neuroscience","issue":"2","note":"publisher: Les Laboratoires Servier","page":"155","title":"The relationship between borderline personality disorder and bipolar disorder","volume":"15","author":[{"family":"Zimmerman","given":"Mark"},{"family":"Morgan","given":"Theresa A."}],"issued":{"date-parts":[["2013"]]}}},{"id":6413,"uris":["http://zotero.org/users/8364405/items/F6F8JR3P"],"itemData":{"id":6413,"type":"article-journal","container-title":"Journal of affective disorders","ISSN":"0165-0327","note":"publisher: Elsevier","page":"161-166","title":"Comorbidity between attention deficit hyperactivity disorder (ADHD) and bipolar disorder in a specialized mood disorders outpatient clinic","volume":"168","author":[{"family":"Perroud","given":"Nader"},{"family":"Cordera","given":"Paolo"},{"family":"Zimmermann","given":"Julien"},{"family":"Michalopoulos","given":"Giorgio"},{"family":"Bancila","given":"Victor"},{"family":"Prada","given":"Paco"},{"family":"Dayer","given":"Alexandre"},{"family":"Aubry","given":"Jean-Michel"}],"issued":{"date-parts":[["2014"]]}}},{"id":6408,"uris":["http://zotero.org/users/8364405/items/3VTMY683"],"itemData":{"id":6408,"type":"article-journal","abstract":"BACKGROUND: The inferior frontal cortical (IFC)-striatal network plays an integral role in response inhibition and is compromised in patients with Bipolar Disorder (BP) or Attention-Deficit/Hyperactivity Disorder (ADHD). Prior BP functional neuroimaging studies have not accounted for ADHD comorbidity despite its high prevalence. METHODS: The authors conducted an fMRI study using a response inhibition task (Go-NoGo) in 32 euthymic adults with BP, half with comorbid ADHD (BP/ADHD); 16 adults with ADHD alone; and 30 healthy controls. Within- and between-group whole-brain analyses were performed to assess for significant neural function differences. RESULTS: All groups activated frontal and striatal regions involved in response inhibition. ANOVA results demonstrated significant interaction effects of BP and ADHD in the anterior and posterior cingulate, left superior and middle frontal gyri and left inferior parietal lobule. Follow-up comparisons showed significant differences between BP subjects with and without ADHD. Other regions demonstrated main effects of BP (left inferior frontal gyrus, left middle frontal gyrus, right superior frontal gyrus and left insula) and ADHD (left inferior frontal gyrus, left precentral gyrus and right anterior cingulate). LIMITATIONS: This study, as the first of its kind, requires replication using large sample sizes and controlling for potential effects of medication. CONCLUSIONS: Euthymic bipolar adults with comorbid ADHD have significantly different neural activation patterns from BP patients without this comorbidity. If understanding of the neurobiology of bipolar disorder is to be achieved, it is critical to control for this potential confound, something not done by most prior fMRI studies of adults with BP.","container-title":"Journal of affective disorders","DOI":"10.1016/j.jad.2012.08.019","ISSN":"1573-2517 (Electronic)","issue":"1-3","note":"PMID: 23057969","page":"389-396","title":"Frontostriatal neuroimaging findings differ in patients with bipolar disorder who have or do not have ADHD comorbidity.","volume":"147","author":[{"family":"Townsend","given":"Jennifer D."},{"family":"Sugar","given":"Catherine A."},{"family":"Walshaw","given":"Patricia D."},{"family":"Vasquez","given":"Roxanne E."},{"family":"Foland-Ross","given":"Lara C."},{"family":"Moody","given":"Teena D."},{"family":"Bookheimer","given":"Susan Y."},{"family":"McGough","given":"James J."},{"family":"Altshuler","given":"Lori L."}],"issued":{"date-parts":[["2013",5]]}}},{"id":6415,"uris":["http://zotero.org/users/8364405/items/KW2UQD8W"],"itemData":{"id":6415,"type":"article-journal","container-title":"Current Medical Research and Opinion","DOI":"10.1185/03007995.2014.915800","issue":"8","note":"publisher: Taylor &amp; Francis\nPMID: 24804976","page":"1657-1672","title":"Differential diagnosis, comorbidity, and treatment of attention-deficit/hyperactivity disorder in relation to bipolar disorder or borderline personality disorder in adults","volume":"30","author":[{"family":"Asherson","given":"Philip"},{"family":"Young","given":"Allan H."},{"family":"Eich-Höchli","given":"Dominique"},{"family":"Moran","given":"Paul"},{"family":"Porsdal","given":"Vibeke"},{"family":"Deberdt","given":"Walter"}],"issued":{"date-parts":[["2014"]]}}},{"id":6416,"uris":["http://zotero.org/users/8364405/items/MIYV3NKG"],"itemData":{"id":6416,"type":"article-journal","container-title":"Journal of affective disorders","ISSN":"0165-0327","note":"publisher: Elsevier","page":"230-236","title":"Similarities between emotional dysregulation in adults suffering from ADHD and bipolar patients","volume":"198","author":[{"family":"Richard-Lepouriel","given":"Hélène"},{"family":"Etain","given":"Bruno"},{"family":"Hasler","given":"Roland"},{"family":"Bellivier","given":"Frank"},{"family":"Gard","given":"Sébastien"},{"family":"Kahn","given":"Jean-Pierre"},{"family":"Prada","given":"Paco"},{"family":"Nicastro","given":"Rosetta"},{"family":"Ardu","given":"Stefano"},{"family":"Dayer","given":"Alexandre"}],"issued":{"date-parts":[["2016"]]}}},{"id":6414,"uris":["http://zotero.org/users/8364405/items/9S62FU5A"],"itemData":{"id":6414,"type":"article-journal","abstract":"BACKGROUND: Transgenerational association of bipolar spectrum disorder (BPSD) and attention deficit/hyperactivity disorder (ADHD) has been reported, but inconclusively. METHOD: Children ages 6-12 were systematically recruited at first outpatient visit at 9 clinics at four universities and reliably diagnosed; 621 had elevated symptoms of mania (&gt;12 on the Parent General Behavior Inventory 10-Item Mania Scale); 86 had scores below 12. We analyzed baseline data to test a familial association hypothesis: compared to children with neither BPSD nor ADHD, those with either BPSD or ADHD would have parents with higher rates of both bipolar and ADHD symptoms, and parents of comorbid children would have even higher rates of both. RESULTS: Of 707 children, 421 had ADHD without BPSD, 45 BPSD without ADHD, 117 comorbid ADHD+BPSD, and 124 neither. The rate of parental manic symptoms was similar for the comorbid and BPSD-alone groups, significantly greater than for ADHD alone and \"neither\" groups, which had similar rates. ADHD symptoms in parents of children with BPSD alone were significantly less frequent than in parents of children with ADHD (alone or comorbid), and no greater than for children with neither diagnosis. Family history of manic symptoms, but not ADHD symptoms, was associated with parent-rated child manic-symptom severity over and above child diagnosis. LIMITATIONS: The sample was not epidemiologic, parent symptoms were based on family history questions, and alpha was 0.05 despite multiple tests. CONCLUSIONS: These results do not support familial linkage of BPSD and ADHD; they are compatible with heritability of each disorder separately with coincidental overlap.","container-title":"Journal of affective disorders","DOI":"10.1016/j.jad.2012.03.015","ISSN":"1573-2517 (Electronic)","issue":"2-3","note":"PMID: 22464937","page":"382-389","title":"Pediatric bipolar disorder and ADHD: family history comparison in the LAMS clinical sample.","volume":"141","author":[{"family":"Arnold","given":"L. Eugene"},{"family":"Mount","given":"Katherine"},{"family":"Frazier","given":"Thomas"},{"family":"Demeter","given":"Christine"},{"family":"Youngstrom","given":"Eric A."},{"family":"Fristad","given":"Mary A."},{"family":"Birmaher","given":"Boris"},{"family":"Horwitz","given":"Sarah"},{"family":"Findling","given":"Robert L."},{"family":"Kowatch","given":"Robert"},{"family":"Axelson","given":"David"}],"issued":{"date-parts":[["2012",12]]}}},{"id":7079,"uris":["http://zotero.org/users/8364405/items/62X7HZSK"],"itemData":{"id":7079,"type":"article-journal","abstract":"BackgroundImpulsivity is a core symptom of borderline personality disorder (BPD). Impulsivity is a heterogeneous concept, and a comprehensive evaluation of impulsivity dimensions is lacking in the literature. Moreover, it is unclear whether BPD patients manifest impaired cognitive functioning that might be associated with impulsivity in another patient group, such as ADHD, a frequent comorbidity of BPD.MethodsWe tested 39 patients with BPD without major psychiatric comorbidities and ADHD, 25 patients with ADHD, and 55 healthy controls (HC) using a test battery consisting of a self-report measure of impulsivity (UPPS-P questionnaire), behavioral measures of impulsivity-impulsive action (Go/NoGo task, stop signal task) and impulsive choice (delay discounting task, Iowa gambling task), and standardized measures of attention (d2 test), working memory (digit span), and executive functioning (Tower of London).ResultsPatients with BPD and ADHD, as compared with HC, manifested increased self-reported impulsivity except sensation seeking and increased impulsive choice; patients with ADHD but not BPD showed increased impulsive action and deficits in cognitive functioning. Negative urgency was increased in BPD as compared to both HC and ADHD groups and correlated with BPD severity.ConclusionsPatients with BPD without ADHD comorbidity had increased self-reported impulsivity and impulsive choice, but intact impulsive action and cognitive functioning. Controlling for ADHD comorbidity in BPD samples is necessary. Negative urgency is the most diagnostically specific impulsivity dimension in BPD.","container-title":"Psychological Medicine","DOI":"10.1017/S0033291719001892","ISSN":"14698978","title":"Impulsivity in patients with borderline personality disorder: A comprehensive profile compared with healthy people and patients with ADHD","author":[{"family":"Linhartová","given":"Pavla"},{"family":"Látalová","given":"Adéla"},{"family":"Barteček","given":"Richard"},{"family":"ŠirÅček","given":"Jan"},{"family":"Theiner","given":"Pavel"},{"family":"Ejova","given":"Anastasia"},{"family":"Hlavatá","given":"Pavlína"},{"family":"Kóša","given":"Barbora"},{"family":"JeÅábková","given":"Barbora"},{"family":"Bareš","given":"Martin"},{"family":"Kašpárek","given":"Tomáš"}],"issued":{"date-parts":[["2019"]]}}}],"schema":"https://github.com/citation-style-language/schema/raw/master/csl-citation.json"} </w:instrText>
      </w:r>
      <w:r w:rsidRPr="003C1D92">
        <w:rPr>
          <w:rFonts w:cs="Times New Roman"/>
          <w:lang w:val="en-US"/>
        </w:rPr>
        <w:fldChar w:fldCharType="separate"/>
      </w:r>
      <w:r w:rsidRPr="003C1D92">
        <w:rPr>
          <w:rFonts w:cs="Times New Roman"/>
          <w:lang w:val="en-GB"/>
        </w:rPr>
        <w:t>(9–17)</w:t>
      </w:r>
      <w:r w:rsidRPr="003C1D92">
        <w:rPr>
          <w:rFonts w:cs="Times New Roman"/>
          <w:lang w:val="en-US"/>
        </w:rPr>
        <w:fldChar w:fldCharType="end"/>
      </w:r>
      <w:r w:rsidRPr="003C1D92">
        <w:rPr>
          <w:rFonts w:cs="Times New Roman"/>
          <w:lang w:val="en-US"/>
        </w:rPr>
        <w:t xml:space="preserve">. </w:t>
      </w:r>
      <w:bookmarkStart w:id="6" w:name="_Hlk220339713"/>
      <w:r w:rsidRPr="003C1D92">
        <w:rPr>
          <w:rFonts w:cs="Times New Roman"/>
          <w:lang w:val="en-US"/>
        </w:rPr>
        <w:t>Lastly, since EDD typically emerge during youth and emotion-regulating circuits mature until young adulthood</w:t>
      </w:r>
      <w:bookmarkEnd w:id="6"/>
      <w:r w:rsidRPr="003C1D92">
        <w:rPr>
          <w:rFonts w:cs="Times New Roman"/>
          <w:lang w:val="en-US"/>
        </w:rPr>
        <w:fldChar w:fldCharType="begin"/>
      </w:r>
      <w:r w:rsidRPr="003C1D92">
        <w:rPr>
          <w:rFonts w:cs="Times New Roman"/>
          <w:lang w:val="en-US"/>
        </w:rPr>
        <w:instrText xml:space="preserve"> ADDIN ZOTERO_ITEM CSL_CITATION {"citationID":"Uf83ahcY","properties":{"formattedCitation":"(18,19)","plainCitation":"(18,19)","noteIndex":0},"citationItems":[{"id":8240,"uris":["http://zotero.org/users/8364405/items/INX535JW"],"itemData":{"id":8240,"type":"article-journal","abstract":"In this article, we highlight the importance of dynamic reorganization of neural circuitry during adolescence, as it relates to the development of emotion reactivity and regulation. We offer a neurobiological account of hierarchical, circuit-based changes that coincide with emotional development during this time. Recent imaging studies suggest that the development of the emotional brain involves a cascade of changes in limbic and cognitive control circuitry. These changes are particularly pronounced during adolescence, when the demand for self regulation across a variety of emotional and social situations may be greatest. We propose that hierarchical changes in circuitry, from subcortico-subcortical to subcortico-cortical to cortico-subcortical and finally to cortico-cortical, may underlie the gradual changes in emotion reactivity and regulation throughout adolescence into young adulthood, with changes at each level being necessary for the instantiation of changes at the next level.","container-title":"Neuroscience letters","DOI":"10.1016/j.neulet.2017.11.055","ISSN":"1872-7972 (Electronic)","note":"PMID: 29197573","page":"29-34","title":"Development of the emotional brain.","volume":"693","author":[{"family":"Casey","given":"B. J."},{"family":"Heller","given":"Aaron S."},{"family":"Gee","given":"Dylan G."},{"family":"Cohen","given":"Alexandra O."}],"issued":{"date-parts":[["2019",2]]}}},{"id":9121,"uris":["http://zotero.org/users/8364405/items/SFZ45F55"],"itemData":{"id":9121,"type":"article-journal","abstract":"Emotional regulation, understood as the skills and strategies needed to inﬂuence and/or modify the emotional experiences, has a very remarkable implication within numerous emotional and behavioral disorders in childhood and adolescence. In recent years there has been a signiﬁcant increase in research on emotional regulation, however, the results are still divergent in terms of differences in emotional regulation in relation to age and gender. This study aimed to assess emotional regulation in adolescents in relation to their age and gender. Two hundred and ﬁfty-four adolescents from eight schools in the Valencian Community and aged between 9 and 16 years participated in the study. The adolescents completed the Cognitive Emotion Regulation Questionnaire and the FEEL-KJ questionnaire. We analyzed the differences in emotional regulation strategies and a latent emotional regulation variable in two age groups (9–12 years and 13–16 years) and by gender. The results suggested that children and pre-adolescents in the 9–12 year group obtained lower scores in the emotional regulation strategies than the 13–16 year group. Girls reported higher scores on the use of emotional regulation strategies when experiencing sadness, anxiety and anger than boys, and on the overall average of regulation according to these speciﬁc emotions. Age, but not gender, had a major effect on scores for the latent variable of emotion regulation. An interaction effect between age and gender was identiﬁed in the latent emotion regulation scores. Girls tended to have higher scores than boys when they were younger and lower scores than boys when they were older. These results could be relevant for designing prevention and intervention programs for adolescents and at different ages.","container-title":"Frontiers in Psychology","DOI":"10.3389/fpsyg.2020.00946","ISSN":"1664-1078","journalAbbreviation":"Front. Psychol.","language":"en","page":"946","source":"DOI.org (Crossref)","title":"Effects of Age and Gender in Emotion Regulation of Children and Adolescents","volume":"11","author":[{"family":"Sanchis-Sanchis","given":"Alejandro"},{"family":"Grau","given":"Ma Dolores"},{"family":"Moliner","given":"Adoración-Reyes"},{"family":"Morales-Murillo","given":"Catalina Patricia"}],"issued":{"date-parts":[["2020",5,26]]}}}],"schema":"https://github.com/citation-style-language/schema/raw/master/csl-citation.json"} </w:instrText>
      </w:r>
      <w:r w:rsidRPr="003C1D92">
        <w:rPr>
          <w:rFonts w:cs="Times New Roman"/>
          <w:lang w:val="en-US"/>
        </w:rPr>
        <w:fldChar w:fldCharType="separate"/>
      </w:r>
      <w:r w:rsidRPr="003C1D92">
        <w:rPr>
          <w:rFonts w:cs="Times New Roman"/>
          <w:lang w:val="en-GB"/>
        </w:rPr>
        <w:t>(18,19)</w:t>
      </w:r>
      <w:r w:rsidRPr="003C1D92">
        <w:rPr>
          <w:rFonts w:cs="Times New Roman"/>
          <w:lang w:val="en-US"/>
        </w:rPr>
        <w:fldChar w:fldCharType="end"/>
      </w:r>
      <w:r w:rsidRPr="003C1D92">
        <w:rPr>
          <w:rFonts w:cs="Times New Roman"/>
        </w:rPr>
        <w:t>,</w:t>
      </w:r>
      <w:r w:rsidRPr="003C1D92">
        <w:rPr>
          <w:rFonts w:cs="Times New Roman"/>
          <w:lang w:val="en-US"/>
        </w:rPr>
        <w:t xml:space="preserve"> EDD represent ideal targets for early intervention strategies targeting ED</w:t>
      </w:r>
      <w:r w:rsidRPr="003C1D92">
        <w:rPr>
          <w:rFonts w:cs="Times New Roman"/>
          <w:lang w:val="en-US"/>
        </w:rPr>
        <w:fldChar w:fldCharType="begin"/>
      </w:r>
      <w:r w:rsidRPr="003C1D92">
        <w:rPr>
          <w:rFonts w:cs="Times New Roman"/>
          <w:lang w:val="en-US"/>
        </w:rPr>
        <w:instrText xml:space="preserve"> ADDIN ZOTERO_ITEM CSL_CITATION {"citationID":"1L3lVa3d","properties":{"formattedCitation":"(20,21)","plainCitation":"(20,21)","noteIndex":0},"citationItems":[{"id":8227,"uris":["http://zotero.org/users/8364405/items/QHH5IQTX"],"itemData":{"id":8227,"type":"article-journal","abstract":"Objectives: Attention-deficit/hyperactivity disorder (ADHD) is a neurodevelopmental disorder defined as a persistent pattern of inactivity and/or hyperactivity that interferes with behavioral function or development. Diagnosis and treatment of ADHD in the preschool-aged population (children 3-5 years old) is more complicated compared with older children because of developmental and physiological differences. This article reviews the available literature regarding the challenges associated with ADHD diagnosis and treatment in preschool-aged children, as well as the unmet needs of preschool-aged children with ADHD. Methods: Key considerations for ADHD diagnosis and treatment patterns in preschool-aged children are summarized in this review, including the need for early intervention, the association with comorbidities, and the differences in pharmacokinetic profiles between preschool-aged children and older children. Results: Efficacy and safety data are lacking, as clinical trial design and execution pose unique challenges in this population. Preschool-aged children often have difficulty with pill swallowing and tolerating phlebotomy necessary for the collection of pharmacokinetic and safety data. However, early diagnosis and treatment are essential to mitigate ADHD symptoms and comorbidities that may develop during childhood and adolescence in patients with persistent ADHD. Conclusion: This review describes the established diagnostic and treatment modalities, along with the unmet needs of preschool-aged children with ADHD.","container-title":"Journal of Child and Adolescent Psychopharmacology","DOI":"10.1089/cap.2018.0057","ISSN":"15578992","issue":"9","note":"PMID: 30388032","page":"606-614","title":"Diagnosis and treatment of attention-deficit/hyperactivity disorder in preschool-aged children","volume":"28","author":[{"family":"Childress","given":"Ann C."},{"family":"Stark","given":"Jeffrey G."}],"issued":{"date-parts":[["2018"]]}}},{"id":28450,"uris":["http://zotero.org/users/8364405/items/2664MLZR"],"itemData":{"id":28450,"type":"article-journal","abstract":"Background\nEmotion dysregulation (ED), the difficulty in modulating which emotions are felt, and when and how they are expressed or experienced, has been implicated in an array of psychological disorders. Despite potentially different manifestations depending on the disorder, this symptom is emerging as a transdiagnostic construct that can and should be targeted early, given the associations with various maladaptive behaviors as early as childhood and adolescence. As such, our goal was to investigate the psychotherapeutic interventions used to address ED and gauge their effectiveness, safety, and potential mechanisms across various populations.\nMethods\nThis umbrella systematic review, pre-registered under PROSPERO (registration: CRD42023411452), consolidates evidence from systematic reviews and meta-analyses on psychotherapeutic interventions targeting ED, in accordance with PRISMA guidelines.\nResults\nOur synthesis of quantitative and qualitative evidence from 21 systematic reviews (including 11 meta-analyses) points—with moderate overall risk of bias—to the effectiveness of Dialectical Behavior Therapy and Cognitive Behavioral Therapy in reducing ED in a wide range of adult transdiagnostic psychiatric patients and healthy participants. Similar results have emerged in other less extensively researched methods as well. However, results on adolescents and children are sparse, highlighting the need for additional research to tailor these interventions to the unique challenges of ED in younger populations with diverse externalizing and internalizing disorders.\nConclusions\nThese demonstrated transdiagnostic advantages of psychotherapy for ED underscore the potential for specifically designed interventions that address this issue directly, particularly for high-risk individuals. In these individuals, early interventions targeting transdiagnostic core dimensions may mitigate the emergence of full-blown disorders. Future research on the mediating factors, the durability of intervention effects, and the exploration of understudied interventions and populations may enhance prevention and treatment efficiency, enhancing the quality of life for those affected by varied manifestations of ED.","container-title":"Journal of Psychiatric Research","DOI":"10.1016/j.jpsychires.2024.04.025","ISSN":"0022-3956","journalAbbreviation":"Journal of Psychiatric Research","page":"263-274","source":"ScienceDirect","title":"Interventions targeting emotion regulation: A systematic umbrella review","title-short":"Interventions targeting emotion regulation","volume":"174","author":[{"family":"Saccaro","given":"Luigi F."},{"family":"Giff","given":"Alexis"},{"family":"De Rossi","given":"Maurilio Menduni"},{"family":"Piguet","given":"Camille"}],"issued":{"date-parts":[["2024",6,1]]}}}],"schema":"https://github.com/citation-style-language/schema/raw/master/csl-citation.json"} </w:instrText>
      </w:r>
      <w:r w:rsidRPr="003C1D92">
        <w:rPr>
          <w:rFonts w:cs="Times New Roman"/>
          <w:lang w:val="en-US"/>
        </w:rPr>
        <w:fldChar w:fldCharType="separate"/>
      </w:r>
      <w:r w:rsidRPr="003C1D92">
        <w:rPr>
          <w:rFonts w:cs="Times New Roman"/>
          <w:lang w:val="en-GB"/>
        </w:rPr>
        <w:t>(20,21)</w:t>
      </w:r>
      <w:r w:rsidRPr="003C1D92">
        <w:rPr>
          <w:rFonts w:cs="Times New Roman"/>
          <w:lang w:val="en-US"/>
        </w:rPr>
        <w:fldChar w:fldCharType="end"/>
      </w:r>
      <w:r w:rsidRPr="003C1D92">
        <w:rPr>
          <w:rFonts w:cs="Times New Roman"/>
          <w:lang w:val="en-US"/>
        </w:rPr>
        <w:t xml:space="preserve">. </w:t>
      </w:r>
      <w:r w:rsidRPr="003C1D92">
        <w:t>The urgency of transdiagnostic early markers to reduce the burden of these disorders is further underscored by the high prevalence</w:t>
      </w:r>
      <w:r w:rsidRPr="003C1D92">
        <w:fldChar w:fldCharType="begin"/>
      </w:r>
      <w:r w:rsidR="006E3566" w:rsidRPr="003C1D92">
        <w:instrText xml:space="preserve"> ADDIN ZOTERO_ITEM CSL_CITATION {"citationID":"a3r60j8ffr","properties":{"formattedCitation":"(3,22)","plainCitation":"(3,22)","noteIndex":0},"citationItems":[{"id":8611,"uris":["http://zotero.org/users/8364405/items/F4QTTHVJ"],"itemData":{"id":8611,"type":"article-journal","abstract":"http://www.healthdata.org/sites/default/files/files/research_articles/2021/GBD_Mental-Disorders_Research-Article.pdf","container-title":"The Lancet Psychiatry","DOI":"10.1016/S2215-0366(21)00395-3","ISSN":"2215-0366","issue":"21","note":"publisher: The Author(s). Published by Elsevier Ltd. This is an Open Access article under the CC BY 4.0 license","page":"1-43","title":"Global , regional , and national burden of 12 mental disorders in 204 countries and territories , 1990 – 2019 : a systematic analysis from the Global Burden of Disease Study 2019 Accepted for publication at The Lancet Psychiatry","volume":"0366","author":[{"family":"Collaborators","given":"G. B. D. 2019 Mental Disorders"}],"issued":{"date-parts":[["2019"]]}}},{"id":20995,"uris":["http://zotero.org/users/8364405/items/MDKW96HH"],"itemData":{"id":20995,"type":"article-journal","abstract":"Emotion dysregulation (ED) describes a difficulty with the modulation of which emotions are felt, as well as when and how these emotions are experienced or expressed. It is a focal overarching symptom in many severe and prevalent neuropsychiatric diseases, including bipolar disorders (BD), attention deficit/hyperactivity disorder (ADHD), and borderline personality disorder (BPD). In all these disorders, ED can manifest through symptoms of depression, anxiety, or affective lability. Considering the many symptomatic similarities between BD, ADHD, and BPD, a transdiagnostic approach is a promising lens of investigation. Mounting evidence supports the role of peripheral inflammatory markers and stress in the multifactorial aetiology and physiopathology of BD, ADHD, and BPD. Of note, neural circuits that regulate emotions appear particularly vulnerable to inflammatory insults and peripheral inflammation, which can impact the neuroimmune milieu of the central nervous system. Thus far, few studies have examined the link between ED and inflammation in BD, ADHD, and BPD. To our knowledge, no specific work has provided a critical comparison of the results from these disorders. To fill this gap in the literature, we review the known associations and mechanisms linking ED and inflammation in general, and clinically, in BD, ADHD, and BD. Our narrative review begins with an examination of the routes linking ED and inflammation, followed by a discussion of disorder-specific results accounting for methodological limitations and relevant confounding factors. Finally, we critically discuss both correspondences and discrepancies in the results and comment on potential vulnerability markers and promising therapeutic interventions.","container-title":"Neuronal Signaling","DOI":"10.1042/NS20220077","ISSN":"2059-6553","journalAbbreviation":"Neuronal Signaling","page":"NS20220077","source":"Silverchair","title":"Inflammation and emotion regulation: a narrative review of evidence and mechanisms in emotion dysregulation disorders","title-short":"Inflammation and emotion regulation","author":[{"family":"Petruso","given":"Flavia"},{"family":"Giff","given":"Alexis Elena"},{"family":"Milano","given":"Beatrice Annunziata"},{"family":"Menduni De Rossi","given":"Maurilio"},{"family":"Saccaro","given":"Luigi Francesco"}],"issued":{"date-parts":[["2023",10,27]]}}}],"schema":"https://github.com/citation-style-language/schema/raw/master/csl-citation.json"} </w:instrText>
      </w:r>
      <w:r w:rsidRPr="003C1D92">
        <w:fldChar w:fldCharType="separate"/>
      </w:r>
      <w:r w:rsidRPr="003C1D92">
        <w:rPr>
          <w:lang w:val="en-GB"/>
        </w:rPr>
        <w:t>(3,22)</w:t>
      </w:r>
      <w:r w:rsidRPr="003C1D92">
        <w:fldChar w:fldCharType="end"/>
      </w:r>
      <w:r w:rsidRPr="003C1D92">
        <w:t xml:space="preserve"> of these conditions, ranging from 2.5–15% for ADHD</w:t>
      </w:r>
      <w:r w:rsidRPr="003C1D92">
        <w:fldChar w:fldCharType="begin"/>
      </w:r>
      <w:r w:rsidRPr="003C1D92">
        <w:instrText xml:space="preserve"> ADDIN ZOTERO_ITEM CSL_CITATION {"citationID":"a29udug2p0u","properties":{"formattedCitation":"(23)","plainCitation":"(23)","noteIndex":0},"citationItems":[{"id":28716,"uris":["http://zotero.org/users/8364405/items/GD6P3WC2"],"itemData":{"id":28716,"type":"article-journal","abstract":"BACKGROUND: Misconceptions about ADHD stigmatize affected people, reduce credibility of providers, and prevent/delay treatment. To challenge misconceptions, we curated findings with strong evidence base.\nMETHODS: We reviewed studies with more than 2000 participants or meta-analyses from five or more studies or 2000 or more participants. We excluded meta-analyses that did not assess publication bias, except for meta-analyses of prevalence. For network meta-analyses we required comparison adjusted funnel plots. We excluded treatment studies with waiting-list or treatment as usual controls. From this literature, we extracted evidence-based assertions about the disorder.\nRESULTS: We generated 208 empirically supported statements about ADHD. The status of the included statements as empirically supported is approved by 80 authors from 27 countries and 6 continents. The contents of the manuscript are endorsed by 366 people who have read this document and agree with its contents.\nCONCLUSIONS: Many findings in ADHD are supported by meta-analysis. These allow for firm statements about the nature, course, outcome causes, and treatments for disorders that are useful for reducing misconceptions and stigma.","container-title":"Neuroscience and Biobehavioral Reviews","DOI":"10.1016/j.neubiorev.2021.01.022","ISSN":"1873-7528","journalAbbreviation":"Neurosci Biobehav Rev","language":"eng","note":"PMID: 33549739\nPMCID: PMC8328933","page":"789-818","source":"PubMed","title":"The World Federation of ADHD International Consensus Statement: 208 Evidence-based conclusions about the disorder","title-short":"The World Federation of ADHD International Consensus Statement","volume":"128","author":[{"family":"Faraone","given":"Stephen V."},{"family":"Banaschewski","given":"Tobias"},{"family":"Coghill","given":"David"},{"family":"Zheng","given":"Yi"},{"family":"Biederman","given":"Joseph"},{"family":"Bellgrove","given":"Mark A."},{"family":"Newcorn","given":"Jeffrey H."},{"family":"Gignac","given":"Martin"},{"family":"Al Saud","given":"Nouf M."},{"family":"Manor","given":"Iris"},{"family":"Rohde","given":"Luis Augusto"},{"family":"Yang","given":"Li"},{"family":"Cortese","given":"Samuele"},{"family":"Almagor","given":"Doron"},{"family":"Stein","given":"Mark A."},{"family":"Albatti","given":"Turki H."},{"family":"Aljoudi","given":"Haya F."},{"family":"Alqahtani","given":"Mohammed M. J."},{"family":"Asherson","given":"Philip"},{"family":"Atwoli","given":"Lukoye"},{"family":"Bölte","given":"Sven"},{"family":"Buitelaar","given":"Jan K."},{"family":"Crunelle","given":"Cleo L."},{"family":"Daley","given":"David"},{"family":"Dalsgaard","given":"Søren"},{"family":"Döpfner","given":"Manfred"},{"family":"Espinet","given":"Stacey"},{"family":"Fitzgerald","given":"Michael"},{"family":"Franke","given":"Barbara"},{"family":"Gerlach","given":"Manfred"},{"family":"Haavik","given":"Jan"},{"family":"Hartman","given":"Catharina A."},{"family":"Hartung","given":"Cynthia M."},{"family":"Hinshaw","given":"Stephen P."},{"family":"Hoekstra","given":"Pieter J."},{"family":"Hollis","given":"Chris"},{"family":"Kollins","given":"Scott H."},{"family":"Sandra Kooij","given":"J. J."},{"family":"Kuntsi","given":"Jonna"},{"family":"Larsson","given":"Henrik"},{"family":"Li","given":"Tingyu"},{"family":"Liu","given":"Jing"},{"family":"Merzon","given":"Eugene"},{"family":"Mattingly","given":"Gregory"},{"family":"Mattos","given":"Paulo"},{"family":"McCarthy","given":"Suzanne"},{"family":"Mikami","given":"Amori Yee"},{"family":"Molina","given":"Brooke S. G."},{"family":"Nigg","given":"Joel T."},{"family":"Purper-Ouakil","given":"Diane"},{"family":"Omigbodun","given":"Olayinka O."},{"family":"Polanczyk","given":"Guilherme V."},{"family":"Pollak","given":"Yehuda"},{"family":"Poulton","given":"Alison S."},{"family":"Rajkumar","given":"Ravi Philip"},{"family":"Reding","given":"Andrew"},{"family":"Reif","given":"Andreas"},{"family":"Rubia","given":"Katya"},{"family":"Rucklidge","given":"Julia"},{"family":"Romanos","given":"Marcel"},{"family":"Ramos-Quiroga","given":"J. Antoni"},{"family":"Schellekens","given":"Arnt"},{"family":"Scheres","given":"Anouk"},{"family":"Schoeman","given":"Renata"},{"family":"Schweitzer","given":"Julie B."},{"family":"Shah","given":"Henal"},{"family":"Solanto","given":"Mary V."},{"family":"Sonuga-Barke","given":"Edmund"},{"family":"Soutullo","given":"César"},{"family":"Steinhausen","given":"Hans-Christoph"},{"family":"Swanson","given":"James M."},{"family":"Thapar","given":"Anita"},{"family":"Tripp","given":"Gail"},{"family":"Glind","given":"Geurt","non-dropping-particle":"van de"},{"family":"Brink","given":"Wim","non-dropping-particle":"van den"},{"family":"Van der Oord","given":"Saskia"},{"family":"Venter","given":"Andre"},{"family":"Vitiello","given":"Benedetto"},{"family":"Walitza","given":"Susanne"},{"family":"Wang","given":"Yufeng"}],"issued":{"date-parts":[["2021",9]]}}}],"schema":"https://github.com/citation-style-language/schema/raw/master/csl-citation.json"} </w:instrText>
      </w:r>
      <w:r w:rsidRPr="003C1D92">
        <w:fldChar w:fldCharType="separate"/>
      </w:r>
      <w:r w:rsidRPr="003C1D92">
        <w:rPr>
          <w:lang w:val="en-GB"/>
        </w:rPr>
        <w:t>(23)</w:t>
      </w:r>
      <w:r w:rsidRPr="003C1D92">
        <w:fldChar w:fldCharType="end"/>
      </w:r>
      <w:r w:rsidRPr="003C1D92">
        <w:t>, 0.8–2.4% for BD</w:t>
      </w:r>
      <w:r w:rsidRPr="003C1D92">
        <w:fldChar w:fldCharType="begin"/>
      </w:r>
      <w:r w:rsidRPr="003C1D92">
        <w:instrText xml:space="preserve"> ADDIN ZOTERO_ITEM CSL_CITATION {"citationID":"a27i8gg1p5l","properties":{"formattedCitation":"(24)","plainCitation":"(24)","noteIndex":0},"citationItems":[{"id":7073,"uris":["http://zotero.org/users/8364405/items/WRPAMGAV"],"itemData":{"id":7073,"type":"article-journal","abstract":"Context: There is limited information on the prevalence and correlates of bipolar spectrum disorder in international population-based studies using common methods. Objectives: To describe the prevalence, impact, patterns of comorbidity, and patterns of service utilization for bipolar spectrum disorder (BPS) in the World Health Organization World Mental Health Survey Initiative. Design, Setting, and Participants: Crosssectional, face-to-face, household surveys of 61 392 community adults in 11 countries in the Americas, Europe, and Asia assessed with the World Mental Health version of the World Health Organization Composite International Diagnostic Interview, version 3.0, a fully structured, lay-administered psychiatric diagnostic interview. Main Outcome Measures: Diagnostic and Statistical Manual of Mental Disorders (Fourth Edition) disorders, severity, and treatment. Results: The aggregate lifetime prevalences were 0.6% for bipolar type I disorder (BP-I), 0.4% for BP-II, 1.4% for subthreshold BP, and 2.4% for BPS. Twelve-month prevalences were 0.4% for BP-I, 0.3% for BP-II, 0.8% for subthreshold BP, and 1.5% for BPS. Severity of both manic and depressive symptoms as well as suicidal behavior increased monotonically from subthreshold BP to BP-I. By contrast, role impairment was similar across BP subtypes. Symptom severity was greater for depressive episodes than manic episodes, with approximately 74.0% of respondents with depression and 50.9% of respondents with mania reporting severe role impairment. Three-quarters of those with BPS met criteria for at least 1 other disorder, with anxiety disorders (particularly panic attacks) being the most common comorbid condition. Less than half of those with lifetime BPS received mental health treatment, particularly in low-income countries, where only 25.2% reported contact with the mental health system. Conclusions: Despite cross-site variation in the prevalence rates of BPS, the severity, impact, and patterns of comorbidity were remarkably similar internationally. The uniform increases in clinical correlates, suicidal behavior, and comorbidity across each diagnostic category provide evidence for the validity of the concept of BPS. Treatment needs for BPS are often unmet, particularly in low-income countries. ©2011 American Medical Association. All rights reserved.","container-title":"Archives of General Psychiatry","DOI":"10.1001/archgenpsychiatry.2011.12","ISSN":"0003990X","issue":"3","note":"PMID: 21383262","page":"241-251","title":"Prevalence and correlates of bipolar spectrum disorder in the World Mental Health Survey Initiative","volume":"68","author":[{"family":"Merikangas","given":"Kathleen R."},{"family":"Jin","given":"Robert"},{"family":"He","given":"Jian Ping"},{"family":"Kessler","given":"Ronald C."},{"family":"Lee","given":"Sing"},{"family":"Sampson","given":"Nancy A."},{"family":"Viana","given":"Maria Carmen"},{"family":"Andrade","given":"Laura Helena"},{"family":"Hu","given":"Chiyi"},{"family":"Karam","given":"Elie G."},{"family":"Ladea","given":"Maria"},{"family":"Medina-Mora","given":"Maria Elena"},{"family":"Ono","given":"Yutaka"},{"family":"Posada-Villa","given":"Jose"},{"family":"Sagar","given":"Rajesh"},{"family":"Wells","given":"J. Elisabeth"},{"family":"Zarkov","given":"Zahari"}],"issued":{"date-parts":[["2011"]]}}}],"schema":"https://github.com/citation-style-language/schema/raw/master/csl-citation.json"} </w:instrText>
      </w:r>
      <w:r w:rsidRPr="003C1D92">
        <w:fldChar w:fldCharType="separate"/>
      </w:r>
      <w:r w:rsidRPr="003C1D92">
        <w:rPr>
          <w:lang w:val="en-GB"/>
        </w:rPr>
        <w:t>(24)</w:t>
      </w:r>
      <w:r w:rsidRPr="003C1D92">
        <w:fldChar w:fldCharType="end"/>
      </w:r>
      <w:r w:rsidRPr="003C1D92">
        <w:t>, and 2.7–6% for BPD</w:t>
      </w:r>
      <w:r w:rsidRPr="003C1D92">
        <w:fldChar w:fldCharType="begin"/>
      </w:r>
      <w:r w:rsidRPr="003C1D92">
        <w:instrText xml:space="preserve"> ADDIN ZOTERO_ITEM CSL_CITATION {"citationID":"a23o9634c5q","properties":{"formattedCitation":"(25)","plainCitation":"(25)","noteIndex":0},"citationItems":[{"id":28717,"uris":["http://zotero.org/users/8364405/items/KCZ6594G"],"itemData":{"id":28717,"type":"article-journal","abstract":"OBJECTIVES: To present nationally representative findings on prevalence, sociodemographic correlates, disability, and comorbidity of borderline personality disorder (BPD) among men and women.\nMETHOD: Face-to-face interviews were conducted with 34,653 adults participating in the 2004-2005 Wave 2 National Epidemiologic Survey on Alcohol and Related Conditions. Personality disorder diagnoses were made using the Wave 2 Alcohol Use Disorder and Associated Disabilities Interview Schedule-DSM-IV Version.\nRESULTS: Prevalence of lifetime BPD was 5.9% (99% CI = 5.4 to 6.4). There were no differences in the rates of BPD among men (5.6%, 99% CI = 5.0 to 6.2) and women (6.2%, 99% CI = 5.6 to 6.9). BPD was more prevalent among Native American men, younger and separated/divorced/widowed adults, and those with lower incomes and education and was less prevalent among Hispanic men and women and Asian women. BPD was associated with substantial mental and physical disability, especially among women. High co-occurrence rates of mood and anxiety disorders with BPD were similar. With additional comorbidity controlled for, associations with bipolar disorder and schizotypal and narcissistic personality disorders remained strong and significant (odds ratios &gt; or = 4.3). Associations of BPD with other specific disorders were no longer significant or were considerably weakened.\nCONCLUSIONS: BPD is much more prevalent in the general population than previously recognized, is equally prevalent among men and women, and is associated with considerable mental and physical disability, especially among women. Unique and common factors may differentially contribute to disorder-specific comorbidity with BPD, and some of these associations appear to be sex-specific. There is a need for future epidemiologic, clinical, and genetically informed studies to identify unique and common factors that underlie disorder-specific comorbidity with BPD. Important sex differences observed in rates of BPD and associations with BPD can inform more focused, hypothesis-driven investigations of these factors.","container-title":"The Journal of Clinical Psychiatry","DOI":"10.4088/jcp.v69n0404","ISSN":"1555-2101","issue":"4","journalAbbreviation":"J Clin Psychiatry","language":"eng","note":"PMID: 18426259\nPMCID: PMC2676679","page":"533-545","source":"PubMed","title":"Prevalence, correlates, disability, and comorbidity of DSM-IV borderline personality disorder: results from the Wave 2 National Epidemiologic Survey on Alcohol and Related Conditions","title-short":"Prevalence, correlates, disability, and comorbidity of DSM-IV borderline personality disorder","volume":"69","author":[{"family":"Grant","given":"Bridget F."},{"family":"Chou","given":"S. Patricia"},{"family":"Goldstein","given":"Risë B."},{"family":"Huang","given":"Boji"},{"family":"Stinson","given":"Frederick S."},{"family":"Saha","given":"Tulshi D."},{"family":"Smith","given":"Sharon M."},{"family":"Dawson","given":"Deborah A."},{"family":"Pulay","given":"Attila J."},{"family":"Pickering","given":"Roger P."},{"family":"Ruan","given":"W. June"}],"issued":{"date-parts":[["2008",4]]}}}],"schema":"https://github.com/citation-style-language/schema/raw/master/csl-citation.json"} </w:instrText>
      </w:r>
      <w:r w:rsidRPr="003C1D92">
        <w:fldChar w:fldCharType="separate"/>
      </w:r>
      <w:r w:rsidRPr="003C1D92">
        <w:rPr>
          <w:lang w:val="en-GB"/>
        </w:rPr>
        <w:t>(25)</w:t>
      </w:r>
      <w:r w:rsidRPr="003C1D92">
        <w:fldChar w:fldCharType="end"/>
      </w:r>
      <w:r w:rsidRPr="003C1D92">
        <w:t>, and their profound individual and societal burden. Although early interventions have demonstrated promise</w:t>
      </w:r>
      <w:r w:rsidRPr="003C1D92">
        <w:fldChar w:fldCharType="begin"/>
      </w:r>
      <w:r w:rsidRPr="003C1D92">
        <w:instrText xml:space="preserve"> ADDIN ZOTERO_ITEM CSL_CITATION {"citationID":"a1ah2lflq3m","properties":{"formattedCitation":"(21)","plainCitation":"(21)","noteIndex":0},"citationItems":[{"id":28450,"uris":["http://zotero.org/users/8364405/items/2664MLZR"],"itemData":{"id":28450,"type":"article-journal","abstract":"Background\nEmotion dysregulation (ED), the difficulty in modulating which emotions are felt, and when and how they are expressed or experienced, has been implicated in an array of psychological disorders. Despite potentially different manifestations depending on the disorder, this symptom is emerging as a transdiagnostic construct that can and should be targeted early, given the associations with various maladaptive behaviors as early as childhood and adolescence. As such, our goal was to investigate the psychotherapeutic interventions used to address ED and gauge their effectiveness, safety, and potential mechanisms across various populations.\nMethods\nThis umbrella systematic review, pre-registered under PROSPERO (registration: CRD42023411452), consolidates evidence from systematic reviews and meta-analyses on psychotherapeutic interventions targeting ED, in accordance with PRISMA guidelines.\nResults\nOur synthesis of quantitative and qualitative evidence from 21 systematic reviews (including 11 meta-analyses) points—with moderate overall risk of bias—to the effectiveness of Dialectical Behavior Therapy and Cognitive Behavioral Therapy in reducing ED in a wide range of adult transdiagnostic psychiatric patients and healthy participants. Similar results have emerged in other less extensively researched methods as well. However, results on adolescents and children are sparse, highlighting the need for additional research to tailor these interventions to the unique challenges of ED in younger populations with diverse externalizing and internalizing disorders.\nConclusions\nThese demonstrated transdiagnostic advantages of psychotherapy for ED underscore the potential for specifically designed interventions that address this issue directly, particularly for high-risk individuals. In these individuals, early interventions targeting transdiagnostic core dimensions may mitigate the emergence of full-blown disorders. Future research on the mediating factors, the durability of intervention effects, and the exploration of understudied interventions and populations may enhance prevention and treatment efficiency, enhancing the quality of life for those affected by varied manifestations of ED.","container-title":"Journal of Psychiatric Research","DOI":"10.1016/j.jpsychires.2024.04.025","ISSN":"0022-3956","journalAbbreviation":"Journal of Psychiatric Research","page":"263-274","source":"ScienceDirect","title":"Interventions targeting emotion regulation: A systematic umbrella review","title-short":"Interventions targeting emotion regulation","volume":"174","author":[{"family":"Saccaro","given":"Luigi F."},{"family":"Giff","given":"Alexis"},{"family":"De Rossi","given":"Maurilio Menduni"},{"family":"Piguet","given":"Camille"}],"issued":{"date-parts":[["2024",6,1]]}}}],"schema":"https://github.com/citation-style-language/schema/raw/master/csl-citation.json"} </w:instrText>
      </w:r>
      <w:r w:rsidRPr="003C1D92">
        <w:fldChar w:fldCharType="separate"/>
      </w:r>
      <w:r w:rsidRPr="003C1D92">
        <w:rPr>
          <w:lang w:val="en-GB"/>
        </w:rPr>
        <w:t>(21)</w:t>
      </w:r>
      <w:r w:rsidRPr="003C1D92">
        <w:fldChar w:fldCharType="end"/>
      </w:r>
      <w:r w:rsidRPr="003C1D92">
        <w:t xml:space="preserve">, identifying robust early markers has proven challenging due to the complex, multifactorial nature of EDD risk. </w:t>
      </w:r>
      <w:bookmarkEnd w:id="3"/>
    </w:p>
    <w:p w14:paraId="3E7BB196" w14:textId="52853947" w:rsidR="00225BF9" w:rsidRPr="003C1D92" w:rsidRDefault="00225BF9" w:rsidP="00EF0772">
      <w:pPr>
        <w:pStyle w:val="NormalWeb"/>
        <w:rPr>
          <w:lang w:val="en-CH" w:eastAsia="en-GB"/>
        </w:rPr>
      </w:pPr>
      <w:r w:rsidRPr="003C1D92">
        <w:lastRenderedPageBreak/>
        <w:t xml:space="preserve">Overall, </w:t>
      </w:r>
      <w:r w:rsidRPr="003C1D92">
        <w:rPr>
          <w:lang w:val="en-CH" w:eastAsia="en-GB"/>
        </w:rPr>
        <w:t xml:space="preserve">a growing body of research supports the conceptual and clinical overlap between bipolar disorder (BD), borderline personality disorder (BPD), and attention-deficit/hyperactivity disorder (ADHD), particularly with respect to emotion dysregulation (ED) as a shared core feature. Eich et al. (2014) demonstrated comparable levels of cyclothymic temperament (a marker of </w:t>
      </w:r>
      <w:r w:rsidRPr="003C1D92">
        <w:rPr>
          <w:lang w:eastAsia="en-GB"/>
        </w:rPr>
        <w:t xml:space="preserve">affective </w:t>
      </w:r>
      <w:r w:rsidRPr="003C1D92">
        <w:rPr>
          <w:lang w:val="en-CH" w:eastAsia="en-GB"/>
        </w:rPr>
        <w:t>lability) in all three conditions, reinforcing affective instability as a common transdiagnostic trait</w:t>
      </w:r>
      <w:r w:rsidRPr="003C1D92">
        <w:rPr>
          <w:lang w:val="en-CH" w:eastAsia="en-GB"/>
        </w:rPr>
        <w:fldChar w:fldCharType="begin"/>
      </w:r>
      <w:r w:rsidRPr="003C1D92">
        <w:rPr>
          <w:lang w:val="en-CH" w:eastAsia="en-GB"/>
        </w:rPr>
        <w:instrText xml:space="preserve"> ADDIN ZOTERO_ITEM CSL_CITATION {"citationID":"lqUD5Hje","properties":{"formattedCitation":"(26)","plainCitation":"(26)","noteIndex":0},"citationItems":[{"id":35962,"uris":["http://zotero.org/users/8364405/items/6IJ34PWU"],"itemData":{"id":35962,"type":"article-journal","abstract":"BACKGROUND: The relationship between borderline personality disorder (BPD), bipolar disorder (BD), and attention deficit/hyperactivity disorder (ADHD) requires further elucidation.\nMETHODS: Seventy-four adult psychiatric in- and out-patients, each of them having received one of these diagnoses on clinical assessment, were interviewed and compared in terms of diagnostic overlap, age and sex distribution, comorbid substance, anxiety and eating disorders, and affective temperament.\nRESULTS: Diagnostic overlap within the three disorders was 54%. Comorbidity patterns and gender ratio did not differ. The disorders showed very similar levels of cyclothymia.\nLIMITATIONS: Sample size was small and only a limited number of validators were tested.\nCONCLUSIONS: The similar extent of cyclothymic temperament suggests mood lability as a common denominator of BPD, BD, and ADHD.","container-title":"Journal of Affective Disorders","DOI":"10.1016/j.jad.2014.05.028","ISSN":"1573-2517","journalAbbreviation":"J Affect Disord","language":"eng","note":"PMID: 25173432","page":"101-104","source":"PubMed","title":"Temperamental differences between bipolar disorder, borderline personality disorder, and attention deficit/hyperactivity disorder: some implications for their diagnostic validity","title-short":"Temperamental differences between bipolar disorder, borderline personality disorder, and attention deficit/hyperactivity disorder","volume":"169","author":[{"family":"Eich","given":"Dominique"},{"family":"Gamma","given":"Alex"},{"family":"Malti","given":"Tina"},{"family":"Vogt Wehrli","given":"Marianne"},{"family":"Liebrenz","given":"Michael"},{"family":"Seifritz","given":"Erich"},{"family":"Modestin","given":"Jiri"}],"issued":{"date-parts":[["2014",12]]}}}],"schema":"https://github.com/citation-style-language/schema/raw/master/csl-citation.json"} </w:instrText>
      </w:r>
      <w:r w:rsidRPr="003C1D92">
        <w:rPr>
          <w:lang w:val="en-CH" w:eastAsia="en-GB"/>
        </w:rPr>
        <w:fldChar w:fldCharType="separate"/>
      </w:r>
      <w:r w:rsidRPr="003C1D92">
        <w:rPr>
          <w:noProof/>
          <w:lang w:val="en-CH" w:eastAsia="en-GB"/>
        </w:rPr>
        <w:t>(26)</w:t>
      </w:r>
      <w:r w:rsidRPr="003C1D92">
        <w:rPr>
          <w:lang w:val="en-CH" w:eastAsia="en-GB"/>
        </w:rPr>
        <w:fldChar w:fldCharType="end"/>
      </w:r>
      <w:r w:rsidRPr="003C1D92">
        <w:rPr>
          <w:lang w:val="en-CH" w:eastAsia="en-GB"/>
        </w:rPr>
        <w:t xml:space="preserve">. Neuroimaging findings by </w:t>
      </w:r>
      <w:bookmarkStart w:id="7" w:name="_Hlk215493918"/>
      <w:r w:rsidRPr="003C1D92">
        <w:rPr>
          <w:lang w:val="en-CH" w:eastAsia="en-GB"/>
        </w:rPr>
        <w:t xml:space="preserve">Kebets </w:t>
      </w:r>
      <w:bookmarkEnd w:id="7"/>
      <w:r w:rsidRPr="003C1D92">
        <w:rPr>
          <w:lang w:val="en-CH" w:eastAsia="en-GB"/>
        </w:rPr>
        <w:t>et al. (2021) further substantiated this convergence, revealing a shared fronto-limbic neural signature of ED across BD, BPD, and ADHD, particularly in regions implicated in emotion regulation and impulse control</w:t>
      </w:r>
      <w:r w:rsidRPr="003C1D92">
        <w:rPr>
          <w:lang w:val="en-CH" w:eastAsia="en-GB"/>
        </w:rPr>
        <w:fldChar w:fldCharType="begin"/>
      </w:r>
      <w:r w:rsidRPr="003C1D92">
        <w:rPr>
          <w:lang w:val="en-CH" w:eastAsia="en-GB"/>
        </w:rPr>
        <w:instrText xml:space="preserve"> ADDIN ZOTERO_ITEM CSL_CITATION {"citationID":"mECSiWf8","properties":{"formattedCitation":"(27)","plainCitation":"(27)","noteIndex":0},"citationItems":[{"id":7970,"uris":["http://zotero.org/users/8364405/items/9WJWR695"],"itemData":{"id":7970,"type":"article-journal","abstract":"Emotion dysregulation is central to the development and maintenance of psychopathology, and is common across many psychiatric disorders. Neurobiological models of emotion dysregulation involve the fronto-limbic brain network, including in particular the amygdala and prefrontal cortex (PFC). Neural variability has recently been suggested as an index of cognitive flexibility. We hypothesized that within-subject neural variability in the fronto-limbic network would be related to inter-individual variation in emotion dysregulation in the context of low affective control. In a multi-site cohort (N = 166, 93 females) of healthy individuals and individuals with emotional dysregulation (attention deficit/hyperactivity disorder (ADHD), bipolar disorder (BD), and borderline personality disorder (BPD)), we applied partial least squares (PLS), a multivariate data-driven technique, to derive latent components yielding maximal covariance between blood-oxygen level-dependent (BOLD) signal variability at rest and emotion dysregulation, as expressed by affective lability, depression and mania scores. PLS revealed one significant latent component (r = 0.62, p = 0.044), whereby greater emotion dysregulation was associated with increased neural variability in the amygdala, hippocampus, ventromedial, dorsomedial and dorsolateral PFC, insula and motor cortex, and decreased neural variability in occipital regions. This spatial pattern bears a striking resemblance to the fronto-limbic network, which is thought to subserve emotion regulation, and is impaired in individuals with ADHD, BD, and BPD. Our work supports emotion dysregulation as a transdiagnostic dimension with neurobiological underpinnings that transcend diagnostic boundaries, and adds evidence to neural variability being a relevant proxy of neural efficiency.","container-title":"Translational Psychiatry","DOI":"10.1038/s41398-021-01666-3","ISSN":"21583188","issue":"1","note":"publisher: Springer US\nPMID: 34675186","page":"1-8","title":"Fronto-limbic neural variability as a transdiagnostic correlate of emotion dysregulation","volume":"11","author":[{"family":"Kebets","given":"Valeria"},{"family":"Favre","given":"Pauline"},{"family":"Houenou","given":"Josselin"},{"family":"Polosan","given":"Mircea"},{"family":"Perroud","given":"Nader"},{"family":"Aubry","given":"Jean Michel"},{"family":"Ville","given":"Dimitri Van De"},{"family":"Piguet","given":"Camille"}],"issued":{"date-parts":[["2021"]]}}}],"schema":"https://github.com/citation-style-language/schema/raw/master/csl-citation.json"} </w:instrText>
      </w:r>
      <w:r w:rsidRPr="003C1D92">
        <w:rPr>
          <w:lang w:val="en-CH" w:eastAsia="en-GB"/>
        </w:rPr>
        <w:fldChar w:fldCharType="separate"/>
      </w:r>
      <w:r w:rsidRPr="003C1D92">
        <w:rPr>
          <w:noProof/>
          <w:lang w:val="en-CH" w:eastAsia="en-GB"/>
        </w:rPr>
        <w:t>(27)</w:t>
      </w:r>
      <w:r w:rsidRPr="003C1D92">
        <w:rPr>
          <w:lang w:val="en-CH" w:eastAsia="en-GB"/>
        </w:rPr>
        <w:fldChar w:fldCharType="end"/>
      </w:r>
      <w:r w:rsidRPr="003C1D92">
        <w:rPr>
          <w:lang w:val="en-CH" w:eastAsia="en-GB"/>
        </w:rPr>
        <w:t>. The ongoing DynAMoND study aims to deepen this understanding through fine-grained digital phenotyping and genetic analyses of affective dysregulation dynamics across the three disorders</w:t>
      </w:r>
      <w:r w:rsidRPr="003C1D92">
        <w:rPr>
          <w:lang w:val="en-CH" w:eastAsia="en-GB"/>
        </w:rPr>
        <w:fldChar w:fldCharType="begin"/>
      </w:r>
      <w:r w:rsidRPr="003C1D92">
        <w:rPr>
          <w:lang w:val="en-CH" w:eastAsia="en-GB"/>
        </w:rPr>
        <w:instrText xml:space="preserve"> ADDIN ZOTERO_ITEM CSL_CITATION {"citationID":"ltMXyGHs","properties":{"formattedCitation":"(28)","plainCitation":"(28)","noteIndex":0},"citationItems":[{"id":35960,"uris":["http://zotero.org/users/8364405/items/5F45EMQY"],"itemData":{"id":35960,"type":"article-journal","abstract":"Attention-deficit/hyperactivity disorder (ADHD) is a common neuro-developmental disorder that often persists into adulthood. Moreover, it is frequently accompanied by bipolar disorder (BD) as well as borderline personality disorder (BPD). It is unclear whether these disorders share underlying pathomechanisms, given that all three are characterized by alterations in affective states, either long or short-term. BD is characterized by infrequent but intense mood shifts, while ADHD and BPD involve more dynamic emotional fluctuations. It is yet to be determined whether these disorders represent distinct phenomena or different points on a spectrum of affective dysregulation.","container-title":"International Journal of Bipolar Disorders","DOI":"10.1186/s40345-024-00367-2","ISSN":"2194-7511","issue":"1","journalAbbreviation":"Int J Bipolar Disord","language":"en","page":"44","source":"Springer Link","title":"Dynamics of affect modulation in neurodevelopmental disorders (DynAMoND) – study design of a prospective cohort study","volume":"12","author":[{"family":"Bayas","given":"Maximilian"},{"family":"Kockler","given":"Tobias D."},{"family":"Ramos-Quiroga","given":"Josep Antoni"},{"family":"Caller","given":"Silvia Muñoz"},{"family":"Fadeuilhe","given":"Christian"},{"family":"Girolamo","given":"Giovanni","non-dropping-particle":"de"},{"family":"Iozzino","given":"Laura"},{"family":"D’Addazio","given":"Miriam"},{"family":"Haavik","given":"Jan"},{"family":"Halmøy","given":"Anne"},{"family":"Hellum","given":"Karin Schiøler"},{"family":"Kolle","given":"Joakim Njaastad"},{"family":"Osnes","given":"Berge"},{"family":"Lundervold","given":"Astri J."},{"family":"Perroud","given":"Nader"},{"family":"Hasler","given":"Roland"},{"family":"De Almeida","given":"Mélanie Teixeira"},{"family":"Ebner-Priemer","given":"Ulrich W."},{"family":"Thanarajah","given":"Sharmili Edwin"},{"family":"Schiweck","given":"Carmen"},{"family":"Matura","given":"Silke"},{"family":"Repple","given":"Jonathan"},{"family":"Reif","given":"Andreas"},{"family":"Aichholzer","given":"Mareike"}],"issued":{"date-parts":[["2024",12,28]]}}}],"schema":"https://github.com/citation-style-language/schema/raw/master/csl-citation.json"} </w:instrText>
      </w:r>
      <w:r w:rsidRPr="003C1D92">
        <w:rPr>
          <w:lang w:val="en-CH" w:eastAsia="en-GB"/>
        </w:rPr>
        <w:fldChar w:fldCharType="separate"/>
      </w:r>
      <w:r w:rsidRPr="003C1D92">
        <w:rPr>
          <w:noProof/>
          <w:lang w:val="en-CH" w:eastAsia="en-GB"/>
        </w:rPr>
        <w:t>(28)</w:t>
      </w:r>
      <w:r w:rsidRPr="003C1D92">
        <w:rPr>
          <w:lang w:val="en-CH" w:eastAsia="en-GB"/>
        </w:rPr>
        <w:fldChar w:fldCharType="end"/>
      </w:r>
      <w:r w:rsidRPr="003C1D92">
        <w:rPr>
          <w:lang w:val="en-CH" w:eastAsia="en-GB"/>
        </w:rPr>
        <w:t xml:space="preserve">. Importantly, shared therapeutic avenues have also emerged: </w:t>
      </w:r>
      <w:bookmarkStart w:id="8" w:name="_Hlk215493956"/>
      <w:r w:rsidRPr="003C1D92">
        <w:rPr>
          <w:lang w:val="en-CH" w:eastAsia="en-GB"/>
        </w:rPr>
        <w:t xml:space="preserve">Durpoix </w:t>
      </w:r>
      <w:bookmarkEnd w:id="8"/>
      <w:r w:rsidRPr="003C1D92">
        <w:rPr>
          <w:lang w:val="en-CH" w:eastAsia="en-GB"/>
        </w:rPr>
        <w:t>et al. (2023) reported that a transdiagnostic dialectical behavior therapy (DBT)-informed group intervention significantly improved emotion regulation in individuals with BD, BPD, or ADHD, with sustained effects at one-year follow-up</w:t>
      </w:r>
      <w:r w:rsidRPr="003C1D92">
        <w:rPr>
          <w:lang w:val="en-CH" w:eastAsia="en-GB"/>
        </w:rPr>
        <w:fldChar w:fldCharType="begin"/>
      </w:r>
      <w:r w:rsidRPr="003C1D92">
        <w:rPr>
          <w:lang w:val="en-CH" w:eastAsia="en-GB"/>
        </w:rPr>
        <w:instrText xml:space="preserve"> ADDIN ZOTERO_ITEM CSL_CITATION {"citationID":"sqGEGM6H","properties":{"formattedCitation":"(29)","plainCitation":"(29)","noteIndex":0},"citationItems":[{"id":35959,"uris":["http://zotero.org/users/8364405/items/DA32NJHT"],"itemData":{"id":35959,"type":"article-journal","abstract":"Dialectical Behavior Therapy (DBT) has assembled a large body of evidence for the treatment of emotional dysregulation in borderline personality disorder (BPD), but also in other disorders characterized by emotional dysregulation (e.g., bipolar disorder (BD) and ADHD). Standalone skills learning groups address the problem of limited resources in several clinical settings. Furthermore, transdiagnostic skills groups facilitate the recruitment and decrease the scattering of resources in psychiatric settings. However, few studies have focused on the pertinence of transdiagnostic standalone skills groups in naturalistic settings as well as their long-term outcomes. The goal of this study is to assess the impact of participation in a transdiagnostic DBT skills group one year after its completion.","container-title":"Borderline Personality Disorder and Emotion Dysregulation","DOI":"10.1186/s40479-023-00243-y","ISSN":"2051-6673","issue":"1","journalAbbreviation":"bord personal disord emot dysregul","language":"en","page":"37","source":"Springer Link","title":"Transdiagnostic skills training group of dialectical behavior therapy: a long-term naturalistic study","title-short":"Transdiagnostic skills training group of dialectical behavior therapy","volume":"10","author":[{"family":"Durpoix","given":"Amaury"},{"family":"Lachaux","given":"Enzo"},{"family":"Weiner","given":"Luisa"},{"family":"Weibel","given":"Sébastien"}],"issued":{"date-parts":[["2023",12,21]]}}}],"schema":"https://github.com/citation-style-language/schema/raw/master/csl-citation.json"} </w:instrText>
      </w:r>
      <w:r w:rsidRPr="003C1D92">
        <w:rPr>
          <w:lang w:val="en-CH" w:eastAsia="en-GB"/>
        </w:rPr>
        <w:fldChar w:fldCharType="separate"/>
      </w:r>
      <w:r w:rsidRPr="003C1D92">
        <w:rPr>
          <w:noProof/>
          <w:lang w:val="en-CH" w:eastAsia="en-GB"/>
        </w:rPr>
        <w:t>(29)</w:t>
      </w:r>
      <w:r w:rsidRPr="003C1D92">
        <w:rPr>
          <w:lang w:val="en-CH" w:eastAsia="en-GB"/>
        </w:rPr>
        <w:fldChar w:fldCharType="end"/>
      </w:r>
      <w:r w:rsidRPr="003C1D92">
        <w:rPr>
          <w:lang w:val="en-CH" w:eastAsia="en-GB"/>
        </w:rPr>
        <w:t>. Collectively, these studies highlight common pathophysiological mechanisms and treatment targets, reinforcing the clinical value of a unified, transdiagnostic approach to ED in these populations.</w:t>
      </w:r>
    </w:p>
    <w:p w14:paraId="68C477C8" w14:textId="01733F2B" w:rsidR="00E9469E" w:rsidRPr="003C1D92" w:rsidRDefault="0023151B" w:rsidP="00EF0772">
      <w:pPr>
        <w:pStyle w:val="NormalWeb"/>
        <w:tabs>
          <w:tab w:val="left" w:pos="1879"/>
        </w:tabs>
      </w:pPr>
      <w:r w:rsidRPr="003C1D92">
        <w:rPr>
          <w:lang w:val="en-CH" w:eastAsia="en-GB"/>
        </w:rPr>
        <w:tab/>
      </w:r>
      <w:bookmarkStart w:id="9" w:name="_Hlk215574363"/>
    </w:p>
    <w:p w14:paraId="2FB104AA" w14:textId="0185436C" w:rsidR="00A15A7D" w:rsidRPr="003C1D92" w:rsidRDefault="00A15A7D" w:rsidP="00EF0772">
      <w:pPr>
        <w:pStyle w:val="Heading2"/>
        <w:spacing w:line="480" w:lineRule="auto"/>
        <w:rPr>
          <w:b w:val="0"/>
        </w:rPr>
      </w:pPr>
      <w:bookmarkStart w:id="10" w:name="_Toc229229954"/>
      <w:bookmarkStart w:id="11" w:name="_Hlk215669763"/>
      <w:r w:rsidRPr="003C1D92">
        <w:t>Rationale for Focusing on Hippocampal Dynamic Functional Connectivity and whole-brain structural connectivity</w:t>
      </w:r>
      <w:bookmarkEnd w:id="10"/>
    </w:p>
    <w:bookmarkEnd w:id="11"/>
    <w:p w14:paraId="350CB338" w14:textId="640F4959" w:rsidR="00A15A7D" w:rsidRPr="003C1D92" w:rsidRDefault="00A15A7D" w:rsidP="00EF0772">
      <w:pPr>
        <w:pStyle w:val="NormalWeb"/>
      </w:pPr>
      <w:r w:rsidRPr="003C1D92">
        <w:t>While, as described below and in the main text, this study adopted a whole-brain approach to assess white matter microstructural alterations through fractional anisotropy (FA), dynamic functional connectivity (</w:t>
      </w:r>
      <w:proofErr w:type="spellStart"/>
      <w:r w:rsidRPr="003C1D92">
        <w:t>dFC</w:t>
      </w:r>
      <w:proofErr w:type="spellEnd"/>
      <w:r w:rsidRPr="003C1D92">
        <w:t>) analyses were intentionally focused on the hippocampus. This decision was motivated by extensive theoretical and empirical evidence positioning the hippocampus as a key hub in emotion regulation (ER) networks</w:t>
      </w:r>
      <w:r w:rsidRPr="003C1D92">
        <w:fldChar w:fldCharType="begin"/>
      </w:r>
      <w:r w:rsidRPr="003C1D92">
        <w:instrText xml:space="preserve"> ADDIN ZOTERO_ITEM CSL_CITATION {"citationID":"N31BksTx","properties":{"formattedCitation":"(30,31)","plainCitation":"(30,31)","noteIndex":0},"citationItems":[{"id":7936,"uris":["http://zotero.org/users/8364405/items/FN3JE8AW"],"itemData":{"id":7936,"type":"article-journal","abstract":"Objective: In this critical review, the authors appraise neuroimaging findings in bipolar disorder in emotionprocessing, emotionregulation, and rewardprocessing neural circuitry in order to synthesize the current knowledge of the neural underpinnings of bipolar disorder and provide a neuroimaging research road map for future studies. Method: The authors examined findings from all major studies in bipolar disorder that used functional MRI, volumetric analysis, diffusion imaging, and restingstate techniques, integrating findings to provide a better understanding of largerscale neural circuitry abnormalities in bipolar disorder. Results: Bipolar disorder can be conceptualized, in neural circuitry terms, as parallel dysfunction in prefrontal cortical (especially ventrolateral prefrontal cortical) hippocampalamygdala emotionprocessing and emotionregulation circuits bilaterally, together with an \"overactive\" leftsided ventral striatalventrolateral and orbitofrontal cortical rewardprocessing circuitry, resulting in characteristic behavioral abnormalities associated with bipolar disorder: emotional lability, emotional dysregulation, and heightened reward sensitivity. A potential structural basis for these functional abnormalities is gray matter volume decreases in the prefrontal and temporal cortices, the amygdala, and the hippocampus and fractional anisotropy decreases in white matter tracts connecting prefrontal and subcortical regions. Conclusions: Neuroimaging studies of bipolar disorder clearly demonstrate abnormalities in neural circuits supporting emotion processing, emotion regulation, and reward processing, although there are several limitations to these studies. Future neuroimaging research in bipolar disorder should include studies adopting dimensional approaches; larger studies examining neurodevelopmental trajectories in youths with bipolar disorder or at risk for bipolar disorder; multimodal neuroimaging studies using integrated systems approaches; and studies using pattern recognition approaches to provide clinically useful individuallevel data. Such studies will help identify clinically relevant biomarkers to guide diagnosis and treatment decision making for individuals with bipolar disorder.","container-title":"American Journal of Psychiatry","DOI":"10.1176/appi.ajp.2014.13081008","ISSN":"15357228","issue":"8","note":"PMID: 24626773","page":"829-843","title":"A critical appraisal of neuroimaging studies of bipolar disorder: Toward a new conceptualization of underlying neural circuitry and a road map for future research","volume":"171","author":[{"family":"Phillips","given":"Mary L."},{"family":"Swartz","given":"Holly A."}],"issued":{"date-parts":[["2014"]]}}},{"id":28423,"uris":["http://zotero.org/users/8364405/items/YJVXNT63"],"itemData":{"id":28423,"type":"article-journal","abstract":"Memories play a ubiquitous role in our emotional lives, both causing vivid emotional experiences in their own right and imbuing perception of the external world with emotional significance. Controlling the emotional impact of memories therefore poses a major emotion-regulation challenge, suggesting that there might be a hitherto unexplored link between the neurocognitive mechanisms underlying memory control (MC) and emotion regulation. We present here a theoretical account of how the mechanisms of MC constitute core component processes of cognitive emotion regulation (CER), and how this observation may help to understand its basic mechanisms and their disruption in psychiatric disorders.","container-title":"Trends in Cognitive Sciences","DOI":"10.1016/j.tics.2018.07.015","ISSN":"1879-307X","issue":"11","journalAbbreviation":"Trends Cogn Sci","language":"eng","note":"PMID: 30122359\nPMCID: PMC6198111","page":"982-995","source":"PubMed","title":"Memory Control: A Fundamental Mechanism of Emotion Regulation","title-short":"Memory Control","volume":"22","author":[{"family":"Engen","given":"Haakon G."},{"family":"Anderson","given":"Michael C."}],"issued":{"date-parts":[["2018",11]]}}}],"schema":"https://github.com/citation-style-language/schema/raw/master/csl-citation.json"} </w:instrText>
      </w:r>
      <w:r w:rsidRPr="003C1D92">
        <w:fldChar w:fldCharType="separate"/>
      </w:r>
      <w:r w:rsidRPr="003C1D92">
        <w:rPr>
          <w:lang w:val="en-GB"/>
        </w:rPr>
        <w:t>(30,31)</w:t>
      </w:r>
      <w:r w:rsidRPr="003C1D92">
        <w:fldChar w:fldCharType="end"/>
      </w:r>
      <w:r w:rsidRPr="003C1D92">
        <w:t xml:space="preserve">. The hippocampus </w:t>
      </w:r>
      <w:r w:rsidRPr="003C1D92">
        <w:lastRenderedPageBreak/>
        <w:t xml:space="preserve">integrates affective, cognitive, and sensorimotor information via its anterior–posterior axis, and it is central to </w:t>
      </w:r>
      <w:proofErr w:type="spellStart"/>
      <w:r w:rsidRPr="003C1D92">
        <w:t>fronto</w:t>
      </w:r>
      <w:proofErr w:type="spellEnd"/>
      <w:r w:rsidRPr="003C1D92">
        <w:t>-limbic circuits regulating emotion and stress</w:t>
      </w:r>
      <w:r w:rsidRPr="003C1D92">
        <w:fldChar w:fldCharType="begin"/>
      </w:r>
      <w:r w:rsidRPr="003C1D92">
        <w:instrText xml:space="preserve"> ADDIN ZOTERO_ITEM CSL_CITATION {"citationID":"KGK4EFyL","properties":{"formattedCitation":"(32\\uc0\\u8211{}34)","plainCitation":"(32–34)","noteIndex":0},"citationItems":[{"id":7924,"uris":["http://zotero.org/users/8364405/items/4QTCXPE4"],"itemData":{"id":7924,"type":"article-journal","abstract":"The internal organization of hippocampal formation has been studied for more than a century. Although early accounts emphasized its subfields along the medial–lateral axis, findings in recent decades have highlighted also the anterior-to-posterior (i.e., longitudinal) axis as a key contributor to this brain region's functional organization. Hence, understanding of hippocampal function likely demands characterizing both medial-to-lateral and anterior-to-posterior axes, an approach that has been concretized by recent advances in in vivo parcellation and gradient mapping techniques. Following a short historical overview, we review the evidence provided by these approaches in brain-mapping studies, as well as the perspectives they open for addressing the behavioral relevance of the interacting organizational axes in healthy and clinical populations.","container-title":"Trends in Neurosciences","DOI":"10.1016/j.tins.2021.10.003","ISSN":"1878108X","issue":"12","note":"publisher: The Authors","page":"977-989","title":"The many dimensions of human hippocampal organization and (dys)function","volume":"44","author":[{"family":"Genon","given":"Sarah"},{"family":"Bernhardt","given":"Boris C."},{"family":"Joie","given":"Renaud La"},{"family":"Amunts","given":"Katrin"},{"family":"Eickhoff","given":"Simon B."}],"issued":{"date-parts":[["2021"]]}}},{"id":7905,"uris":["http://zotero.org/users/8364405/items/L5GAE36J"],"itemData":{"id":7905,"type":"article-journal","abstract":"The hippocampus displays a complex organization and function that is perturbed in many neuropathologies. Histological work revealed a complex arrangement of subfields along the medial-lateral and the ventral-dorsal dimension, which contrasts with the anterior-posterior functional differentiation. The variety of maps has raised the need for an integrative multimodal view. We applied connectivity-based parcellation to 1) intrinsic connectivity 2) task-based connectivity, and 3) structural covariance, as complementary windows into structural and functional differentiation of the hippocampus. Strikingly, while functional properties (i.e., intrinsic and task-based) revealed similar partitions dominated by an anterior-posterior organization, structural covariance exhibited a hybrid pattern reflecting both functional and cytoarchitectonic subdivision. Capitalizing on the consistency of functional parcellations, we defined robust functional maps at different levels of partitions, which are openly available for the scientific community. Our functional maps demonstrated a head-body and tail partition, subdivided along the anterior-posterior and medial-lateral axis. Behavioral profiling of these fine partitions based on activation data indicated an emotion-cognition gradient along the anterior-posterior axis and additionally suggested a self-world-centric gradient supporting the role of the hippocampus in the construction of abstract representations for spatial navigation and episodic memory.","container-title":"Cerebral Cortex","DOI":"10.1093/cercor/bhy336","ISSN":"14602199","issue":"11","note":"PMID: 30721944","page":"4595-4612","title":"Multimodal Parcellations and Extensive Behavioral Profiling Tackling the Hippocampus Gradient","volume":"29","author":[{"family":"Plachti","given":"Anna"},{"family":"Eickhoff","given":"Simon B."},{"family":"Hoffstaedter","given":"Felix"},{"family":"Patil","given":"Kaustubh R."},{"family":"Laird","given":"Angela R."},{"family":"Fox","given":"Peter T."},{"family":"Amunts","given":"Katrin"},{"family":"Genon","given":"Sarah"}],"issued":{"date-parts":[["2019"]]}}},{"id":8612,"uris":["http://zotero.org/users/8364405/items/JF6X6MYK"],"itemData":{"id":8612,"type":"article-journal","abstract":"Many neuroimaging studies have shown that the hippocampus participates in a resting-state network called the default mode network. However, how the hippocampus connects to the default mode network, whether the hippocampus connects to other resting-state networks and how the different hippocampal subfields take part in resting-state networks remains poorly understood. Here, we examined these issues using the high spatial-resolution 7T resting-state fMRI dataset from the Human Connectome Project. We used data-driven techniques that relied on spatially-restricted Independent Component Analysis, Dual Regression and linear mixed-effect group-analyses based on participant-specific brain morphology. The results revealed two main activity hotspots inside the hippocampus. The first hotspot was located in an anterior location and was correlated with the somatomotor network. This network was subserved by co-activity in the CA1, CA3, CA4 and Dentate Gyrus fields. In addition, there was an activity hotspot that extended from middle to posterior locations along the hippocampal long-axis and correlated with the default mode network. This network reflected activity in the Subiculum, CA4 and Dentate Gyrus fields. These results show how different sections of the hippocampus participate in two known resting-state networks and how these two resting-state networks depend on different configurations of hippocampal subfield co-activity.","container-title":"European Journal of Neuroscience","DOI":"10.1111/ejn.15213","ISSN":"14609568","issue":"10","note":"PMID: 33786931","page":"3378-3393","title":"Functional connectivity of the hippocampus and its subfields in resting-state networks","volume":"53","author":[{"family":"Ezama","given":"Laura"},{"family":"Hernández-Cabrera","given":"Juan A."},{"family":"Seoane","given":"Sara"},{"family":"Pereda","given":"Ernesto"},{"family":"Janssen","given":"Niels"}],"issued":{"date-parts":[["2021"]]}}}],"schema":"https://github.com/citation-style-language/schema/raw/master/csl-citation.json"} </w:instrText>
      </w:r>
      <w:r w:rsidRPr="003C1D92">
        <w:fldChar w:fldCharType="separate"/>
      </w:r>
      <w:r w:rsidRPr="003C1D92">
        <w:rPr>
          <w:lang w:val="en-GB"/>
        </w:rPr>
        <w:t>(32–34)</w:t>
      </w:r>
      <w:r w:rsidRPr="003C1D92">
        <w:fldChar w:fldCharType="end"/>
      </w:r>
      <w:r w:rsidRPr="003C1D92">
        <w:t>. It is also uniquely sensitive to peripheral influences such as inflammatory signaling and stress hormones, two domains implicated in the pathophysiology of emotion dysregulation disorders (EDD)</w:t>
      </w:r>
      <w:r w:rsidRPr="003C1D92">
        <w:fldChar w:fldCharType="begin"/>
      </w:r>
      <w:r w:rsidRPr="003C1D92">
        <w:instrText xml:space="preserve"> ADDIN ZOTERO_ITEM CSL_CITATION {"citationID":"vf1vJgmm","properties":{"formattedCitation":"(35\\uc0\\u8211{}39,39\\uc0\\u8211{}41)","plainCitation":"(35–39,39–41)","noteIndex":0},"citationItems":[{"id":6433,"uris":["http://zotero.org/users/8364405/items/KNBQVT57"],"itemData":{"id":6433,"type":"article-journal","abstract":"The hippocampus plays a main role in regulating stress response in humans, but is itself highly sensitive to neurotoxic effects of repeated stressful episodes. Hippocampal atrophy related to experimental stress has been reported in laboratory studies in animals. Several controlled brain imaging studies have also shown hippocampal abnormalities in psychiatric disorders, including posttraumatic stress disorder (PTSD), major depressive disorder (MDD), and borderline personality disorder (BPD). This paper reviews the physiological role of the hippocampus in stress circuitry and the effects of stress on cognitive functions mediated by the hippocampus. We also review brain imaging studies investigating hippocampus in PTSD, MDD, and BPD. This literature suggests that individuals with PTSD, MDD, and BPD may suffer hippocampal atrophy as a result of stressors associated with these disorders. Prospective, longitudinal studies will be needed in high-risk offspring and first-episode subjects to explore the relationship between stress and hippocampal atrophy in these neuropsychiatric illnesses.","container-title":"European Neuropsychopharmacology","DOI":"10.1016/j.euroneuro.2003.12.005","ISSN":"0924977X","issue":"5","note":"PMID: 15336301","page":"393-405","title":"Stress and hippocampal abnormalities in psychiatric disorders","volume":"14","author":[{"family":"Sala","given":"M."},{"family":"Perez","given":"J."},{"family":"Soloff","given":"P."},{"family":"Nemi","given":"S. Ucelli","dropping-particle":"di"},{"family":"Caverzasi","given":"E."},{"family":"Soares","given":"J. C."},{"family":"Brambilla","given":"P."}],"issued":{"date-parts":[["2004",10]]}}},{"id":13172,"uris":["http://zotero.org/users/8364405/items/QJBW3PL5"],"itemData":{"id":13172,"type":"article-journal","abstract":"Background: Redox dysregulation, a risk factor for schizophrenia, is an important factor affecting white matter connectivity. The fornix, major input and output of the hippocampus is sensitive to oxidative stress as shown by a DTI study in a model of glutathione deficit in juvenile mice (see poster by A. Corcoba). The purpose of the current study was to assess fornix and hippocampal integrity in patients in the early phase of psychosis (EP) and study the relationship with peripheral oxidative stress markers (OS). Methods: Diffusion Spectrum Imaging and structural MRI were used to assess fornix and hippocampus in 34 EP (20 males/14 females; mean age=23.9+/- 4.7) as well as 37 gender and age-matched controls (27 males/10 females; mean age=24.7+/-5.3). Patients were recruited from the TIPP program (Treatment and Early intervention in Psychosis Program-Switzerland). Generalized Fractional Anisotropy (gFA), Apparent Diffusion Coefficient (ADC) and volume were used to measure fornix and hippocampal integrity. Pearson correlation was used to assess the relationship of gFA in the fornix and hippocampal volume with OS. Results: Differences between EP compared to controls were found in the fornix (gFA, ADC, volume; p&lt;0.05) as well as in bilateral hippocampi (ADC, volume; p&lt;0.001). gFA in the fornix correlated with hippocampal volume in patients only (p=0.01). In EP but not in controls, total hippocampal volume was negatively associated with OS. Conclusions: Our findings suggest that abnormalities in the fornix and hippocampus are already present in the early stages of psychosis. In EP, lower hippocampal volume was associated with higher levels of OS.","archive":"Embase","container-title":"Biological Psychiatry","DOI":"10.1016/j.biopsych.2014.03.014","ISSN":"0006-3223","issue":"9","journalAbbreviation":"Biol. Psychiatry","language":"English","page":"109S","title":"Integrity of the fornix and hippocampus and relationship with peripheral oxidative stress markers in early phase psychosis","volume":"75","author":[{"family":"Baumann","given":"P.S."},{"family":"Griffa","given":"A."},{"family":"Ferrari","given":"C."},{"family":"Alameda","given":"L."},{"family":"Thiran","given":"J.-P."},{"family":"Do","given":"K.Q."},{"family":"Hagmann","given":"P."},{"family":"Conus","given":"P."}],"issued":{"date-parts":[["2014"]]}}},{"id":7935,"uris":["http://zotero.org/users/8364405/items/CLL7JDSY"],"itemData":{"id":7935,"type":"article-journal","abstract":"Adult hippocampal neurogenesis is involved in memory and learning, and disrupted neurogenesis is implicated in cognitive impairment and mood disorders, including anxiety and depression. Some long-term peripheral illnesses and metabolic disorders, as well as normal aging, create a state of chronic peripheral inflammation. These conditions are associated with behavioral disturbances linked to disrupted adult hippocampal neurogenesis, such as cognitive impairment, deficits in learning and memory, and depression and anxiety. Pro-inflammatory cytokines released in the periphery are involved in peripheral immune system-to-brain communication by activating resident microglia in the brain. Activated microglia reduce neurogenesis by suppressing neuronal stem cell proliferation, increasing apoptosis of neuronal progenitor cells, and decreasing survival of newly developing neurons and their integration into existing neuronal circuits. In this review, we summarize evolving evidence that the state of chronic peripheral inflammation reduces adult hippocampal neurogenesis, which, in turn, produces the behavioral disturbances observed in chronic inflammatory disorders. As there are no data available on neurogenesis in humans with chronic peripheral inflammatory disease, we focus on animal models and, in parallel, consider the evidence of cognitive disturbance and mood disorders in human patients.","container-title":"Brain, Behavior, and Immunity","DOI":"10.1016/j.bbi.2016.01.017","ISSN":"10902139","note":"publisher: Elsevier Inc.\nPMID: 26802985","page":"1-8","title":"Chronic peripheral inflammation, hippocampal neurogenesis, and behavior","volume":"58","author":[{"family":"Chesnokova","given":"Vera"},{"family":"Pechnick","given":"Robert N."},{"family":"Wawrowsky","given":"Kolja"}],"issued":{"date-parts":[["2016"]]}}},{"id":7933,"uris":["http://zotero.org/users/8364405/items/K4TG4LC3"],"itemData":{"id":7933,"type":"article-journal","abstract":"Background: Adult neurogenesis in the subgranular zone of the hippocampus is involved in learning, memory, and mood control. Decreased hippocampal neurogenesis elicits significant behavioral changes, including cognitive impairment and depression. Inflammatory bowel disease (IBD) is a group of chronic inflammatory conditions of the intestinal tract, and cognitive dysfunction and depression frequently occur in patients suffering from this disorder. We therefore tested the effects of chronic intestinal inflammation on hippocampal neurogenesis. Methods: The dextran sodium sulfate (DSS) mouse model of IBD was used. Mice were treated with multiple-cycle administration of 3% wt/vol DSS in drinking water on days 1 to 5, 8 to 12, 15 to 19, and 22 to 26. Mice were sacrificed on day 7 (acute phase of inflammation) or day 29 (chronic phase of inflammation) after the beginning of the treatment. Results: During the acute phase of inflammation, we found increased plasma levels of IL-6 and TNF-α and increased expression of Iba1, a marker of activated microglia, accompanied by induced IL-6 and IL-1β, and the cyclin-dependent kinase inhibitor p21Cip1 (p21) in hippocampus. During the chronic phase of inflammation, plasma levels of IL-6 were elevated. In the hippocampus, p21 protein levels were continued to be induced. Furthermore, markers of stem/early progenitor cells, including nestin and brain lipid binding protein (BLBP), and neuronal marker doublecortin (DCX) were all down-regulated, whereas glial fibrillary acidic protein (GFAP), a marker for astroglia, was induced. In addition, the number of proliferating precursors of neuronal lineage assessed by double Ki67 and DCX staining was significantly diminished in the hippocampus of DSS-treated animals, indicating decreased production of new neurons. Conclusions: We show for the first time that chronic intestinal inflammation alters hippocampal neurogenesis. As p21 arrests early neuronal progenitor proliferation, it is likely that p21 induction during acute phase of inflammation resulted in the reduction of hippocampal neurogenesis observed later, on day 29, after the beginning of DSS treatment. The reduction in hippocampal neurogenesis might underlie the behavioral manifestations that occur in patients with IBD.","container-title":"Journal of Neuroinflammation","DOI":"10.1186/s12974-015-0281-0","ISSN":"17422094","issue":"1","note":"PMID: 25889852","page":"1-12","title":"Chronic intestinal inflammation alters hippocampal neurogenesis","volume":"12","author":[{"family":"Zonis","given":"Svetlana"},{"family":"Pechnick","given":"Robert N."},{"family":"Ljubimov","given":"Vladimir A."},{"family":"Mahgerefteh","given":"Michael"},{"family":"Wawrowsky","given":"Kolja"},{"family":"Michelsen","given":"Kathrin S."},{"family":"Chesnokova","given":"Vera"}],"issued":{"date-parts":[["2015"]]}}},{"id":7957,"uris":["http://zotero.org/users/8364405/items/JIFMP85E"],"itemData":{"id":7957,"type":"article-journal","container-title":"Journal of Comparative Neurology","ISSN":"0021-9967","note":"publisher: Wiley Online Library","title":"Hippocampal interneurons are direct targets for circulating glucocorticoids","author":[{"family":"Kraus","given":"Kimberly L."},{"family":"Chordia","given":"Arihant P."},{"family":"Drake","given":"Austin W."},{"family":"Herman","given":"James P."},{"family":"Danzer","given":"Steve C."}],"issued":{"date-parts":[["2022"]]}}},{"id":7957,"uris":["http://zotero.org/users/8364405/items/JIFMP85E"],"itemData":{"id":7957,"type":"article-journal","container-title":"Journal of Comparative Neurology","ISSN":"0021-9967","note":"publisher: Wiley Online Library","title":"Hippocampal interneurons are direct targets for circulating glucocorticoids","author":[{"family":"Kraus","given":"Kimberly L."},{"family":"Chordia","given":"Arihant P."},{"family":"Drake","given":"Austin W."},{"family":"Herman","given":"James P."},{"family":"Danzer","given":"Steve C."}],"issued":{"date-parts":[["2022"]]}}},{"id":7910,"uris":["http://zotero.org/users/8364405/items/DTYQB73Z"],"itemData":{"id":7910,"type":"article-journal","abstract":"The hypothalamic-pituitary-adrenal (HPA) axis is the major endocrine stress axis of the human organism. Cortisol, the final hormone of this axis, affects metabolic, cardiovascular and central nervous systems both acutely and chronically. Recent advances in neuroimaging techniques have led to the investigation of regulatory networks and mechanisms of cortisol regulation in the central nervous system in human populations. In the following review, results from human and animal studies are being presented that investigate the specific role of hippocampus (HC), amygdala (AG), prefrontal cortex (PFC), and brainstem nuclei in cortisol regulation in response to stress. In general, the types of stressors need to be distinguished when discussing the contributions of these structures in regulating the HPA axis. We propose a basic framework on how these structures communicate as a network to regulate cortisol secretion in response to psychological stress. Furthermore, we review critical studies that have substantially contributed to the literature. Possible future research avenues in the field of neuroimaging of cortisol regulation are discussed. In combination with investigations on genetic and environmental factors that influence the development of the HPA axis, this emerging new research will eventually allow the formulation of a more comprehensive framework of functional neuroanatomy of cortisol regulation. © 2009 Elsevier Inc. All rights reserved.","container-title":"NeuroImage","DOI":"10.1016/j.neuroimage.2009.05.074","ISSN":"10538119","issue":"3","note":"publisher: Elsevier Inc.\nPMID: 19500680","page":"864-871","title":"The brain and the stress axis: The neural correlates of cortisol regulation in response to stress","volume":"47","author":[{"family":"Dedovic","given":"Katarina"},{"family":"Duchesne","given":"Annie"},{"family":"Andrews","given":"Julie"},{"family":"Engert","given":"Veronika"},{"family":"Pruessner","given":"Jens C."}],"issued":{"date-parts":[["2009"]]}}},{"id":8207,"uris":["http://zotero.org/users/8364405/items/IJSCQ5RY"],"itemData":{"id":8207,"type":"article-journal","abstract":"Under typical conditions, medial prefrontal cortex (mPFC) connections with the amygdala are immature during childhood and become adult-like during adolescence. Rodent models show that maternal deprivation accelerates this development, prompting examination of human amygdala-mPFC phenotypes following maternal deprivation. Previously institutionalized youths, who experienced early maternal deprivation, exhibited atypical amygdala-mPFC connectivity. Specifically, unlike the immature connectivity (positive amygdala-mPFC coupling) of comparison children, children with a history of early adversity evidenced mature connectivity (negative amygdala-mPFC coupling) and thus, resembled the adolescent phenotype. This connectivity pattern was mediated by the hormone cortisol, suggesting that stress-induced modifications of the hypothalamic-pituitary-adrenal axis shape amygdala-mPFC circuitry. Despite being age-atypical, negative amygdala-mPFC coupling conferred some degree of reduced anxiety, although anxiety was still significantly higher in the previously institutionalized group. These findings suggest that accelerated amygdala-mPFC development is an ontogenetic adaptation in response to early adversity.","container-title":"Proceedings of the National Academy of Sciences of the United States of America","DOI":"10.1073/pnas.1307893110","ISSN":"1091-6490 (Electronic)","issue":"39","note":"PMID: 24019460","page":"15638-15643","title":"Early developmental emergence of human amygdala-prefrontal connectivity after maternal deprivation.","volume":"110","author":[{"family":"Gee","given":"Dylan G."},{"family":"Gabard-Durnam","given":"Laurel J."},{"family":"Flannery","given":"Jessica"},{"family":"Goff","given":"Bonnie"},{"family":"Humphreys","given":"Kathryn L."},{"family":"Telzer","given":"Eva H."},{"family":"Hare","given":"Todd A."},{"family":"Bookheimer","given":"Susan Y."},{"family":"Tottenham","given":"Nim"}],"issued":{"date-parts":[["2013",9]]}}}],"schema":"https://github.com/citation-style-language/schema/raw/master/csl-citation.json"} </w:instrText>
      </w:r>
      <w:r w:rsidRPr="003C1D92">
        <w:fldChar w:fldCharType="separate"/>
      </w:r>
      <w:r w:rsidRPr="003C1D92">
        <w:rPr>
          <w:lang w:val="en-GB"/>
        </w:rPr>
        <w:t>(35–39,39–41)</w:t>
      </w:r>
      <w:r w:rsidRPr="003C1D92">
        <w:fldChar w:fldCharType="end"/>
      </w:r>
      <w:r w:rsidRPr="003C1D92">
        <w:t>.</w:t>
      </w:r>
    </w:p>
    <w:p w14:paraId="788B9107" w14:textId="7D7E3FEC" w:rsidR="00930E66" w:rsidRPr="003C1D92" w:rsidRDefault="00A15A7D" w:rsidP="00EF0772">
      <w:pPr>
        <w:pStyle w:val="NormalWeb"/>
      </w:pPr>
      <w:bookmarkStart w:id="12" w:name="_Hlk220230486"/>
      <w:r w:rsidRPr="003C1D92">
        <w:t xml:space="preserve">Given this convergence of functional, structural, and immunological </w:t>
      </w:r>
      <w:bookmarkEnd w:id="12"/>
      <w:r w:rsidRPr="003C1D92">
        <w:t>relevance</w:t>
      </w:r>
      <w:r w:rsidRPr="003C1D92">
        <w:fldChar w:fldCharType="begin"/>
      </w:r>
      <w:r w:rsidRPr="003C1D92">
        <w:instrText xml:space="preserve"> ADDIN ZOTERO_ITEM CSL_CITATION {"citationID":"AWH9q9IS","properties":{"formattedCitation":"(42\\uc0\\u8211{}50)","plainCitation":"(42–50)","noteIndex":0},"citationItems":[{"id":8764,"uris":["http://zotero.org/users/8364405/items/V5XS6H9D"],"itemData":{"id":8764,"type":"article-journal","abstract":"Exposure to early life stress (ELS) increases the risk for developing psychopathology; however, the mechanisms underlying this association are not clear. In this study we examined systemic inflammation as a pathway that may link exposure to stress to altered neural correlates of implicit emotion regulation in adolescents with varying levels of exposure to ELS (n = 83; 52 females, 31 males; 15.63 ± 1.10 years). We measured ventrolateral prefrontal cortex (vlPFC) activation and functional connectivity (FC) between the bilateral amygdala and the vlPFC as adolescents completed an affect labeling task in the scanner and assessed concentrations of C-reactive protein (CRP) using a dried blood spot protocol. We found that CRP levels were negatively associated with vlPFC activation during implicit regulation of negatively-valenced stimuli, and that cumulative severity of ELS exposure moderated this neuroimmune association. Severity of ELS also significantly moderated the association between CRP levels and FC between the bilateral amygdala and L-vlPFC during implicit emotion regulation: in adolescents who had been exposed to more severe ELS, higher CRP was associated with more negative frontoamygdala FC during implicit regulation of negatively-valenced stimuli. Thus, ELS may disrupt the normative association between the immune system and the neural processes that underlie socioemotional functioning potentially increasing adolescents’ risk for maladaptive outcomes.","container-title":"Brain, Behavior, and Immunity","DOI":"10.1016/j.bbi.2022.07.007","ISSN":"10902139","note":"publisher: Academic Press Inc.\nPMID: 35842188","page":"169-179","title":"Early life stress, systemic inflammation, and neural correlates of implicit emotion regulation in adolescents","volume":"105","author":[{"family":"Yuan","given":"Justin P."},{"family":"Ho","given":"Tiffany C."},{"family":"Coury","given":"Saché M."},{"family":"Chahal","given":"Rajpreet"},{"family":"Colich","given":"Natalie L."},{"family":"Gotlib","given":"Ian H."}],"issued":{"date-parts":[["2022",10]]}}},{"id":8763,"uris":["http://zotero.org/users/8364405/items/9Q3FKM7C"],"itemData":{"id":8763,"type":"article-journal","abstract":"Chronic inflammation is implicated in a variety of diseases (e.g., cardiovascular disease and cancer). Much evidence suggests that early life adversity (ELA), such as maltreatment or neglect, can increase risk for inflammation in adulthood. ELA may program proinflammatory activity via its effects on brain areas involved in emotion regulation. Of multiple emotion regulation strategies, some are considered maladaptive (e.g., expressive suppression), while others are generally adaptive (e.g., cognitive reappraisal). We propose a conceptual framework for how emotion regulation tendencies may affect vulnerability or resilience to inflammation in adults who experienced adversity in childhood and/or adolescence. In support of this framework, we summarize evidence for the relationships between emotion dysregulation and higher inflammation (i.e., vulnerability), as well as between cognitive reappraisal and lower inflammation (i.e., resilience), in healthy adults with a history of ELA. Plausible neurobiological, physiological, psychosocial, and ELA-specific factors, as well as interventions, contributing to these associations are discussed. Strengths and limitations of the extant research, in addition to ideas for future directions, are presented.","container-title":"Adversity and Resilience Science","DOI":"10.1007/s42844-022-00051-3","ISSN":"2662-2424","issue":"1","note":"publisher: Springer Science and Business Media LLC","page":"1-19","title":"Emotion Regulation as a Pathway Connecting Early Life Adversity and Inflammation in Adulthood: a Conceptual Framework","volume":"3","author":[{"family":"Mathur","given":"Ambika"},{"family":"Li","given":"Jacinda C."},{"family":"Lipitz","given":"Sarah R."},{"family":"Graham-Engeland","given":"Jennifer E."}],"issued":{"date-parts":[["2022",3]]}}},{"id":7928,"uris":["http://zotero.org/users/8364405/items/HRFNTQZP"],"itemData":{"id":7928,"type":"article-journal","abstract":"The study aimed at investigating the potential impact of early stressful events on the clinical manifestations of bipolar disorder (BD). A sample of 162 adult individuals with BD was assessed using the Structural Clinical Interview for DSM-5, the Beck Depression Inventory-II, the Young Mania Rating Scale, the Early Trauma Inventory Self Report-Short Form, the Biological Rhythms Interview of Assessment in Neuropsychiatry, the Insomnia Severity Index, and the Scale for Suicide Ideation. A significant path coefficient indicated a direct effect of early life stressors on biological rhythms (coeff. = 0.26; p &lt; 0.001) and of biological rhythms on depressive symptoms (coeff. = 0.5; p &lt; 0.001), suicidal risk (coeff. = 0.3; p &lt; 0.001), and insomnia (coeff. = 0.34; p &lt; 0.001). Data suggested that the desynchronization of chronobiological rhythms might be one mediator of the association between early life stress and the severity of mood symptoms/suicidal ideation in BD. Addressing circadian rhythm alterations in subjects exposed to early stressors would help in preventing consequences of those stressors on BD.","container-title":"The Journal of Nervous and Mental Disease","ISSN":"0022-3018","issue":"7","title":"Early Life Stress and Chronobiological Rhythms Desynchronization: Possible Impact on Mood Symptoms and Suicidal Ideation in Bipolar Disorder","URL":"https://journals.lww.com/jonmd/Fulltext/2021/07000/Early_Life_Stress_and_Chronobiological_Rhythms.10.aspx","volume":"209","author":[{"family":"Caruso","given":"Danila"},{"family":"Palagini","given":"Laura"},{"family":"Miniati","given":"Mario"},{"family":"Massa","given":"Lucia"},{"family":"Marazziti","given":"Donatella"},{"family":"Geoffroy","given":"Pierre Alexis"},{"family":"Etain","given":"Bruno"}],"issued":{"date-parts":[["2021"]]}}},{"id":2431,"uris":["http://zotero.org/users/8364405/items/BT7CV49J"],"itemData":{"id":2431,"type":"article-journal","abstract":"Attention-deﬁcit/hyperactivity disorder (ADHD) is a prevalent and serious neurodevelopmental disorder characterized by symptoms of inattention and/or hyperactivity/impulsivity. Chronic and childhood stress is involved in ADHD development, and ADHD is highly comorbid with anxiety. Similarly, inﬂammatory diseases and a pro-inﬂammatory state have been associated with ADHD. However, while several works have studied the relationship between peripheral inﬂammation and stress in affective disorders such as depression or bipolar disorder, fewer have explored this association in ADHD. In this narrative review we synthetize evidence showing an interplay between stress, anxiety, and immune dysregulation in ADHD, and we discuss the implications of a potential disrupted neuroendocrine stress response in ADHD. Moreover, we highlight confounding factors and limitations of existing studies on this topic and critically debate multidirectional hypotheses that either suggest inﬂammation, stress, or anxiety as a cause in ADHD pathophysiology or inﬂammation as a consequence of this disease. Untangling these relationships will have diagnostic, therapeutic and prognostic implications for ADHD patients.","container-title":"Biomedicines","DOI":"10.3390/biomedicines9101313","ISSN":"2227-9059","issue":"10","journalAbbreviation":"Biomedicines","language":"en","page":"1313","source":"DOI.org (Crossref)","title":"Inflammation, Anxiety, and Stress in Attention-Deficit/Hyperactivity Disorder","volume":"9","author":[{"family":"Saccaro","given":"Luigi F."},{"family":"Schilliger","given":"Zoé"},{"family":"Perroud","given":"Nader"},{"family":"Piguet","given":"Camille"}],"issued":{"date-parts":[["2021",9,24]]}}},{"id":2433,"uris":["http://zotero.org/users/8364405/items/VSE5ICJY"],"itemData":{"id":2433,"type":"article-journal","abstract":"Bipolar disorder (BD) and borderline personality disorder (BPD) are serious and prevalent psychiatric diseases that share common phenomenological characteristics: symptoms (such as anxiety, affective lability or emotion dysregulation), neuroimaging features, risk factors and comorbidities. While several studies have focused on the link between stress and peripheral inflammation in other affective disorders such as anxiety or depression, fewer have explored this relationship in BD and BPD. This review reports on evidence showing an interplay between immune dysregulation, anxiety and stress, and how an altered acute neuroendocrine stress response may exist in these disorders. Moreover, we highlight limitations and confounding factors of these existing studies and discuss multidirectional hypotheses that either suggest inflammation or stress and anxiety as the primum movens in BD and BPD pathophysiology, or inflammation as a consequence of the pathophysiology of these diseases. Untan­ gling these associations and implementing a transdiagnostic approach will have diagnostic, therapeutic and prognostic implications for BD and BPD patients.","container-title":"Neuroscience &amp; Biobehavioral Reviews","DOI":"10.1016/j.neubiorev.2021.04.017","ISSN":"01497634","journalAbbreviation":"Neuroscience &amp; Biobehavioral Reviews","language":"en","page":"184-192","source":"DOI.org (Crossref)","title":"Inflammation, anxiety, and stress in bipolar disorder and borderline personality disorder: A narrative review","title-short":"Inflammation, anxiety, and stress in bipolar disorder and borderline personality disorder","volume":"127","author":[{"family":"Saccaro","given":"L.F."},{"family":"Schilliger","given":"Z."},{"family":"Dayer","given":"A."},{"family":"Perroud","given":"N."},{"family":"Piguet","given":"C."}],"issued":{"date-parts":[["2021",8]]}}},{"id":8236,"uris":["http://zotero.org/users/8364405/items/MVVEJU9Z"],"itemData":{"id":8236,"type":"article-journal","abstract":"Hypothalamic-pituitary-adrenal (HPA)-axis hyperactivity and inflammation are thought to be prominent in the aetiology of depression. Although meta-analyses have confirmed this relationship, there is considerable variability in the effect sizes across studies. This could be attributed to a differential role of such biological systems in somatic versus cognitive-affective depressive symptoms which remains largely unexplored. Furthermore, most longitudinal research to date has focused on transient rather than persistent depressive symptoms. In the current study, we investigated the associations of hair cortisol and plasma C-reactive protein (CRP) with the longitudinal persistence and dimensions (cognitive-affective versus somatic) of depressive symptoms over a 14-year period using Trait‐State‐Occasion (TSO) structural equation modelling. The data came from a large sample of older adults from the English Longitudinal Study of Ageing. Depressive symptoms were assessed from wave 1 (2002–03) to wave 8 (2016–17). Hair cortisol (N = 4761) and plasma CRP (N = 5784) were measured in wave 6 (2012–13). Covariates included demographic, socioeconomic, lifestyle, chronic disease, and medication data. Our results revealed that higher cortisol and CRP levels were significantly associated with persistent depressive symptoms across the study period. Notably, both biomarkers exhibited stronger relationships with somatic than with cognitive-affective symptoms. The associations with somatic symptoms were also independent of relevant confounding factors. In contrast, their associations with cognitive-affective symptoms were weak after adjustment for all covariates. These distinct associations reveal the importance of considering symptom-specific effects in future studies on pathophysiological mechanisms. Ultimately, this will have the potential to advance the search for biomarkers of depression and facilitate more targeted treatments.","container-title":"Molecular Psychiatry","DOI":"10.1038/s41380-019-0501-6","ISSN":"14765578","issue":"5","note":"ISBN: 4138001905\npublisher: Springer US\nPMID: 31435001","page":"1130-1140","title":"Persistent depressive symptoms, HPA-axis hyperactivity, and inflammation: the role of cognitive-affective and somatic symptoms","volume":"25","author":[{"family":"Iob","given":"Eleonora"},{"family":"Kirschbaum","given":"Clemens"},{"family":"Steptoe","given":"Andrew"}],"issued":{"date-parts":[["2020"]]}}},{"id":8231,"uris":["http://zotero.org/users/8364405/items/AMT6KJ49"],"itemData":{"id":8231,"type":"article-journal","abstract":"Introduction Inflammation is drawing attention as pathway between psychosocial stress and health, and basal HPA axis activity has been suggested to exert a consistent regulatory influence on peripheral inflammation. Here we studied the relationship between basal HPA axis activity and inflammatory and HPA axis acute stress reactivity. Methods We recruited 48 healthy individuals and collected saliva for diurnal cortisol sampling at 6 points. Participants were previously exposed to the Trier Social Stress Test (TSST) on two consecutive days. Plasma interleukin-6 (IL-6) and salivary cortisol reactivity to acute stress were measured, and their relationships with basal HPA axis activity were analyzed. Results Steeper cortisol awakening response (CAR) linear increase was related with stronger cortisol stress reactivity (γ = 0.015; p = 0.042) and marginally significantly with greater habituation (γ = 0.01; p = 0.066). Greater curvilinearity of CAR was related with stronger cortisol reactivity (γ = −0.014; p = 0.021) and greater cortisol habituation (γ = −0.011; p = 0.006). Steeper daily linear decline was related with significant or marginally significantly stronger cortisol and IL-6 reactivity (cortisol: γ = −0.0004; p = 0.06; IL-6: γ = −0.028; p = 0.031) and greater habituation (cortisol: γ = −0.002; p = 0.009, IL-6: γ = −0.015; p = 0.033). Greater curvilinearity of daily decline was related with stronger IL-6 reactivity (γ = 0.002; p = 0.024) and also greater cortisol and IL-6 habituation (cortisol: γ = 0.00009; p = 0.03, IL-6: γ = 0.001; p = 0.024). Conclusions Patterns of basal HPA axis activity that are related with healthier outcomes were found to be related with stronger initial cortisol and IL-6 reactivity and greater habituation. This is an important step in understanding the long-term health implications of acute stress responsiveness, and future studies should employ longitudinal designs to identify the direction of these relationships.","container-title":"Psychoneuroendocrinology","DOI":"10.1016/j.psyneuen.2017.01.035","ISSN":"18733360","note":"publisher: Elsevier Ltd\nPMID: 28209543","page":"168-176","title":"HPA-axis and inflammatory reactivity to acute stress is related with basal HPA-axis activity","volume":"78","author":[{"family":"Chen","given":"Xuejie"},{"family":"Gianferante","given":"Danielle"},{"family":"Hanlin","given":"Luke"},{"family":"Fiksdal","given":"Alexander"},{"family":"Breines","given":"Juliana G."},{"family":"Thoma","given":"Myriam V."},{"family":"Rohleder","given":"Nicolas"}],"issued":{"date-parts":[["2017"]]}}},{"id":7863,"uris":["http://zotero.org/users/8364405/items/NTFAPJ2H"],"itemData":{"id":7863,"type":"article-journal","abstract":"Bipolar disorder (BD) has been linked to abnormal frontal and striatal function, and elevated inflammatory responses. However, the impact of peripheral inflammation on the corticostriatal functional connectivity (FC) remains obscure in BD. The current study aimed to explore the association between peripheral inflammation and corticostriatal connectivity in euthymic BD. We recruited 25 euthymic BD patients and 43 healthy controls (HCs) from the community. Resting state functional images were obtained using 3T magnetic resonance imaging (fMRI), and striatal seed-based whole-brain functional connectivity analyses were performed, with the fasting plasma high-sensitivity C-reactive protein (hs-CRP) level entered as a regressor of interest. The participants also completed the Wisconsin Card-Sorting Test (WCST) and the Continuous Performance Test (CPT). The euthymic BD group had a similar hs-CRP level to the HC group, but a significantly poorer cognitive performance. Compared with the HC group, a higher connectivity between the right dorsal caudal putamen (dcP) and the ventral lateral prefrontal cortex (vlPFC) in the BD group was significantly correlated with a higher hs-CRP level. Stronger dcP-vlPFC connectivity was correlated with a lower CPT unmasked d' in the BD group. BD patients might be particularly sensitive to the effects of inflammation on corticostriatal connectivity. The potentially greater sensitivity of BD patients to peripheral inflammation may differentially modulate the cognitive and reward related corticostriatal circuitry, which may contribute to the pathophysiology of cognitive-affective dysregulation in the euthymic state. Anti-inflammatory or other circuit-specific treatment is warranted for individualized treatment in BD.","container-title":"Brain, Behavior, and Immunity","DOI":"10.1016/j.bbi.2020.09.010","ISSN":"10902139","issue":"April","note":"publisher: Elsevier\nPMID: 32950621","page":"695-702","title":"Peripheral inflammation is associated with dysfunctional corticostriatal circuitry and executive dysfunction in bipolar disorder patients","volume":"91","author":[{"family":"Tseng","given":"Huai Hsuan"},{"family":"Chang","given":"Hui Hua"},{"family":"Wei","given":"Shyh Yuh"},{"family":"Lu","given":"Tsung Hua"},{"family":"Hsieh","given":"Yi Ting"},{"family":"Yang","given":"Yen Kuang"},{"family":"Chen","given":"Po See"}],"issued":{"date-parts":[["2021"]]}}},{"id":7882,"uris":["http://zotero.org/users/8364405/items/G2WGV3CL"],"itemData":{"id":7882,"type":"article-journal","abstract":"Background: Bipolar disorder (BD) and aging appear to be associated with inflammatory activation. Inflammatory processes might affect hippocampal function, neurogenesis, and gray matter loss. This study investigated the relationship between BD-specific brain regions and the total gray matter volume, peripheral inflammatory markers, and clinical features in older patients with BD. Methods: We recruited euthymic patients with bipolar I disorder aged ≥50 years to undergo whole-brain magnetic resonance imaging. Each brain region was divided by an individual's total intracranial volume to obtain that brain region's volume in percentage relative to the total intracranial volume. We measured the plasma levels of soluble tumor necrosis factor receptor-1 (sTNF-R1), soluble interleukin (IL)-2 receptor (sIL-2R), sIL-6R, IL-1β and IL-1 receptor antagonist when patients were euthymic. Clinical data were obtained by reviewing available medical records and interviewing patients along with their reliable others. Results: There were 32 patients with a mean age of 61.2 ± 8.3 years and a mean age at illness onset of 33.4 ± 13.8 years in this study. Stepwise regression showed that the right hippocampal volume was negatively associated with the levels of sIL-2R and sTNF-R1. The left hippocampal volume were negatively associated with the sIL-2R level and body mass index. The total gray matter volume had an inverse relationship with sTNF-R1 and IL-1β levels. The duration of bipolar illness, lithium treatment, and antipsychotic use were not associated with hippocampal and total gray matter volumes. Conclusions: It is suggested that persistent inflammation is associated with reduction of hippocampal and gray matter volumes in older patients with BD. This phenomenon is supported by increases in sTNF-R1, sIL-2R, and IL-1β levels. Neuroinflammation due to aging, obesity, and BD pathophysiology may play a role in BD neuroprogression across the life span.","container-title":"Journal of Affective Disorders","DOI":"10.1016/j.jad.2018.10.093","ISSN":"15732517","issue":"September 2018","note":"publisher: Elsevier B.V.\nPMID: 30317016","page":"60-66","title":"Inflammation associated with volume reduction in the gray matter and hippocampus of older patients with bipolar disorder","volume":"244","author":[{"family":"Tsai","given":"Shang Ying"},{"family":"Gildengers","given":"Ariel G."},{"family":"Hsu","given":"Jung Lung"},{"family":"Chung","given":"Kuo Hsuan"},{"family":"Chen","given":"Pao Huan"},{"family":"Huang","given":"Yu Jui"}],"issued":{"date-parts":[["2019"]]}}}],"schema":"https://github.com/citation-style-language/schema/raw/master/csl-citation.json"} </w:instrText>
      </w:r>
      <w:r w:rsidRPr="003C1D92">
        <w:fldChar w:fldCharType="separate"/>
      </w:r>
      <w:r w:rsidRPr="003C1D92">
        <w:rPr>
          <w:lang w:val="en-GB"/>
        </w:rPr>
        <w:t>(42–50)</w:t>
      </w:r>
      <w:r w:rsidRPr="003C1D92">
        <w:fldChar w:fldCharType="end"/>
      </w:r>
      <w:r w:rsidRPr="003C1D92">
        <w:t xml:space="preserve">, the hippocampus is a strong candidate region for investigating shared neural vulnerability mechanisms across </w:t>
      </w:r>
      <w:r w:rsidRPr="003C1D92">
        <w:rPr>
          <w:lang w:val="en-CH" w:eastAsia="en-GB"/>
        </w:rPr>
        <w:t>BD, BPD, or ADHD</w:t>
      </w:r>
      <w:r w:rsidRPr="003C1D92">
        <w:t xml:space="preserve">. </w:t>
      </w:r>
    </w:p>
    <w:p w14:paraId="09627271" w14:textId="5829BF4F" w:rsidR="00A15A7D" w:rsidRPr="003C1D92" w:rsidRDefault="00A15A7D" w:rsidP="00EF0772">
      <w:pPr>
        <w:pStyle w:val="NormalWeb"/>
      </w:pPr>
      <w:r w:rsidRPr="003C1D92">
        <w:t>While prior studies have explored hippocampal connectivity in BD</w:t>
      </w:r>
      <w:r w:rsidRPr="003C1D92">
        <w:fldChar w:fldCharType="begin"/>
      </w:r>
      <w:r w:rsidRPr="003C1D92">
        <w:instrText xml:space="preserve"> ADDIN ZOTERO_ITEM CSL_CITATION {"citationID":"sPyHvRKQ","properties":{"formattedCitation":"(51\\uc0\\u8211{}53)","plainCitation":"(51–53)","noteIndex":0},"citationItems":[{"id":2437,"uris":["http://zotero.org/users/8364405/items/APVWIIHX"],"itemData":{"id":2437,"type":"article-journal","abstract":"Objectives: : Bipolar disorder (BD) is a severe, chronic, affective disorder characterized by recurrent switching between mood states, psychomotor and cognitive symptoms, which can linger in euthymic states as residual symptoms. Hippocampal alterations may play a key role in the neural processing of BD symptoms. However, its dynamic functional connectivity (dFC) remains unclear. Therefore, the present study explores hippocampal dFC in relation to BD symptoms.\nMethods: : We assessed hippocampus-based dFC coactivation patterns (CAPs) on resting-state fMRI data of 25 euthymic BD patients and 25 age- and sex-matched healthy controls (HC).\nResults: : Bilateral hippocampal dFC with somatomotor networks (SMN) was reduced in BD, compared to HC, while at the same time dFC between the left hippocampus and midcingulo-insular salience system (SN) was higher in BD. Correlational analysis between CAPs and clinical scores revealed that dFC between the bilateral hippocampus and the default-like network (DMN) correlated with depression scores in BD. Furthermore, pathological hyperconnectivity between the default mode network (DMN) and SMN and the frontoparietal network (FPN) was modulated by the same depression scores in BD.\nConclusions: : Overall, we observed alterations of large-scale functional brain networks associated with decreased flexibility in cognitive control, salience detection, and emotion processing in BD. Additionally, the present study provides new insights on the neural architecture underlying a self-centered perspective on the environment in BD patients. dFC markers may improve detection, treatment, and follow-up of BD patients and of disabling residual depressive symptoms in particular.","container-title":"Brain and Behavior","DOI":"10.1002/brb3.3010","ISSN":"2162-3279, 2162-3279","issue":"6","journalAbbreviation":"Brain and Behavior","language":"en","page":"e3010","source":"DOI.org (Crossref)","title":"Dynamic functional hippocampal markers of residual depressive symptoms in euthymic bipolar disorder","volume":"13","author":[{"family":"Saccaro","given":"Luigi F"},{"family":"Gaviria","given":"Julian"},{"family":"Ville","given":"Dimitri Van De"},{"family":"Piguet","given":"Camille"}],"issued":{"date-parts":[["2023",6]]}}},{"id":28411,"uris":["http://zotero.org/users/8364405/items/V2XTQWFS"],"itemData":{"id":28411,"type":"article-journal","abstract":"OBJECTIVES: Bipolar disorder (BD) is a highly heritable disorder characterized by emotion dysregulation and recurrent oscillations between mood states. Despite the proven efficacy of early interventions, vulnerability markers in high-risk individuals are still lacking. BD patients present structural alterations of the hippocampus, a pivotal hub of emotion regulation networks composed of multiple subregions with different projections. However, the hippocampal dynamic functional connectivity (dFC) in BD remains unclear. We aim to investigate whether the dFC of hippocampal subdivisions differentiates BD patients, offspring of BD patients (BDoff), and healthy controls (HC); and whether it correlates with symptoms differently between these groups.\nMETHODS: We studied for the first time the dFC of the hippocampus through a cutting-edge micro-co-activation patterns (μCAPs) analysis of resting-state functional MRI data of 97 subjects (26 BD, 18 BDoff, 53 HC). μCAPs allow a data-driven differentiation within the seed region.\nRESULTS: dFC between the hippocampal body and a somatomotor-μCAP was lower both in BD patients (p-valueFDR:0.00015) and in BDoff (p-valueFDR:0.020) than in HC. Inversely, dFC between the hippocampal head and a limbic-μCAP was higher in BD patients than in HC (p-valueFDR: 0.005). Furthermore, the correlations between a frontoparietal-μCAP and both depression and emotion dysregulation symptoms were significantly higher in BD than HC (p-valueFDR &lt;0.02).\nCONCLUSION: Overall, we observed alterations of large-scale functional brain networks associated with decreased cognitive control flexibility and disrupted somatomotor, saliency, and emotion processing in BD. Interestingly, BDoff presented an intermediate phenotype between BD and HC, suggesting that dFC of hippocampal subregions might represent a marker of vulnerability to BD.","container-title":"Bipolar Disorders","DOI":"10.1111/bdi.13487","ISSN":"1399-5618","journalAbbreviation":"Bipolar Disord","language":"eng","note":"PMID: 39135100","source":"PubMed","title":"Hippocampal temporal dynamics and spatial heterogeneity unveil vulnerability markers in the offspring of bipolar patients","author":[{"family":"Saccaro","given":"Luigi F."},{"family":"Delavari","given":"Farnaz"},{"family":"Van De Ville","given":"Dimitri"},{"family":"Piguet","given":"Camille"}],"issued":{"date-parts":[["2024",8,12]]}}},{"id":28405,"uris":["http://zotero.org/users/8364405/items/6REZB9MH"],"itemData":{"id":28405,"type":"article-journal","abstract":"INTRODUCTION: Suicide in bipolar disorder (BD) is a multifaceted behavior, involving specific neuroendocrine and psychological mechanisms. According to previous studies, we hypothesized that suicidal BD patients may exhibit impaired dynamic functional connectivity (dFC) variability of hippocampal subregions and hypothalamic-pituitary-adrenal (HPA) axis activity, which may be associated with suicide-related personality traits. The objective of our study was to clarify this.\nMETHODS: Resting-state functional magnetic resonance imaging data were obtained from 79 patients with BD, 39 with suicidal attempt (SA), and 40 without SA, and 35 healthy controls (HCs). The activity of the HPA axis was assessed by measuring morning plasma adrenocorticotropic hormone (ACTH) and cortisol (CORT) levels. All participants underwent personality assessment using Minnesota Multiphasic Personality Inventory-2 (MMPI-2).\nRESULTS: BD patients with SA exhibited increased dFC variability between the right caudal hippocampus and the left superior temporal gyrus (STG) when compared with non-SA BD patients and HCs. BD with SA also showed significantly lower ACTH levels in comparison with HCs, which was positively correlated with increased dFC variability between the right caudal hippocampus and the left STG. BD with SA had significantly higher scores of Hypochondriasis, Depression, and Schizophrenia than non-SA BD. Additionally, multivariable regression analysis revealed the interaction of ACTH × dFC variability between the right caudal hippocampus and the left STG independently predicted MMPI-2 score (depression evaluation) in suicidal BD patients.\nCONCLUSION: These results suggested that suicidal BD exhibited increased dFC variability of hippocampal-temporal cortex and less HPA axis hyperactivity, which may affect their personality traits.","container-title":"Neuroendocrinology","DOI":"10.1159/000534033","ISSN":"1423-0194","issue":"2","journalAbbreviation":"Neuroendocrinology","language":"eng","note":"PMID: 37729896","page":"179-191","source":"PubMed","title":"Hippocampal Dynamic Functional Connectivity, HPA Axis Activity, and Personality Trait in Bipolar Disorder with Suicidal Attempt","volume":"114","author":[{"family":"Zhong","given":"Shuming"},{"family":"Chen","given":"Pan"},{"family":"Lai","given":"Shunkai"},{"family":"Zhang","given":"Yiliang"},{"family":"Chen","given":"Guanmao"},{"family":"He","given":"Jiali"},{"family":"Pan","given":"Youling"},{"family":"Tang","given":"Guixian"},{"family":"Wang","given":"Ying"},{"family":"Jia","given":"Yanbin"}],"issued":{"date-parts":[["2024"]]}}}],"schema":"https://github.com/citation-style-language/schema/raw/master/csl-citation.json"} </w:instrText>
      </w:r>
      <w:r w:rsidRPr="003C1D92">
        <w:fldChar w:fldCharType="separate"/>
      </w:r>
      <w:r w:rsidRPr="003C1D92">
        <w:rPr>
          <w:lang w:val="en-GB"/>
        </w:rPr>
        <w:t>(51–53)</w:t>
      </w:r>
      <w:r w:rsidRPr="003C1D92">
        <w:fldChar w:fldCharType="end"/>
      </w:r>
      <w:r w:rsidRPr="003C1D92">
        <w:t>, transdiagnostic and developmental extensions (particularly involving at-risk offspring) remain scarce. Importantly, as noted in the manuscript, we have previously identified altered hippocampal co-activation dynamics using micro-co-activation pattern analysis (</w:t>
      </w:r>
      <w:proofErr w:type="spellStart"/>
      <w:r w:rsidRPr="003C1D92">
        <w:t>μCAP</w:t>
      </w:r>
      <w:proofErr w:type="spellEnd"/>
      <w:r w:rsidRPr="003C1D92">
        <w:t>, described below) in individuals with EDD</w:t>
      </w:r>
      <w:r w:rsidRPr="003C1D92">
        <w:fldChar w:fldCharType="begin"/>
      </w:r>
      <w:r w:rsidRPr="003C1D92">
        <w:instrText xml:space="preserve"> ADDIN ZOTERO_ITEM CSL_CITATION {"citationID":"uCKmsSWy","properties":{"formattedCitation":"(1)","plainCitation":"(1)","noteIndex":0},"citationItems":[{"id":28752,"uris":["http://zotero.org/users/8364405/items/AEAV5VYB"],"itemData":{"id":28752,"type":"article-journal","abstract":"Background\nEmotion dysregulation (ED) is a key transdiagnostic symptom in several psychiatric disorders such as borderline personality disorder (BPD), bipolar disorder (BD), and attention-deficit/hyperactivity disorder (ADHD). These disorders, here defined as ED disorders (EDD), share similarities in symptoms, comorbidity, and heritability, emphasizing the importance of a transdiagnostic approach to identify markers of vulnerability to EDD in high-risk populations, such as EDD patients’ offspring (EDDoff). The hippocampus, central to ED, exhibits alterations across EDD.\nMethods\nWe employed a state-of-the-art approach (micro-co-activation patterns, μCAPs) to study the transdiagnostic dynamic functional connectivity (dFC) of hippocampal subregions from resting-state functional MRI of 201 participants (74 EDD patients, 57 EDDoff, 70 controls). μCAPs provide a data-driven differentiation within the seed region.\nResults\nDFC between the sensorimotor network (SMN) and the hippocampal body was lower in EDD patients (pFDR=0.0002) and EDDoff (pFDR=0.01) compared to controls, with EDDoff displaying an intermediate pattern between EDD patients and controls. dFC between the limbic network (LN) and the hippocampal head was higher in EDD patients than in controls (pFDR=0.01) and in EDDoff (pFDR=0.01). A negative correlation was found between ED and SMN (pFDR=0.01), suggesting increasing ED with decreasing SMN dFC with the hippocampus.\nConclusions\nIncreased dFC between the hippocampal head and the LN, at the expense of the SMN, may represent a marker of disease in EDD patients. Lower dFC between the SMN and the hippocampal body may represent a marker of vulnerability to EDD in EDDoff, correlating with ED. Such a transdiagnostic construct represents a clinically relevant target for early interventions aimed at reducing vulnerability to EDD in high-risk populations.","container-title":"Biological Psychiatry: Cognitive Neuroscience and Neuroimaging","DOI":"10.1016/j.bpsc.2025.03.007","ISSN":"2451-9022","journalAbbreviation":"Biological Psychiatry: Cognitive Neuroscience and Neuroimaging","source":"ScienceDirect","title":"Limbic-Sensorimotor Tug of War for the Hippocampus: Dynamic Functional Connectivity as a Transdiagnostic Vulnerability Marker in Offspring of Emotion Dysregulation Patients","title-short":"Limbic-Sensorimotor Tug of War for the Hippocampus","URL":"https://www.sciencedirect.com/science/article/pii/S245190222500120X","author":[{"family":"Saccaro","given":"Luigi F."},{"family":"Delavari","given":"Farnaz"},{"family":"Meuleman","given":"Ben"},{"family":"Perroud","given":"Nader"},{"family":"Van De Ville","given":"Dimitri"},{"family":"Piguet","given":"Camille"}],"accessed":{"date-parts":[["2025",3,31]]},"issued":{"date-parts":[["2025",3,28]]}}}],"schema":"https://github.com/citation-style-language/schema/raw/master/csl-citation.json"} </w:instrText>
      </w:r>
      <w:r w:rsidRPr="003C1D92">
        <w:fldChar w:fldCharType="separate"/>
      </w:r>
      <w:r w:rsidRPr="003C1D92">
        <w:rPr>
          <w:noProof/>
        </w:rPr>
        <w:t>(1)</w:t>
      </w:r>
      <w:r w:rsidRPr="003C1D92">
        <w:fldChar w:fldCharType="end"/>
      </w:r>
      <w:r w:rsidRPr="003C1D92">
        <w:t xml:space="preserve">. These prior findings demonstrated that disruptions in hippocampal </w:t>
      </w:r>
      <w:proofErr w:type="spellStart"/>
      <w:r w:rsidRPr="003C1D92">
        <w:t>μCAPs</w:t>
      </w:r>
      <w:proofErr w:type="spellEnd"/>
      <w:r w:rsidRPr="003C1D92">
        <w:t xml:space="preserve"> are associated with emotion dysregulation symptoms and may reflect a mechanistically meaningful vulnerability marker across disorders, which we further investigate in this paper from a multimodal standpoint. The </w:t>
      </w:r>
      <w:bookmarkStart w:id="13" w:name="_Hlk220420265"/>
      <w:proofErr w:type="spellStart"/>
      <w:r w:rsidRPr="003C1D92">
        <w:t>μCAPs</w:t>
      </w:r>
      <w:proofErr w:type="spellEnd"/>
      <w:r w:rsidRPr="003C1D92">
        <w:t xml:space="preserve"> </w:t>
      </w:r>
      <w:bookmarkEnd w:id="13"/>
      <w:r w:rsidRPr="003C1D92">
        <w:t xml:space="preserve">method provides a refined, data-driven characterization of hippocampal functional states by decomposing its spontaneous co-activation into distinct spatial and temporal patterns. Compared to static or sliding-window connectivity approaches, </w:t>
      </w:r>
      <w:proofErr w:type="spellStart"/>
      <w:r w:rsidRPr="003C1D92">
        <w:t>μCAPs</w:t>
      </w:r>
      <w:proofErr w:type="spellEnd"/>
      <w:r w:rsidRPr="003C1D92">
        <w:t xml:space="preserve"> offer higher sensitivity to transient neural events and regional heterogeneity, particularly relevant for the hippocampus, whose subregions are linked to different regulatory functions and symptom domains.</w:t>
      </w:r>
    </w:p>
    <w:p w14:paraId="22B62BDD" w14:textId="54AB4A4F" w:rsidR="00D27DC4" w:rsidRPr="003C1D92" w:rsidRDefault="003C5F82" w:rsidP="00EF0772">
      <w:pPr>
        <w:pStyle w:val="NormalWeb"/>
        <w:rPr>
          <w:lang w:eastAsia="en-GB"/>
        </w:rPr>
      </w:pPr>
      <w:r w:rsidRPr="003C1D92">
        <w:t xml:space="preserve">In contrast, the structural domain was interrogated using a whole-brain FA framework, which allows for unbiased identification of widespread white matter alterations potentially affecting multiple networks relevant to ED. This choice is particularly justified by the hypothesis that </w:t>
      </w:r>
      <w:r w:rsidRPr="003C1D92">
        <w:lastRenderedPageBreak/>
        <w:t>immune dysregulation (implicated in EDD pathophysiology, as described above) may exert diffuse neurotoxic effects on myelinated pathways throughout the brain, rather than targeting specific tracts. Whole-brain FA analysis therefore provides a comprehensive lens to capture such global microstructural vulnerability. Together, this multimodal strategy enables high-resolution investigation of both focal (hippocampal) and distributed (white matter) neural correlates of transdiagnostic ED vulnerability.</w:t>
      </w:r>
    </w:p>
    <w:p w14:paraId="0520A4B5" w14:textId="77777777" w:rsidR="00012B77" w:rsidRPr="003C1D92" w:rsidRDefault="00012B77" w:rsidP="00EF0772">
      <w:pPr>
        <w:rPr>
          <w:rFonts w:eastAsiaTheme="majorEastAsia" w:cstheme="majorBidi"/>
          <w:b/>
          <w:sz w:val="32"/>
          <w:szCs w:val="32"/>
        </w:rPr>
      </w:pPr>
      <w:r w:rsidRPr="003C1D92">
        <w:br w:type="page"/>
      </w:r>
      <w:bookmarkEnd w:id="9"/>
    </w:p>
    <w:p w14:paraId="0E3ADD15" w14:textId="275864D2" w:rsidR="00557BAC" w:rsidRPr="003C1D92" w:rsidRDefault="00557BAC" w:rsidP="00EF0772">
      <w:pPr>
        <w:pStyle w:val="Heading1"/>
        <w:spacing w:line="480" w:lineRule="auto"/>
      </w:pPr>
      <w:bookmarkStart w:id="14" w:name="_Toc229229955"/>
      <w:r w:rsidRPr="003C1D92">
        <w:lastRenderedPageBreak/>
        <w:t>SUPPLEMENTARY METHODS</w:t>
      </w:r>
      <w:bookmarkEnd w:id="14"/>
    </w:p>
    <w:p w14:paraId="25A8C3EB" w14:textId="77777777" w:rsidR="00525D29" w:rsidRPr="003C1D92" w:rsidRDefault="00525D29" w:rsidP="00EF0772">
      <w:pPr>
        <w:pStyle w:val="SezioneBD"/>
        <w:numPr>
          <w:ilvl w:val="0"/>
          <w:numId w:val="0"/>
        </w:numPr>
        <w:ind w:left="714"/>
        <w:rPr>
          <w:sz w:val="24"/>
          <w:szCs w:val="24"/>
        </w:rPr>
      </w:pPr>
    </w:p>
    <w:p w14:paraId="65F997F1" w14:textId="247932D9" w:rsidR="00382462" w:rsidRPr="003C1D92" w:rsidRDefault="009F10F0" w:rsidP="00EF0772">
      <w:pPr>
        <w:pStyle w:val="Heading2"/>
        <w:spacing w:line="480" w:lineRule="auto"/>
      </w:pPr>
      <w:bookmarkStart w:id="15" w:name="_Toc229229956"/>
      <w:r w:rsidRPr="003C1D92">
        <w:t>Participants’ clinical evaluation and exclusion criteria</w:t>
      </w:r>
      <w:bookmarkEnd w:id="15"/>
    </w:p>
    <w:p w14:paraId="00F274FC" w14:textId="441A6793" w:rsidR="00EE1CA7" w:rsidRPr="003C1D92" w:rsidRDefault="00795FE2" w:rsidP="00EF0772">
      <w:pPr>
        <w:spacing w:before="100" w:beforeAutospacing="1" w:after="100" w:afterAutospacing="1"/>
        <w:rPr>
          <w:rFonts w:eastAsia="Times New Roman" w:cs="Times New Roman"/>
          <w:lang w:val="en-US" w:eastAsia="en-GB"/>
        </w:rPr>
      </w:pPr>
      <w:r w:rsidRPr="003C1D92">
        <w:rPr>
          <w:rFonts w:eastAsia="Times New Roman" w:cs="Times New Roman"/>
          <w:lang w:val="en-US" w:eastAsia="en-GB"/>
        </w:rPr>
        <w:t xml:space="preserve">The main exclusion criteria comprised: 1) presence of a neurological disorder; 2) inability to provide informed consent; 3) current delirium or dementia; 4) other severe medical conditions; and 5) contraindications to undergoing MRI scanning. Although no strict age or gender criteria were imposed, participants were primarily aged between 15 and 65, reflecting the typical patient demographic attending the Mood and Emotion Dysregulation Clinics within the Psychiatry Department at Geneva University Hospitals. Participants with intellectual disabilities were excluded using the </w:t>
      </w:r>
      <w:bookmarkStart w:id="16" w:name="_Hlk215566080"/>
      <w:r w:rsidRPr="003C1D92">
        <w:rPr>
          <w:rFonts w:eastAsia="Times New Roman" w:cs="Times New Roman"/>
          <w:lang w:val="en-US" w:eastAsia="en-GB"/>
        </w:rPr>
        <w:t xml:space="preserve">Diagnostic Interview for Genetic Studies </w:t>
      </w:r>
      <w:bookmarkEnd w:id="16"/>
      <w:r w:rsidRPr="003C1D92">
        <w:rPr>
          <w:rFonts w:eastAsia="Times New Roman" w:cs="Times New Roman"/>
          <w:lang w:val="en-US" w:eastAsia="en-GB"/>
        </w:rPr>
        <w:t>(DIGS), which includes assessments for intellectual functioning, attention, and comorbidities</w:t>
      </w:r>
      <w:r w:rsidRPr="003C1D92">
        <w:rPr>
          <w:rFonts w:eastAsia="Times New Roman" w:cs="Times New Roman"/>
          <w:lang w:val="en-US" w:eastAsia="en-GB"/>
        </w:rPr>
        <w:fldChar w:fldCharType="begin"/>
      </w:r>
      <w:r w:rsidRPr="003C1D92">
        <w:rPr>
          <w:rFonts w:eastAsia="Times New Roman" w:cs="Times New Roman"/>
          <w:lang w:val="en-US" w:eastAsia="en-GB"/>
        </w:rPr>
        <w:instrText xml:space="preserve"> ADDIN ZOTERO_ITEM CSL_CITATION {"citationID":"yz9gT9zk","properties":{"formattedCitation":"(54)","plainCitation":"(54)","noteIndex":0},"citationItems":[{"id":35968,"uris":["http://zotero.org/users/8364405/items/5BYF34VX"],"itemData":{"id":35968,"type":"article-journal","abstract":"This article reports on the development and reliability of the Diagnostic Interview for Genetic Studies (DIGS), a clinical interview especially constructed for the assessment of major mood and psychotic disorders and their spectrum conditions. The DIGS, which was developed and piloted as a collaborative effort of investigators from sites in the National Institute of Mental Health (NIMH) Genetics Initiative, has the following additional features: (1) polydiagnostic capacity; (2) a detailed assessment of the course of the illness, chronology of psychotic and mood syndromes, and comorbidity; (3) additional phenomenologic assessments of symptoms; and (4) algorithmic scoring capability. The DIGS is designed to be employed by interviewers who exercise significant clinical judgment and who summarize information in narrative form as well as in ratings. A two-phase test-retest (within-site, between-site) reliability study was carried out for DSM-III-R criteria-based major depression, bipolar disorder, schizophrenia, and schizoaffective disorder. Reliabilities using algorithms were excellent (0.73 to 0.95), except for schizoaffective disorder, for which disagreement on estimates of duration of mood syndromes relative to psychosis reduced reliability. A final best-estimate process using medical records and information from relatives as well as algorithmic diagnoses is expected to be more reliable in making these distinctions. The DIGS should be useful as part of archival data gathering for genetic studies of major affective disorders, schizophrenia, and related conditions.","container-title":"Archives of General Psychiatry","DOI":"10.1001/archpsyc.1994.03950110009002","ISSN":"0003-990X","issue":"11","journalAbbreviation":"Arch Gen Psychiatry","language":"eng","note":"PMID: 7944874","page":"849-859; discussion 863-864","source":"PubMed","title":"Diagnostic interview for genetic studies. Rationale, unique features, and training. NIMH Genetics Initiative","volume":"51","author":[{"family":"Nurnberger","given":"J. I."},{"family":"Blehar","given":"M. C."},{"family":"Kaufmann","given":"C. A."},{"family":"York-Cooler","given":"C."},{"family":"Simpson","given":"S. G."},{"family":"Harkavy-Friedman","given":"J."},{"family":"Severe","given":"J. B."},{"family":"Malaspina","given":"D."},{"family":"Reich","given":"T."}],"issued":{"date-parts":[["1994",11]]}}}],"schema":"https://github.com/citation-style-language/schema/raw/master/csl-citation.json"} </w:instrText>
      </w:r>
      <w:r w:rsidRPr="003C1D92">
        <w:rPr>
          <w:rFonts w:eastAsia="Times New Roman" w:cs="Times New Roman"/>
          <w:lang w:val="en-US" w:eastAsia="en-GB"/>
        </w:rPr>
        <w:fldChar w:fldCharType="separate"/>
      </w:r>
      <w:r w:rsidRPr="003C1D92">
        <w:rPr>
          <w:rFonts w:eastAsia="Times New Roman" w:cs="Times New Roman"/>
          <w:noProof/>
          <w:lang w:val="en-US" w:eastAsia="en-GB"/>
        </w:rPr>
        <w:t>(54)</w:t>
      </w:r>
      <w:r w:rsidRPr="003C1D92">
        <w:rPr>
          <w:rFonts w:eastAsia="Times New Roman" w:cs="Times New Roman"/>
          <w:lang w:val="en-US" w:eastAsia="en-GB"/>
        </w:rPr>
        <w:fldChar w:fldCharType="end"/>
      </w:r>
      <w:r w:rsidRPr="003C1D92">
        <w:rPr>
          <w:rFonts w:eastAsia="Times New Roman" w:cs="Times New Roman"/>
          <w:lang w:val="en-US" w:eastAsia="en-GB"/>
        </w:rPr>
        <w:t>. Additionally, individuals presenting psychotic disorders other than BD were excluded. Patients diagnosed with BD were required to have stable pharmacological treatments and maintain remission status for at least four weeks prior to the study, defined by scores lower than 6 on the Young Mania Rating Scale (YMRS) and lower than 13 on the Montgomery-</w:t>
      </w:r>
      <w:proofErr w:type="spellStart"/>
      <w:r w:rsidRPr="003C1D92">
        <w:rPr>
          <w:rFonts w:eastAsia="Times New Roman" w:cs="Times New Roman"/>
          <w:lang w:val="en-US" w:eastAsia="en-GB"/>
        </w:rPr>
        <w:t>Åsberg</w:t>
      </w:r>
      <w:proofErr w:type="spellEnd"/>
      <w:r w:rsidRPr="003C1D92">
        <w:rPr>
          <w:rFonts w:eastAsia="Times New Roman" w:cs="Times New Roman"/>
          <w:lang w:val="en-US" w:eastAsia="en-GB"/>
        </w:rPr>
        <w:t xml:space="preserve"> Depression Rating Scale (MADRS).</w:t>
      </w:r>
    </w:p>
    <w:p w14:paraId="01CBB741" w14:textId="2EF3862C" w:rsidR="00F34927" w:rsidRPr="003C1D92" w:rsidRDefault="002F169D" w:rsidP="00EF0772">
      <w:pPr>
        <w:spacing w:before="100" w:beforeAutospacing="1" w:after="100" w:afterAutospacing="1"/>
        <w:rPr>
          <w:rFonts w:eastAsia="Times New Roman" w:cs="Times New Roman"/>
          <w:lang w:val="en-US" w:eastAsia="en-GB"/>
        </w:rPr>
      </w:pPr>
      <w:r w:rsidRPr="003C1D92">
        <w:rPr>
          <w:rFonts w:eastAsia="Times New Roman" w:cs="Times New Roman"/>
          <w:lang w:val="en-US" w:eastAsia="en-GB"/>
        </w:rPr>
        <w:t>Before the scanning session, participants underwent comprehensive clinical and cognitive assessments. Clinical symptom measures included: the Montgomery–</w:t>
      </w:r>
      <w:proofErr w:type="spellStart"/>
      <w:r w:rsidRPr="003C1D92">
        <w:rPr>
          <w:rFonts w:eastAsia="Times New Roman" w:cs="Times New Roman"/>
          <w:lang w:val="en-US" w:eastAsia="en-GB"/>
        </w:rPr>
        <w:t>Åsberg</w:t>
      </w:r>
      <w:proofErr w:type="spellEnd"/>
      <w:r w:rsidRPr="003C1D92">
        <w:rPr>
          <w:rFonts w:eastAsia="Times New Roman" w:cs="Times New Roman"/>
          <w:lang w:val="en-US" w:eastAsia="en-GB"/>
        </w:rPr>
        <w:t xml:space="preserve"> Depression Rating Scale (MADRS) for depressive symptoms; the Trait Anger Expression Inventory (STAXI) for anger; the Borderline Symptom Checklist (BORD) for borderline personality features; the Cognitive Emotion Regulation Questionnaire (CERQ) non-adaptive to total strategies ratio</w:t>
      </w:r>
      <w:r w:rsidRPr="003C1D92">
        <w:rPr>
          <w:rFonts w:eastAsia="Times New Roman" w:cs="Times New Roman"/>
          <w:lang w:val="en-US" w:eastAsia="en-GB"/>
        </w:rPr>
        <w:fldChar w:fldCharType="begin"/>
      </w:r>
      <w:r w:rsidRPr="003C1D92">
        <w:rPr>
          <w:rFonts w:eastAsia="Times New Roman" w:cs="Times New Roman"/>
          <w:lang w:val="en-US" w:eastAsia="en-GB"/>
        </w:rPr>
        <w:instrText xml:space="preserve"> ADDIN ZOTERO_ITEM CSL_CITATION {"citationID":"iE3ssqJe","properties":{"formattedCitation":"(55,56)","plainCitation":"(55,56)","noteIndex":0},"citationItems":[{"id":8002,"uris":["http://zotero.org/users/8364405/items/Z9CGWVE2"],"itemData":{"id":8002,"type":"article-journal","abstract":"A new questionnaire, named the Cognitive Emotion Regulation Questionnaire, has been constructed, measuring nine cognitive coping strategies people tend to use after having experienced negative life events. A test–retest design was used to study the psychometric properties and relationships with measures of depression and anxiety among 547 high school youngsters. Principal component analyses supported the allocation of items to subscales, while alphas of most subscales exceeded 0.80. Cognitive coping strategies were found to play an important role in the relationship between the experience of negative life events and the reporting of symptoms of depression and anxiety. The results suggest that cognitive coping strategies may be a valuable context of prevention and intervention","container-title":"Personality and Individual Differences","DOI":"https://doi.org/10.1016/S0191-8869(00)00113-6","ISSN":"0191-8869","issue":"8","page":"1311-1327","title":"Negative life events, cognitive emotion regulation and emotional problems","volume":"30","author":[{"family":"Garnefski","given":"N."},{"family":"Kraaij","given":"V."},{"family":"Spinhoven","given":"P."}],"issued":{"date-parts":[["2001"]]}}},{"id":28415,"uris":["http://zotero.org/users/8364405/items/FBBHSV5U"],"itemData":{"id":28415,"type":"article-journal","abstract":"Research on emotion regulation (ER) has increasingly recognized that people use multiple strategies simultaneously, often referred to as ER repertoire. Prior research found that ER repertoire is associated with psychopathology, but results have been mixed. Indeed, research from recent years suggests that it is the quality of ERs, more than their quantity, that needs to be considered. Based on the combination of the literatures on ER repertoire, polyregulation, and ER flexibility, we propose a novel metric: the ratio of using putatively maladaptive (vs. all) ER strategies. Using this metric, we examine (1) maladaptive ER ratio changes during the transition to adolescence, a developmental period in which the prevalence of depression sharply increases, and (2) whether changes in maladaptive ER ratio are associated with depressive symptoms. One-hundred and thirty-nine youths (baseline age: 8–15) reported ER strategies and depression daily for 21 days. One year later, 115 completed another 28-day daily-diary (Nassessments = 5631). Our results show that almost all youth use at least some maladaptive ERs. Importantly, maladaptive ER ratio decreases over a year of adolescence for most youths. Conversely, an increased maladaptive ER ratio predicted depression increases on the daily and on the yearly level. These results shed light on typical and atypical development of ER flexibility and emphasize the need to consider the balance between ERs in relation to psychopathology.","container-title":"Behaviour Research and Therapy","DOI":"10.1016/j.brat.2024.104600","ISSN":"0005-7967","journalAbbreviation":"Behaviour Research and Therapy","page":"104600","source":"ScienceDirect","title":"It's a balancing act: The ratio of maladaptive (vs. All) emotion regulation strategies is associated with depression","title-short":"It's a balancing act","volume":"180","author":[{"family":"Gadassi-Polack","given":"Reuma"},{"family":"Paganini","given":"Gabriela"},{"family":"Zhang","given":"August Keqin"},{"family":"Dworschak","given":"Christine"},{"family":"Silk","given":"Jennifer S."},{"family":"Kober","given":"Hedy"},{"family":"Joormann","given":"Jutta"}],"issued":{"date-parts":[["2024",9,1]]}}}],"schema":"https://github.com/citation-style-language/schema/raw/master/csl-citation.json"} </w:instrText>
      </w:r>
      <w:r w:rsidRPr="003C1D92">
        <w:rPr>
          <w:rFonts w:eastAsia="Times New Roman" w:cs="Times New Roman"/>
          <w:lang w:val="en-US" w:eastAsia="en-GB"/>
        </w:rPr>
        <w:fldChar w:fldCharType="separate"/>
      </w:r>
      <w:r w:rsidRPr="003C1D92">
        <w:rPr>
          <w:rFonts w:eastAsia="Times New Roman" w:cs="Times New Roman"/>
          <w:noProof/>
          <w:lang w:val="en-US" w:eastAsia="en-GB"/>
        </w:rPr>
        <w:t>(55,56)</w:t>
      </w:r>
      <w:r w:rsidRPr="003C1D92">
        <w:rPr>
          <w:rFonts w:eastAsia="Times New Roman" w:cs="Times New Roman"/>
          <w:lang w:val="en-US" w:eastAsia="en-GB"/>
        </w:rPr>
        <w:fldChar w:fldCharType="end"/>
      </w:r>
      <w:r w:rsidRPr="003C1D92">
        <w:rPr>
          <w:rFonts w:eastAsia="Times New Roman" w:cs="Times New Roman"/>
          <w:lang w:val="en-US" w:eastAsia="en-GB"/>
        </w:rPr>
        <w:t>; the Childhood Trauma Questionnaire (CTQ) for early adversity; the Ruminative Response Scale (RRS) for rumination; the Trait Anxiety Inventory (STAI-B) for trait anxiety; the Adult ADHD Self-Report Scales for inattentive (</w:t>
      </w:r>
      <w:r w:rsidRPr="003C1D92">
        <w:rPr>
          <w:rFonts w:eastAsia="Times New Roman" w:cs="Times New Roman"/>
          <w:lang w:eastAsia="en-GB"/>
        </w:rPr>
        <w:t>ASRSi</w:t>
      </w:r>
      <w:r w:rsidRPr="003C1D92">
        <w:rPr>
          <w:rFonts w:eastAsia="Times New Roman" w:cs="Times New Roman"/>
          <w:lang w:val="en-US" w:eastAsia="en-GB"/>
        </w:rPr>
        <w:t xml:space="preserve">) and hyperactive </w:t>
      </w:r>
      <w:r w:rsidRPr="003C1D92">
        <w:rPr>
          <w:rFonts w:eastAsia="Times New Roman" w:cs="Times New Roman"/>
          <w:lang w:val="en-US" w:eastAsia="en-GB"/>
        </w:rPr>
        <w:lastRenderedPageBreak/>
        <w:t>(</w:t>
      </w:r>
      <w:r w:rsidRPr="003C1D92">
        <w:rPr>
          <w:rFonts w:eastAsia="Times New Roman" w:cs="Times New Roman"/>
          <w:lang w:eastAsia="en-GB"/>
        </w:rPr>
        <w:t>ASRShi</w:t>
      </w:r>
      <w:r w:rsidRPr="003C1D92">
        <w:rPr>
          <w:rFonts w:eastAsia="Times New Roman" w:cs="Times New Roman"/>
          <w:lang w:val="en-US" w:eastAsia="en-GB"/>
        </w:rPr>
        <w:t xml:space="preserve">) symptoms; the Temperament Evaluation of Memphis, Pisa, Paris, and San Diego Scale (TEMPS) for affective temperament traits; and the </w:t>
      </w:r>
      <w:bookmarkStart w:id="17" w:name="_Hlk215566060"/>
      <w:r w:rsidRPr="003C1D92">
        <w:rPr>
          <w:rFonts w:eastAsia="Times New Roman" w:cs="Times New Roman"/>
          <w:lang w:val="en-US" w:eastAsia="en-GB"/>
        </w:rPr>
        <w:t xml:space="preserve">Affective Lability Scale </w:t>
      </w:r>
      <w:bookmarkEnd w:id="17"/>
      <w:r w:rsidRPr="003C1D92">
        <w:rPr>
          <w:rFonts w:eastAsia="Times New Roman" w:cs="Times New Roman"/>
          <w:lang w:val="en-US" w:eastAsia="en-GB"/>
        </w:rPr>
        <w:t>(ALS) for affective instability</w:t>
      </w:r>
      <w:r w:rsidRPr="003C1D92">
        <w:rPr>
          <w:rFonts w:eastAsia="Times New Roman" w:cs="Times New Roman"/>
          <w:lang w:val="en-US" w:eastAsia="en-GB"/>
        </w:rPr>
        <w:fldChar w:fldCharType="begin"/>
      </w:r>
      <w:r w:rsidRPr="003C1D92">
        <w:rPr>
          <w:rFonts w:eastAsia="Times New Roman" w:cs="Times New Roman"/>
          <w:lang w:val="en-US" w:eastAsia="en-GB"/>
        </w:rPr>
        <w:instrText xml:space="preserve"> ADDIN ZOTERO_ITEM CSL_CITATION {"citationID":"kk8T72ys","properties":{"formattedCitation":"(57)","plainCitation":"(57)","noteIndex":0},"citationItems":[{"id":8006,"uris":["http://zotero.org/users/8364405/items/5X2GWCIR"],"itemData":{"id":8006,"type":"article-journal","abstract":"A self‐report measure of changeable affect was developed, with a goal of identification of patterns of instability in mood. Scales measuring lability in anxiety, depression, anger, and hypomania, and labile shifts between anxiety and depression and hypomania and depression were constructed. These scales were then evaluated for internal consistency, retest reliability, score stability across samples, and for discriminant validity through assessment of association with measures of dysphoria and intensity of affect. The final versions of the scales are short scales that yield highly stable estimates of affect lability. It was noted that these scales are highly correlated in unselected students and it is believed that ongoing research with clinical populations will better allow for determination of the independence of these scales. Copyright © 1989 Wiley Periodicals, Inc., A Wiley Company","container-title":"Journal of Clinical Psychology","DOI":"10.1002/1097-4679(198909)45:5&lt;786::AID-JCLP2270450515&gt;3.0.CO;2-P","ISSN":"10974679","issue":"5","note":"PMID: 2808736","page":"786-793","title":"The affective lability scales: Development, reliability, and validity","volume":"45","author":[{"family":"Harvey","given":"Philip D."},{"family":"Greenberg","given":"Barbara R."},{"family":"Serper","given":"Mark R."}],"issued":{"date-parts":[["1989"]]}}}],"schema":"https://github.com/citation-style-language/schema/raw/master/csl-citation.json"} </w:instrText>
      </w:r>
      <w:r w:rsidRPr="003C1D92">
        <w:rPr>
          <w:rFonts w:eastAsia="Times New Roman" w:cs="Times New Roman"/>
          <w:lang w:val="en-US" w:eastAsia="en-GB"/>
        </w:rPr>
        <w:fldChar w:fldCharType="separate"/>
      </w:r>
      <w:r w:rsidRPr="003C1D92">
        <w:rPr>
          <w:rFonts w:eastAsia="Times New Roman" w:cs="Times New Roman"/>
          <w:noProof/>
          <w:lang w:val="en-US" w:eastAsia="en-GB"/>
        </w:rPr>
        <w:t>(57)</w:t>
      </w:r>
      <w:r w:rsidRPr="003C1D92">
        <w:rPr>
          <w:rFonts w:eastAsia="Times New Roman" w:cs="Times New Roman"/>
          <w:lang w:val="en-US" w:eastAsia="en-GB"/>
        </w:rPr>
        <w:fldChar w:fldCharType="end"/>
      </w:r>
      <w:r w:rsidRPr="003C1D92">
        <w:rPr>
          <w:rFonts w:eastAsia="Times New Roman" w:cs="Times New Roman"/>
          <w:lang w:val="en-US" w:eastAsia="en-GB"/>
        </w:rPr>
        <w:t>.</w:t>
      </w:r>
    </w:p>
    <w:p w14:paraId="1BDAA4C3" w14:textId="3CF3082E" w:rsidR="00F34927" w:rsidRPr="003C1D92" w:rsidRDefault="00F34927" w:rsidP="00EF0772">
      <w:pPr>
        <w:spacing w:before="100" w:beforeAutospacing="1" w:after="100" w:afterAutospacing="1"/>
        <w:rPr>
          <w:rFonts w:eastAsia="Times New Roman" w:cs="Times New Roman"/>
          <w:lang w:val="en-US" w:eastAsia="en-GB"/>
        </w:rPr>
      </w:pPr>
      <w:r w:rsidRPr="003C1D92">
        <w:rPr>
          <w:rFonts w:eastAsia="Times New Roman" w:cs="Times New Roman"/>
          <w:lang w:val="en-US" w:eastAsia="en-GB"/>
        </w:rPr>
        <w:t>Cognitive performance was assessed using standardized working memory and executive function tasks: the Digit Span (</w:t>
      </w:r>
      <w:proofErr w:type="spellStart"/>
      <w:r w:rsidRPr="003C1D92">
        <w:rPr>
          <w:rFonts w:eastAsia="Times New Roman" w:cs="Times New Roman"/>
          <w:lang w:val="en-US" w:eastAsia="en-GB"/>
        </w:rPr>
        <w:t>DigSpan</w:t>
      </w:r>
      <w:proofErr w:type="spellEnd"/>
      <w:r w:rsidRPr="003C1D92">
        <w:rPr>
          <w:rFonts w:eastAsia="Times New Roman" w:cs="Times New Roman"/>
          <w:lang w:val="en-US" w:eastAsia="en-GB"/>
        </w:rPr>
        <w:t>) and Reverse Digit Span (</w:t>
      </w:r>
      <w:proofErr w:type="spellStart"/>
      <w:r w:rsidRPr="003C1D92">
        <w:rPr>
          <w:rFonts w:eastAsia="Times New Roman" w:cs="Times New Roman"/>
          <w:lang w:val="en-US" w:eastAsia="en-GB"/>
        </w:rPr>
        <w:t>RevDS</w:t>
      </w:r>
      <w:proofErr w:type="spellEnd"/>
      <w:r w:rsidRPr="003C1D92">
        <w:rPr>
          <w:rFonts w:eastAsia="Times New Roman" w:cs="Times New Roman"/>
          <w:lang w:val="en-US" w:eastAsia="en-GB"/>
        </w:rPr>
        <w:t>) tests, an Incremental Memory Task (</w:t>
      </w:r>
      <w:proofErr w:type="spellStart"/>
      <w:r w:rsidRPr="003C1D92">
        <w:rPr>
          <w:rFonts w:eastAsia="Times New Roman" w:cs="Times New Roman"/>
          <w:lang w:val="en-US" w:eastAsia="en-GB"/>
        </w:rPr>
        <w:t>IncrMem</w:t>
      </w:r>
      <w:proofErr w:type="spellEnd"/>
      <w:r w:rsidRPr="003C1D92">
        <w:rPr>
          <w:rFonts w:eastAsia="Times New Roman" w:cs="Times New Roman"/>
          <w:lang w:val="en-US" w:eastAsia="en-GB"/>
        </w:rPr>
        <w:t>) requiring participants to reorder a sequence of digits from smallest to largest, and a Mental Calculation (</w:t>
      </w:r>
      <w:proofErr w:type="spellStart"/>
      <w:r w:rsidRPr="003C1D92">
        <w:rPr>
          <w:rFonts w:eastAsia="Times New Roman" w:cs="Times New Roman"/>
          <w:lang w:val="en-US" w:eastAsia="en-GB"/>
        </w:rPr>
        <w:t>MenCal</w:t>
      </w:r>
      <w:proofErr w:type="spellEnd"/>
      <w:r w:rsidRPr="003C1D92">
        <w:rPr>
          <w:rFonts w:eastAsia="Times New Roman" w:cs="Times New Roman"/>
          <w:lang w:val="en-US" w:eastAsia="en-GB"/>
        </w:rPr>
        <w:t xml:space="preserve">) task measuring mental arithmetic abilities. </w:t>
      </w:r>
    </w:p>
    <w:p w14:paraId="2595D5D9" w14:textId="3CB205EF" w:rsidR="00B0025B" w:rsidRPr="003C1D92" w:rsidRDefault="00F34927" w:rsidP="00EF0772">
      <w:pPr>
        <w:spacing w:before="100" w:beforeAutospacing="1" w:after="100" w:afterAutospacing="1"/>
        <w:rPr>
          <w:rFonts w:eastAsia="Times New Roman" w:cs="Times New Roman"/>
          <w:lang w:val="en-US" w:eastAsia="en-GB"/>
        </w:rPr>
      </w:pPr>
      <w:r w:rsidRPr="003C1D92">
        <w:rPr>
          <w:rFonts w:eastAsia="Times New Roman" w:cs="Times New Roman"/>
          <w:lang w:val="en-US" w:eastAsia="en-GB"/>
        </w:rPr>
        <w:t xml:space="preserve">Chronological age in years, sex, and body mass index (BMI) were also acquired for each participant. All participants identified as cisgender. All participants provided written informed consent under the ethical approval CER 13-081 granted by Geneva University Ethical Committee. </w:t>
      </w:r>
    </w:p>
    <w:p w14:paraId="65C4580C" w14:textId="672F6B39" w:rsidR="00B0025B" w:rsidRPr="003C1D92" w:rsidRDefault="00D3011A" w:rsidP="00EF0772">
      <w:pPr>
        <w:pStyle w:val="Heading2"/>
        <w:spacing w:line="480" w:lineRule="auto"/>
      </w:pPr>
      <w:bookmarkStart w:id="18" w:name="_Toc229229957"/>
      <w:r w:rsidRPr="003C1D92">
        <w:t>Serum markers: multiplex bead-based immunoassay</w:t>
      </w:r>
      <w:bookmarkEnd w:id="18"/>
    </w:p>
    <w:p w14:paraId="2B5BB8F5" w14:textId="55085ED6" w:rsidR="00B0025B" w:rsidRPr="003C1D92" w:rsidRDefault="00B0025B"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Biological samples (serum) were collected before the scanning session from all participants and stored at −80°C until analysis. All procedures were conducted in accordance with institutional and international ethical guidelines (ethic committee approval number: CER 13–081). To quantify multiple inflammatory markers simultaneously, we used a multiplex bead-based immunoassay from Thermo Fisher Scientific (Human ProcartaPlex Mix&amp;Match, PPX-23). The panel included 28 neurotrophic and inflammatory proteins: Brain-Derived Neurotrophic Factor (BDNF); adhesion molecules such as E-selectin (CD62E) and VCAM-1; acute phase proteins like C-reactive protein (CRP); cytokines and chemokines including IL-1α, IL-1β, IL-2, IL-2R, IL-4, IL-6, IL-8, IL-10, IL-12, IL-13, IL-1RA, IL-17a, IL-18, TNF-α, IFN-α, IFN-β, and IFN-γ; growth factors (EGF, GM-CSF); and additional inflammatory mediators (GROα, IP10, LAP, MCP1, MIF). Please refer to </w:t>
      </w:r>
      <w:r w:rsidRPr="003C1D92">
        <w:rPr>
          <w:rFonts w:eastAsia="Times New Roman" w:cs="Times New Roman"/>
          <w:b/>
          <w:bCs/>
          <w:lang w:eastAsia="en-GB"/>
        </w:rPr>
        <w:t>Supplementary Table 1</w:t>
      </w:r>
      <w:r w:rsidRPr="003C1D92">
        <w:rPr>
          <w:rFonts w:eastAsia="Times New Roman" w:cs="Times New Roman"/>
          <w:lang w:eastAsia="en-GB"/>
        </w:rPr>
        <w:t xml:space="preserve"> for the </w:t>
      </w:r>
      <w:r w:rsidRPr="003C1D92">
        <w:rPr>
          <w:rFonts w:eastAsia="Times New Roman" w:cs="Times New Roman"/>
          <w:lang w:eastAsia="en-GB"/>
        </w:rPr>
        <w:lastRenderedPageBreak/>
        <w:t xml:space="preserve">complete list of all variable names and corresponding abbreviations used in the manuscript. Assays were performed according to the manufacturer's instructions. Briefly, standards and samples randomized across plates by two co-authors (CP and TL) who were fully blinded to diagnostic groups, were incubated with antibody-coated magnetic beads in a 96-well plate. Following incubation and washing steps, biotinylated detection antibody mix was added, and, after incubation and washing, streptavidin-PE was added. The final signal was acquired using a Luminex Bio-Plex200 (BioRad Laboratories Inc.) instrument. Raw fluorescence data were acquired using Bio-Plex Manager software (Biorad Laboratories Inc.). Standard curves were generated based on the known concentrations provided in the assay kit, and sample concentrations were computed using a five-parameter logistic (5-PL) regression model. Analyte values falling below the lower limit of detection were assigned a value of zero. Two biomarkers (IL-13 and IL-1RA) were excluded from further analyses due to a high proportion (i.e., &gt;50%) of undetectable or missing values. This resulted in a final set of 26 immune and neurotrophic markers included in the analysis (see </w:t>
      </w:r>
      <w:r w:rsidRPr="003C1D92">
        <w:rPr>
          <w:rFonts w:eastAsia="Times New Roman" w:cs="Times New Roman"/>
          <w:b/>
          <w:bCs/>
          <w:lang w:eastAsia="en-GB"/>
        </w:rPr>
        <w:t xml:space="preserve">Supplementary Table 1 </w:t>
      </w:r>
      <w:r w:rsidRPr="003C1D92">
        <w:rPr>
          <w:rFonts w:eastAsia="Times New Roman" w:cs="Times New Roman"/>
          <w:lang w:eastAsia="en-GB"/>
        </w:rPr>
        <w:t xml:space="preserve">for the complete list). All samples were run in duplicate, and intra- and inter-assay coefficients of variation were monitored to ensure data quality. </w:t>
      </w:r>
    </w:p>
    <w:p w14:paraId="5BC2286C" w14:textId="2C78B2E1" w:rsidR="00592950" w:rsidRPr="003C1D92" w:rsidRDefault="00592950" w:rsidP="00EF0772">
      <w:pPr>
        <w:pStyle w:val="Heading2"/>
        <w:spacing w:line="480" w:lineRule="auto"/>
      </w:pPr>
      <w:bookmarkStart w:id="19" w:name="_Toc229229958"/>
      <w:r w:rsidRPr="003C1D92">
        <w:t>Resting-state fMRI acquisition and analysis of hippocampal dynamic functional connectivity with micro-CoActivation Patterns (μCAPs)</w:t>
      </w:r>
      <w:bookmarkEnd w:id="19"/>
    </w:p>
    <w:p w14:paraId="1734313E" w14:textId="5462B8C0" w:rsidR="00592950" w:rsidRPr="003C1D92" w:rsidRDefault="00052EF5" w:rsidP="00EF0772">
      <w:pPr>
        <w:spacing w:before="100" w:beforeAutospacing="1" w:after="100" w:afterAutospacing="1"/>
        <w:rPr>
          <w:rFonts w:cs="Times New Roman"/>
          <w:lang w:val="en-US"/>
        </w:rPr>
      </w:pPr>
      <w:r w:rsidRPr="003C1D92">
        <w:rPr>
          <w:rFonts w:eastAsia="Times New Roman" w:cs="Times New Roman"/>
          <w:lang w:val="en-US" w:eastAsia="en-GB"/>
        </w:rPr>
        <w:t>Given the well-recognized role of the hippocampus in emotion regulation and EDD in general</w:t>
      </w:r>
      <w:r w:rsidRPr="003C1D92">
        <w:fldChar w:fldCharType="begin"/>
      </w:r>
      <w:r w:rsidRPr="003C1D92">
        <w:instrText xml:space="preserve"> ADDIN ZOTERO_ITEM CSL_CITATION {"citationID":"XfTSK9ip","properties":{"formattedCitation":"(51\\uc0\\u8211{}53,58)","plainCitation":"(51–53,58)","noteIndex":0},"citationItems":[{"id":2437,"uris":["http://zotero.org/users/8364405/items/APVWIIHX"],"itemData":{"id":2437,"type":"article-journal","abstract":"Objectives: : Bipolar disorder (BD) is a severe, chronic, affective disorder characterized by recurrent switching between mood states, psychomotor and cognitive symptoms, which can linger in euthymic states as residual symptoms. Hippocampal alterations may play a key role in the neural processing of BD symptoms. However, its dynamic functional connectivity (dFC) remains unclear. Therefore, the present study explores hippocampal dFC in relation to BD symptoms.\nMethods: : We assessed hippocampus-based dFC coactivation patterns (CAPs) on resting-state fMRI data of 25 euthymic BD patients and 25 age- and sex-matched healthy controls (HC).\nResults: : Bilateral hippocampal dFC with somatomotor networks (SMN) was reduced in BD, compared to HC, while at the same time dFC between the left hippocampus and midcingulo-insular salience system (SN) was higher in BD. Correlational analysis between CAPs and clinical scores revealed that dFC between the bilateral hippocampus and the default-like network (DMN) correlated with depression scores in BD. Furthermore, pathological hyperconnectivity between the default mode network (DMN) and SMN and the frontoparietal network (FPN) was modulated by the same depression scores in BD.\nConclusions: : Overall, we observed alterations of large-scale functional brain networks associated with decreased flexibility in cognitive control, salience detection, and emotion processing in BD. Additionally, the present study provides new insights on the neural architecture underlying a self-centered perspective on the environment in BD patients. dFC markers may improve detection, treatment, and follow-up of BD patients and of disabling residual depressive symptoms in particular.","container-title":"Brain and Behavior","DOI":"10.1002/brb3.3010","ISSN":"2162-3279, 2162-3279","issue":"6","journalAbbreviation":"Brain and Behavior","language":"en","page":"e3010","source":"DOI.org (Crossref)","title":"Dynamic functional hippocampal markers of residual depressive symptoms in euthymic bipolar disorder","volume":"13","author":[{"family":"Saccaro","given":"Luigi F"},{"family":"Gaviria","given":"Julian"},{"family":"Ville","given":"Dimitri Van De"},{"family":"Piguet","given":"Camille"}],"issued":{"date-parts":[["2023",6]]}}},{"id":28411,"uris":["http://zotero.org/users/8364405/items/V2XTQWFS"],"itemData":{"id":28411,"type":"article-journal","abstract":"OBJECTIVES: Bipolar disorder (BD) is a highly heritable disorder characterized by emotion dysregulation and recurrent oscillations between mood states. Despite the proven efficacy of early interventions, vulnerability markers in high-risk individuals are still lacking. BD patients present structural alterations of the hippocampus, a pivotal hub of emotion regulation networks composed of multiple subregions with different projections. However, the hippocampal dynamic functional connectivity (dFC) in BD remains unclear. We aim to investigate whether the dFC of hippocampal subdivisions differentiates BD patients, offspring of BD patients (BDoff), and healthy controls (HC); and whether it correlates with symptoms differently between these groups.\nMETHODS: We studied for the first time the dFC of the hippocampus through a cutting-edge micro-co-activation patterns (μCAPs) analysis of resting-state functional MRI data of 97 subjects (26 BD, 18 BDoff, 53 HC). μCAPs allow a data-driven differentiation within the seed region.\nRESULTS: dFC between the hippocampal body and a somatomotor-μCAP was lower both in BD patients (p-valueFDR:0.00015) and in BDoff (p-valueFDR:0.020) than in HC. Inversely, dFC between the hippocampal head and a limbic-μCAP was higher in BD patients than in HC (p-valueFDR: 0.005). Furthermore, the correlations between a frontoparietal-μCAP and both depression and emotion dysregulation symptoms were significantly higher in BD than HC (p-valueFDR &lt;0.02).\nCONCLUSION: Overall, we observed alterations of large-scale functional brain networks associated with decreased cognitive control flexibility and disrupted somatomotor, saliency, and emotion processing in BD. Interestingly, BDoff presented an intermediate phenotype between BD and HC, suggesting that dFC of hippocampal subregions might represent a marker of vulnerability to BD.","container-title":"Bipolar Disorders","DOI":"10.1111/bdi.13487","ISSN":"1399-5618","journalAbbreviation":"Bipolar Disord","language":"eng","note":"PMID: 39135100","source":"PubMed","title":"Hippocampal temporal dynamics and spatial heterogeneity unveil vulnerability markers in the offspring of bipolar patients","author":[{"family":"Saccaro","given":"Luigi F."},{"family":"Delavari","given":"Farnaz"},{"family":"Van De Ville","given":"Dimitri"},{"family":"Piguet","given":"Camille"}],"issued":{"date-parts":[["2024",8,12]]}}},{"id":28405,"uris":["http://zotero.org/users/8364405/items/6REZB9MH"],"itemData":{"id":28405,"type":"article-journal","abstract":"INTRODUCTION: Suicide in bipolar disorder (BD) is a multifaceted behavior, involving specific neuroendocrine and psychological mechanisms. According to previous studies, we hypothesized that suicidal BD patients may exhibit impaired dynamic functional connectivity (dFC) variability of hippocampal subregions and hypothalamic-pituitary-adrenal (HPA) axis activity, which may be associated with suicide-related personality traits. The objective of our study was to clarify this.\nMETHODS: Resting-state functional magnetic resonance imaging data were obtained from 79 patients with BD, 39 with suicidal attempt (SA), and 40 without SA, and 35 healthy controls (HCs). The activity of the HPA axis was assessed by measuring morning plasma adrenocorticotropic hormone (ACTH) and cortisol (CORT) levels. All participants underwent personality assessment using Minnesota Multiphasic Personality Inventory-2 (MMPI-2).\nRESULTS: BD patients with SA exhibited increased dFC variability between the right caudal hippocampus and the left superior temporal gyrus (STG) when compared with non-SA BD patients and HCs. BD with SA also showed significantly lower ACTH levels in comparison with HCs, which was positively correlated with increased dFC variability between the right caudal hippocampus and the left STG. BD with SA had significantly higher scores of Hypochondriasis, Depression, and Schizophrenia than non-SA BD. Additionally, multivariable regression analysis revealed the interaction of ACTH × dFC variability between the right caudal hippocampus and the left STG independently predicted MMPI-2 score (depression evaluation) in suicidal BD patients.\nCONCLUSION: These results suggested that suicidal BD exhibited increased dFC variability of hippocampal-temporal cortex and less HPA axis hyperactivity, which may affect their personality traits.","container-title":"Neuroendocrinology","DOI":"10.1159/000534033","ISSN":"1423-0194","issue":"2","journalAbbreviation":"Neuroendocrinology","language":"eng","note":"PMID: 37729896","page":"179-191","source":"PubMed","title":"Hippocampal Dynamic Functional Connectivity, HPA Axis Activity, and Personality Trait in Bipolar Disorder with Suicidal Attempt","volume":"114","author":[{"family":"Zhong","given":"Shuming"},{"family":"Chen","given":"Pan"},{"family":"Lai","given":"Shunkai"},{"family":"Zhang","given":"Yiliang"},{"family":"Chen","given":"Guanmao"},{"family":"He","given":"Jiali"},{"family":"Pan","given":"Youling"},{"family":"Tang","given":"Guixian"},{"family":"Wang","given":"Ying"},{"family":"Jia","given":"Yanbin"}],"issued":{"date-parts":[["2024"]]}}},{"id":28735,"uris":["http://zotero.org/users/8364405/items/9K2D8PTZ"],"itemData":{"id":28735,"type":"article-journal","container-title":"International Neuropsychiatric Disease Journal","DOI":"10.9734/indj/2023/v19i2370","ISSN":"2321-7235","issue":"2","language":"en","page":"28-38","source":"journalindj.com","title":"The Role of the Hippocampus in Borderline Personality Disorder: Structural and Functional Abnormalities","title-short":"The Role of the Hippocampus in Borderline Personality Disorder","volume":"19","author":[{"family":"Thornton","given":"Owen R."},{"family":"Li","given":"Wenjun"},{"family":"Cole","given":"Hunter"},{"family":"Cólon","given":"Isabella"}],"issued":{"date-parts":[["2023",3,28]]}}}],"schema":"https://github.com/citation-style-language/schema/raw/master/csl-citation.json"} </w:instrText>
      </w:r>
      <w:r w:rsidRPr="003C1D92">
        <w:fldChar w:fldCharType="separate"/>
      </w:r>
      <w:r w:rsidRPr="003C1D92">
        <w:rPr>
          <w:rFonts w:cs="Times New Roman"/>
          <w:lang w:val="en-GB"/>
        </w:rPr>
        <w:t>(51–53,58)</w:t>
      </w:r>
      <w:r w:rsidRPr="003C1D92">
        <w:fldChar w:fldCharType="end"/>
      </w:r>
      <w:r w:rsidRPr="003C1D92">
        <w:rPr>
          <w:rFonts w:eastAsia="Times New Roman" w:cs="Times New Roman"/>
          <w:lang w:val="en-US" w:eastAsia="en-GB"/>
        </w:rPr>
        <w:t>, detailed in the Introduction, we focused on hippocampal functional connectivity. Hippocampal dynamic functional connectivity (</w:t>
      </w:r>
      <w:proofErr w:type="spellStart"/>
      <w:r w:rsidRPr="003C1D92">
        <w:rPr>
          <w:rFonts w:eastAsia="Times New Roman" w:cs="Times New Roman"/>
          <w:lang w:val="en-US" w:eastAsia="en-GB"/>
        </w:rPr>
        <w:t>dFC</w:t>
      </w:r>
      <w:proofErr w:type="spellEnd"/>
      <w:r w:rsidRPr="003C1D92">
        <w:rPr>
          <w:rFonts w:eastAsia="Times New Roman" w:cs="Times New Roman"/>
          <w:lang w:val="en-US" w:eastAsia="en-GB"/>
        </w:rPr>
        <w:t>) was quantified using micro-coactivation patterns analysis (</w:t>
      </w:r>
      <w:proofErr w:type="spellStart"/>
      <w:r w:rsidRPr="003C1D92">
        <w:rPr>
          <w:rFonts w:eastAsia="Times New Roman" w:cs="Times New Roman"/>
          <w:lang w:val="en-US" w:eastAsia="en-GB"/>
        </w:rPr>
        <w:t>μCAPs</w:t>
      </w:r>
      <w:proofErr w:type="spellEnd"/>
      <w:r w:rsidRPr="003C1D92">
        <w:rPr>
          <w:rFonts w:eastAsia="Times New Roman" w:cs="Times New Roman"/>
          <w:lang w:val="en-US" w:eastAsia="en-GB"/>
        </w:rPr>
        <w:t xml:space="preserve">). </w:t>
      </w:r>
      <w:r w:rsidRPr="003C1D92">
        <w:rPr>
          <w:rFonts w:cs="Times New Roman"/>
          <w:lang w:val="en-US"/>
        </w:rPr>
        <w:t xml:space="preserve">The </w:t>
      </w:r>
      <w:proofErr w:type="spellStart"/>
      <w:r w:rsidRPr="003C1D92">
        <w:rPr>
          <w:rFonts w:eastAsia="Times New Roman" w:cs="Times New Roman"/>
          <w:lang w:val="en-US" w:eastAsia="en-GB"/>
        </w:rPr>
        <w:t>μCAPs</w:t>
      </w:r>
      <w:proofErr w:type="spellEnd"/>
      <w:r w:rsidRPr="003C1D92">
        <w:rPr>
          <w:rFonts w:cs="Times New Roman"/>
          <w:lang w:val="en-US"/>
        </w:rPr>
        <w:t xml:space="preserve"> method described in the following sections partly overlap with our previous publications employing similar methodology</w:t>
      </w:r>
      <w:r w:rsidRPr="003C1D92">
        <w:rPr>
          <w:rFonts w:cs="Times New Roman"/>
          <w:bCs/>
          <w:lang w:val="en-US"/>
        </w:rPr>
        <w:fldChar w:fldCharType="begin"/>
      </w:r>
      <w:r w:rsidRPr="003C1D92">
        <w:rPr>
          <w:rFonts w:cs="Times New Roman"/>
          <w:bCs/>
          <w:lang w:val="en-US"/>
        </w:rPr>
        <w:instrText xml:space="preserve"> ADDIN ZOTERO_ITEM CSL_CITATION {"citationID":"SvatgQ8d","properties":{"formattedCitation":"(51,52)","plainCitation":"(51,52)","noteIndex":0},"citationItems":[{"id":28411,"uris":["http://zotero.org/users/8364405/items/V2XTQWFS"],"itemData":{"id":28411,"type":"article-journal","abstract":"OBJECTIVES: Bipolar disorder (BD) is a highly heritable disorder characterized by emotion dysregulation and recurrent oscillations between mood states. Despite the proven efficacy of early interventions, vulnerability markers in high-risk individuals are still lacking. BD patients present structural alterations of the hippocampus, a pivotal hub of emotion regulation networks composed of multiple subregions with different projections. However, the hippocampal dynamic functional connectivity (dFC) in BD remains unclear. We aim to investigate whether the dFC of hippocampal subdivisions differentiates BD patients, offspring of BD patients (BDoff), and healthy controls (HC); and whether it correlates with symptoms differently between these groups.\nMETHODS: We studied for the first time the dFC of the hippocampus through a cutting-edge micro-co-activation patterns (μCAPs) analysis of resting-state functional MRI data of 97 subjects (26 BD, 18 BDoff, 53 HC). μCAPs allow a data-driven differentiation within the seed region.\nRESULTS: dFC between the hippocampal body and a somatomotor-μCAP was lower both in BD patients (p-valueFDR:0.00015) and in BDoff (p-valueFDR:0.020) than in HC. Inversely, dFC between the hippocampal head and a limbic-μCAP was higher in BD patients than in HC (p-valueFDR: 0.005). Furthermore, the correlations between a frontoparietal-μCAP and both depression and emotion dysregulation symptoms were significantly higher in BD than HC (p-valueFDR &lt;0.02).\nCONCLUSION: Overall, we observed alterations of large-scale functional brain networks associated with decreased cognitive control flexibility and disrupted somatomotor, saliency, and emotion processing in BD. Interestingly, BDoff presented an intermediate phenotype between BD and HC, suggesting that dFC of hippocampal subregions might represent a marker of vulnerability to BD.","container-title":"Bipolar Disorders","DOI":"10.1111/bdi.13487","ISSN":"1399-5618","journalAbbreviation":"Bipolar Disord","language":"eng","note":"PMID: 39135100","source":"PubMed","title":"Hippocampal temporal dynamics and spatial heterogeneity unveil vulnerability markers in the offspring of bipolar patients","author":[{"family":"Saccaro","given":"Luigi F."},{"family":"Delavari","given":"Farnaz"},{"family":"Van De Ville","given":"Dimitri"},{"family":"Piguet","given":"Camille"}],"issued":{"date-parts":[["2024",8,12]]}}},{"id":2437,"uris":["http://zotero.org/users/8364405/items/APVWIIHX"],"itemData":{"id":2437,"type":"article-journal","abstract":"Objectives: : Bipolar disorder (BD) is a severe, chronic, affective disorder characterized by recurrent switching between mood states, psychomotor and cognitive symptoms, which can linger in euthymic states as residual symptoms. Hippocampal alterations may play a key role in the neural processing of BD symptoms. However, its dynamic functional connectivity (dFC) remains unclear. Therefore, the present study explores hippocampal dFC in relation to BD symptoms.\nMethods: : We assessed hippocampus-based dFC coactivation patterns (CAPs) on resting-state fMRI data of 25 euthymic BD patients and 25 age- and sex-matched healthy controls (HC).\nResults: : Bilateral hippocampal dFC with somatomotor networks (SMN) was reduced in BD, compared to HC, while at the same time dFC between the left hippocampus and midcingulo-insular salience system (SN) was higher in BD. Correlational analysis between CAPs and clinical scores revealed that dFC between the bilateral hippocampus and the default-like network (DMN) correlated with depression scores in BD. Furthermore, pathological hyperconnectivity between the default mode network (DMN) and SMN and the frontoparietal network (FPN) was modulated by the same depression scores in BD.\nConclusions: : Overall, we observed alterations of large-scale functional brain networks associated with decreased flexibility in cognitive control, salience detection, and emotion processing in BD. Additionally, the present study provides new insights on the neural architecture underlying a self-centered perspective on the environment in BD patients. dFC markers may improve detection, treatment, and follow-up of BD patients and of disabling residual depressive symptoms in particular.","container-title":"Brain and Behavior","DOI":"10.1002/brb3.3010","ISSN":"2162-3279, 2162-3279","issue":"6","journalAbbreviation":"Brain and Behavior","language":"en","page":"e3010","source":"DOI.org (Crossref)","title":"Dynamic functional hippocampal markers of residual depressive symptoms in euthymic bipolar disorder","volume":"13","author":[{"family":"Saccaro","given":"Luigi F"},{"family":"Gaviria","given":"Julian"},{"family":"Ville","given":"Dimitri Van De"},{"family":"Piguet","given":"Camille"}],"issued":{"date-parts":[["2023",6]]}}}],"schema":"https://github.com/citation-style-language/schema/raw/master/csl-citation.json"} </w:instrText>
      </w:r>
      <w:r w:rsidRPr="003C1D92">
        <w:rPr>
          <w:rFonts w:cs="Times New Roman"/>
          <w:bCs/>
          <w:lang w:val="en-US"/>
        </w:rPr>
        <w:fldChar w:fldCharType="separate"/>
      </w:r>
      <w:r w:rsidRPr="003C1D92">
        <w:rPr>
          <w:rFonts w:cs="Times New Roman"/>
          <w:lang w:val="en-GB"/>
        </w:rPr>
        <w:t>(51,52)</w:t>
      </w:r>
      <w:r w:rsidRPr="003C1D92">
        <w:rPr>
          <w:rFonts w:cs="Times New Roman"/>
          <w:bCs/>
          <w:lang w:val="en-US"/>
        </w:rPr>
        <w:fldChar w:fldCharType="end"/>
      </w:r>
      <w:r w:rsidRPr="003C1D92">
        <w:rPr>
          <w:rFonts w:cs="Times New Roman"/>
          <w:lang w:val="en-US"/>
        </w:rPr>
        <w:t>, but we provide complete details below for the sake of clarity.</w:t>
      </w:r>
    </w:p>
    <w:p w14:paraId="22CDA50B" w14:textId="2AE75399" w:rsidR="005F017F" w:rsidRPr="003C1D92" w:rsidRDefault="005F017F" w:rsidP="00EF0772">
      <w:pPr>
        <w:pStyle w:val="Heading3"/>
        <w:spacing w:line="480" w:lineRule="auto"/>
        <w:rPr>
          <w:lang w:val="en-US"/>
        </w:rPr>
      </w:pPr>
      <w:bookmarkStart w:id="20" w:name="_Toc229229959"/>
      <w:r w:rsidRPr="003C1D92">
        <w:rPr>
          <w:lang w:val="en-US"/>
        </w:rPr>
        <w:lastRenderedPageBreak/>
        <w:t>MRI acquisition</w:t>
      </w:r>
      <w:bookmarkEnd w:id="20"/>
    </w:p>
    <w:p w14:paraId="4851E094" w14:textId="2CE5A6B9" w:rsidR="00592950" w:rsidRPr="003C1D92" w:rsidRDefault="00592950" w:rsidP="00EF0772">
      <w:pPr>
        <w:rPr>
          <w:rFonts w:cs="Times New Roman"/>
          <w:lang w:val="en-US"/>
        </w:rPr>
      </w:pPr>
      <w:r w:rsidRPr="003C1D92">
        <w:rPr>
          <w:rFonts w:cs="Times New Roman"/>
          <w:lang w:val="en-US"/>
        </w:rPr>
        <w:t>Whole-brain MRI data were acquired</w:t>
      </w:r>
      <w:r w:rsidRPr="003C1D92">
        <w:t xml:space="preserve"> immediately following completion of the clinical questionnaires,</w:t>
      </w:r>
      <w:r w:rsidRPr="003C1D92">
        <w:rPr>
          <w:rFonts w:cs="Times New Roman"/>
          <w:lang w:val="en-US"/>
        </w:rPr>
        <w:t xml:space="preserve"> with a 3T scanner (Siemens TIM Trio), and a 32 channels head-coil, at the Brain &amp; Behavior Laboratory (BBL), University of Geneva. The Blood Oxygenation Level Dependent (BOLD) contrast was measured using a T2*-weighted echo-planar sequence (EPI). 250 functional volumes of 36 axial slices each (TR/TE/flip angle = 2100ms/30ms/80°, FOV=205 mm, resolution=64×64, isotropic voxels of 3.2 mm3, distance factor 20%) were acquired. Furthermore, we collected a high-resolution T1-weighted anatomical image [TR/TI/TE/flip angle=1900ms/900ms/2.27ms/9°, FOV=256mm, resolution=256×256, slice thickness=1mm3, 192 sagittal slices, phase encoding direction= Anterior-Posterior (AP)]. Our sequence included dummy scans (~ 9s) at the beginning of the fMRI scanning. The subjects were instructed to lie awake, with normal breathing, and not think about anything </w:t>
      </w:r>
      <w:proofErr w:type="gramStart"/>
      <w:r w:rsidRPr="003C1D92">
        <w:rPr>
          <w:rFonts w:cs="Times New Roman"/>
          <w:lang w:val="en-US"/>
        </w:rPr>
        <w:t>in particular for</w:t>
      </w:r>
      <w:proofErr w:type="gramEnd"/>
      <w:r w:rsidR="004F4445">
        <w:rPr>
          <w:rFonts w:cs="Times New Roman"/>
          <w:lang w:val="en-US"/>
        </w:rPr>
        <w:t xml:space="preserve"> about</w:t>
      </w:r>
      <w:r w:rsidRPr="003C1D92">
        <w:rPr>
          <w:rFonts w:cs="Times New Roman"/>
          <w:lang w:val="en-US"/>
        </w:rPr>
        <w:t xml:space="preserve"> 8 minutes.</w:t>
      </w:r>
    </w:p>
    <w:p w14:paraId="05231064" w14:textId="517B244D" w:rsidR="00592950" w:rsidRPr="003C1D92" w:rsidRDefault="00592950" w:rsidP="00EF0772">
      <w:pPr>
        <w:pStyle w:val="Heading3"/>
        <w:spacing w:line="480" w:lineRule="auto"/>
      </w:pPr>
      <w:bookmarkStart w:id="21" w:name="_Toc229229960"/>
      <w:r w:rsidRPr="003C1D92">
        <w:t>Preprocessing of functional MRI data</w:t>
      </w:r>
      <w:bookmarkEnd w:id="21"/>
      <w:r w:rsidRPr="003C1D92">
        <w:t xml:space="preserve"> </w:t>
      </w:r>
    </w:p>
    <w:p w14:paraId="68BA53F7" w14:textId="54E1BEA9" w:rsidR="00592950" w:rsidRPr="003C1D92" w:rsidRDefault="00592950" w:rsidP="00EF0772">
      <w:pPr>
        <w:ind w:firstLine="360"/>
        <w:rPr>
          <w:rFonts w:cs="Times New Roman"/>
          <w:lang w:val="en-US"/>
        </w:rPr>
      </w:pPr>
      <w:r w:rsidRPr="003C1D92">
        <w:rPr>
          <w:rFonts w:cs="Times New Roman"/>
          <w:lang w:val="en-US"/>
        </w:rPr>
        <w:t>MATLAB 2018a (MathWorks, Inc., Natick, MA, USA) was used to preprocess structural and functional images using SPM12 (</w:t>
      </w:r>
      <w:proofErr w:type="spellStart"/>
      <w:r w:rsidRPr="003C1D92">
        <w:rPr>
          <w:rFonts w:cs="Times New Roman"/>
          <w:lang w:val="en-US"/>
        </w:rPr>
        <w:t>Wellcome</w:t>
      </w:r>
      <w:proofErr w:type="spellEnd"/>
      <w:r w:rsidRPr="003C1D92">
        <w:rPr>
          <w:rFonts w:cs="Times New Roman"/>
          <w:lang w:val="en-US"/>
        </w:rPr>
        <w:t xml:space="preserve"> Trust Centre for Neuroimaging, London, UK; http://www.fil.ion.ucl.ac.uk/spm) in accordance with a previously described workflow</w:t>
      </w:r>
      <w:r w:rsidRPr="003C1D92">
        <w:rPr>
          <w:rFonts w:cs="Times New Roman"/>
          <w:lang w:val="en-US"/>
        </w:rPr>
        <w:fldChar w:fldCharType="begin"/>
      </w:r>
      <w:r w:rsidRPr="003C1D92">
        <w:rPr>
          <w:rFonts w:cs="Times New Roman"/>
          <w:lang w:val="en-US"/>
        </w:rPr>
        <w:instrText xml:space="preserve"> ADDIN ZOTERO_ITEM CSL_CITATION {"citationID":"bSWRhEvM","properties":{"formattedCitation":"(59)","plainCitation":"(59)","noteIndex":0},"citationItems":[{"id":8875,"uris":["http://zotero.org/users/8364405/items/MPI4AYAU"],"itemData":{"id":8875,"type":"article-journal","abstract":"Although often ignored in fMRI studies, moment-to-moment variability of blood oxygenation level dependent (BOLD) signals reveals important information about brain function. Indeed, higher brain signal variability has been associated with better cognitive performance in young adults compared to children and elderly adults. Functional connectivity, a very common approach in resting-state fMRI analysis, is scaled for variance. Thus, alterations might be confounded or driven by BOLD signal variance alterations. Chromosome 22q11.2 deletion syndrome (22q11.2DS) is a neurodevelopmental disorder that is associated with a vast cognitive and clinical phenotype. To date, several resting-state fMRI studies reported altered functional connectivity in 22q11.2DS, however BOLD signal variance has not yet been analyzed. Here, we employed PLS correlation analysis to reveal multivariate patterns of diagnosis-related alterations and age-relationship throughout the cortex of 50 patients between 9 and 25 years old and 50 healthy controls in the same age range. To address how functional connectivity in the default mode network is influenced by BOLD signal fluctuations, we conducted the same analysis on seed-to-voxel connectivity of the posterior cingulate cortex (PCC) and compared resulting brain patterns. BOLD signal variance was lower mainly in regions of the default mode network and in the dorsolateral prefrontal cortex, but higher in large parts of the temporal lobes. In those regions, BOLD signal variance was correlated with age in healthy controls, but not in patients, suggesting deviant developmental trajectories from child- to adulthood. Positive connectivity of the PCC within the default mode network as well as negative connectivity towards the frontoparietal network were weaker in patients with 22q11.2DS. We furthermore showed that lower functional connectivity of the PCC was not driven by higher BOLD signal variability. Our results confirm the strong implication of BOLD variance in aging and give an initial insight in its relationship with functional connectivity in the DMN.","container-title":"NeuroImage","DOI":"10.1016/j.neuroimage.2017.01.064","ISSN":"10959572","note":"publisher: Academic Press Inc.\nPMID: 28143774","page":"85-97","title":"Disentangling resting-state BOLD variability and PCC functional connectivity in 22q11.2 deletion syndrome","volume":"149","author":[{"family":"Zöller","given":"Daniela"},{"family":"Schaer","given":"Marie"},{"family":"Scariati","given":"Elisa"},{"family":"Padula","given":"Maria Carmela"},{"family":"Eliez","given":"Stephan"},{"family":"Ville","given":"Dimitri Van De"}],"issued":{"date-parts":[["2017",4]]}}}],"schema":"https://github.com/citation-style-language/schema/raw/master/csl-citation.json"} </w:instrText>
      </w:r>
      <w:r w:rsidRPr="003C1D92">
        <w:rPr>
          <w:rFonts w:cs="Times New Roman"/>
          <w:lang w:val="en-US"/>
        </w:rPr>
        <w:fldChar w:fldCharType="separate"/>
      </w:r>
      <w:r w:rsidRPr="003C1D92">
        <w:rPr>
          <w:rFonts w:cs="Times New Roman"/>
          <w:lang w:val="en-GB"/>
        </w:rPr>
        <w:t>(59)</w:t>
      </w:r>
      <w:r w:rsidRPr="003C1D92">
        <w:rPr>
          <w:rFonts w:cs="Times New Roman"/>
          <w:lang w:val="en-US"/>
        </w:rPr>
        <w:fldChar w:fldCharType="end"/>
      </w:r>
      <w:r w:rsidRPr="003C1D92">
        <w:rPr>
          <w:rFonts w:cs="Times New Roman"/>
          <w:lang w:val="en-US"/>
        </w:rPr>
        <w:t>.</w:t>
      </w:r>
    </w:p>
    <w:p w14:paraId="4F34290F" w14:textId="1C04E610" w:rsidR="00592950" w:rsidRPr="003C1D92" w:rsidRDefault="00592950" w:rsidP="00EF0772">
      <w:pPr>
        <w:pStyle w:val="SezioneBD"/>
        <w:numPr>
          <w:ilvl w:val="0"/>
          <w:numId w:val="0"/>
        </w:numPr>
        <w:rPr>
          <w:b w:val="0"/>
          <w:bCs w:val="0"/>
          <w:sz w:val="24"/>
          <w:szCs w:val="24"/>
        </w:rPr>
      </w:pPr>
      <w:r w:rsidRPr="003C1D92">
        <w:rPr>
          <w:b w:val="0"/>
          <w:bCs w:val="0"/>
          <w:sz w:val="24"/>
          <w:szCs w:val="24"/>
        </w:rPr>
        <w:t xml:space="preserve"> Specifically, functional images were realigned, followed by spatial smoothing using a 3 mm full width at half maximum isotropic Gaussian kernel. The structural scans were co-registered to the mean functional image. The structural images were segmented using SPM12's segmentation algorithm</w:t>
      </w:r>
      <w:r w:rsidRPr="003C1D92">
        <w:rPr>
          <w:b w:val="0"/>
          <w:bCs w:val="0"/>
          <w:sz w:val="24"/>
          <w:szCs w:val="24"/>
        </w:rPr>
        <w:fldChar w:fldCharType="begin"/>
      </w:r>
      <w:r w:rsidRPr="003C1D92">
        <w:rPr>
          <w:b w:val="0"/>
          <w:bCs w:val="0"/>
          <w:sz w:val="24"/>
          <w:szCs w:val="24"/>
        </w:rPr>
        <w:instrText xml:space="preserve"> ADDIN ZOTERO_ITEM CSL_CITATION {"citationID":"yefKiNsH","properties":{"formattedCitation":"(60)","plainCitation":"(60)","noteIndex":0},"citationItems":[{"id":8871,"uris":["http://zotero.org/users/8364405/items/UKMH6DBU"],"itemData":{"id":8871,"type":"article-journal","abstract":"A probabilistic framework is presented that enables image registration, tissue classification, and bias correction to be combined within the same generative model. A derivation of a log-likelihood objective function for the unified model is provided. The model is based on a mixture of Gaussians and is extended to incorporate a smooth intensity variation and nonlinear registration with tissue probability maps. A strategy for optimising the model parameters is described, along with the requisite partial derivatives of the objective function. © 2005 Elsevier Inc. All rights reserved.","container-title":"NeuroImage","DOI":"10.1016/j.neuroimage.2005.02.018","ISSN":"10538119","issue":"3","note":"PMID: 15955494","page":"839-851","title":"Unified segmentation","volume":"26","author":[{"family":"Ashburner","given":"John"},{"family":"Friston","given":"Karl J."}],"issued":{"date-parts":[["2005",7]]}}}],"schema":"https://github.com/citation-style-language/schema/raw/master/csl-citation.json"} </w:instrText>
      </w:r>
      <w:r w:rsidRPr="003C1D92">
        <w:rPr>
          <w:b w:val="0"/>
          <w:bCs w:val="0"/>
          <w:sz w:val="24"/>
          <w:szCs w:val="24"/>
        </w:rPr>
        <w:fldChar w:fldCharType="separate"/>
      </w:r>
      <w:r w:rsidRPr="003C1D92">
        <w:rPr>
          <w:b w:val="0"/>
          <w:bCs w:val="0"/>
          <w:sz w:val="24"/>
          <w:szCs w:val="24"/>
          <w:lang w:val="en-GB"/>
        </w:rPr>
        <w:t>(60)</w:t>
      </w:r>
      <w:r w:rsidRPr="003C1D92">
        <w:rPr>
          <w:b w:val="0"/>
          <w:bCs w:val="0"/>
          <w:sz w:val="24"/>
          <w:szCs w:val="24"/>
        </w:rPr>
        <w:fldChar w:fldCharType="end"/>
      </w:r>
      <w:r w:rsidRPr="003C1D92">
        <w:rPr>
          <w:b w:val="0"/>
          <w:bCs w:val="0"/>
          <w:sz w:val="24"/>
          <w:szCs w:val="24"/>
        </w:rPr>
        <w:t>, and Diffeomorphic Anatomical Registration using Exponentiated Lie algebra (DARTEL)</w:t>
      </w:r>
      <w:r w:rsidRPr="003C1D92">
        <w:rPr>
          <w:b w:val="0"/>
          <w:bCs w:val="0"/>
          <w:sz w:val="24"/>
          <w:szCs w:val="24"/>
        </w:rPr>
        <w:fldChar w:fldCharType="begin"/>
      </w:r>
      <w:r w:rsidRPr="003C1D92">
        <w:rPr>
          <w:b w:val="0"/>
          <w:bCs w:val="0"/>
          <w:sz w:val="24"/>
          <w:szCs w:val="24"/>
        </w:rPr>
        <w:instrText xml:space="preserve"> ADDIN ZOTERO_ITEM CSL_CITATION {"citationID":"V28bA2Lx","properties":{"formattedCitation":"(61)","plainCitation":"(61)","noteIndex":0},"citationItems":[{"id":8872,"uris":["http://zotero.org/users/8364405/items/HBB9PPNM"],"itemData":{"id":8872,"type":"article-journal","abstract":"This paper describes DAR℡, which is an algorithm for diffeomorphic image registration. It is implemented for both 2D and 3D image registration and has been formulated to include an option for estimating inverse consistent deformations. Nonlinear registration is considered as a local optimisation problem, which is solved using a Levenberg-Marquardt strategy. The necessary matrix solutions are obtained in reasonable time using a multigrid method. A constant Eulerian velocity framework is used, which allows a rapid scaling and squaring method to be used in the computations. DAR℡ has been applied to intersubject registration of 471 whole brain images, and the resulting deformations were evaluated in terms of how well they encode the shape information necessary to separate male and female subjects and to predict the ages of the subjects. © 2007 Elsevier Inc. All rights reserved.","container-title":"NeuroImage","DOI":"10.1016/j.neuroimage.2007.07.007","ISSN":"10538119","issue":"1","note":"PMID: 17761438","page":"95-113","title":"A fast diffeomorphic image registration algorithm","volume":"38","author":[{"family":"Ashburner","given":"John"}],"issued":{"date-parts":[["2007",10]]}}}],"schema":"https://github.com/citation-style-language/schema/raw/master/csl-citation.json"} </w:instrText>
      </w:r>
      <w:r w:rsidRPr="003C1D92">
        <w:rPr>
          <w:b w:val="0"/>
          <w:bCs w:val="0"/>
          <w:sz w:val="24"/>
          <w:szCs w:val="24"/>
        </w:rPr>
        <w:fldChar w:fldCharType="separate"/>
      </w:r>
      <w:r w:rsidRPr="003C1D92">
        <w:rPr>
          <w:b w:val="0"/>
          <w:bCs w:val="0"/>
          <w:sz w:val="24"/>
          <w:szCs w:val="24"/>
          <w:lang w:val="en-GB"/>
        </w:rPr>
        <w:t>(61)</w:t>
      </w:r>
      <w:r w:rsidRPr="003C1D92">
        <w:rPr>
          <w:b w:val="0"/>
          <w:bCs w:val="0"/>
          <w:sz w:val="24"/>
          <w:szCs w:val="24"/>
        </w:rPr>
        <w:fldChar w:fldCharType="end"/>
      </w:r>
      <w:r w:rsidRPr="003C1D92">
        <w:rPr>
          <w:sz w:val="24"/>
          <w:szCs w:val="24"/>
        </w:rPr>
        <w:t xml:space="preserve"> </w:t>
      </w:r>
      <w:r w:rsidRPr="003C1D92">
        <w:rPr>
          <w:b w:val="0"/>
          <w:bCs w:val="0"/>
          <w:sz w:val="24"/>
          <w:szCs w:val="24"/>
        </w:rPr>
        <w:t xml:space="preserve">was used to create a study-specific template. The first 5 functional scans were excluded to allow for magnetization equilibration. To remove confounding effects, linear detrending was applied to the time series, and the motion parameters (translation and </w:t>
      </w:r>
      <w:r w:rsidRPr="003C1D92">
        <w:rPr>
          <w:b w:val="0"/>
          <w:bCs w:val="0"/>
          <w:sz w:val="24"/>
          <w:szCs w:val="24"/>
        </w:rPr>
        <w:lastRenderedPageBreak/>
        <w:t>rotation) along with global, mean white matter, and mean cerebrospinal fluid signals were regressed out using the warped DPARSF tissue masks</w:t>
      </w:r>
      <w:r w:rsidRPr="003C1D92">
        <w:rPr>
          <w:b w:val="0"/>
          <w:bCs w:val="0"/>
          <w:sz w:val="24"/>
          <w:szCs w:val="24"/>
        </w:rPr>
        <w:fldChar w:fldCharType="begin"/>
      </w:r>
      <w:r w:rsidRPr="003C1D92">
        <w:rPr>
          <w:b w:val="0"/>
          <w:bCs w:val="0"/>
          <w:sz w:val="24"/>
          <w:szCs w:val="24"/>
        </w:rPr>
        <w:instrText xml:space="preserve"> ADDIN ZOTERO_ITEM CSL_CITATION {"citationID":"dJRODUO8","properties":{"formattedCitation":"(62)","plainCitation":"(62)","noteIndex":0},"citationItems":[{"id":8877,"uris":["http://zotero.org/users/8364405/items/BTDEEL8E"],"itemData":{"id":8877,"type":"article-journal","abstract":"Resting-state functional magnetic resonance imaging (fMRI) has attracted more and more attention because of its effectiveness, simplicity and non-invasiveness in exploration of the intrinsic functional architecture of the human brain. However, user-friendly toolbox for \"pipeline\" data analysis of resting-state fMRI is still lacking. Based on some functions in Statistical Parametric Mapping (SPM) and Resting-State fMRI Data Analysis Toolkit (REST), we have developed a MATLAB toolbox called Data Processing Assistant for Resting-State fMRI (DPARSF) for \"pipeline\" data analysis of resting-state fMRI. After the user arranges the Digital Imaging and Communications in Medicine (DICOM) files and click a few buttons to set parameters, DPARSF will then give all the preprocessed (slice timing, realign, normalize, smooth) data and results for functional connectivity, regional homogeneity, amplitude of lowfrequency fluctuation (ALFF), and fractional ALFF. DPARSF can also create a report for excluding subjects with excessive head motion and generate a set of pictures for easily checking the effect of normalization. In addition, users can also use DPARSF to extract time courses from regions of interest.","container-title":"Frontiers in Systems Neuroscience","DOI":"10.3389/fnsys.2010.00013","ISSN":"16625137","note":"publisher: Frontiers Research Foundation","title":"DPARSF: A MATLAB toolbox for \"pipeline\" data analysis of resting-state fMRI","volume":"4","author":[{"family":"Chao-Gan","given":"Yan"},{"family":"Yu-Feng","given":"Zang"}],"issued":{"date-parts":[["2010"]]}}}],"schema":"https://github.com/citation-style-language/schema/raw/master/csl-citation.json"} </w:instrText>
      </w:r>
      <w:r w:rsidRPr="003C1D92">
        <w:rPr>
          <w:b w:val="0"/>
          <w:bCs w:val="0"/>
          <w:sz w:val="24"/>
          <w:szCs w:val="24"/>
        </w:rPr>
        <w:fldChar w:fldCharType="separate"/>
      </w:r>
      <w:r w:rsidRPr="003C1D92">
        <w:rPr>
          <w:b w:val="0"/>
          <w:bCs w:val="0"/>
          <w:sz w:val="24"/>
          <w:szCs w:val="24"/>
          <w:lang w:val="en-GB"/>
        </w:rPr>
        <w:t>(62)</w:t>
      </w:r>
      <w:r w:rsidRPr="003C1D92">
        <w:rPr>
          <w:b w:val="0"/>
          <w:bCs w:val="0"/>
          <w:sz w:val="24"/>
          <w:szCs w:val="24"/>
        </w:rPr>
        <w:fldChar w:fldCharType="end"/>
      </w:r>
      <w:r w:rsidRPr="003C1D92">
        <w:rPr>
          <w:b w:val="0"/>
          <w:bCs w:val="0"/>
          <w:sz w:val="24"/>
          <w:szCs w:val="24"/>
        </w:rPr>
        <w:t>. The time series were then bandpass filtered to 0.01-0.10 Hz. After preprocessing, all functional images were warped to the DARTEL space and subsequently to Montreal Neurological Institute space for population-based analysis. Additionally, the µCAPs method included extended motion correction by identifying frames with high framewise displacement (FD &gt; 0.5 mm</w:t>
      </w:r>
      <w:r w:rsidRPr="003C1D92">
        <w:rPr>
          <w:b w:val="0"/>
          <w:bCs w:val="0"/>
          <w:sz w:val="24"/>
          <w:szCs w:val="24"/>
        </w:rPr>
        <w:fldChar w:fldCharType="begin"/>
      </w:r>
      <w:r w:rsidRPr="003C1D92">
        <w:rPr>
          <w:b w:val="0"/>
          <w:bCs w:val="0"/>
          <w:sz w:val="24"/>
          <w:szCs w:val="24"/>
        </w:rPr>
        <w:instrText xml:space="preserve"> ADDIN ZOTERO_ITEM CSL_CITATION {"citationID":"EfQpB91h","properties":{"formattedCitation":"(63)","plainCitation":"(63)","noteIndex":0},"citationItems":[{"id":8876,"uris":["http://zotero.org/users/8364405/items/JF7XYBNP"],"itemData":{"id":8876,"type":"article-journal","abstract":"Here, we demonstrate that subject motion produces substantial changes in the timecourses of resting state functional connectivity MRI (rs-fcMRI) data despite compensatory spatial registration and regression of motion estimates from the data. These changes cause systematic but spurious correlation structures throughout the brain. Specifically, many long-distance correlations are decreased by subject motion, whereas many short-distance correlations are increased. These changes in rs-fcMRI correlations do not arise from, nor are they adequately countered by, some common functional connectivity processing steps. Two indices of data quality are proposed, and a simple method to reduce motion-related effects in rs-fcMRI analyses is demonstrated that should be flexibly implementable across a variety of software platforms. We demonstrate how application of this technique impacts our own data, modifying previous conclusions about brain development. These results suggest the need for greater care in dealing with subject motion, and the need to critically revisit previous rs-fcMRI work that may not have adequately controlled for effects of transient subject movements. © 2011 Elsevier Inc.","container-title":"NeuroImage","DOI":"10.1016/j.neuroimage.2011.10.018","ISSN":"10538119","issue":"3","note":"PMID: 22019881","page":"2142-2154","title":"Spurious but systematic correlations in functional connectivity MRI networks arise from subject motion","volume":"59","author":[{"family":"Power","given":"Jonathan D."},{"family":"Barnes","given":"Kelly A."},{"family":"Snyder","given":"Abraham Z."},{"family":"Schlaggar","given":"Bradley L."},{"family":"Petersen","given":"Steven E."}],"issued":{"date-parts":[["2012",2]]}}}],"schema":"https://github.com/citation-style-language/schema/raw/master/csl-citation.json"} </w:instrText>
      </w:r>
      <w:r w:rsidRPr="003C1D92">
        <w:rPr>
          <w:b w:val="0"/>
          <w:bCs w:val="0"/>
          <w:sz w:val="24"/>
          <w:szCs w:val="24"/>
        </w:rPr>
        <w:fldChar w:fldCharType="separate"/>
      </w:r>
      <w:r w:rsidRPr="003C1D92">
        <w:rPr>
          <w:b w:val="0"/>
          <w:bCs w:val="0"/>
          <w:sz w:val="24"/>
          <w:szCs w:val="24"/>
          <w:lang w:val="en-GB"/>
        </w:rPr>
        <w:t>(63)</w:t>
      </w:r>
      <w:r w:rsidRPr="003C1D92">
        <w:rPr>
          <w:b w:val="0"/>
          <w:bCs w:val="0"/>
          <w:sz w:val="24"/>
          <w:szCs w:val="24"/>
        </w:rPr>
        <w:fldChar w:fldCharType="end"/>
      </w:r>
      <w:r w:rsidRPr="003C1D92">
        <w:rPr>
          <w:b w:val="0"/>
          <w:bCs w:val="0"/>
          <w:sz w:val="24"/>
          <w:szCs w:val="24"/>
        </w:rPr>
        <w:t>) and excluding them from the analysis.</w:t>
      </w:r>
    </w:p>
    <w:p w14:paraId="1F1807BB" w14:textId="77777777" w:rsidR="00592950" w:rsidRPr="003C1D92" w:rsidRDefault="00592950" w:rsidP="00EF0772">
      <w:pPr>
        <w:pStyle w:val="SezioneBD"/>
        <w:numPr>
          <w:ilvl w:val="0"/>
          <w:numId w:val="0"/>
        </w:numPr>
        <w:ind w:left="714" w:hanging="357"/>
        <w:rPr>
          <w:b w:val="0"/>
          <w:bCs w:val="0"/>
          <w:sz w:val="24"/>
          <w:szCs w:val="24"/>
        </w:rPr>
      </w:pPr>
    </w:p>
    <w:p w14:paraId="77ED5E42" w14:textId="2EB9776C" w:rsidR="00592950" w:rsidRPr="003C1D92" w:rsidRDefault="00AA7B0D" w:rsidP="00EF0772">
      <w:pPr>
        <w:pStyle w:val="Heading3"/>
        <w:spacing w:line="480" w:lineRule="auto"/>
      </w:pPr>
      <w:bookmarkStart w:id="22" w:name="_Toc229229961"/>
      <w:r w:rsidRPr="003C1D92">
        <w:t>fMRI seed selection</w:t>
      </w:r>
      <w:bookmarkEnd w:id="22"/>
    </w:p>
    <w:p w14:paraId="5EDC7CAB" w14:textId="61286E90" w:rsidR="00592950" w:rsidRPr="003C1D92" w:rsidRDefault="00592950" w:rsidP="00EF0772">
      <w:pPr>
        <w:ind w:firstLine="360"/>
        <w:rPr>
          <w:rFonts w:cs="Times New Roman"/>
          <w:lang w:val="en-US"/>
        </w:rPr>
      </w:pPr>
      <w:r w:rsidRPr="003C1D92">
        <w:rPr>
          <w:rFonts w:cs="Times New Roman"/>
          <w:color w:val="000000"/>
          <w:lang w:val="en-US"/>
        </w:rPr>
        <w:t xml:space="preserve">For the initial seed selection, we employed a comprehensive parcellation of the bilateral hippocampus, supported by anatomical data from the Harvard Oxford atlas and functional connectivity data from both task-related and resting-state studies. This was validated through meta-analytic connectivity mapping using two distinct databases, </w:t>
      </w:r>
      <w:proofErr w:type="spellStart"/>
      <w:r w:rsidRPr="003C1D92">
        <w:rPr>
          <w:rFonts w:cs="Times New Roman"/>
          <w:color w:val="000000"/>
          <w:lang w:val="en-US"/>
        </w:rPr>
        <w:t>neurosynth</w:t>
      </w:r>
      <w:proofErr w:type="spellEnd"/>
      <w:r w:rsidRPr="003C1D92">
        <w:rPr>
          <w:rFonts w:cs="Times New Roman"/>
          <w:color w:val="000000"/>
          <w:lang w:val="en-US"/>
        </w:rPr>
        <w:t xml:space="preserve"> and </w:t>
      </w:r>
      <w:proofErr w:type="spellStart"/>
      <w:r w:rsidRPr="003C1D92">
        <w:rPr>
          <w:rFonts w:cs="Times New Roman"/>
          <w:lang w:val="en-US"/>
        </w:rPr>
        <w:t>brainMap</w:t>
      </w:r>
      <w:proofErr w:type="spellEnd"/>
      <w:r w:rsidRPr="003C1D92">
        <w:rPr>
          <w:rFonts w:cs="Times New Roman"/>
        </w:rPr>
        <w:fldChar w:fldCharType="begin"/>
      </w:r>
      <w:r w:rsidRPr="003C1D92">
        <w:rPr>
          <w:rFonts w:cs="Times New Roman"/>
          <w:lang w:val="en-US"/>
        </w:rPr>
        <w:instrText xml:space="preserve"> ADDIN ZOTERO_ITEM CSL_CITATION {"citationID":"a5k8uEGW","properties":{"formattedCitation":"(33,64)","plainCitation":"(33,64)","noteIndex":0},"citationItems":[{"id":7900,"uris":["http://zotero.org/users/8364405/items/RYEBIVWV"],"itemData":{"id":7900,"type":"article-journal","abstract":"Much of what was assumed about the functional topography of the hippocampus was derived from a single case study over half a century ago. Given advances in the imaging sciences, a new era of discovery is underway, with potential to transform the understanding of healthy processing as well as the ability to treat disorders. Coactivation-based parcellation, a meta-analytic approach, and ultra-high field, high-resolution functional and structural neuroimaging to characterize the neurofunctional topography of the hippocampus was employed. Data revealed strong support for an evolutionarily preserved topography along the long-axis. Specifically, the left hippocampus was segmented into three distinct clusters: an emotional processing cluster supported by structural and functional connectivity to the amygdala and parahippocampal gyrus, a cognitive operations cluster, with functional connectivity to the anterior cingulate and inferior frontal gyrus, and a posterior perceptual cluster with distinct structural connectivity patterns to the occipital lobe coupled with functional connectivity to the precuneus and angular gyrus. The right hippocampal segmentation was more ambiguous, with plausible 2- and 5-cluster solutions. Segmentations shared connectivity with brain regions known to support the correlated processes. This represented the first neurofunctional topographic model of the hippocampus using a robust, bias-free, multimodal approach. Hum Brain Mapp 36:5018-5037, 2015.","container-title":"Human Brain Mapping","DOI":"10.1002/hbm.22987","ISSN":"10970193","issue":"12","note":"PMID: 26350954","page":"5018-5037","title":"Neurofunctional topography of the human hippocampus","volume":"36","author":[{"family":"Robinson","given":"Jennifer L."},{"family":"Barron","given":"Daniel S."},{"family":"Kirby","given":"Lauren A. J."},{"family":"Bottenhorn","given":"Katherine L."},{"family":"Hill","given":"Ashley C."},{"family":"Murphy","given":"Jerry E."},{"family":"Katz","given":"Jeffrey S."},{"family":"Salibi","given":"Nouha"},{"family":"Eickhoff","given":"Simon B."},{"family":"Fox","given":"Peter T."}],"issued":{"date-parts":[["2015"]]}}},{"id":7905,"uris":["http://zotero.org/users/8364405/items/L5GAE36J"],"itemData":{"id":7905,"type":"article-journal","abstract":"The hippocampus displays a complex organization and function that is perturbed in many neuropathologies. Histological work revealed a complex arrangement of subfields along the medial-lateral and the ventral-dorsal dimension, which contrasts with the anterior-posterior functional differentiation. The variety of maps has raised the need for an integrative multimodal view. We applied connectivity-based parcellation to 1) intrinsic connectivity 2) task-based connectivity, and 3) structural covariance, as complementary windows into structural and functional differentiation of the hippocampus. Strikingly, while functional properties (i.e., intrinsic and task-based) revealed similar partitions dominated by an anterior-posterior organization, structural covariance exhibited a hybrid pattern reflecting both functional and cytoarchitectonic subdivision. Capitalizing on the consistency of functional parcellations, we defined robust functional maps at different levels of partitions, which are openly available for the scientific community. Our functional maps demonstrated a head-body and tail partition, subdivided along the anterior-posterior and medial-lateral axis. Behavioral profiling of these fine partitions based on activation data indicated an emotion-cognition gradient along the anterior-posterior axis and additionally suggested a self-world-centric gradient supporting the role of the hippocampus in the construction of abstract representations for spatial navigation and episodic memory.","container-title":"Cerebral Cortex","DOI":"10.1093/cercor/bhy336","ISSN":"14602199","issue":"11","note":"PMID: 30721944","page":"4595-4612","title":"Multimodal Parcellations and Extensive Behavioral Profiling Tackling the Hippocampus Gradient","volume":"29","author":[{"family":"Plachti","given":"Anna"},{"family":"Eickhoff","given":"Simon B."},{"family":"Hoffstaedter","given":"Felix"},{"family":"Patil","given":"Kaustubh R."},{"family":"Laird","given":"Angela R."},{"family":"Fox","given":"Peter T."},{"family":"Amunts","given":"Katrin"},{"family":"Genon","given":"Sarah"}],"issued":{"date-parts":[["2019"]]}}}],"schema":"https://github.com/citation-style-language/schema/raw/master/csl-citation.json"} </w:instrText>
      </w:r>
      <w:r w:rsidRPr="003C1D92">
        <w:rPr>
          <w:rFonts w:cs="Times New Roman"/>
        </w:rPr>
        <w:fldChar w:fldCharType="separate"/>
      </w:r>
      <w:r w:rsidRPr="003C1D92">
        <w:rPr>
          <w:rFonts w:cs="Times New Roman"/>
          <w:lang w:val="en-GB"/>
        </w:rPr>
        <w:t>(33,64)</w:t>
      </w:r>
      <w:r w:rsidRPr="003C1D92">
        <w:rPr>
          <w:rFonts w:cs="Times New Roman"/>
        </w:rPr>
        <w:fldChar w:fldCharType="end"/>
      </w:r>
      <w:r w:rsidRPr="003C1D92">
        <w:rPr>
          <w:rFonts w:cs="Times New Roman"/>
          <w:lang w:val="en-US"/>
        </w:rPr>
        <w:t>.</w:t>
      </w:r>
    </w:p>
    <w:p w14:paraId="76380F9D" w14:textId="1949C083" w:rsidR="00592950" w:rsidRPr="003C1D92" w:rsidRDefault="00592950" w:rsidP="00EF0772">
      <w:pPr>
        <w:pStyle w:val="Heading3"/>
        <w:spacing w:line="480" w:lineRule="auto"/>
        <w:rPr>
          <w:lang w:val="en-US"/>
        </w:rPr>
      </w:pPr>
      <w:bookmarkStart w:id="23" w:name="_Toc229229962"/>
      <w:r w:rsidRPr="003C1D92">
        <w:rPr>
          <w:lang w:val="en-US"/>
        </w:rPr>
        <w:t>Micro-CAPs (</w:t>
      </w:r>
      <w:proofErr w:type="spellStart"/>
      <w:r w:rsidRPr="003C1D92">
        <w:rPr>
          <w:lang w:val="en-US"/>
        </w:rPr>
        <w:t>μCAPs</w:t>
      </w:r>
      <w:proofErr w:type="spellEnd"/>
      <w:r w:rsidRPr="003C1D92">
        <w:rPr>
          <w:lang w:val="en-US"/>
        </w:rPr>
        <w:t>) analysis</w:t>
      </w:r>
      <w:bookmarkEnd w:id="23"/>
    </w:p>
    <w:p w14:paraId="45B8D328" w14:textId="393F0473" w:rsidR="00592950" w:rsidRPr="003C1D92" w:rsidRDefault="00592950" w:rsidP="00EF0772">
      <w:pPr>
        <w:ind w:firstLine="360"/>
        <w:rPr>
          <w:rFonts w:cs="Times New Roman"/>
          <w:lang w:val="en-US"/>
        </w:rPr>
      </w:pPr>
      <w:r w:rsidRPr="003C1D92">
        <w:rPr>
          <w:rFonts w:cs="Times New Roman"/>
          <w:color w:val="000000"/>
          <w:lang w:val="en-US"/>
        </w:rPr>
        <w:t xml:space="preserve">We then conducted </w:t>
      </w:r>
      <w:proofErr w:type="spellStart"/>
      <w:r w:rsidRPr="003C1D92">
        <w:rPr>
          <w:rFonts w:cs="Times New Roman"/>
          <w:color w:val="000000"/>
          <w:lang w:val="en-US"/>
        </w:rPr>
        <w:t>μCAPs</w:t>
      </w:r>
      <w:proofErr w:type="spellEnd"/>
      <w:r w:rsidRPr="003C1D92">
        <w:rPr>
          <w:rFonts w:cs="Times New Roman"/>
          <w:color w:val="000000"/>
          <w:lang w:val="en-US"/>
        </w:rPr>
        <w:t xml:space="preserve"> analysis, which identifies the contributions of different subsections of the seed region to specific patterns of synchronous brain activity, known as co-activation patterns (CAPs). </w:t>
      </w:r>
      <w:r w:rsidRPr="003C1D92">
        <w:rPr>
          <w:rFonts w:cs="Times New Roman"/>
          <w:lang w:val="en-US"/>
        </w:rPr>
        <w:t>Unlike CAPs analysis, which treats the seed region as uniform</w:t>
      </w:r>
      <w:r w:rsidRPr="003C1D92">
        <w:rPr>
          <w:rFonts w:cs="Times New Roman"/>
          <w:color w:val="000000"/>
          <w:lang w:val="en-US"/>
        </w:rPr>
        <w:fldChar w:fldCharType="begin"/>
      </w:r>
      <w:r w:rsidRPr="003C1D92">
        <w:rPr>
          <w:rFonts w:cs="Times New Roman"/>
          <w:color w:val="000000"/>
          <w:lang w:val="en-US"/>
        </w:rPr>
        <w:instrText xml:space="preserve"> ADDIN ZOTERO_ITEM CSL_CITATION {"citationID":"lt5Fuwu3","properties":{"formattedCitation":"(65)","plainCitation":"(65)","noteIndex":0},"citationItems":[{"id":7921,"uris":["http://zotero.org/users/8364405/items/QB4I67FD"],"itemData":{"id":7921,"type":"article-journal","abstract":"Functional magnetic resonance imaging provides rich spatio-temporal data of human brain activity during task and rest. Many recent efforts have focussed on characterising dynamics of brain activity. One notable instance is co-activation pattern (CAP) analysis, a frame-wise analytical approach that disentangles the different functional brain networks interacting with a user-defined seed region. While promising applications in various clinical settings have been demonstrated, there is not yet any centralised, publicly accessible resource to facilitate the deployment of the technique. Here, we release a working version of TbCAPs, a new toolbox for CAP analysis, which includes all steps of the analytical pipeline, introduces new methodological developments that build on already existing concepts, and enables a facilitated inspection of CAPs and resulting metrics of brain dynamics. The toolbox is available on a public academic repository at https://c4science.ch/source/CAP_Toolbox.git. In addition, to illustrate the feasibility and usefulness of our pipeline, we describe an application to the study of human cognition. CAPs are constructed from resting-state fMRI using as seed the right dorsolateral prefrontal cortex, and, in a separate sample, we successfully predict a behavioural measure of continuous attentional performance from the metrics of CAP dynamics (R ​= ​0.59).","container-title":"NeuroImage","DOI":"https://doi.org/10.1016/j.neuroimage.2020.116621","ISSN":"1053-8119","page":"116621","title":"TbCAPs: A toolbox for co-activation pattern analysis","volume":"211","author":[{"family":"Bolton","given":"Thomas A. W."},{"family":"Tuleasca","given":"Constantin"},{"family":"Wotruba","given":"Diana"},{"family":"Rey","given":"Gwladys"},{"family":"Dhanis","given":"Herberto"},{"family":"Gauthier","given":"Baptiste"},{"family":"Delavari","given":"Farnaz"},{"family":"Morgenroth","given":"Elenor"},{"family":"Gaviria","given":"Julian"},{"family":"Blondiaux","given":"Eva"},{"family":"Smigielski","given":"Lukasz"},{"family":"Ville","given":"Dimitri Van De"}],"issued":{"date-parts":[["2020"]]}}}],"schema":"https://github.com/citation-style-language/schema/raw/master/csl-citation.json"} </w:instrText>
      </w:r>
      <w:r w:rsidRPr="003C1D92">
        <w:rPr>
          <w:rFonts w:cs="Times New Roman"/>
          <w:color w:val="000000"/>
          <w:lang w:val="en-US"/>
        </w:rPr>
        <w:fldChar w:fldCharType="separate"/>
      </w:r>
      <w:r w:rsidRPr="003C1D92">
        <w:rPr>
          <w:rFonts w:cs="Times New Roman"/>
          <w:color w:val="000000"/>
          <w:lang w:val="en-GB"/>
        </w:rPr>
        <w:t>(65)</w:t>
      </w:r>
      <w:r w:rsidRPr="003C1D92">
        <w:rPr>
          <w:rFonts w:cs="Times New Roman"/>
          <w:color w:val="000000"/>
          <w:lang w:val="en-US"/>
        </w:rPr>
        <w:fldChar w:fldCharType="end"/>
      </w:r>
      <w:r w:rsidRPr="003C1D92">
        <w:rPr>
          <w:rFonts w:cs="Times New Roman"/>
          <w:lang w:val="en-US"/>
        </w:rPr>
        <w:t xml:space="preserve">, </w:t>
      </w:r>
      <w:proofErr w:type="spellStart"/>
      <w:r w:rsidRPr="003C1D92">
        <w:rPr>
          <w:rFonts w:cs="Times New Roman"/>
          <w:lang w:val="en-US"/>
        </w:rPr>
        <w:t>μCAPs</w:t>
      </w:r>
      <w:proofErr w:type="spellEnd"/>
      <w:r w:rsidRPr="003C1D92">
        <w:rPr>
          <w:rFonts w:cs="Times New Roman"/>
          <w:lang w:val="en-US"/>
        </w:rPr>
        <w:t xml:space="preserve"> analysis uses a data-driven approach to detect variations within the seed for each candidate brain pattern. This iterative process identifies a certain number (K) of </w:t>
      </w:r>
      <w:proofErr w:type="spellStart"/>
      <w:r w:rsidRPr="003C1D92">
        <w:rPr>
          <w:rFonts w:cs="Times New Roman"/>
          <w:lang w:val="en-US"/>
        </w:rPr>
        <w:t>μCAPs</w:t>
      </w:r>
      <w:proofErr w:type="spellEnd"/>
      <w:r w:rsidRPr="003C1D92">
        <w:rPr>
          <w:rFonts w:cs="Times New Roman"/>
          <w:lang w:val="en-US"/>
        </w:rPr>
        <w:t xml:space="preserve">, each linked to a weighted seed-map, allowing various parts of the seed to contribute differently to the pattern of co-activation. The </w:t>
      </w:r>
      <w:proofErr w:type="spellStart"/>
      <w:r w:rsidRPr="003C1D92">
        <w:rPr>
          <w:rFonts w:cs="Times New Roman"/>
          <w:lang w:val="en-US"/>
        </w:rPr>
        <w:t>μCAPs</w:t>
      </w:r>
      <w:proofErr w:type="spellEnd"/>
      <w:r w:rsidRPr="003C1D92">
        <w:rPr>
          <w:rFonts w:cs="Times New Roman"/>
          <w:lang w:val="en-US"/>
        </w:rPr>
        <w:t xml:space="preserve"> analysis code is accessible at: </w:t>
      </w:r>
      <w:hyperlink r:id="rId9" w:history="1">
        <w:r w:rsidRPr="003C1D92">
          <w:rPr>
            <w:rStyle w:val="Hyperlink"/>
            <w:rFonts w:cs="Times New Roman"/>
            <w:lang w:val="en-US"/>
          </w:rPr>
          <w:t>https://github.com/MIPLabCH/mCAP</w:t>
        </w:r>
      </w:hyperlink>
      <w:r w:rsidRPr="003C1D92">
        <w:rPr>
          <w:rFonts w:cs="Times New Roman"/>
          <w:lang w:val="en-US"/>
        </w:rPr>
        <w:t xml:space="preserve"> and is comprehensively detailed elsewhere</w:t>
      </w:r>
      <w:r w:rsidRPr="003C1D92">
        <w:rPr>
          <w:rFonts w:cs="Times New Roman"/>
        </w:rPr>
        <w:fldChar w:fldCharType="begin"/>
      </w:r>
      <w:r w:rsidRPr="003C1D92">
        <w:rPr>
          <w:rFonts w:cs="Times New Roman"/>
          <w:lang w:val="en-US"/>
        </w:rPr>
        <w:instrText xml:space="preserve"> ADDIN ZOTERO_ITEM CSL_CITATION {"citationID":"5wSH5rG6","properties":{"formattedCitation":"(66)","plainCitation":"(66)","noteIndex":0},"citationItems":[{"id":28420,"uris":["http://zotero.org/users/8364405/items/H2GFJCV7"],"itemData":{"id":28420,"type":"article-journal","abstract":"The temporal variability of the thalamus in functional networks may provide valuable insights into the pathophysiology of schizophrenia. To address the complexity of the role of the thalamic nuclei in psychosis, we introduced micro-co-activation patterns (μCAPs) and employed this method on the human genetic model of schizophrenia 22q11.2 deletion syndrome (22q11.2DS). Participants underwent resting-state functional MRI and a data-driven iterative process resulting in the identification of six whole-brain μCAPs with specific activity patterns within the thalamus. Unlike conventional methods, μCAPs extract dynamic spatial patterns that reveal partially overlapping and non-mutually exclusive functional subparts. Thus, the μCAPs method detects finer foci of activity within the initial seed region, retaining valuable and clinically relevant temporal and spatial information. We found that a μCAP showing co-activation of the mediodorsal thalamus with brain-wide cortical regions was expressed significantly less frequently in patients with 22q11.2DS, and its occurrence negatively correlated with the severity of positive psychotic symptoms. Additionally, activity within the auditory–visual cortex and their respective geniculate nuclei was expressed in two different μCAPs. One of these auditory–visual μCAPs co-activated with salience areas, while the other co-activated with the default mode network (DMN). A significant shift of occurrence from the salience+visuo-auditory-thalamus to the DMN + visuo-auditory-thalamus μCAP was observed in patients with 22q11.2DS. Thus, our findings support existing research on the gatekeeping role of the thalamus for sensory information in the pathophysiology of psychosis and revisit the evidence of geniculate nuclei hyperconnectivity with the audio-visual cortex in 22q11.2DS in the context of dynamic functional connectivity, seen here as the specific hyper-occurrence of these circuits with the task-negative brain networks.","container-title":"Human Brain Mapping","DOI":"10.1002/hbm.26649","ISSN":"1097-0193","issue":"5","language":"en","license":"© 2024 The Authors. Human Brain Mapping published by Wiley Periodicals LLC.","note":"_eprint: https://onlinelibrary.wiley.com/doi/pdf/10.1002/hbm.26649","page":"e26649","source":"Wiley Online Library","title":"Thalamic contributions to psychosis susceptibility: Evidence from co-activation patterns accounting for intra-seed spatial variability (μCAPs)","title-short":"Thalamic contributions to psychosis susceptibility","volume":"45","author":[{"family":"Delavari","given":"Farnaz"},{"family":"Sandini","given":"Corrado"},{"family":"Kojovic","given":"Nada"},{"family":"Saccaro","given":"Luigi F."},{"family":"Eliez","given":"Stephan"},{"family":"Van De Ville","given":"Dimitri"},{"family":"Bolton","given":"Thomas A. W."}],"issued":{"date-parts":[["2024"]]}}}],"schema":"https://github.com/citation-style-language/schema/raw/master/csl-citation.json"} </w:instrText>
      </w:r>
      <w:r w:rsidRPr="003C1D92">
        <w:rPr>
          <w:rFonts w:cs="Times New Roman"/>
        </w:rPr>
        <w:fldChar w:fldCharType="separate"/>
      </w:r>
      <w:r w:rsidRPr="003C1D92">
        <w:rPr>
          <w:rFonts w:cs="Times New Roman"/>
          <w:lang w:val="en-GB"/>
        </w:rPr>
        <w:t>(66)</w:t>
      </w:r>
      <w:r w:rsidRPr="003C1D92">
        <w:rPr>
          <w:rFonts w:cs="Times New Roman"/>
        </w:rPr>
        <w:fldChar w:fldCharType="end"/>
      </w:r>
      <w:r w:rsidRPr="003C1D92">
        <w:rPr>
          <w:rFonts w:cs="Times New Roman"/>
          <w:lang w:val="en-US"/>
        </w:rPr>
        <w:t xml:space="preserve">, as well as in the following sections below. </w:t>
      </w:r>
    </w:p>
    <w:p w14:paraId="5E897E65" w14:textId="77777777" w:rsidR="00592950" w:rsidRPr="003C1D92" w:rsidRDefault="00592950" w:rsidP="00EF0772">
      <w:pPr>
        <w:rPr>
          <w:rFonts w:cs="Times New Roman"/>
          <w:lang w:val="en-US"/>
        </w:rPr>
      </w:pPr>
    </w:p>
    <w:p w14:paraId="5BC2D2DD" w14:textId="67C760D6" w:rsidR="00592950" w:rsidRPr="003C1D92" w:rsidRDefault="00592950" w:rsidP="00EF0772">
      <w:pPr>
        <w:ind w:firstLine="720"/>
        <w:rPr>
          <w:rFonts w:cs="Times New Roman"/>
          <w:color w:val="000000"/>
          <w:lang w:val="en-US"/>
        </w:rPr>
      </w:pPr>
      <w:r w:rsidRPr="003C1D92">
        <w:rPr>
          <w:rFonts w:cs="Times New Roman"/>
          <w:lang w:val="en-US"/>
        </w:rPr>
        <w:t>Briefly, this approach enables a more precise characterization of the hippocampal functional units, identifying the specific contributions of its subdivisions to each dynamic brain pattern (</w:t>
      </w:r>
      <w:proofErr w:type="spellStart"/>
      <w:r w:rsidRPr="003C1D92">
        <w:rPr>
          <w:rFonts w:cs="Times New Roman"/>
          <w:lang w:val="en-US"/>
        </w:rPr>
        <w:t>μCAPs</w:t>
      </w:r>
      <w:proofErr w:type="spellEnd"/>
      <w:r w:rsidRPr="003C1D92">
        <w:rPr>
          <w:rFonts w:cs="Times New Roman"/>
          <w:lang w:val="en-US"/>
        </w:rPr>
        <w:t xml:space="preserve">). </w:t>
      </w:r>
      <w:r w:rsidRPr="003C1D92">
        <w:rPr>
          <w:rFonts w:cs="Times New Roman"/>
          <w:color w:val="000000"/>
          <w:lang w:val="en-US"/>
        </w:rPr>
        <w:t xml:space="preserve">Using a data-driven "test-retest" procedure, we identified five </w:t>
      </w:r>
      <w:proofErr w:type="spellStart"/>
      <w:r w:rsidRPr="003C1D92">
        <w:rPr>
          <w:rFonts w:cs="Times New Roman"/>
          <w:color w:val="000000"/>
          <w:lang w:val="en-US"/>
        </w:rPr>
        <w:t>μCAPs</w:t>
      </w:r>
      <w:proofErr w:type="spellEnd"/>
      <w:r w:rsidRPr="003C1D92">
        <w:rPr>
          <w:rFonts w:cs="Times New Roman"/>
          <w:color w:val="000000"/>
          <w:lang w:val="en-US"/>
        </w:rPr>
        <w:t xml:space="preserve"> strongly co-activating with five hippocampal subdivisions (</w:t>
      </w:r>
      <w:r w:rsidRPr="003C1D92">
        <w:rPr>
          <w:rFonts w:cs="Times New Roman"/>
          <w:b/>
          <w:color w:val="000000"/>
          <w:lang w:val="en-US"/>
        </w:rPr>
        <w:t>Supplementary Table 1</w:t>
      </w:r>
      <w:r w:rsidRPr="003C1D92">
        <w:rPr>
          <w:rFonts w:cs="Times New Roman"/>
          <w:color w:val="000000"/>
          <w:lang w:val="en-US"/>
        </w:rPr>
        <w:t xml:space="preserve">). This procedure, further described below, determined that K=5 was the optimal number of distinct brain clusters in terms of replicability for this dataset. Frames assigned to every </w:t>
      </w:r>
      <w:proofErr w:type="spellStart"/>
      <w:r w:rsidRPr="003C1D92">
        <w:rPr>
          <w:rFonts w:cs="Times New Roman"/>
          <w:color w:val="000000"/>
          <w:lang w:val="en-US"/>
        </w:rPr>
        <w:t>μCAP</w:t>
      </w:r>
      <w:proofErr w:type="spellEnd"/>
      <w:r w:rsidRPr="003C1D92">
        <w:rPr>
          <w:rFonts w:cs="Times New Roman"/>
          <w:color w:val="000000"/>
          <w:lang w:val="en-US"/>
        </w:rPr>
        <w:t xml:space="preserve"> were traced back to the participant’s time course, and the occurrences of every </w:t>
      </w:r>
      <w:proofErr w:type="spellStart"/>
      <w:r w:rsidRPr="003C1D92">
        <w:rPr>
          <w:rFonts w:cs="Times New Roman"/>
          <w:color w:val="000000"/>
          <w:lang w:val="en-US"/>
        </w:rPr>
        <w:t>μCAP</w:t>
      </w:r>
      <w:proofErr w:type="spellEnd"/>
      <w:r w:rsidRPr="003C1D92">
        <w:rPr>
          <w:rFonts w:cs="Times New Roman"/>
          <w:color w:val="000000"/>
          <w:lang w:val="en-US"/>
        </w:rPr>
        <w:t xml:space="preserve"> within subjects were calculated and extracted for the following analyses. In this context, occurrences indicate the cumulative time points (frames) associated with a specific </w:t>
      </w:r>
      <w:proofErr w:type="spellStart"/>
      <w:r w:rsidRPr="003C1D92">
        <w:rPr>
          <w:rFonts w:cs="Times New Roman"/>
          <w:color w:val="000000"/>
          <w:lang w:val="en-US"/>
        </w:rPr>
        <w:t>μCAP</w:t>
      </w:r>
      <w:proofErr w:type="spellEnd"/>
      <w:r w:rsidRPr="003C1D92">
        <w:rPr>
          <w:rFonts w:cs="Times New Roman"/>
          <w:color w:val="000000"/>
          <w:lang w:val="en-US"/>
        </w:rPr>
        <w:t xml:space="preserve"> across the </w:t>
      </w:r>
      <w:proofErr w:type="gramStart"/>
      <w:r w:rsidRPr="003C1D92">
        <w:rPr>
          <w:rFonts w:cs="Times New Roman"/>
          <w:color w:val="000000"/>
          <w:lang w:val="en-US"/>
        </w:rPr>
        <w:t>whole time</w:t>
      </w:r>
      <w:proofErr w:type="gramEnd"/>
      <w:r w:rsidRPr="003C1D92">
        <w:rPr>
          <w:rFonts w:cs="Times New Roman"/>
          <w:color w:val="000000"/>
          <w:lang w:val="en-US"/>
        </w:rPr>
        <w:t xml:space="preserve"> course. Essentially, occurrences indicate how frequently a subject's brain activity matched a particular spatial configuration represented by a certain </w:t>
      </w:r>
      <w:proofErr w:type="spellStart"/>
      <w:r w:rsidRPr="003C1D92">
        <w:rPr>
          <w:rFonts w:cs="Times New Roman"/>
          <w:color w:val="000000"/>
          <w:lang w:val="en-US"/>
        </w:rPr>
        <w:t>μCAP</w:t>
      </w:r>
      <w:proofErr w:type="spellEnd"/>
      <w:r w:rsidRPr="003C1D92">
        <w:rPr>
          <w:rFonts w:cs="Times New Roman"/>
          <w:color w:val="000000"/>
          <w:lang w:val="en-US"/>
        </w:rPr>
        <w:t xml:space="preserve">, while the corresponding seed hippocampal subregion was also active. </w:t>
      </w:r>
    </w:p>
    <w:p w14:paraId="5C2050E2" w14:textId="77777777" w:rsidR="00592950" w:rsidRPr="003C1D92" w:rsidRDefault="00592950" w:rsidP="00EF0772">
      <w:pPr>
        <w:rPr>
          <w:rFonts w:cs="Times New Roman"/>
          <w:lang w:val="en-US"/>
        </w:rPr>
      </w:pPr>
    </w:p>
    <w:p w14:paraId="5ECBDDD1" w14:textId="77777777" w:rsidR="00592950" w:rsidRPr="003C1D92" w:rsidRDefault="00592950" w:rsidP="00EF0772">
      <w:pPr>
        <w:pStyle w:val="ListParagraph"/>
        <w:numPr>
          <w:ilvl w:val="0"/>
          <w:numId w:val="14"/>
        </w:numPr>
        <w:rPr>
          <w:rFonts w:cs="Times New Roman"/>
          <w:i/>
          <w:iCs/>
          <w:lang w:val="en-US"/>
        </w:rPr>
      </w:pPr>
      <w:r w:rsidRPr="003C1D92">
        <w:rPr>
          <w:rFonts w:cs="Times New Roman"/>
          <w:i/>
          <w:iCs/>
          <w:lang w:val="en-US"/>
        </w:rPr>
        <w:t>Co-activation patterns (CAPs) analysis</w:t>
      </w:r>
    </w:p>
    <w:p w14:paraId="60913E2B" w14:textId="12AEAA99" w:rsidR="00592950" w:rsidRPr="003C1D92" w:rsidRDefault="00592950" w:rsidP="00EF0772">
      <w:pPr>
        <w:ind w:firstLine="360"/>
        <w:rPr>
          <w:rFonts w:cs="Times New Roman"/>
          <w:lang w:val="en-US"/>
        </w:rPr>
      </w:pPr>
      <w:r w:rsidRPr="003C1D92">
        <w:rPr>
          <w:rFonts w:cs="Times New Roman"/>
          <w:lang w:val="en-US"/>
        </w:rPr>
        <w:t xml:space="preserve">The µCAPs method </w:t>
      </w:r>
      <w:r w:rsidRPr="003C1D92">
        <w:rPr>
          <w:rFonts w:cs="Times New Roman"/>
        </w:rPr>
        <w:t>builds on the well-established CAPs technique, which we will briefly recapitulate here. A</w:t>
      </w:r>
      <w:proofErr w:type="spellStart"/>
      <w:r w:rsidRPr="003C1D92">
        <w:rPr>
          <w:rFonts w:cs="Times New Roman"/>
          <w:lang w:val="en-US"/>
        </w:rPr>
        <w:t>s</w:t>
      </w:r>
      <w:proofErr w:type="spellEnd"/>
      <w:r w:rsidRPr="003C1D92">
        <w:rPr>
          <w:rFonts w:cs="Times New Roman"/>
          <w:lang w:val="en-US"/>
        </w:rPr>
        <w:t xml:space="preserve"> previously discussed</w:t>
      </w:r>
      <w:r w:rsidRPr="003C1D92">
        <w:rPr>
          <w:rStyle w:val="normaltextrun"/>
          <w:rFonts w:cs="Times New Roman"/>
          <w:color w:val="000000"/>
          <w:shd w:val="clear" w:color="auto" w:fill="FFFFFF"/>
        </w:rPr>
        <w:fldChar w:fldCharType="begin"/>
      </w:r>
      <w:r w:rsidRPr="003C1D92">
        <w:rPr>
          <w:rStyle w:val="normaltextrun"/>
          <w:rFonts w:cs="Times New Roman"/>
          <w:color w:val="000000"/>
          <w:shd w:val="clear" w:color="auto" w:fill="FFFFFF"/>
        </w:rPr>
        <w:instrText xml:space="preserve"> ADDIN ZOTERO_ITEM CSL_CITATION {"citationID":"Egs4BU7D","properties":{"formattedCitation":"(52,65,67)","plainCitation":"(52,65,67)","noteIndex":0},"citationItems":[{"id":8047,"uris":["http://zotero.org/users/8364405/items/E8M7NQ4M"],"itemData":{"id":8047,"type":"article-journal","abstract":"The brain is a complex system that integrates and processes information across multiple time scales by dynamically coordinating activities over brain regions and circuits. Correlations in resting-state functional magnetic resonance imaging (rsfMRI) signals have been widely used to infer functional connectivity of the brain, providing a metric of functional associations that reflects a temporal average over an entire scan (typically several minutes or longer). Not until recently was the study of dynamic brain interactions at much shorter time scales (seconds to minutes) considered for inference of functional connectivity. One method proposed for this objective seeks to identify and extract recurring co-activation patterns (CAPs) that represent instantaneous brain configurations at single time points. Here, we review the development and recent advancement of CAP methodology and other closely related approaches, as well as their applications and associated findings. We also discuss the potential neural origins and behavioral relevance of CAPs, along with methodological issues and future research directions in the analysis of fMRI co-activation patterns.","container-title":"NeuroImage","DOI":"10.1016/j.neuroimage.2018.01.041","ISSN":"10959572","issue":"February","note":"publisher: Elsevier Ltd\nPMID: 29355767","page":"485-494","title":"Co-activation patterns in resting-state fMRI signals","volume":"180","author":[{"family":"Liu","given":"Xiao"},{"family":"Zhang","given":"Nanyin"},{"family":"Chang","given":"Catie"},{"family":"Duyn","given":"Jeff H."}],"issued":{"date-parts":[["2018"]]}}},{"id":7921,"uris":["http://zotero.org/users/8364405/items/QB4I67FD"],"itemData":{"id":7921,"type":"article-journal","abstract":"Functional magnetic resonance imaging provides rich spatio-temporal data of human brain activity during task and rest. Many recent efforts have focussed on characterising dynamics of brain activity. One notable instance is co-activation pattern (CAP) analysis, a frame-wise analytical approach that disentangles the different functional brain networks interacting with a user-defined seed region. While promising applications in various clinical settings have been demonstrated, there is not yet any centralised, publicly accessible resource to facilitate the deployment of the technique. Here, we release a working version of TbCAPs, a new toolbox for CAP analysis, which includes all steps of the analytical pipeline, introduces new methodological developments that build on already existing concepts, and enables a facilitated inspection of CAPs and resulting metrics of brain dynamics. The toolbox is available on a public academic repository at https://c4science.ch/source/CAP_Toolbox.git. In addition, to illustrate the feasibility and usefulness of our pipeline, we describe an application to the study of human cognition. CAPs are constructed from resting-state fMRI using as seed the right dorsolateral prefrontal cortex, and, in a separate sample, we successfully predict a behavioural measure of continuous attentional performance from the metrics of CAP dynamics (R ​= ​0.59).","container-title":"NeuroImage","DOI":"https://doi.org/10.1016/j.neuroimage.2020.116621","ISSN":"1053-8119","page":"116621","title":"TbCAPs: A toolbox for co-activation pattern analysis","volume":"211","author":[{"family":"Bolton","given":"Thomas A. W."},{"family":"Tuleasca","given":"Constantin"},{"family":"Wotruba","given":"Diana"},{"family":"Rey","given":"Gwladys"},{"family":"Dhanis","given":"Herberto"},{"family":"Gauthier","given":"Baptiste"},{"family":"Delavari","given":"Farnaz"},{"family":"Morgenroth","given":"Elenor"},{"family":"Gaviria","given":"Julian"},{"family":"Blondiaux","given":"Eva"},{"family":"Smigielski","given":"Lukasz"},{"family":"Ville","given":"Dimitri Van De"}],"issued":{"date-parts":[["2020"]]}}},{"id":28411,"uris":["http://zotero.org/users/8364405/items/V2XTQWFS"],"itemData":{"id":28411,"type":"article-journal","abstract":"OBJECTIVES: Bipolar disorder (BD) is a highly heritable disorder characterized by emotion dysregulation and recurrent oscillations between mood states. Despite the proven efficacy of early interventions, vulnerability markers in high-risk individuals are still lacking. BD patients present structural alterations of the hippocampus, a pivotal hub of emotion regulation networks composed of multiple subregions with different projections. However, the hippocampal dynamic functional connectivity (dFC) in BD remains unclear. We aim to investigate whether the dFC of hippocampal subdivisions differentiates BD patients, offspring of BD patients (BDoff), and healthy controls (HC); and whether it correlates with symptoms differently between these groups.\nMETHODS: We studied for the first time the dFC of the hippocampus through a cutting-edge micro-co-activation patterns (μCAPs) analysis of resting-state functional MRI data of 97 subjects (26 BD, 18 BDoff, 53 HC). μCAPs allow a data-driven differentiation within the seed region.\nRESULTS: dFC between the hippocampal body and a somatomotor-μCAP was lower both in BD patients (p-valueFDR:0.00015) and in BDoff (p-valueFDR:0.020) than in HC. Inversely, dFC between the hippocampal head and a limbic-μCAP was higher in BD patients than in HC (p-valueFDR: 0.005). Furthermore, the correlations between a frontoparietal-μCAP and both depression and emotion dysregulation symptoms were significantly higher in BD than HC (p-valueFDR &lt;0.02).\nCONCLUSION: Overall, we observed alterations of large-scale functional brain networks associated with decreased cognitive control flexibility and disrupted somatomotor, saliency, and emotion processing in BD. Interestingly, BDoff presented an intermediate phenotype between BD and HC, suggesting that dFC of hippocampal subregions might represent a marker of vulnerability to BD.","container-title":"Bipolar Disorders","DOI":"10.1111/bdi.13487","ISSN":"1399-5618","journalAbbreviation":"Bipolar Disord","language":"eng","note":"PMID: 39135100","source":"PubMed","title":"Hippocampal temporal dynamics and spatial heterogeneity unveil vulnerability markers in the offspring of bipolar patients","author":[{"family":"Saccaro","given":"Luigi F."},{"family":"Delavari","given":"Farnaz"},{"family":"Van De Ville","given":"Dimitri"},{"family":"Piguet","given":"Camille"}],"issued":{"date-parts":[["2024",8,12]]}}}],"schema":"https://github.com/citation-style-language/schema/raw/master/csl-citation.json"} </w:instrText>
      </w:r>
      <w:r w:rsidRPr="003C1D92">
        <w:rPr>
          <w:rStyle w:val="normaltextrun"/>
          <w:rFonts w:cs="Times New Roman"/>
          <w:color w:val="000000"/>
          <w:shd w:val="clear" w:color="auto" w:fill="FFFFFF"/>
        </w:rPr>
        <w:fldChar w:fldCharType="separate"/>
      </w:r>
      <w:r w:rsidRPr="003C1D92">
        <w:rPr>
          <w:rFonts w:cs="Times New Roman"/>
          <w:color w:val="000000"/>
          <w:lang w:val="en-GB"/>
        </w:rPr>
        <w:t>(52,65,67)</w:t>
      </w:r>
      <w:r w:rsidRPr="003C1D92">
        <w:rPr>
          <w:rStyle w:val="normaltextrun"/>
          <w:rFonts w:cs="Times New Roman"/>
          <w:color w:val="000000"/>
          <w:shd w:val="clear" w:color="auto" w:fill="FFFFFF"/>
        </w:rPr>
        <w:fldChar w:fldCharType="end"/>
      </w:r>
      <w:r w:rsidRPr="003C1D92">
        <w:rPr>
          <w:rFonts w:cs="Times New Roman"/>
          <w:lang w:val="en-US"/>
        </w:rPr>
        <w:t>, through a spatiotemporal framewise functional magnetic resonance imaging (fMRI) deconvolution, CAPs analysis disentangles distinct functional brain networks interacting with the seed area. This approach conceptually aligns with the model of discrete transitions between brain meta-states</w:t>
      </w:r>
      <w:r w:rsidRPr="003C1D92">
        <w:rPr>
          <w:rFonts w:cs="Times New Roman"/>
          <w:lang w:val="en-US"/>
        </w:rPr>
        <w:fldChar w:fldCharType="begin"/>
      </w:r>
      <w:r w:rsidRPr="003C1D92">
        <w:rPr>
          <w:rFonts w:cs="Times New Roman"/>
          <w:lang w:val="en-US"/>
        </w:rPr>
        <w:instrText xml:space="preserve"> ADDIN ZOTERO_ITEM CSL_CITATION {"citationID":"on5L6Vwo","properties":{"formattedCitation":"(68)","plainCitation":"(68)","noteIndex":0},"citationItems":[{"id":2354,"uris":["http://zotero.org/users/8364405/items/LFFTJURA"],"itemData":{"id":2354,"type":"article-journal","abstract":"The brain recruits neuronal populations in a temporally coordinated manner in task and at rest. However, the extent to which large-scale networks exhibit their own organized temporal dynamics is unclear. We use an approach designed to find repeating network patterns in whole-brain resting fMRI data, where networks are defined as graphs of interacting brain areas. We find that the transitions between networks are nonrandom, with certain networks more likely to occur after others. Further, this nonrandom sequencing is itself hierarchically organized, revealing two distinct sets of networks, or metastates, that the brain has a tendency to cycle within. One metastate is associated with sensory and motor regions, and the other involves areas related to higher order cognition. Moreover, we find that the proportion of time that a subject spends in each brain network and metastate is a consistent subject-specific measure, is heritable, and shows a significant relationship with cognitive traits.","container-title":"Proceedings of the National Academy of Sciences","DOI":"10.1073/pnas.1705120114","ISSN":"0027-8424, 1091-6490","issue":"48","journalAbbreviation":"Proc Natl Acad Sci USA","language":"en","page":"12827-12832","source":"DOI.org (Crossref)","title":"Brain network dynamics are hierarchically organized in time","volume":"114","author":[{"family":"Vidaurre","given":"Diego"},{"family":"Smith","given":"Stephen M."},{"family":"Woolrich","given":"Mark W."}],"issued":{"date-parts":[["2017",11,28]]}}}],"schema":"https://github.com/citation-style-language/schema/raw/master/csl-citation.json"} </w:instrText>
      </w:r>
      <w:r w:rsidRPr="003C1D92">
        <w:rPr>
          <w:rFonts w:cs="Times New Roman"/>
          <w:lang w:val="en-US"/>
        </w:rPr>
        <w:fldChar w:fldCharType="separate"/>
      </w:r>
      <w:r w:rsidRPr="003C1D92">
        <w:rPr>
          <w:rFonts w:cs="Times New Roman"/>
          <w:lang w:val="en-GB"/>
        </w:rPr>
        <w:t>(68)</w:t>
      </w:r>
      <w:r w:rsidRPr="003C1D92">
        <w:rPr>
          <w:rFonts w:cs="Times New Roman"/>
          <w:lang w:val="en-US"/>
        </w:rPr>
        <w:fldChar w:fldCharType="end"/>
      </w:r>
      <w:r w:rsidRPr="003C1D92">
        <w:rPr>
          <w:rFonts w:cs="Times New Roman"/>
          <w:lang w:val="en-US"/>
        </w:rPr>
        <w:t xml:space="preserve"> and its physiological soundness is supported by multiple works, as previously described</w:t>
      </w:r>
      <w:r w:rsidRPr="003C1D92">
        <w:rPr>
          <w:rFonts w:cs="Times New Roman"/>
          <w:lang w:val="en-US"/>
        </w:rPr>
        <w:fldChar w:fldCharType="begin"/>
      </w:r>
      <w:r w:rsidRPr="003C1D92">
        <w:rPr>
          <w:rFonts w:cs="Times New Roman"/>
          <w:lang w:val="en-US"/>
        </w:rPr>
        <w:instrText xml:space="preserve"> ADDIN ZOTERO_ITEM CSL_CITATION {"citationID":"d8Fg2jLK","properties":{"formattedCitation":"(67)","plainCitation":"(67)","noteIndex":0},"citationItems":[{"id":8047,"uris":["http://zotero.org/users/8364405/items/E8M7NQ4M"],"itemData":{"id":8047,"type":"article-journal","abstract":"The brain is a complex system that integrates and processes information across multiple time scales by dynamically coordinating activities over brain regions and circuits. Correlations in resting-state functional magnetic resonance imaging (rsfMRI) signals have been widely used to infer functional connectivity of the brain, providing a metric of functional associations that reflects a temporal average over an entire scan (typically several minutes or longer). Not until recently was the study of dynamic brain interactions at much shorter time scales (seconds to minutes) considered for inference of functional connectivity. One method proposed for this objective seeks to identify and extract recurring co-activation patterns (CAPs) that represent instantaneous brain configurations at single time points. Here, we review the development and recent advancement of CAP methodology and other closely related approaches, as well as their applications and associated findings. We also discuss the potential neural origins and behavioral relevance of CAPs, along with methodological issues and future research directions in the analysis of fMRI co-activation patterns.","container-title":"NeuroImage","DOI":"10.1016/j.neuroimage.2018.01.041","ISSN":"10959572","issue":"February","note":"publisher: Elsevier Ltd\nPMID: 29355767","page":"485-494","title":"Co-activation patterns in resting-state fMRI signals","volume":"180","author":[{"family":"Liu","given":"Xiao"},{"family":"Zhang","given":"Nanyin"},{"family":"Chang","given":"Catie"},{"family":"Duyn","given":"Jeff H."}],"issued":{"date-parts":[["2018"]]}}}],"schema":"https://github.com/citation-style-language/schema/raw/master/csl-citation.json"} </w:instrText>
      </w:r>
      <w:r w:rsidRPr="003C1D92">
        <w:rPr>
          <w:rFonts w:cs="Times New Roman"/>
          <w:lang w:val="en-US"/>
        </w:rPr>
        <w:fldChar w:fldCharType="separate"/>
      </w:r>
      <w:r w:rsidRPr="003C1D92">
        <w:rPr>
          <w:rFonts w:cs="Times New Roman"/>
          <w:lang w:val="en-GB"/>
        </w:rPr>
        <w:t>(67)</w:t>
      </w:r>
      <w:r w:rsidRPr="003C1D92">
        <w:rPr>
          <w:rFonts w:cs="Times New Roman"/>
          <w:lang w:val="en-US"/>
        </w:rPr>
        <w:fldChar w:fldCharType="end"/>
      </w:r>
      <w:r w:rsidRPr="003C1D92">
        <w:rPr>
          <w:rFonts w:cs="Times New Roman"/>
          <w:lang w:val="en-US"/>
        </w:rPr>
        <w:t xml:space="preserve">. In contrast to stationary connectivity studies that disregard time-varying data, clustering neural activity variations into spatiotemporally overlapping patterns of brain activation is captured by CAPs analysis. These </w:t>
      </w:r>
      <w:r w:rsidRPr="003C1D92">
        <w:rPr>
          <w:rFonts w:cs="Times New Roman"/>
          <w:lang w:val="en-US"/>
        </w:rPr>
        <w:lastRenderedPageBreak/>
        <w:t>patterns of brain activation are therefore not considered mutually exclusive. Additionally, in contrast to other techniques for analyzing dynamic functional connectivity (</w:t>
      </w:r>
      <w:proofErr w:type="spellStart"/>
      <w:r w:rsidRPr="003C1D92">
        <w:rPr>
          <w:rFonts w:cs="Times New Roman"/>
          <w:lang w:val="en-US"/>
        </w:rPr>
        <w:t>dFC</w:t>
      </w:r>
      <w:proofErr w:type="spellEnd"/>
      <w:r w:rsidRPr="003C1D92">
        <w:rPr>
          <w:rFonts w:cs="Times New Roman"/>
          <w:lang w:val="en-US"/>
        </w:rPr>
        <w:t>), CAPs concentrate on individual fMRI volumes rather than fMRI time courses. As a result, they are extremely sensitive in recognizing and examining transient, recurrent patterns of co-activation and their temporal variability</w:t>
      </w:r>
      <w:r w:rsidRPr="003C1D92">
        <w:rPr>
          <w:rFonts w:cs="Times New Roman"/>
          <w:lang w:val="en-GB"/>
        </w:rPr>
        <w:t>(37,56)</w:t>
      </w:r>
      <w:r w:rsidRPr="003C1D92">
        <w:rPr>
          <w:rFonts w:cs="Times New Roman"/>
          <w:lang w:val="en-US"/>
        </w:rPr>
        <w:fldChar w:fldCharType="begin"/>
      </w:r>
      <w:r w:rsidRPr="003C1D92">
        <w:rPr>
          <w:rFonts w:cs="Times New Roman"/>
          <w:lang w:val="en-US"/>
        </w:rPr>
        <w:instrText xml:space="preserve"> ADDIN ZOTERO_ITEM CSL_CITATION {"citationID":"FWNhaKmu","properties":{"formattedCitation":"(65,67)","plainCitation":"(65,67)","noteIndex":0},"citationItems":[{"id":7921,"uris":["http://zotero.org/users/8364405/items/QB4I67FD"],"itemData":{"id":7921,"type":"article-journal","abstract":"Functional magnetic resonance imaging provides rich spatio-temporal data of human brain activity during task and rest. Many recent efforts have focussed on characterising dynamics of brain activity. One notable instance is co-activation pattern (CAP) analysis, a frame-wise analytical approach that disentangles the different functional brain networks interacting with a user-defined seed region. While promising applications in various clinical settings have been demonstrated, there is not yet any centralised, publicly accessible resource to facilitate the deployment of the technique. Here, we release a working version of TbCAPs, a new toolbox for CAP analysis, which includes all steps of the analytical pipeline, introduces new methodological developments that build on already existing concepts, and enables a facilitated inspection of CAPs and resulting metrics of brain dynamics. The toolbox is available on a public academic repository at https://c4science.ch/source/CAP_Toolbox.git. In addition, to illustrate the feasibility and usefulness of our pipeline, we describe an application to the study of human cognition. CAPs are constructed from resting-state fMRI using as seed the right dorsolateral prefrontal cortex, and, in a separate sample, we successfully predict a behavioural measure of continuous attentional performance from the metrics of CAP dynamics (R ​= ​0.59).","container-title":"NeuroImage","DOI":"https://doi.org/10.1016/j.neuroimage.2020.116621","ISSN":"1053-8119","page":"116621","title":"TbCAPs: A toolbox for co-activation pattern analysis","volume":"211","author":[{"family":"Bolton","given":"Thomas A. W."},{"family":"Tuleasca","given":"Constantin"},{"family":"Wotruba","given":"Diana"},{"family":"Rey","given":"Gwladys"},{"family":"Dhanis","given":"Herberto"},{"family":"Gauthier","given":"Baptiste"},{"family":"Delavari","given":"Farnaz"},{"family":"Morgenroth","given":"Elenor"},{"family":"Gaviria","given":"Julian"},{"family":"Blondiaux","given":"Eva"},{"family":"Smigielski","given":"Lukasz"},{"family":"Ville","given":"Dimitri Van De"}],"issued":{"date-parts":[["2020"]]}}},{"id":8047,"uris":["http://zotero.org/users/8364405/items/E8M7NQ4M"],"itemData":{"id":8047,"type":"article-journal","abstract":"The brain is a complex system that integrates and processes information across multiple time scales by dynamically coordinating activities over brain regions and circuits. Correlations in resting-state functional magnetic resonance imaging (rsfMRI) signals have been widely used to infer functional connectivity of the brain, providing a metric of functional associations that reflects a temporal average over an entire scan (typically several minutes or longer). Not until recently was the study of dynamic brain interactions at much shorter time scales (seconds to minutes) considered for inference of functional connectivity. One method proposed for this objective seeks to identify and extract recurring co-activation patterns (CAPs) that represent instantaneous brain configurations at single time points. Here, we review the development and recent advancement of CAP methodology and other closely related approaches, as well as their applications and associated findings. We also discuss the potential neural origins and behavioral relevance of CAPs, along with methodological issues and future research directions in the analysis of fMRI co-activation patterns.","container-title":"NeuroImage","DOI":"10.1016/j.neuroimage.2018.01.041","ISSN":"10959572","issue":"February","note":"publisher: Elsevier Ltd\nPMID: 29355767","page":"485-494","title":"Co-activation patterns in resting-state fMRI signals","volume":"180","author":[{"family":"Liu","given":"Xiao"},{"family":"Zhang","given":"Nanyin"},{"family":"Chang","given":"Catie"},{"family":"Duyn","given":"Jeff H."}],"issued":{"date-parts":[["2018"]]}}}],"schema":"https://github.com/citation-style-language/schema/raw/master/csl-citation.json"} </w:instrText>
      </w:r>
      <w:r w:rsidRPr="003C1D92">
        <w:rPr>
          <w:rFonts w:cs="Times New Roman"/>
          <w:lang w:val="en-US"/>
        </w:rPr>
        <w:fldChar w:fldCharType="separate"/>
      </w:r>
      <w:r w:rsidRPr="003C1D92">
        <w:rPr>
          <w:rFonts w:cs="Times New Roman"/>
          <w:lang w:val="en-GB"/>
        </w:rPr>
        <w:t>(65,67)</w:t>
      </w:r>
      <w:r w:rsidRPr="003C1D92">
        <w:rPr>
          <w:rFonts w:cs="Times New Roman"/>
          <w:lang w:val="en-US"/>
        </w:rPr>
        <w:fldChar w:fldCharType="end"/>
      </w:r>
      <w:r w:rsidRPr="003C1D92">
        <w:rPr>
          <w:rFonts w:cs="Times New Roman"/>
          <w:lang w:val="en-US"/>
        </w:rPr>
        <w:t xml:space="preserve">. </w:t>
      </w:r>
    </w:p>
    <w:p w14:paraId="3F0AE684" w14:textId="57B2BF6E" w:rsidR="00592950" w:rsidRPr="003C1D92" w:rsidRDefault="00592950" w:rsidP="00EF0772">
      <w:pPr>
        <w:ind w:firstLine="360"/>
        <w:rPr>
          <w:rFonts w:cs="Times New Roman"/>
          <w:lang w:val="en-US"/>
        </w:rPr>
      </w:pPr>
      <w:r w:rsidRPr="003C1D92">
        <w:rPr>
          <w:rFonts w:cs="Times New Roman"/>
          <w:lang w:val="en-US"/>
        </w:rPr>
        <w:t>Previous studies</w:t>
      </w:r>
      <w:r w:rsidRPr="003C1D92">
        <w:rPr>
          <w:rFonts w:cs="Times New Roman"/>
          <w:lang w:val="en-US"/>
        </w:rPr>
        <w:fldChar w:fldCharType="begin"/>
      </w:r>
      <w:r w:rsidRPr="003C1D92">
        <w:rPr>
          <w:rFonts w:cs="Times New Roman"/>
          <w:lang w:val="en-US"/>
        </w:rPr>
        <w:instrText xml:space="preserve"> ADDIN ZOTERO_ITEM CSL_CITATION {"citationID":"dI1yn2dX","properties":{"formattedCitation":"(65,69)","plainCitation":"(65,69)","noteIndex":0},"citationItems":[{"id":7921,"uris":["http://zotero.org/users/8364405/items/QB4I67FD"],"itemData":{"id":7921,"type":"article-journal","abstract":"Functional magnetic resonance imaging provides rich spatio-temporal data of human brain activity during task and rest. Many recent efforts have focussed on characterising dynamics of brain activity. One notable instance is co-activation pattern (CAP) analysis, a frame-wise analytical approach that disentangles the different functional brain networks interacting with a user-defined seed region. While promising applications in various clinical settings have been demonstrated, there is not yet any centralised, publicly accessible resource to facilitate the deployment of the technique. Here, we release a working version of TbCAPs, a new toolbox for CAP analysis, which includes all steps of the analytical pipeline, introduces new methodological developments that build on already existing concepts, and enables a facilitated inspection of CAPs and resulting metrics of brain dynamics. The toolbox is available on a public academic repository at https://c4science.ch/source/CAP_Toolbox.git. In addition, to illustrate the feasibility and usefulness of our pipeline, we describe an application to the study of human cognition. CAPs are constructed from resting-state fMRI using as seed the right dorsolateral prefrontal cortex, and, in a separate sample, we successfully predict a behavioural measure of continuous attentional performance from the metrics of CAP dynamics (R ​= ​0.59).","container-title":"NeuroImage","DOI":"https://doi.org/10.1016/j.neuroimage.2020.116621","ISSN":"1053-8119","page":"116621","title":"TbCAPs: A toolbox for co-activation pattern analysis","volume":"211","author":[{"family":"Bolton","given":"Thomas A. W."},{"family":"Tuleasca","given":"Constantin"},{"family":"Wotruba","given":"Diana"},{"family":"Rey","given":"Gwladys"},{"family":"Dhanis","given":"Herberto"},{"family":"Gauthier","given":"Baptiste"},{"family":"Delavari","given":"Farnaz"},{"family":"Morgenroth","given":"Elenor"},{"family":"Gaviria","given":"Julian"},{"family":"Blondiaux","given":"Eva"},{"family":"Smigielski","given":"Lukasz"},{"family":"Ville","given":"Dimitri Van De"}],"issued":{"date-parts":[["2020"]]}}},{"id":2238,"uris":["http://zotero.org/users/8364405/items/AB892YIP"],"itemData":{"id":2238,"type":"article-journal","abstract":"&lt;h3&gt;Abstract&lt;/h3&gt; &lt;p&gt;Alterations in activity and connectivity of brain circuits implicated in emotion processing and emotion regulation have been observed during resting-state for different clinical phases of bipolar disorders (BD), but longitudinal investigations across different mood states in the same patients are still rare. Furthermore, measuring dynamics of functional connectivity patterns offers a powerful method to explore changes in the brain’s intrinsic functional organization across mood states. We used a novel co-activation pattern (CAP) analysis to explore the dynamics of amygdala connectivity at rest in a cohort of 20 BD patients prospectively followed-up and scanned across distinct mood states: euthymia (20 patients; 39 sessions), depression (12 patients; 18 sessions), or mania/hypomania (14 patients; 18 sessions). We compared them to 41 healthy controls scanned once or twice (55 sessions). We characterized temporal aspects of dynamic fluctuations in amygdala connectivity over the whole brain as a function of current mood. We identified 6 distinct networks describing amygdala connectivity, among which an interoceptive-sensorimotor CAP exhibited more frequent occurrences during hypomania compared to other mood states, and predicted more severe symptoms of irritability and motor agitation. In contrast, a limbic CAP comprising the hippocampus and ventral tegmental area exhibited fewer occurrences during both depression and hypomania compared to euthymia. Our results reveal distinctive interactions between amygdala and distributed brain networks in different mood states, and foster research on interoception systems especially during the manic phase. Our study also demonstrates the benefits of assessing brain dynamics in BD.&lt;/p&gt;","container-title":"medRxiv","DOI":"10.1101/2021.03.30.21254608","language":"en","license":"© 2021, Posted by Cold Spring Harbor Laboratory. The copyright holder for this pre-print is the author. All rights reserved. The material may not be redistributed, re-used or adapted without the author's permission.","note":"publisher: Cold Spring Harbor Laboratory Press","page":"2021.03.30.21254608","source":"www.medrxiv.org","title":"Dynamics of amygdala connectivity in bipolar disorders: A longitudinal study across mood states","title-short":"Dynamics of amygdala connectivity in bipolar disorders","author":[{"family":"Rey","given":"Gwladys"},{"family":"Bolton","given":"Thomas A. W."},{"family":"Gaviria","given":"Julian"},{"family":"Piguet","given":"Camille"},{"family":"Preti","given":"Maria Giulia"},{"family":"Favre","given":"Sophie"},{"family":"Aubry","given":"Jean-Michel"},{"family":"Ville","given":"Dimitri Van De"},{"family":"Vuilleumier","given":"Patrik"}],"issued":{"date-parts":[["2021",4,4]]}}}],"schema":"https://github.com/citation-style-language/schema/raw/master/csl-citation.json"} </w:instrText>
      </w:r>
      <w:r w:rsidRPr="003C1D92">
        <w:rPr>
          <w:rFonts w:cs="Times New Roman"/>
          <w:lang w:val="en-US"/>
        </w:rPr>
        <w:fldChar w:fldCharType="separate"/>
      </w:r>
      <w:r w:rsidRPr="003C1D92">
        <w:rPr>
          <w:rFonts w:cs="Times New Roman"/>
          <w:lang w:val="en-GB"/>
        </w:rPr>
        <w:t>(65,69)</w:t>
      </w:r>
      <w:r w:rsidRPr="003C1D92">
        <w:rPr>
          <w:rFonts w:cs="Times New Roman"/>
          <w:lang w:val="en-US"/>
        </w:rPr>
        <w:fldChar w:fldCharType="end"/>
      </w:r>
      <w:r w:rsidRPr="003C1D92">
        <w:rPr>
          <w:rFonts w:cs="Times New Roman"/>
          <w:lang w:val="en-US"/>
        </w:rPr>
        <w:t xml:space="preserve"> have provided thorough descriptions of CAPs analysis. In summary, CAPs analysis chooses the time points with "higher than threshold" activity by extracting and Z-scoring the average seed BOLD signal throughout the fMRI time series. The retained whole-brain volumes from each subject are then agnostically classified using a K-means clustering algorithm into discrete clusters that represent the CAPs; within-cluster differences, which are defined as spatial similarity, were found to be smaller than those across clusters (further information regarding clustering can be found elsewhere</w:t>
      </w:r>
      <w:r w:rsidRPr="003C1D92">
        <w:rPr>
          <w:rFonts w:cs="Times New Roman"/>
          <w:lang w:val="en-US"/>
        </w:rPr>
        <w:fldChar w:fldCharType="begin"/>
      </w:r>
      <w:r w:rsidRPr="003C1D92">
        <w:rPr>
          <w:rFonts w:cs="Times New Roman"/>
          <w:lang w:val="en-US"/>
        </w:rPr>
        <w:instrText xml:space="preserve"> ADDIN ZOTERO_ITEM CSL_CITATION {"citationID":"WNbxPG5e","properties":{"formattedCitation":"(70)","plainCitation":"(70)","noteIndex":0},"citationItems":[{"id":8040,"uris":["http://zotero.org/users/8364405/items/D6CGTDDX"],"itemData":{"id":8040,"type":"article-journal","abstract":"Emerging evidence has attributed altered network coordination between the default mode, central executive, and salience networks (DMN/CEN/SAL) to disturbances seen in schizophrenia, but little is known for at-risk psychosis stages. Moreover, pinpointing impairments in specific network-to-network interactions, although essential to resolve possibly distinct harbingers of conversion to clinically diagnosed schizophrenia, remains particularly challenging. We addressed this by a dynamic approach to functional connectivity, where right anterior insula brain interactions were examined through co-activation pattern (CAP) analysis. We utilized resting-state fMRI in 19 subjects suffering from subthreshold delusions and hallucinations (UHR), 28 at-risk for psychosis with basic symptoms describing only self-experienced subclinical disturbances (BS), and 29 healthy controls (CTR) matched for age, gender, handedness, and intelligence. We extracted the most recurring CAPs, compared their relative occurrence and average dwell time to probe their temporal expression, and quantified occurrence balance to assess the putative loss of competing relationships. Our findings substantiate the pivotal role of the right anterior insula in governing CEN-to-DMN transitions, which appear dysfunctional prior to the onset of psychosis, especially when first attenuated psychotic symptoms occur. In UHR subjects, it is longer active in concert with the DMN and there is a loss of competition between a SAL/DMN state, and a state with insula/CEN activation paralleled by DMN deactivation. These features suggest that abnormal network switching disrupts one's capacity to distinguish between the internal world and external environment, which is accompanied by inflexibility and an excessive awareness to internal processes reflected by prolonged expression of the right anterior insula-default mode co-activation pattern.","container-title":"Frontiers in Physiology","DOI":"10.3389/fphys.2020.00066","ISSN":"1664042X","issue":"February","page":"1-10","title":"Triple Network Model Dynamically Revisited: Lower Salience Network State Switching in Pre-psychosis","volume":"11","author":[{"family":"Bolton","given":"Thomas A. W."},{"family":"Wotruba","given":"Diana"},{"family":"Buechler","given":"Roman"},{"family":"Theodoridou","given":"Anastasia"},{"family":"Michels","given":"Lars"},{"family":"Kollias","given":"Spyros"},{"family":"Rössler","given":"Wulf"},{"family":"Heekeren","given":"Karsten"},{"family":"Ville","given":"Dimitri Van De"}],"issued":{"date-parts":[["2020"]]}}}],"schema":"https://github.com/citation-style-language/schema/raw/master/csl-citation.json"} </w:instrText>
      </w:r>
      <w:r w:rsidRPr="003C1D92">
        <w:rPr>
          <w:rFonts w:cs="Times New Roman"/>
          <w:lang w:val="en-US"/>
        </w:rPr>
        <w:fldChar w:fldCharType="separate"/>
      </w:r>
      <w:r w:rsidRPr="003C1D92">
        <w:rPr>
          <w:rFonts w:cs="Times New Roman"/>
          <w:lang w:val="en-GB"/>
        </w:rPr>
        <w:t>(70)</w:t>
      </w:r>
      <w:r w:rsidRPr="003C1D92">
        <w:rPr>
          <w:rFonts w:cs="Times New Roman"/>
          <w:lang w:val="en-US"/>
        </w:rPr>
        <w:fldChar w:fldCharType="end"/>
      </w:r>
      <w:r w:rsidRPr="003C1D92">
        <w:rPr>
          <w:rFonts w:cs="Times New Roman"/>
          <w:lang w:val="en-US"/>
        </w:rPr>
        <w:t xml:space="preserve"> and in the sections that follow). The magnitude of their divergence from zero is then measured by converting these CAPs into spatial Z-maps.</w:t>
      </w:r>
    </w:p>
    <w:p w14:paraId="203A2933" w14:textId="77777777" w:rsidR="00592950" w:rsidRPr="003C1D92" w:rsidRDefault="00592950" w:rsidP="00EF0772">
      <w:pPr>
        <w:pStyle w:val="SezioneBD"/>
        <w:numPr>
          <w:ilvl w:val="0"/>
          <w:numId w:val="0"/>
        </w:numPr>
        <w:ind w:left="714" w:hanging="357"/>
        <w:rPr>
          <w:sz w:val="24"/>
          <w:szCs w:val="24"/>
        </w:rPr>
      </w:pPr>
    </w:p>
    <w:p w14:paraId="724B5BCC" w14:textId="77777777" w:rsidR="00592950" w:rsidRPr="003C1D92" w:rsidRDefault="00592950" w:rsidP="00EF0772">
      <w:pPr>
        <w:pStyle w:val="ListParagraph"/>
        <w:numPr>
          <w:ilvl w:val="0"/>
          <w:numId w:val="14"/>
        </w:numPr>
        <w:pBdr>
          <w:top w:val="nil"/>
          <w:left w:val="nil"/>
          <w:bottom w:val="nil"/>
          <w:right w:val="nil"/>
          <w:between w:val="nil"/>
        </w:pBdr>
        <w:rPr>
          <w:rFonts w:cs="Times New Roman"/>
          <w:i/>
          <w:iCs/>
          <w:lang w:val="en-US"/>
        </w:rPr>
      </w:pPr>
      <w:r w:rsidRPr="003C1D92">
        <w:rPr>
          <w:rFonts w:cs="Times New Roman"/>
          <w:i/>
          <w:iCs/>
          <w:lang w:val="en-US"/>
        </w:rPr>
        <w:t>Initialization and seed focalization</w:t>
      </w:r>
    </w:p>
    <w:p w14:paraId="32BC30CC" w14:textId="0E925EB0" w:rsidR="00592950" w:rsidRPr="003C1D92" w:rsidRDefault="00592950" w:rsidP="00EF0772">
      <w:pPr>
        <w:ind w:firstLine="720"/>
        <w:rPr>
          <w:rFonts w:cs="Times New Roman"/>
        </w:rPr>
      </w:pPr>
      <w:r w:rsidRPr="003C1D92">
        <w:rPr>
          <w:rFonts w:cs="Times New Roman"/>
        </w:rPr>
        <w:t>As described in detail elsewhere</w:t>
      </w:r>
      <w:r w:rsidRPr="003C1D92">
        <w:rPr>
          <w:rFonts w:cs="Times New Roman"/>
        </w:rPr>
        <w:fldChar w:fldCharType="begin"/>
      </w:r>
      <w:r w:rsidRPr="003C1D92">
        <w:rPr>
          <w:rFonts w:cs="Times New Roman"/>
        </w:rPr>
        <w:instrText xml:space="preserve"> ADDIN ZOTERO_ITEM CSL_CITATION {"citationID":"t7HQR12T","properties":{"formattedCitation":"(52,71)","plainCitation":"(52,71)","noteIndex":0},"citationItems":[{"id":28411,"uris":["http://zotero.org/users/8364405/items/V2XTQWFS"],"itemData":{"id":28411,"type":"article-journal","abstract":"OBJECTIVES: Bipolar disorder (BD) is a highly heritable disorder characterized by emotion dysregulation and recurrent oscillations between mood states. Despite the proven efficacy of early interventions, vulnerability markers in high-risk individuals are still lacking. BD patients present structural alterations of the hippocampus, a pivotal hub of emotion regulation networks composed of multiple subregions with different projections. However, the hippocampal dynamic functional connectivity (dFC) in BD remains unclear. We aim to investigate whether the dFC of hippocampal subdivisions differentiates BD patients, offspring of BD patients (BDoff), and healthy controls (HC); and whether it correlates with symptoms differently between these groups.\nMETHODS: We studied for the first time the dFC of the hippocampus through a cutting-edge micro-co-activation patterns (μCAPs) analysis of resting-state functional MRI data of 97 subjects (26 BD, 18 BDoff, 53 HC). μCAPs allow a data-driven differentiation within the seed region.\nRESULTS: dFC between the hippocampal body and a somatomotor-μCAP was lower both in BD patients (p-valueFDR:0.00015) and in BDoff (p-valueFDR:0.020) than in HC. Inversely, dFC between the hippocampal head and a limbic-μCAP was higher in BD patients than in HC (p-valueFDR: 0.005). Furthermore, the correlations between a frontoparietal-μCAP and both depression and emotion dysregulation symptoms were significantly higher in BD than HC (p-valueFDR &lt;0.02).\nCONCLUSION: Overall, we observed alterations of large-scale functional brain networks associated with decreased cognitive control flexibility and disrupted somatomotor, saliency, and emotion processing in BD. Interestingly, BDoff presented an intermediate phenotype between BD and HC, suggesting that dFC of hippocampal subregions might represent a marker of vulnerability to BD.","container-title":"Bipolar Disorders","DOI":"10.1111/bdi.13487","ISSN":"1399-5618","journalAbbreviation":"Bipolar Disord","language":"eng","note":"PMID: 39135100","source":"PubMed","title":"Hippocampal temporal dynamics and spatial heterogeneity unveil vulnerability markers in the offspring of bipolar patients","author":[{"family":"Saccaro","given":"Luigi F."},{"family":"Delavari","given":"Farnaz"},{"family":"Van De Ville","given":"Dimitri"},{"family":"Piguet","given":"Camille"}],"issued":{"date-parts":[["2024",8,12]]}}},{"id":8879,"uris":["http://zotero.org/users/8364405/items/XG9IXUEX"],"itemData":{"id":8879,"type":"article-journal","DOI":"10.1101/2023.05.23.541896","title":"Thalamic contributions to psychosis susceptibility: Evidence from co-activation patterns accounting for intra-seed spatial variability (µCAPs)","URL":"https://doi.org/10.1101/2023.05.23.541896","author":[{"family":"Delavari","given":"Farnaz"},{"family":"Sandini","given":"Corrado"},{"family":"Kojovic","given":"Nada"},{"family":"Saccaro","given":"Luigi F."},{"family":"Eliez","given":"Stephan"},{"family":"Ville","given":"Dimitri Van De"},{"family":"Bolton","given":"Thomas A. W."}]}}],"schema":"https://github.com/citation-style-language/schema/raw/master/csl-citation.json"} </w:instrText>
      </w:r>
      <w:r w:rsidRPr="003C1D92">
        <w:rPr>
          <w:rFonts w:cs="Times New Roman"/>
        </w:rPr>
        <w:fldChar w:fldCharType="separate"/>
      </w:r>
      <w:r w:rsidRPr="003C1D92">
        <w:rPr>
          <w:rFonts w:cs="Times New Roman"/>
          <w:lang w:val="en-GB"/>
        </w:rPr>
        <w:t>(52,71)</w:t>
      </w:r>
      <w:r w:rsidRPr="003C1D92">
        <w:rPr>
          <w:rFonts w:cs="Times New Roman"/>
        </w:rPr>
        <w:fldChar w:fldCharType="end"/>
      </w:r>
      <w:r w:rsidRPr="003C1D92">
        <w:rPr>
          <w:rFonts w:cs="Times New Roman"/>
        </w:rPr>
        <w:t>, μCAPs analyze BOLD fMRI data employing a matrix that represents the time-dependent fMRI volumes for all subjects, in voxels. A subset of the voxels is defined as the seed, or the region of interest, in this case the bilateral hippocampus. The goal is to identify a number (“</w:t>
      </w:r>
      <w:r w:rsidRPr="003C1D92">
        <w:rPr>
          <w:rFonts w:cs="Times New Roman"/>
          <w:i/>
          <w:iCs/>
        </w:rPr>
        <w:t xml:space="preserve">K”) </w:t>
      </w:r>
      <w:r w:rsidRPr="003C1D92">
        <w:rPr>
          <w:rFonts w:cs="Times New Roman"/>
        </w:rPr>
        <w:t>of micro co-activation patterns (µCAPs) associated with weight maps for the seed. At the first step, the arithmetic mean of BOLD signal within all voxels of the initial seed is calculated and used as the first time course for frame-selection. At following iterative steps, the time course for each seed weight map is computed by averaging the fMRI volumes weighted by the corresponding seed weights, which are created by a winner-takes-all approach across all K µCAPs (see</w:t>
      </w:r>
      <w:r w:rsidRPr="003C1D92">
        <w:rPr>
          <w:rFonts w:cs="Times New Roman"/>
          <w:lang w:val="en-US"/>
        </w:rPr>
        <w:t xml:space="preserve"> section</w:t>
      </w:r>
      <w:r w:rsidRPr="003C1D92">
        <w:rPr>
          <w:rFonts w:cs="Times New Roman"/>
          <w:i/>
          <w:iCs/>
          <w:lang w:val="en-US"/>
        </w:rPr>
        <w:t xml:space="preserve"> e) Seed weight maps update </w:t>
      </w:r>
      <w:r w:rsidRPr="003C1D92">
        <w:rPr>
          <w:rFonts w:cs="Times New Roman"/>
          <w:lang w:val="en-US"/>
        </w:rPr>
        <w:lastRenderedPageBreak/>
        <w:t>below</w:t>
      </w:r>
      <w:r w:rsidRPr="003C1D92">
        <w:rPr>
          <w:rFonts w:cs="Times New Roman"/>
        </w:rPr>
        <w:t xml:space="preserve">). Therefore, allowing smaller seed regions to have an equally great role in frame-selection in the next steps. </w:t>
      </w:r>
    </w:p>
    <w:p w14:paraId="78A8D7D3" w14:textId="77777777" w:rsidR="00592950" w:rsidRPr="003C1D92" w:rsidRDefault="00592950" w:rsidP="00EF0772">
      <w:pPr>
        <w:pStyle w:val="NormalWeb"/>
        <w:ind w:firstLine="720"/>
        <w:rPr>
          <w:i/>
          <w:iCs/>
        </w:rPr>
      </w:pPr>
      <w:r w:rsidRPr="003C1D92">
        <w:rPr>
          <w:i/>
          <w:iCs/>
        </w:rPr>
        <w:t>c) Criteria for selection of frames</w:t>
      </w:r>
    </w:p>
    <w:p w14:paraId="006CB211" w14:textId="6F1D7A56" w:rsidR="00592950" w:rsidRPr="003C1D92" w:rsidRDefault="00592950" w:rsidP="00EF0772">
      <w:pPr>
        <w:pStyle w:val="NormalWeb"/>
        <w:ind w:firstLine="720"/>
      </w:pPr>
      <w:r w:rsidRPr="003C1D92">
        <w:t>In this iterative process, a threshold for the Z-scored time course for each seed weight map is defined, and if activity exceeds this threshold, the corresponding fMRI volumes are tagged as "selected." The initial threshold is set to 0.5 for maximum sensitivity, and in subsequent iterations, it is set to 1.0, a typical value used in conventional CAP analyses</w:t>
      </w:r>
      <w:r w:rsidRPr="003C1D92">
        <w:fldChar w:fldCharType="begin"/>
      </w:r>
      <w:r w:rsidRPr="003C1D92">
        <w:instrText xml:space="preserve"> ADDIN ZOTERO_ITEM CSL_CITATION {"citationID":"nr02WDhK","properties":{"formattedCitation":"(65,72)","plainCitation":"(65,72)","noteIndex":0},"citationItems":[{"id":7921,"uris":["http://zotero.org/users/8364405/items/QB4I67FD"],"itemData":{"id":7921,"type":"article-journal","abstract":"Functional magnetic resonance imaging provides rich spatio-temporal data of human brain activity during task and rest. Many recent efforts have focussed on characterising dynamics of brain activity. One notable instance is co-activation pattern (CAP) analysis, a frame-wise analytical approach that disentangles the different functional brain networks interacting with a user-defined seed region. While promising applications in various clinical settings have been demonstrated, there is not yet any centralised, publicly accessible resource to facilitate the deployment of the technique. Here, we release a working version of TbCAPs, a new toolbox for CAP analysis, which includes all steps of the analytical pipeline, introduces new methodological developments that build on already existing concepts, and enables a facilitated inspection of CAPs and resulting metrics of brain dynamics. The toolbox is available on a public academic repository at https://c4science.ch/source/CAP_Toolbox.git. In addition, to illustrate the feasibility and usefulness of our pipeline, we describe an application to the study of human cognition. CAPs are constructed from resting-state fMRI using as seed the right dorsolateral prefrontal cortex, and, in a separate sample, we successfully predict a behavioural measure of continuous attentional performance from the metrics of CAP dynamics (R ​= ​0.59).","container-title":"NeuroImage","DOI":"https://doi.org/10.1016/j.neuroimage.2020.116621","ISSN":"1053-8119","page":"116621","title":"TbCAPs: A toolbox for co-activation pattern analysis","volume":"211","author":[{"family":"Bolton","given":"Thomas A. W."},{"family":"Tuleasca","given":"Constantin"},{"family":"Wotruba","given":"Diana"},{"family":"Rey","given":"Gwladys"},{"family":"Dhanis","given":"Herberto"},{"family":"Gauthier","given":"Baptiste"},{"family":"Delavari","given":"Farnaz"},{"family":"Morgenroth","given":"Elenor"},{"family":"Gaviria","given":"Julian"},{"family":"Blondiaux","given":"Eva"},{"family":"Smigielski","given":"Lukasz"},{"family":"Ville","given":"Dimitri Van De"}],"issued":{"date-parts":[["2020"]]}}},{"id":8878,"uris":["http://zotero.org/users/8364405/items/IS4BB4BU"],"itemData":{"id":8878,"type":"article-journal","abstract":"Affective inertia represents the lasting impact of transient emotions at one time point on affective state at a subsequent time point. Here we describe the neural underpinnings of inertia following negative emotions elicited by sad events in movies. Using a co-activation pattern analysis of dynamic functional connectivity, we examined the temporal expression and reciprocal interactions among brain-wide networks during movies and subsequent resting periods in twenty healthy subjects. Our findings revealed distinctive spatiotemporal expression of visual (VIS), default mode (DMN), central executive (CEN), and frontoparietal control (FPCN) networks both in negative movies and in rest periods following these movies. We also identified different reciprocal relationships among these networks, in transitions from movie to rest. While FPCN and DMN expression increased during and after negative movies, respectively, FPCN occurrences during the movie predicted lower DMN and higher CEN expression during subsequent rest after neutral movies, but this relationship was reversed after the elicitation of negative emotions. Changes in FPCN and DMN activity correlated with more negative subjective affect. These findings provide new insights into the transient interactions of intrinsic brain networks underpinning the inertia of negative emotions. More specifically, they describe a major role of FPCN in emotion elicitation processes, with prolonged impact on DMN activity in subsequent rest, presumably involved in emotion regulation and restoration of homeostatic balance after negative events.","container-title":"NeuroImage","DOI":"10.1016/j.neuroimage.2021.118377","ISSN":"10959572","note":"publisher: Academic Press Inc.\nPMID: 34256139","title":"Dynamic functional brain networks underlying the temporal inertia of negative emotions","volume":"240","author":[{"family":"Gaviria","given":"Julian"},{"family":"Rey","given":"Gwladys"},{"family":"Bolton","given":"Thomas"},{"family":"Ville","given":"Dimitri Van De"},{"family":"Vuilleumier","given":"Patrik"}],"issued":{"date-parts":[["2021",10]]}}}],"schema":"https://github.com/citation-style-language/schema/raw/master/csl-citation.json"} </w:instrText>
      </w:r>
      <w:r w:rsidRPr="003C1D92">
        <w:fldChar w:fldCharType="separate"/>
      </w:r>
      <w:r w:rsidRPr="003C1D92">
        <w:rPr>
          <w:lang w:val="en-GB"/>
        </w:rPr>
        <w:t>(65,72)</w:t>
      </w:r>
      <w:r w:rsidRPr="003C1D92">
        <w:fldChar w:fldCharType="end"/>
      </w:r>
      <w:r w:rsidRPr="003C1D92">
        <w:fldChar w:fldCharType="begin">
          <w:fldData xml:space="preserve">PEVuZE5vdGU+PENpdGU+PEF1dGhvcj5Cb2x0b248L0F1dGhvcj48WWVhcj4yMDIwPC9ZZWFyPjxS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</w:fldData>
        </w:fldChar>
      </w:r>
      <w:r w:rsidRPr="003C1D92">
        <w:instrText xml:space="preserve"> ADDIN EN.CITE </w:instrText>
      </w:r>
      <w:r w:rsidRPr="003C1D92">
        <w:fldChar w:fldCharType="begin">
          <w:fldData xml:space="preserve">PEVuZE5vdGU+PENpdGU+PEF1dGhvcj5Cb2x0b248L0F1dGhvcj48WWVhcj4yMDIwPC9ZZWFyPjxS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</w:fldData>
        </w:fldChar>
      </w:r>
      <w:r w:rsidRPr="003C1D92">
        <w:instrText xml:space="preserve"> ADDIN EN.CITE.DATA </w:instrText>
      </w:r>
      <w:r w:rsidRPr="003C1D92">
        <w:fldChar w:fldCharType="end"/>
      </w:r>
      <w:r w:rsidRPr="003C1D92">
        <w:fldChar w:fldCharType="end"/>
      </w:r>
      <w:r w:rsidRPr="003C1D92">
        <w:t xml:space="preserve">. </w:t>
      </w:r>
    </w:p>
    <w:p w14:paraId="64F7E5C1" w14:textId="77777777" w:rsidR="00592950" w:rsidRPr="003C1D92" w:rsidRDefault="00592950" w:rsidP="00EF0772">
      <w:pPr>
        <w:pStyle w:val="NormalWeb"/>
        <w:ind w:firstLine="720"/>
      </w:pPr>
      <w:r w:rsidRPr="003C1D92">
        <w:rPr>
          <w:i/>
          <w:iCs/>
        </w:rPr>
        <w:t>d) Clustering</w:t>
      </w:r>
    </w:p>
    <w:p w14:paraId="15360412" w14:textId="135333AE" w:rsidR="00592950" w:rsidRPr="003C1D92" w:rsidRDefault="00592950" w:rsidP="00EF0772">
      <w:pPr>
        <w:pStyle w:val="NormalWeb"/>
        <w:ind w:firstLine="720"/>
      </w:pPr>
      <w:r w:rsidRPr="003C1D92">
        <w:t>A K-means method is used to cluster all fMRI volumes that were chosen based on the seed activation using a 1-correlation distance measure. A micro co-activation pattern (µCAP) is represented by the centroid of every K-cluster. In this instance, the K-means is performed for a candidate number of clusters ranging from K = 2: 20. The optimal number of clusters (K) is determined through a test-retest algorithm including a 20-fold random 50-50 split of subjects into training and testing subsamples described in detail elsewhere</w:t>
      </w:r>
      <w:r w:rsidRPr="003C1D92">
        <w:fldChar w:fldCharType="begin"/>
      </w:r>
      <w:r w:rsidRPr="003C1D92">
        <w:instrText xml:space="preserve"> ADDIN ZOTERO_ITEM CSL_CITATION {"citationID":"Z8J4C50r","properties":{"formattedCitation":"(71)","plainCitation":"(71)","noteIndex":0},"citationItems":[{"id":8879,"uris":["http://zotero.org/users/8364405/items/XG9IXUEX"],"itemData":{"id":8879,"type":"article-journal","DOI":"10.1101/2023.05.23.541896","title":"Thalamic contributions to psychosis susceptibility: Evidence from co-activation patterns accounting for intra-seed spatial variability (µCAPs)","URL":"https://doi.org/10.1101/2023.05.23.541896","author":[{"family":"Delavari","given":"Farnaz"},{"family":"Sandini","given":"Corrado"},{"family":"Kojovic","given":"Nada"},{"family":"Saccaro","given":"Luigi F."},{"family":"Eliez","given":"Stephan"},{"family":"Ville","given":"Dimitri Van De"},{"family":"Bolton","given":"Thomas A. W."}]}}],"schema":"https://github.com/citation-style-language/schema/raw/master/csl-citation.json"} </w:instrText>
      </w:r>
      <w:r w:rsidRPr="003C1D92">
        <w:fldChar w:fldCharType="separate"/>
      </w:r>
      <w:r w:rsidRPr="003C1D92">
        <w:rPr>
          <w:lang w:val="en-GB"/>
        </w:rPr>
        <w:t>(71)</w:t>
      </w:r>
      <w:r w:rsidRPr="003C1D92">
        <w:fldChar w:fldCharType="end"/>
      </w:r>
      <w:r w:rsidRPr="003C1D92">
        <w:t xml:space="preserve">. Briefly, both the training and test frames undergo K-means clustering to generate K distinct centroids. The K clusters from the test and training frames are then matched using the Hungarian algorithm, and the average distance between matched centroids is calculated for a range of K values (from 1 to 20). The optimal K is determined by identifying the K value that yields the lowest average distance between matched centroids, indicating maximal replicability between the clustering results of the test and training frames. </w:t>
      </w:r>
    </w:p>
    <w:p w14:paraId="5446D525" w14:textId="4F2B7E24" w:rsidR="00592950" w:rsidRPr="003C1D92" w:rsidRDefault="00592950" w:rsidP="00EF0772">
      <w:pPr>
        <w:ind w:left="720"/>
        <w:rPr>
          <w:rFonts w:cs="Times New Roman"/>
          <w:i/>
          <w:iCs/>
          <w:lang w:val="en-US"/>
        </w:rPr>
      </w:pPr>
      <w:r w:rsidRPr="003C1D92">
        <w:rPr>
          <w:rFonts w:cs="Times New Roman"/>
          <w:i/>
          <w:iCs/>
          <w:lang w:val="en-US"/>
        </w:rPr>
        <w:t>e) Seed weight maps update</w:t>
      </w:r>
    </w:p>
    <w:p w14:paraId="3C6BC588" w14:textId="77777777" w:rsidR="00592950" w:rsidRPr="003C1D92" w:rsidRDefault="00592950" w:rsidP="00EF0772">
      <w:pPr>
        <w:pStyle w:val="NormalWeb"/>
        <w:ind w:firstLine="720"/>
      </w:pPr>
      <w:r w:rsidRPr="003C1D92">
        <w:lastRenderedPageBreak/>
        <w:t>To update the seed weight maps for the next iteration, each µCAP is restricted to the seed region and its values are assigned to the corresponding seed weights. We adopt a "winner-takes-all" approach by keeping only the largest µCAP value for each voxel and setting values for other µCAPs to zero. The algorithm then iterates, going to frame-selection again, until convergence is achieved.</w:t>
      </w:r>
    </w:p>
    <w:p w14:paraId="0D85CB20" w14:textId="77777777" w:rsidR="00592950" w:rsidRPr="003C1D92" w:rsidRDefault="00592950" w:rsidP="00EF0772">
      <w:pPr>
        <w:ind w:left="720"/>
        <w:rPr>
          <w:rFonts w:cs="Times New Roman"/>
          <w:i/>
          <w:iCs/>
        </w:rPr>
      </w:pPr>
      <w:r w:rsidRPr="003C1D92">
        <w:rPr>
          <w:rFonts w:cs="Times New Roman"/>
          <w:i/>
          <w:iCs/>
          <w:lang w:val="en-US"/>
        </w:rPr>
        <w:t xml:space="preserve"> f) Convergence</w:t>
      </w:r>
    </w:p>
    <w:p w14:paraId="638D38FA" w14:textId="1F8DDC32" w:rsidR="00592950" w:rsidRPr="003C1D92" w:rsidRDefault="00592950" w:rsidP="00EF0772">
      <w:pPr>
        <w:pStyle w:val="NormalWeb"/>
        <w:ind w:firstLine="360"/>
      </w:pPr>
      <w:r w:rsidRPr="003C1D92">
        <w:t xml:space="preserve">Convergence was defined as the point for which the distance between the seed patterns of matching </w:t>
      </w:r>
      <w:proofErr w:type="spellStart"/>
      <w:r w:rsidRPr="003C1D92">
        <w:t>μCAPs</w:t>
      </w:r>
      <w:proofErr w:type="spellEnd"/>
      <w:r w:rsidRPr="003C1D92">
        <w:t xml:space="preserve"> of the previous and the new step was less than 0.005. The distance is computed using the Hungarian algorithm</w:t>
      </w:r>
      <w:r w:rsidRPr="003C1D92">
        <w:fldChar w:fldCharType="begin"/>
      </w:r>
      <w:r w:rsidRPr="003C1D92">
        <w:instrText xml:space="preserve"> ADDIN ZOTERO_ITEM CSL_CITATION {"citationID":"PcXe5H9H","properties":{"formattedCitation":"(73)","plainCitation":"(73)","noteIndex":0},"citationItems":[{"id":8873,"uris":["http://zotero.org/users/8364405/items/8CKV9SKW"],"itemData":{"id":8873,"type":"article-journal","abstract":"1. INTRODUCTION based on the work of D. Konig and J. Egervgry. In one possible interpretation, an assignment problem asks for the best assignment of a set of persons to a set of jobs, where the feasible assignments are ranked by the total scores or ratings of the workers in the jobs to which they are assigned. It is a special case of the transportation problem, which asks for the allocation of a homogeneous commodity from given supplies ...","container-title":"Naval Research Logistics Quarterly","DOI":"10.1002/nav.3800030404","ISSN":"00281441","issue":"4","note":"publisher: Wiley","page":"253-258","title":"Variants of the hungarian method for assignment problems","volume":"3","author":[{"family":"Kuhn","given":"H. W."}],"issued":{"date-parts":[["1956",12]]}}}],"schema":"https://github.com/citation-style-language/schema/raw/master/csl-citation.json"} </w:instrText>
      </w:r>
      <w:r w:rsidRPr="003C1D92">
        <w:fldChar w:fldCharType="separate"/>
      </w:r>
      <w:r w:rsidRPr="003C1D92">
        <w:rPr>
          <w:lang w:val="en-GB"/>
        </w:rPr>
        <w:t>(73)</w:t>
      </w:r>
      <w:r w:rsidRPr="003C1D92">
        <w:fldChar w:fldCharType="end"/>
      </w:r>
      <w:r w:rsidRPr="003C1D92">
        <w:t xml:space="preserve"> and averaged cosine distance across iterations. The first iteration (in which the seed pattern is uniform), is not included in the convergence assessment.</w:t>
      </w:r>
    </w:p>
    <w:p w14:paraId="2BB0C899" w14:textId="083D0B2C" w:rsidR="00592950" w:rsidRPr="003C1D92" w:rsidRDefault="00592950" w:rsidP="00EF0772">
      <w:pPr>
        <w:pStyle w:val="NormalWeb"/>
        <w:numPr>
          <w:ilvl w:val="0"/>
          <w:numId w:val="17"/>
        </w:numPr>
        <w:rPr>
          <w:i/>
          <w:iCs/>
        </w:rPr>
      </w:pPr>
      <w:r w:rsidRPr="003C1D92">
        <w:rPr>
          <w:i/>
          <w:iCs/>
        </w:rPr>
        <w:t xml:space="preserve"> Motion correction</w:t>
      </w:r>
    </w:p>
    <w:p w14:paraId="061B4ABB" w14:textId="43F18247" w:rsidR="00BD1059" w:rsidRPr="003C1D92" w:rsidRDefault="00592950" w:rsidP="00EF0772">
      <w:pPr>
        <w:pStyle w:val="SezioneBD"/>
        <w:numPr>
          <w:ilvl w:val="0"/>
          <w:numId w:val="0"/>
        </w:numPr>
        <w:ind w:firstLine="723"/>
        <w:rPr>
          <w:b w:val="0"/>
          <w:bCs w:val="0"/>
          <w:sz w:val="24"/>
          <w:szCs w:val="24"/>
        </w:rPr>
      </w:pPr>
      <w:r w:rsidRPr="003C1D92">
        <w:rPr>
          <w:b w:val="0"/>
          <w:bCs w:val="0"/>
          <w:sz w:val="24"/>
          <w:szCs w:val="24"/>
        </w:rPr>
        <w:t>Two steps were included in our technique to address any motion artifacts. Firstly, we excluded one participant with poor image quality or considerable translational or rotational motion. Additionally, we used a scrubbing procedure that adheres to recognized guidelines</w:t>
      </w:r>
      <w:r w:rsidRPr="003C1D92">
        <w:rPr>
          <w:b w:val="0"/>
          <w:bCs w:val="0"/>
          <w:sz w:val="24"/>
          <w:szCs w:val="24"/>
        </w:rPr>
        <w:fldChar w:fldCharType="begin"/>
      </w:r>
      <w:r w:rsidRPr="003C1D92">
        <w:rPr>
          <w:b w:val="0"/>
          <w:bCs w:val="0"/>
          <w:sz w:val="24"/>
          <w:szCs w:val="24"/>
        </w:rPr>
        <w:instrText xml:space="preserve"> ADDIN ZOTERO_ITEM CSL_CITATION {"citationID":"8durgL5A","properties":{"formattedCitation":"(63)","plainCitation":"(63)","noteIndex":0},"citationItems":[{"id":8876,"uris":["http://zotero.org/users/8364405/items/JF7XYBNP"],"itemData":{"id":8876,"type":"article-journal","abstract":"Here, we demonstrate that subject motion produces substantial changes in the timecourses of resting state functional connectivity MRI (rs-fcMRI) data despite compensatory spatial registration and regression of motion estimates from the data. These changes cause systematic but spurious correlation structures throughout the brain. Specifically, many long-distance correlations are decreased by subject motion, whereas many short-distance correlations are increased. These changes in rs-fcMRI correlations do not arise from, nor are they adequately countered by, some common functional connectivity processing steps. Two indices of data quality are proposed, and a simple method to reduce motion-related effects in rs-fcMRI analyses is demonstrated that should be flexibly implementable across a variety of software platforms. We demonstrate how application of this technique impacts our own data, modifying previous conclusions about brain development. These results suggest the need for greater care in dealing with subject motion, and the need to critically revisit previous rs-fcMRI work that may not have adequately controlled for effects of transient subject movements. © 2011 Elsevier Inc.","container-title":"NeuroImage","DOI":"10.1016/j.neuroimage.2011.10.018","ISSN":"10538119","issue":"3","note":"PMID: 22019881","page":"2142-2154","title":"Spurious but systematic correlations in functional connectivity MRI networks arise from subject motion","volume":"59","author":[{"family":"Power","given":"Jonathan D."},{"family":"Barnes","given":"Kelly A."},{"family":"Snyder","given":"Abraham Z."},{"family":"Schlaggar","given":"Bradley L."},{"family":"Petersen","given":"Steven E."}],"issued":{"date-parts":[["2012",2]]}}}],"schema":"https://github.com/citation-style-language/schema/raw/master/csl-citation.json"} </w:instrText>
      </w:r>
      <w:r w:rsidRPr="003C1D92">
        <w:rPr>
          <w:b w:val="0"/>
          <w:bCs w:val="0"/>
          <w:sz w:val="24"/>
          <w:szCs w:val="24"/>
        </w:rPr>
        <w:fldChar w:fldCharType="separate"/>
      </w:r>
      <w:r w:rsidRPr="003C1D92">
        <w:rPr>
          <w:b w:val="0"/>
          <w:bCs w:val="0"/>
          <w:sz w:val="24"/>
          <w:szCs w:val="24"/>
          <w:lang w:val="en-GB"/>
        </w:rPr>
        <w:t>(63)</w:t>
      </w:r>
      <w:r w:rsidRPr="003C1D92">
        <w:rPr>
          <w:b w:val="0"/>
          <w:bCs w:val="0"/>
          <w:sz w:val="24"/>
          <w:szCs w:val="24"/>
        </w:rPr>
        <w:fldChar w:fldCharType="end"/>
      </w:r>
      <w:r w:rsidRPr="003C1D92">
        <w:rPr>
          <w:b w:val="0"/>
          <w:bCs w:val="0"/>
          <w:sz w:val="24"/>
          <w:szCs w:val="24"/>
        </w:rPr>
        <w:t xml:space="preserve"> to ensure that the patterns of </w:t>
      </w:r>
      <w:proofErr w:type="spellStart"/>
      <w:r w:rsidRPr="003C1D92">
        <w:rPr>
          <w:b w:val="0"/>
          <w:bCs w:val="0"/>
          <w:sz w:val="24"/>
          <w:szCs w:val="24"/>
        </w:rPr>
        <w:t>μCAPs</w:t>
      </w:r>
      <w:proofErr w:type="spellEnd"/>
      <w:r w:rsidRPr="003C1D92">
        <w:rPr>
          <w:b w:val="0"/>
          <w:bCs w:val="0"/>
          <w:sz w:val="24"/>
          <w:szCs w:val="24"/>
        </w:rPr>
        <w:t xml:space="preserve"> are not obtained from frames that are interrupted by movement. To lessen the effect of motion-related distortions, frames having a FD exceeding 0.5—which could be determined using the Power formula</w:t>
      </w:r>
      <w:r w:rsidRPr="003C1D92">
        <w:rPr>
          <w:b w:val="0"/>
          <w:bCs w:val="0"/>
          <w:sz w:val="24"/>
          <w:szCs w:val="24"/>
        </w:rPr>
        <w:fldChar w:fldCharType="begin"/>
      </w:r>
      <w:r w:rsidRPr="003C1D92">
        <w:rPr>
          <w:b w:val="0"/>
          <w:bCs w:val="0"/>
          <w:sz w:val="24"/>
          <w:szCs w:val="24"/>
        </w:rPr>
        <w:instrText xml:space="preserve"> ADDIN ZOTERO_ITEM CSL_CITATION {"citationID":"2SZLKuQn","properties":{"formattedCitation":"(63)","plainCitation":"(63)","noteIndex":0},"citationItems":[{"id":8876,"uris":["http://zotero.org/users/8364405/items/JF7XYBNP"],"itemData":{"id":8876,"type":"article-journal","abstract":"Here, we demonstrate that subject motion produces substantial changes in the timecourses of resting state functional connectivity MRI (rs-fcMRI) data despite compensatory spatial registration and regression of motion estimates from the data. These changes cause systematic but spurious correlation structures throughout the brain. Specifically, many long-distance correlations are decreased by subject motion, whereas many short-distance correlations are increased. These changes in rs-fcMRI correlations do not arise from, nor are they adequately countered by, some common functional connectivity processing steps. Two indices of data quality are proposed, and a simple method to reduce motion-related effects in rs-fcMRI analyses is demonstrated that should be flexibly implementable across a variety of software platforms. We demonstrate how application of this technique impacts our own data, modifying previous conclusions about brain development. These results suggest the need for greater care in dealing with subject motion, and the need to critically revisit previous rs-fcMRI work that may not have adequately controlled for effects of transient subject movements. © 2011 Elsevier Inc.","container-title":"NeuroImage","DOI":"10.1016/j.neuroimage.2011.10.018","ISSN":"10538119","issue":"3","note":"PMID: 22019881","page":"2142-2154","title":"Spurious but systematic correlations in functional connectivity MRI networks arise from subject motion","volume":"59","author":[{"family":"Power","given":"Jonathan D."},{"family":"Barnes","given":"Kelly A."},{"family":"Snyder","given":"Abraham Z."},{"family":"Schlaggar","given":"Bradley L."},{"family":"Petersen","given":"Steven E."}],"issued":{"date-parts":[["2012",2]]}}}],"schema":"https://github.com/citation-style-language/schema/raw/master/csl-citation.json"} </w:instrText>
      </w:r>
      <w:r w:rsidRPr="003C1D92">
        <w:rPr>
          <w:b w:val="0"/>
          <w:bCs w:val="0"/>
          <w:sz w:val="24"/>
          <w:szCs w:val="24"/>
        </w:rPr>
        <w:fldChar w:fldCharType="separate"/>
      </w:r>
      <w:r w:rsidRPr="003C1D92">
        <w:rPr>
          <w:b w:val="0"/>
          <w:bCs w:val="0"/>
          <w:sz w:val="24"/>
          <w:szCs w:val="24"/>
          <w:lang w:val="en-GB"/>
        </w:rPr>
        <w:t>(63)</w:t>
      </w:r>
      <w:r w:rsidRPr="003C1D92">
        <w:rPr>
          <w:b w:val="0"/>
          <w:bCs w:val="0"/>
          <w:sz w:val="24"/>
          <w:szCs w:val="24"/>
        </w:rPr>
        <w:fldChar w:fldCharType="end"/>
      </w:r>
      <w:r w:rsidRPr="003C1D92">
        <w:rPr>
          <w:b w:val="0"/>
          <w:bCs w:val="0"/>
          <w:sz w:val="24"/>
          <w:szCs w:val="24"/>
        </w:rPr>
        <w:t xml:space="preserve"> —were eliminated.  The percentage of scrubbed frames were in any case lower of 5% for each participant.</w:t>
      </w:r>
    </w:p>
    <w:p w14:paraId="33EB9F6F" w14:textId="03A4EA88" w:rsidR="00F61789" w:rsidRPr="003C1D92" w:rsidRDefault="00F61789" w:rsidP="00EF0772">
      <w:pPr>
        <w:pStyle w:val="Heading2"/>
        <w:spacing w:line="480" w:lineRule="auto"/>
      </w:pPr>
      <w:bookmarkStart w:id="24" w:name="_Toc229229963"/>
      <w:bookmarkStart w:id="25" w:name="_Hlk214636491"/>
      <w:r w:rsidRPr="003C1D92">
        <w:t>Diffusion MRI analysis: structural connectivity (fractional anisotropy)</w:t>
      </w:r>
      <w:bookmarkEnd w:id="24"/>
      <w:r w:rsidRPr="003C1D92">
        <w:t xml:space="preserve"> </w:t>
      </w:r>
    </w:p>
    <w:p w14:paraId="75DFCD04" w14:textId="78D2F4C3" w:rsidR="0008000E" w:rsidRPr="003C1D92" w:rsidRDefault="00F61789" w:rsidP="00EF0772">
      <w:pPr>
        <w:rPr>
          <w:rFonts w:eastAsia="Times New Roman" w:cs="Times New Roman"/>
          <w:bCs/>
          <w:lang w:eastAsia="en-GB"/>
        </w:rPr>
      </w:pPr>
      <w:bookmarkStart w:id="26" w:name="_Hlk215774321"/>
      <w:r w:rsidRPr="003C1D92">
        <w:rPr>
          <w:bCs/>
          <w:lang w:val="en-GB"/>
        </w:rPr>
        <w:t xml:space="preserve">As mentioned in the main text, fractional anisotropy (FA) values were extracted using the ENIGMA-DTI pipeline (available at https://enigma.ini.usc.edu/protocols/dti-protocols/). </w:t>
      </w:r>
      <w:bookmarkEnd w:id="26"/>
      <w:r w:rsidRPr="003C1D92">
        <w:rPr>
          <w:rFonts w:eastAsia="Times New Roman" w:cs="Times New Roman"/>
          <w:bCs/>
          <w:lang w:eastAsia="en-GB"/>
        </w:rPr>
        <w:t xml:space="preserve">In detail, T1-weighted images first underwent N4 bias-field correction using ANTs, followed by </w:t>
      </w:r>
      <w:r w:rsidRPr="003C1D92">
        <w:rPr>
          <w:rFonts w:eastAsia="Times New Roman" w:cs="Times New Roman"/>
          <w:bCs/>
          <w:lang w:eastAsia="en-GB"/>
        </w:rPr>
        <w:lastRenderedPageBreak/>
        <w:t xml:space="preserve">skull stripping with FreeSurfer to obtain a brain-extracted T1 image. Diffusion-weighted images were then preprocessed using FSL and MRtrix3. A b0 image was extracted and brain extraction was performed using BET to derive a b0-based brain mask, and eddy-current–related distortions and subject motion were corrected with FSL’s </w:t>
      </w:r>
      <w:r w:rsidRPr="003C1D92">
        <w:rPr>
          <w:rFonts w:eastAsia="Times New Roman" w:cs="Times New Roman"/>
          <w:bCs/>
          <w:i/>
          <w:iCs/>
          <w:lang w:eastAsia="en-GB"/>
        </w:rPr>
        <w:t>eddy_openmp</w:t>
      </w:r>
      <w:r w:rsidRPr="003C1D92">
        <w:rPr>
          <w:rFonts w:eastAsia="Times New Roman" w:cs="Times New Roman"/>
          <w:bCs/>
          <w:lang w:eastAsia="en-GB"/>
        </w:rPr>
        <w:t xml:space="preserve">, using subject-specific acqp and index files and the original bvec/bval files, with appropriate rotation of b-vectors. After eddy correction, the masked b0 image was upsampled to 1 mm isotropic resolution and used to estimate linear registration (9 degrees of freedom, FLIRT) to the T1 brain. </w:t>
      </w:r>
    </w:p>
    <w:p w14:paraId="39B4B942" w14:textId="479F7E79" w:rsidR="008F5E56" w:rsidRPr="003C1D92" w:rsidRDefault="00EA6966" w:rsidP="00EF0772">
      <w:pPr>
        <w:rPr>
          <w:rFonts w:eastAsia="Times New Roman" w:cs="Times New Roman"/>
          <w:bCs/>
          <w:lang w:eastAsia="en-GB"/>
        </w:rPr>
      </w:pPr>
      <w:r w:rsidRPr="003C1D92">
        <w:rPr>
          <w:rFonts w:eastAsia="Times New Roman" w:cs="Times New Roman"/>
          <w:bCs/>
          <w:lang w:eastAsia="en-GB"/>
        </w:rPr>
        <w:t xml:space="preserve">To further improve diffusion-to-T1 alignment, we performed nonlinear registration of the diffusion data to the T1 brain using ANTs (SyN) and applied the resulting deformation fields to the entire corrected DWI time series. (antsApplyTransforms). In this distortion-corrected and T1-aligned diffusion space, diffusion tensors were estimated using MRtrix3’s </w:t>
      </w:r>
      <w:r w:rsidRPr="003C1D92">
        <w:rPr>
          <w:rFonts w:ascii="Courier New" w:eastAsia="Times New Roman" w:hAnsi="Courier New" w:cs="Courier New"/>
          <w:bCs/>
          <w:sz w:val="20"/>
          <w:szCs w:val="20"/>
          <w:lang w:eastAsia="en-GB"/>
        </w:rPr>
        <w:t>dwi2tensor</w:t>
      </w:r>
      <w:r w:rsidRPr="003C1D92">
        <w:rPr>
          <w:rFonts w:eastAsia="Times New Roman" w:cs="Times New Roman"/>
          <w:bCs/>
          <w:lang w:eastAsia="en-GB"/>
        </w:rPr>
        <w:t xml:space="preserve">, and FA, mean diffusivity, axial diffusivity, and radial diffusivity maps were computed using </w:t>
      </w:r>
      <w:r w:rsidRPr="003C1D92">
        <w:rPr>
          <w:rFonts w:ascii="Courier New" w:eastAsia="Times New Roman" w:hAnsi="Courier New" w:cs="Courier New"/>
          <w:bCs/>
          <w:sz w:val="20"/>
          <w:szCs w:val="20"/>
          <w:lang w:eastAsia="en-GB"/>
        </w:rPr>
        <w:t>tensor2metric</w:t>
      </w:r>
      <w:r w:rsidRPr="003C1D92">
        <w:rPr>
          <w:rFonts w:eastAsia="Times New Roman" w:cs="Times New Roman"/>
          <w:bCs/>
          <w:lang w:eastAsia="en-GB"/>
        </w:rPr>
        <w:t xml:space="preserve">. Quality control was performed visually at each step (raw DWI, post-eddy correction, registrations, tensor and FA maps). The resulting FA maps were then entered into </w:t>
      </w:r>
      <w:r w:rsidRPr="003C1D92">
        <w:rPr>
          <w:bCs/>
          <w:lang w:val="en-GB"/>
        </w:rPr>
        <w:t>FSL’s tract-based spatial statistics (TBSS</w:t>
      </w:r>
      <w:r w:rsidRPr="003C1D92">
        <w:rPr>
          <w:bCs/>
          <w:i/>
          <w:iCs/>
          <w:lang w:val="en-GB"/>
        </w:rPr>
        <w:fldChar w:fldCharType="begin"/>
      </w:r>
      <w:r w:rsidRPr="003C1D92">
        <w:rPr>
          <w:bCs/>
          <w:lang w:val="en-GB"/>
        </w:rPr>
        <w:instrText xml:space="preserve"> ADDIN ZOTERO_ITEM CSL_CITATION {"citationID":"adg02cliq3","properties":{"formattedCitation":"(74)","plainCitation":"(74)","noteIndex":0},"citationItems":[{"id":19564,"uris":["http://zotero.org/users/8364405/items/JC9MLCCG"],"itemData":{"id":19564,"type":"article-journal","archive_location":"WOS:000238704700009","container-title":"NEUROIMAGE","DOI":"10.1016/j.neuroimage.2006.02.024","ISSN":"1053-8119","issue":"4","page":"1487-1505","title":"Tract-based spatial statistics: Voxelwise analysis of multi-subject diffusion data","volume":"31","author":[{"family":"Smith","given":"SM"},{"family":"Jenkinson","given":"M"},{"family":"Johansen-Berg","given":"H"},{"family":"Rueckert","given":"D"},{"family":"Nichols","given":"TE"},{"family":"Mackay","given":"CE"},{"family":"Watkins","given":"KE"},{"family":"Ciccarelli","given":"O"},{"family":"Cader","given":"MZ"},{"family":"Matthews","given":"PM"},{"family":"Behrens","given":"TEJ"}],"issued":{"date-parts":[["2006",7,15]]}}}],"schema":"https://github.com/citation-style-language/schema/raw/master/csl-citation.json"} </w:instrText>
      </w:r>
      <w:r w:rsidRPr="003C1D92">
        <w:rPr>
          <w:bCs/>
          <w:i/>
          <w:iCs/>
          <w:lang w:val="en-GB"/>
        </w:rPr>
        <w:fldChar w:fldCharType="separate"/>
      </w:r>
      <w:r w:rsidRPr="003C1D92">
        <w:rPr>
          <w:bCs/>
          <w:lang w:val="en-GB"/>
        </w:rPr>
        <w:t>(74)</w:t>
      </w:r>
      <w:r w:rsidRPr="003C1D92">
        <w:rPr>
          <w:bCs/>
          <w:i/>
          <w:iCs/>
          <w:lang w:val="en-GB"/>
        </w:rPr>
        <w:fldChar w:fldCharType="end"/>
      </w:r>
      <w:r w:rsidRPr="003C1D92">
        <w:rPr>
          <w:bCs/>
        </w:rPr>
        <w:t>)</w:t>
      </w:r>
      <w:r w:rsidRPr="003C1D92">
        <w:rPr>
          <w:rFonts w:eastAsia="Times New Roman" w:cs="Times New Roman"/>
          <w:bCs/>
          <w:lang w:eastAsia="en-GB"/>
        </w:rPr>
        <w:t>, which included nonlinear registration to the ENIGMA-DTI FA template, skeletonization, and projection of individual FA maps onto the common white matter skeleton. ROI-wise FA values were extracted from the skeleton using the JHU (Johns Hopkins University) white matter atlas, as adapted in the ENIGMA-DTI protocol, for the major tracts</w:t>
      </w:r>
      <w:r w:rsidR="008F5E56" w:rsidRPr="003C1D92">
        <w:fldChar w:fldCharType="begin"/>
      </w:r>
      <w:r w:rsidR="008F5E56" w:rsidRPr="003C1D92">
        <w:instrText>HYPERLINK "https://www.zotero.org/google-docs/?5iz63Y"</w:instrText>
      </w:r>
      <w:r w:rsidR="008F5E56" w:rsidRPr="003C1D92">
        <w:fldChar w:fldCharType="separate"/>
      </w:r>
      <w:r w:rsidR="008F5E56" w:rsidRPr="003C1D92">
        <w:fldChar w:fldCharType="end"/>
      </w:r>
      <w:r w:rsidRPr="003C1D92">
        <w:rPr>
          <w:bCs/>
        </w:rPr>
        <w:t>:</w:t>
      </w:r>
      <w:r w:rsidRPr="003C1D92">
        <w:rPr>
          <w:rFonts w:eastAsia="Times New Roman"/>
          <w:bCs/>
          <w:lang w:val="en-US"/>
        </w:rPr>
        <w:t xml:space="preserve"> Anterior Corona Radiata (ACR), Anterior Limb of Internal Capsule (ALIC), Body of the Corpus Callosum (BCC), Corpus Callosum (CC), Cingulum bundle (CGC), </w:t>
      </w:r>
      <w:proofErr w:type="spellStart"/>
      <w:r w:rsidRPr="003C1D92">
        <w:rPr>
          <w:rFonts w:eastAsia="Times New Roman"/>
          <w:bCs/>
          <w:lang w:val="en-US"/>
        </w:rPr>
        <w:t>Perihippocampal</w:t>
      </w:r>
      <w:proofErr w:type="spellEnd"/>
      <w:r w:rsidRPr="003C1D92">
        <w:rPr>
          <w:rFonts w:eastAsia="Times New Roman"/>
          <w:bCs/>
          <w:lang w:val="en-US"/>
        </w:rPr>
        <w:t xml:space="preserve"> Cingulum (CGH), Corona Radiata (CR), Corticospinal Tract (CST), External Capsule (EC), Fornix (FX), Fornix Stria Terminalis (FXST), Genu of the Corpus Callosum (GCC), Internal Capsule (IC), Posterior Corona Radiata (PCR), Posterior Limb of the Internal Capsule (PLIC), Posterior Thalamic Radiation (PTR), </w:t>
      </w:r>
      <w:proofErr w:type="spellStart"/>
      <w:r w:rsidRPr="003C1D92">
        <w:rPr>
          <w:rFonts w:eastAsia="Times New Roman"/>
          <w:bCs/>
          <w:lang w:val="en-US"/>
        </w:rPr>
        <w:t>Retrolenticular</w:t>
      </w:r>
      <w:proofErr w:type="spellEnd"/>
      <w:r w:rsidRPr="003C1D92">
        <w:rPr>
          <w:rFonts w:eastAsia="Times New Roman"/>
          <w:bCs/>
          <w:lang w:val="en-US"/>
        </w:rPr>
        <w:t xml:space="preserve"> part of Internal Capsule (RLIC), Splenium of the Corpus Callosum (SCC), Superior Corona Radiata </w:t>
      </w:r>
      <w:r w:rsidRPr="003C1D92">
        <w:rPr>
          <w:rFonts w:eastAsia="Times New Roman"/>
          <w:bCs/>
          <w:lang w:val="en-US"/>
        </w:rPr>
        <w:lastRenderedPageBreak/>
        <w:t xml:space="preserve">(SCR), Superior Fronto-Occipital Fasciculus (SFO), Superior Longitudinal Fasciculus (SLF), Sagittal Stratum (SS, including parts of the inferior </w:t>
      </w:r>
      <w:proofErr w:type="spellStart"/>
      <w:r w:rsidRPr="003C1D92">
        <w:rPr>
          <w:rFonts w:eastAsia="Times New Roman"/>
          <w:bCs/>
          <w:lang w:val="en-US"/>
        </w:rPr>
        <w:t>fronto</w:t>
      </w:r>
      <w:proofErr w:type="spellEnd"/>
      <w:r w:rsidRPr="003C1D92">
        <w:rPr>
          <w:rFonts w:eastAsia="Times New Roman"/>
          <w:bCs/>
          <w:lang w:val="en-US"/>
        </w:rPr>
        <w:t xml:space="preserve">-occipital fasciculus), Tapetum (TP), and Uncinate Fasciculus (UNC). Please see </w:t>
      </w:r>
      <w:r w:rsidRPr="003C1D92">
        <w:rPr>
          <w:rFonts w:eastAsia="Times New Roman"/>
          <w:b/>
          <w:lang w:val="en-US"/>
        </w:rPr>
        <w:t>Supplementary Table 1</w:t>
      </w:r>
      <w:r w:rsidRPr="003C1D92">
        <w:rPr>
          <w:rFonts w:eastAsia="Times New Roman"/>
          <w:bCs/>
          <w:lang w:val="en-US"/>
        </w:rPr>
        <w:t xml:space="preserve"> for the complete list in alphabetical order and to </w:t>
      </w:r>
      <w:r w:rsidRPr="003C1D92">
        <w:rPr>
          <w:rFonts w:eastAsia="Times New Roman"/>
          <w:b/>
          <w:lang w:val="en-US"/>
        </w:rPr>
        <w:t>Supplementary Figure 30</w:t>
      </w:r>
      <w:r w:rsidRPr="003C1D92">
        <w:rPr>
          <w:rFonts w:eastAsia="Times New Roman"/>
          <w:bCs/>
          <w:lang w:val="en-US"/>
        </w:rPr>
        <w:t xml:space="preserve"> for depiction of the main ROIs highlighted in the results. </w:t>
      </w:r>
      <w:r w:rsidRPr="003C1D92">
        <w:rPr>
          <w:rFonts w:eastAsia="Times New Roman" w:cs="Times New Roman"/>
          <w:bCs/>
          <w:lang w:eastAsia="en-GB"/>
        </w:rPr>
        <w:t>For bilateral ROIs, left and right FA values were averaged to yield a single bilateral estimate per tract, in order to reduce dimensionality and increase robustness to noise.</w:t>
      </w:r>
    </w:p>
    <w:bookmarkEnd w:id="25"/>
    <w:p w14:paraId="20B45E7F" w14:textId="77777777" w:rsidR="00F61789" w:rsidRPr="003C1D92" w:rsidRDefault="00F61789" w:rsidP="00EF0772">
      <w:pPr>
        <w:rPr>
          <w:rFonts w:cs="Times New Roman"/>
          <w:lang w:val="en-GB" w:eastAsia="en-GB"/>
        </w:rPr>
      </w:pPr>
    </w:p>
    <w:p w14:paraId="03BB1E4E" w14:textId="5CCF950D" w:rsidR="002D723C" w:rsidRPr="003C1D92" w:rsidRDefault="00163BF7" w:rsidP="00EF0772">
      <w:pPr>
        <w:pStyle w:val="Heading2"/>
        <w:spacing w:line="480" w:lineRule="auto"/>
      </w:pPr>
      <w:bookmarkStart w:id="27" w:name="_Toc229229964"/>
      <w:r w:rsidRPr="003C1D92">
        <w:t>Statistical data preprocessing and general statistical details</w:t>
      </w:r>
      <w:bookmarkEnd w:id="27"/>
      <w:r w:rsidRPr="003C1D92">
        <w:t xml:space="preserve"> </w:t>
      </w:r>
    </w:p>
    <w:p w14:paraId="48710DBE" w14:textId="2AAA4FC3" w:rsidR="009F396F" w:rsidRPr="003C1D92" w:rsidRDefault="009C6D06"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All statistical analyses and data processing were carried out in R version 4.3.3 (2024-02-29) using the following main packages: </w:t>
      </w:r>
      <w:r w:rsidRPr="003C1D92">
        <w:rPr>
          <w:rFonts w:eastAsia="Times New Roman" w:cs="Times New Roman"/>
          <w:i/>
          <w:iCs/>
          <w:lang w:eastAsia="en-GB"/>
        </w:rPr>
        <w:t>readxl</w:t>
      </w:r>
      <w:r w:rsidRPr="003C1D92">
        <w:rPr>
          <w:rFonts w:eastAsia="Times New Roman" w:cs="Times New Roman"/>
          <w:lang w:eastAsia="en-GB"/>
        </w:rPr>
        <w:t xml:space="preserve"> and </w:t>
      </w:r>
      <w:r w:rsidRPr="003C1D92">
        <w:rPr>
          <w:rFonts w:eastAsia="Times New Roman" w:cs="Times New Roman"/>
          <w:i/>
          <w:iCs/>
          <w:lang w:eastAsia="en-GB"/>
        </w:rPr>
        <w:t>openxlsx</w:t>
      </w:r>
      <w:r w:rsidRPr="003C1D92">
        <w:rPr>
          <w:rFonts w:eastAsia="Times New Roman" w:cs="Times New Roman"/>
          <w:lang w:eastAsia="en-GB"/>
        </w:rPr>
        <w:t xml:space="preserve"> for data import/export; </w:t>
      </w:r>
      <w:r w:rsidRPr="003C1D92">
        <w:rPr>
          <w:rFonts w:eastAsia="Times New Roman" w:cs="Times New Roman"/>
          <w:i/>
          <w:iCs/>
          <w:lang w:eastAsia="en-GB"/>
        </w:rPr>
        <w:t>psych</w:t>
      </w:r>
      <w:r w:rsidRPr="003C1D92">
        <w:rPr>
          <w:rFonts w:eastAsia="Times New Roman" w:cs="Times New Roman"/>
          <w:lang w:eastAsia="en-GB"/>
        </w:rPr>
        <w:t xml:space="preserve"> and </w:t>
      </w:r>
      <w:r w:rsidRPr="003C1D92">
        <w:rPr>
          <w:rFonts w:eastAsia="Times New Roman" w:cs="Times New Roman"/>
          <w:i/>
          <w:iCs/>
          <w:lang w:eastAsia="en-GB"/>
        </w:rPr>
        <w:t>paran</w:t>
      </w:r>
      <w:r w:rsidRPr="003C1D92">
        <w:rPr>
          <w:rFonts w:eastAsia="Times New Roman" w:cs="Times New Roman"/>
          <w:lang w:eastAsia="en-GB"/>
        </w:rPr>
        <w:t xml:space="preserve"> for principal‐components and parallel‐analysis; </w:t>
      </w:r>
      <w:r w:rsidRPr="003C1D92">
        <w:rPr>
          <w:rFonts w:eastAsia="Times New Roman" w:cs="Times New Roman"/>
          <w:i/>
          <w:iCs/>
          <w:lang w:eastAsia="en-GB"/>
        </w:rPr>
        <w:t>dplyr</w:t>
      </w:r>
      <w:r w:rsidRPr="003C1D92">
        <w:rPr>
          <w:rFonts w:eastAsia="Times New Roman" w:cs="Times New Roman"/>
          <w:lang w:eastAsia="en-GB"/>
        </w:rPr>
        <w:t xml:space="preserve"> and </w:t>
      </w:r>
      <w:r w:rsidRPr="003C1D92">
        <w:rPr>
          <w:rFonts w:eastAsia="Times New Roman" w:cs="Times New Roman"/>
          <w:i/>
          <w:iCs/>
          <w:lang w:eastAsia="en-GB"/>
        </w:rPr>
        <w:t>tidyr</w:t>
      </w:r>
      <w:r w:rsidRPr="003C1D92">
        <w:rPr>
          <w:rFonts w:eastAsia="Times New Roman" w:cs="Times New Roman"/>
          <w:lang w:eastAsia="en-GB"/>
        </w:rPr>
        <w:t xml:space="preserve"> for data manipulation; </w:t>
      </w:r>
      <w:r w:rsidRPr="003C1D92">
        <w:rPr>
          <w:rFonts w:eastAsia="Times New Roman" w:cs="Times New Roman"/>
          <w:i/>
          <w:iCs/>
          <w:lang w:eastAsia="en-GB"/>
        </w:rPr>
        <w:t>ggplot2</w:t>
      </w:r>
      <w:r w:rsidRPr="003C1D92">
        <w:rPr>
          <w:rFonts w:eastAsia="Times New Roman" w:cs="Times New Roman"/>
          <w:lang w:eastAsia="en-GB"/>
        </w:rPr>
        <w:t xml:space="preserve">, </w:t>
      </w:r>
      <w:r w:rsidRPr="003C1D92">
        <w:rPr>
          <w:rFonts w:eastAsia="Times New Roman" w:cs="Times New Roman"/>
          <w:i/>
          <w:iCs/>
          <w:lang w:eastAsia="en-GB"/>
        </w:rPr>
        <w:t>grid</w:t>
      </w:r>
      <w:r w:rsidRPr="003C1D92">
        <w:rPr>
          <w:rFonts w:eastAsia="Times New Roman" w:cs="Times New Roman"/>
          <w:lang w:eastAsia="en-GB"/>
        </w:rPr>
        <w:t xml:space="preserve">, and </w:t>
      </w:r>
      <w:r w:rsidRPr="003C1D92">
        <w:rPr>
          <w:rFonts w:eastAsia="Times New Roman" w:cs="Times New Roman"/>
          <w:i/>
          <w:iCs/>
          <w:lang w:eastAsia="en-GB"/>
        </w:rPr>
        <w:t>ggpubr</w:t>
      </w:r>
      <w:r w:rsidRPr="003C1D92">
        <w:rPr>
          <w:rFonts w:eastAsia="Times New Roman" w:cs="Times New Roman"/>
          <w:lang w:eastAsia="en-GB"/>
        </w:rPr>
        <w:t xml:space="preserve"> for plotting; </w:t>
      </w:r>
      <w:r w:rsidRPr="003C1D92">
        <w:rPr>
          <w:rFonts w:eastAsia="Times New Roman" w:cs="Times New Roman"/>
          <w:i/>
          <w:iCs/>
          <w:lang w:eastAsia="en-GB"/>
        </w:rPr>
        <w:t>multcomp</w:t>
      </w:r>
      <w:r w:rsidRPr="003C1D92">
        <w:rPr>
          <w:rFonts w:eastAsia="Times New Roman" w:cs="Times New Roman"/>
          <w:lang w:eastAsia="en-GB"/>
        </w:rPr>
        <w:t xml:space="preserve"> for post‐hoc Tukey tests; </w:t>
      </w:r>
      <w:r w:rsidRPr="003C1D92">
        <w:rPr>
          <w:rFonts w:eastAsia="Times New Roman" w:cs="Times New Roman"/>
          <w:i/>
          <w:iCs/>
          <w:lang w:eastAsia="en-GB"/>
        </w:rPr>
        <w:t>caret</w:t>
      </w:r>
      <w:r w:rsidRPr="003C1D92">
        <w:rPr>
          <w:rFonts w:eastAsia="Times New Roman" w:cs="Times New Roman"/>
          <w:lang w:eastAsia="en-GB"/>
        </w:rPr>
        <w:t xml:space="preserve"> for model training and resampling; </w:t>
      </w:r>
      <w:r w:rsidRPr="003C1D92">
        <w:rPr>
          <w:rFonts w:eastAsia="Times New Roman" w:cs="Times New Roman"/>
          <w:i/>
          <w:iCs/>
          <w:lang w:eastAsia="en-GB"/>
        </w:rPr>
        <w:t>randomForest</w:t>
      </w:r>
      <w:r w:rsidRPr="003C1D92">
        <w:rPr>
          <w:rFonts w:eastAsia="Times New Roman" w:cs="Times New Roman"/>
          <w:lang w:eastAsia="en-GB"/>
        </w:rPr>
        <w:t xml:space="preserve"> for classification and regression; and </w:t>
      </w:r>
      <w:r w:rsidRPr="003C1D92">
        <w:rPr>
          <w:rFonts w:eastAsia="Times New Roman" w:cs="Times New Roman"/>
          <w:i/>
          <w:iCs/>
          <w:lang w:eastAsia="en-GB"/>
        </w:rPr>
        <w:t>stringr</w:t>
      </w:r>
      <w:r w:rsidRPr="003C1D92">
        <w:rPr>
          <w:rFonts w:eastAsia="Times New Roman" w:cs="Times New Roman"/>
          <w:lang w:eastAsia="en-GB"/>
        </w:rPr>
        <w:t xml:space="preserve"> for string formatting. All features were Z-scored before PCA and random forest (RF) analyses. To address missing data, we applied group-average imputation within each diagnostic group in R. This method preserves group-level variance and is generally recommended when group membership is expected to be a meaningful predictor of variable distributions and there is </w:t>
      </w:r>
      <w:r w:rsidRPr="003C1D92">
        <w:rPr>
          <w:rFonts w:cs="Times New Roman"/>
        </w:rPr>
        <w:t>up to about 20% missing data</w:t>
      </w:r>
      <w:r w:rsidRPr="003C1D92">
        <w:rPr>
          <w:rFonts w:eastAsia="Times New Roman" w:cs="Times New Roman"/>
          <w:lang w:eastAsia="en-GB"/>
        </w:rPr>
        <w:fldChar w:fldCharType="begin"/>
      </w:r>
      <w:r w:rsidRPr="003C1D92">
        <w:rPr>
          <w:rFonts w:eastAsia="Times New Roman" w:cs="Times New Roman"/>
          <w:lang w:eastAsia="en-GB"/>
        </w:rPr>
        <w:instrText xml:space="preserve"> ADDIN ZOTERO_ITEM CSL_CITATION {"citationID":"rByR6CM9","properties":{"formattedCitation":"(75)","plainCitation":"(75)","noteIndex":0},"citationItems":[{"id":28746,"uris":["http://zotero.org/users/8364405/items/VAYV8UBR"],"itemData":{"id":28746,"type":"book","abstract":"Missing data pose challenges to real-life data analysis. Simple ad-hoc fixes, like deletion or mean imputation, only work under highly restrictive conditions, which are often not met in practice. Multiple imputation replaces each missing value by multiple plausible values. The variability between these replacements reflects our ignorance of the true (but missing) value. Each of the completed data set is then analyzed by standard methods, and the results are pooled to obtain unbiased estimates with correct confidence intervals. Multiple imputation is a general approach that also inspires novel solutions to old problems by reformulating the task at hand as a missing-data problem.\n\nThis is the second edition of a popular book on multiple imputation, focused on explaining the application of methods through detailed worked examples using the MICE package as developed by the author. This new edition incorporates the recent developments in this fast-moving field.\nThis class-tested book avoids mathematical and technical details as much as possible: formulas are accompanied by verbal statements that explain the formula in accessible terms. The book sharpens the reader’s intuition on how to think about missing data, and provides all the tools needed to execute a well-grounded quantitative analysis in the presence of missing data.","edition":"2","event-place":"New York","ISBN":"978-0-429-49225-9","note":"DOI: 10.1201/9780429492259","number-of-pages":"444","publisher":"Chapman and Hall/CRC","publisher-place":"New York","title":"Flexible Imputation of Missing Data, Second Edition","author":[{"family":"Buuren","given":"Stef","dropping-particle":"van"}],"issued":{"date-parts":[["2018",7,17]]}}}],"schema":"https://github.com/citation-style-language/schema/raw/master/csl-citation.json"} </w:instrText>
      </w:r>
      <w:r w:rsidRPr="003C1D92">
        <w:rPr>
          <w:rFonts w:eastAsia="Times New Roman" w:cs="Times New Roman"/>
          <w:lang w:eastAsia="en-GB"/>
        </w:rPr>
        <w:fldChar w:fldCharType="separate"/>
      </w:r>
      <w:r w:rsidRPr="003C1D92">
        <w:rPr>
          <w:rFonts w:eastAsia="Times New Roman" w:cs="Times New Roman"/>
          <w:noProof/>
          <w:lang w:eastAsia="en-GB"/>
        </w:rPr>
        <w:t>(75)</w:t>
      </w:r>
      <w:r w:rsidRPr="003C1D92">
        <w:rPr>
          <w:rFonts w:eastAsia="Times New Roman" w:cs="Times New Roman"/>
          <w:lang w:eastAsia="en-GB"/>
        </w:rPr>
        <w:fldChar w:fldCharType="end"/>
      </w:r>
      <w:r w:rsidRPr="003C1D92">
        <w:rPr>
          <w:rFonts w:cs="Times New Roman"/>
        </w:rPr>
        <w:t xml:space="preserve">, </w:t>
      </w:r>
      <w:r w:rsidRPr="003C1D92">
        <w:rPr>
          <w:rFonts w:eastAsia="Times New Roman" w:cs="Times New Roman"/>
          <w:lang w:eastAsia="en-GB"/>
        </w:rPr>
        <w:t xml:space="preserve">as is the case in this study where missingness was low, similarly distributed among groups, less than 12% in clinical and biological variables, 15% in dFC variables, and 18% in FA variables. We employed Spearman correlations for all correlations between variables which showed a significant departure from normality based on the Shapiro-Wilk test and visual inspection of QQ-plots, and Pearson correlations in other cases. </w:t>
      </w:r>
    </w:p>
    <w:p w14:paraId="29303F98" w14:textId="3300114D" w:rsidR="00C606BB" w:rsidRPr="003C1D92" w:rsidRDefault="00724944"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We investigated groups differences with </w:t>
      </w:r>
      <w:r w:rsidRPr="003C1D92">
        <w:rPr>
          <w:rFonts w:eastAsia="Times New Roman" w:cs="Times New Roman"/>
          <w:lang w:val="en-US" w:eastAsia="en-GB"/>
        </w:rPr>
        <w:t xml:space="preserve">one-way </w:t>
      </w:r>
      <w:r w:rsidRPr="003C1D92">
        <w:rPr>
          <w:rFonts w:eastAsia="Times New Roman" w:cs="Times New Roman"/>
          <w:lang w:eastAsia="en-GB"/>
        </w:rPr>
        <w:t>ANOVAs and post-hoc Tukey test adjustment or chi-square tests where appropriate.</w:t>
      </w:r>
    </w:p>
    <w:p w14:paraId="479C39C2" w14:textId="095636CD" w:rsidR="00D82398" w:rsidRPr="003C1D92" w:rsidRDefault="00031C28"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lastRenderedPageBreak/>
        <w:t>In particular, we also investigated subgroup differences further across the eight multimodal retained components (RC1–RC8) using one-way analyses of variance (ANOVAs), with diagnostic group (CTRL, BD, BDoff, BPD, BPDoff, ADHD, ADHDoff) as the between-subjects factor. Homogeneity of variance was assessed with Levene's test prior to each ANOVA. For each component yielding a significant omnibus effect, pairwise post-hoc comparisons were conducted using Tukey's honestly significant difference (HSD) procedure to control the family-wise error rate. Unadjusted pairwise p-values were additionally corrected using the Benjamini-Hochberg false discovery rate (FDR) procedure. These analyses were performed in R using the `emmeans` and `rstatix` packages. The significance threshold was set at p &lt; .05.</w:t>
      </w:r>
    </w:p>
    <w:p w14:paraId="57528052" w14:textId="3E2D0A7C" w:rsidR="00E95785" w:rsidRPr="003C1D92" w:rsidRDefault="00E95785" w:rsidP="00EF0772">
      <w:pPr>
        <w:rPr>
          <w:rFonts w:cs="Times New Roman"/>
          <w:lang w:val="en-GB" w:eastAsia="en-GB"/>
        </w:rPr>
      </w:pPr>
      <w:r w:rsidRPr="003C1D92">
        <w:rPr>
          <w:rFonts w:cs="Times New Roman"/>
          <w:lang w:val="en-GB" w:eastAsia="en-GB"/>
        </w:rPr>
        <w:t xml:space="preserve">RFs were used for prediction in two steps, first for categorical group prediction (classifier) and second for continuous clinical symptoms prediction (regression). We chose RF as our primary machine learner for several reasons, namely </w:t>
      </w:r>
      <w:r w:rsidRPr="003C1D92">
        <w:rPr>
          <w:rFonts w:cs="Times New Roman"/>
          <w:b/>
          <w:lang w:val="en-GB" w:eastAsia="en-GB"/>
        </w:rPr>
        <w:t>(a)</w:t>
      </w:r>
      <w:r w:rsidRPr="003C1D92">
        <w:rPr>
          <w:rFonts w:cs="Times New Roman"/>
          <w:lang w:val="en-GB" w:eastAsia="en-GB"/>
        </w:rPr>
        <w:t xml:space="preserve"> that it is flexible in adapting to nonlinear patterns, </w:t>
      </w:r>
      <w:r w:rsidRPr="003C1D92">
        <w:rPr>
          <w:rFonts w:cs="Times New Roman"/>
          <w:b/>
          <w:lang w:val="en-GB" w:eastAsia="en-GB"/>
        </w:rPr>
        <w:t>(b)</w:t>
      </w:r>
      <w:r w:rsidRPr="003C1D92">
        <w:rPr>
          <w:rFonts w:cs="Times New Roman"/>
          <w:lang w:val="en-GB" w:eastAsia="en-GB"/>
        </w:rPr>
        <w:t xml:space="preserve"> that it is well-suited to high-dimensional predictor sets, using a stepwise algorithm that targets only the most predictive variables, </w:t>
      </w:r>
      <w:r w:rsidRPr="003C1D92">
        <w:rPr>
          <w:rFonts w:cs="Times New Roman"/>
          <w:b/>
          <w:lang w:val="en-GB" w:eastAsia="en-GB"/>
        </w:rPr>
        <w:t>(c)</w:t>
      </w:r>
      <w:r w:rsidRPr="003C1D92">
        <w:rPr>
          <w:rFonts w:cs="Times New Roman"/>
          <w:lang w:val="en-GB" w:eastAsia="en-GB"/>
        </w:rPr>
        <w:t xml:space="preserve"> that it is relatively resistant to overfitting, due to its out-of-bag (OOB) optimization, and </w:t>
      </w:r>
      <w:r w:rsidRPr="003C1D92">
        <w:rPr>
          <w:rFonts w:cs="Times New Roman"/>
          <w:b/>
          <w:lang w:val="en-GB" w:eastAsia="en-GB"/>
        </w:rPr>
        <w:t>(d)</w:t>
      </w:r>
      <w:r w:rsidRPr="003C1D92">
        <w:rPr>
          <w:rFonts w:cs="Times New Roman"/>
          <w:lang w:val="en-GB" w:eastAsia="en-GB"/>
        </w:rPr>
        <w:t xml:space="preserve"> that it requires relatively little tuning in its control parameters </w:t>
      </w:r>
      <w:r w:rsidRPr="003C1D92">
        <w:rPr>
          <w:rFonts w:cs="Times New Roman"/>
          <w:lang w:val="en-GB" w:eastAsia="en-GB"/>
        </w:rPr>
        <w:fldChar w:fldCharType="begin"/>
      </w:r>
      <w:r w:rsidRPr="003C1D92">
        <w:rPr>
          <w:rFonts w:cs="Times New Roman"/>
          <w:lang w:val="en-GB" w:eastAsia="en-GB"/>
        </w:rPr>
        <w:instrText xml:space="preserve"> ADDIN ZOTERO_ITEM CSL_CITATION {"citationID":"GUC80BZB","properties":{"formattedCitation":"(76)","plainCitation":"(76)","noteIndex":0},"citationItems":[{"id":28701,"uris":["http://zotero.org/users/8364405/items/XKWXQW6J"],"itemData":{"id":28701,"type":"chapter","container-title":"The Elements of Statistical Learning: Data Mining, Inference, and Prediction","event-place":"New York, NY","ISBN":"978-0-387-84858-7","language":"en","note":"DOI: 10.1007/978-0-387-84858-7_15","page":"587-604","publisher":"Springer","publisher-place":"New York, NY","source":"Springer Link","title":"Random Forests","URL":"https://doi.org/10.1007/978-0-387-84858-7_15","author":[{"family":"Hastie","given":"Trevor"},{"family":"Tibshirani","given":"Robert"},{"family":"Friedman","given":"Jerome"}],"editor":[{"family":"Hastie","given":"Trevor"},{"family":"Tibshirani","given":"Robert"},{"family":"Friedman","given":"Jerome"}],"accessed":{"date-parts":[["2025",6,28]]},"issued":{"date-parts":[["2009"]]}}}],"schema":"https://github.com/citation-style-language/schema/raw/master/csl-citation.json"} </w:instrText>
      </w:r>
      <w:r w:rsidRPr="003C1D92">
        <w:rPr>
          <w:rFonts w:cs="Times New Roman"/>
          <w:lang w:val="en-GB" w:eastAsia="en-GB"/>
        </w:rPr>
        <w:fldChar w:fldCharType="separate"/>
      </w:r>
      <w:r w:rsidRPr="003C1D92">
        <w:rPr>
          <w:rFonts w:cs="Times New Roman"/>
          <w:noProof/>
          <w:lang w:val="en-GB" w:eastAsia="en-GB"/>
        </w:rPr>
        <w:t>(76)</w:t>
      </w:r>
      <w:r w:rsidRPr="003C1D92">
        <w:rPr>
          <w:rFonts w:cs="Times New Roman"/>
          <w:lang w:val="en-GB" w:eastAsia="en-GB"/>
        </w:rPr>
        <w:fldChar w:fldCharType="end"/>
      </w:r>
      <w:r w:rsidRPr="003C1D92">
        <w:rPr>
          <w:rFonts w:cs="Times New Roman"/>
          <w:lang w:val="en-GB" w:eastAsia="en-GB"/>
        </w:rPr>
        <w:t>.</w:t>
      </w:r>
    </w:p>
    <w:p w14:paraId="537B9E62" w14:textId="5568A18A" w:rsidR="00FC46D9" w:rsidRPr="003C1D92" w:rsidRDefault="00FC46D9" w:rsidP="00EF0772">
      <w:pPr>
        <w:rPr>
          <w:rFonts w:cs="Times New Roman"/>
          <w:lang w:val="en-GB" w:eastAsia="en-GB"/>
        </w:rPr>
      </w:pPr>
      <w:bookmarkStart w:id="28" w:name="_Hlk216777939"/>
      <w:r w:rsidRPr="003C1D92">
        <w:rPr>
          <w:rFonts w:cs="Times New Roman"/>
          <w:lang w:val="en-GB" w:eastAsia="en-GB"/>
        </w:rPr>
        <w:t xml:space="preserve">In both RF models, described in further detail below, the full dataset was randomly partitioned into a training set (70%) and a held-out test set (30%), using stratified sampling on the group factor to preserve class proportions. No observations from the test set were used at any point during model fitting, hyperparameter choice, or out-of-bag (OOB) error estimation. Within the training set, RF employed the standard bootstrap-based OOB procedure: each tree was trained on a bootstrap resample of the training data, and OOB predictions for each observation were obtained by aggregating only those trees that had not seen that observation in their bootstrap sample. This OOB estimate provided an internal cross-validated assessment of training error </w:t>
      </w:r>
      <w:r w:rsidRPr="003C1D92">
        <w:rPr>
          <w:rFonts w:cs="Times New Roman"/>
          <w:lang w:val="en-GB" w:eastAsia="en-GB"/>
        </w:rPr>
        <w:lastRenderedPageBreak/>
        <w:t>and guided the choice of a sufficiently large number of trees (</w:t>
      </w:r>
      <w:proofErr w:type="spellStart"/>
      <w:r w:rsidRPr="003C1D92">
        <w:rPr>
          <w:rFonts w:cs="Times New Roman"/>
          <w:lang w:val="en-GB" w:eastAsia="en-GB"/>
        </w:rPr>
        <w:t>ntree</w:t>
      </w:r>
      <w:proofErr w:type="spellEnd"/>
      <w:r w:rsidRPr="003C1D92">
        <w:rPr>
          <w:rFonts w:cs="Times New Roman"/>
          <w:lang w:val="en-GB" w:eastAsia="en-GB"/>
        </w:rPr>
        <w:t>, increased until the OOB error curve plateaued, in agreement with existing literature</w:t>
      </w:r>
      <w:r w:rsidRPr="003C1D92">
        <w:fldChar w:fldCharType="begin"/>
      </w:r>
      <w:r w:rsidRPr="003C1D92">
        <w:instrText xml:space="preserve"> ADDIN ZOTERO_ITEM CSL_CITATION {"citationID":"PFt4Rj9j","properties":{"formattedCitation":"(76\\uc0\\u8211{}79)","plainCitation":"(76–79)","noteIndex":0},"citationItems":[{"id":36402,"uris":["http://zotero.org/users/8364405/items/XNUPWMZJ"],"itemData":{"id":36402,"type":"article-journal","abstract":"Selection of relevant genes for sample classification is a common task in most gene expression studies, where researchers try to identify the smallest possible set of genes that can still achieve good predictive performance (for instance, for future use with diagnostic purposes in clinical practice). Many gene selection approaches use univariate (gene-by-gene) rankings of gene relevance and arbitrary thresholds to select the number of genes, can only be applied to two-class problems, and use gene selection ranking criteria unrelated to the classification algorithm. In contrast, random forest is a classification algorithm well suited for microarray data: it shows excellent performance even when most predictive variables are noise, can be used when the number of variables is much larger than the number of observations and in problems involving more than two classes, and returns measures of variable importance. Thus, it is important to understand the performance of random forest with microarray data and its possible use for gene selection.","container-title":"BMC Bioinformatics","DOI":"10.1186/1471-2105-7-3","ISSN":"1471-2105","issue":"1","journalAbbreviation":"BMC Bioinformatics","language":"en","page":"3","source":"Springer Link","title":"Gene selection and classification of microarray data using random forest","volume":"7","author":[{"family":"Díaz-Uriarte","given":"Ramón"},{"family":"Alvarez de Andrés","given":"Sara"}],"issued":{"date-parts":[["2006",1,6]]}}},{"id":36397,"uris":["http://zotero.org/users/8364405/items/FFH6XMUB"],"itemData":{"id":36397,"type":"article-journal","abstract":"Random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regression.","container-title":"Machine Learning","DOI":"10.1023/A:1010933404324","ISSN":"1573-0565","issue":"1","journalAbbreviation":"Machine Learning","language":"en","page":"5-32","source":"Springer Link","title":"Random Forests","volume":"45","author":[{"family":"Breiman","given":"Leo"}],"issued":{"date-parts":[["2001",10,1]]}}},{"id":28701,"uris":["http://zotero.org/users/8364405/items/XKWXQW6J"],"itemData":{"id":28701,"type":"chapter","container-title":"The Elements of Statistical Learning: Data Mining, Inference, and Prediction","event-place":"New York, NY","ISBN":"978-0-387-84858-7","language":"en","note":"DOI: 10.1007/978-0-387-84858-7_15","page":"587-604","publisher":"Springer","publisher-place":"New York, NY","source":"Springer Link","title":"Random Forests","URL":"https://doi.org/10.1007/978-0-387-84858-7_15","author":[{"family":"Hastie","given":"Trevor"},{"family":"Tibshirani","given":"Robert"},{"family":"Friedman","given":"Jerome"}],"editor":[{"family":"Hastie","given":"Trevor"},{"family":"Tibshirani","given":"Robert"},{"family":"Friedman","given":"Jerome"}],"accessed":{"date-parts":[["2025",6,28]]},"issued":{"date-parts":[["2009"]]}}},{"id":36404,"uris":["http://zotero.org/users/8364405/items/LFETLLPB"],"itemData":{"id":36404,"type":"article-journal","abstract":"Random forests are a scheme proposed by Leo Breiman in the 2000's for building a predictor ensemble with a set of decision trees that grow in randomly selected subspaces of data. Despite growing interest and practical use, there has been little exploration of the statistical properties of random forests, and little is known about the mathematical forces driving the algorithm. In this paper, we offer an in-depth analysis of a random forests model suggested by Breiman in \\cite{Bre04}, which is very close to the original algorithm. We show in particular that the procedure is consistent and adapts to sparsity, in the sense that its rate of convergence depends only on the number of strong features and not on how many noise variables are present.","container-title":"Journal of Machine Learning Research","journalAbbreviation":"Journal of Machine Learning Research","source":"ResearchGate","title":"Analysis of a Random Forests Model","volume":"13","author":[{"family":"Biau","given":"Gérard"}],"issued":{"date-parts":[["2010",5,3]]}}}],"schema":"https://github.com/citation-style-language/schema/raw/master/csl-citation.json"} </w:instrText>
      </w:r>
      <w:r w:rsidRPr="003C1D92">
        <w:fldChar w:fldCharType="separate"/>
      </w:r>
      <w:r w:rsidRPr="003C1D92">
        <w:rPr>
          <w:rFonts w:cs="Times New Roman"/>
          <w:lang w:val="en-GB"/>
        </w:rPr>
        <w:t>(76–79)</w:t>
      </w:r>
      <w:r w:rsidRPr="003C1D92">
        <w:fldChar w:fldCharType="end"/>
      </w:r>
      <w:r w:rsidRPr="003C1D92">
        <w:rPr>
          <w:rFonts w:cs="Times New Roman"/>
          <w:lang w:val="en-GB" w:eastAsia="en-GB"/>
        </w:rPr>
        <w:t>), but it was never used for formal model selection or tuning. To limit overfitting and because our primary aim was exploratory pattern discovery and variable importance mapping, we did not perform other cross-validation for hyperparameter optimization. Instead, we followed standard recommendations and existing literature</w:t>
      </w:r>
      <w:r w:rsidRPr="003C1D92">
        <w:fldChar w:fldCharType="begin"/>
      </w:r>
      <w:r w:rsidRPr="003C1D92">
        <w:instrText xml:space="preserve"> ADDIN ZOTERO_ITEM CSL_CITATION {"citationID":"Ve7YhYxu","properties":{"formattedCitation":"(76\\uc0\\u8211{}79)","plainCitation":"(76–79)","noteIndex":0},"citationItems":[{"id":36402,"uris":["http://zotero.org/users/8364405/items/XNUPWMZJ"],"itemData":{"id":36402,"type":"article-journal","abstract":"Selection of relevant genes for sample classification is a common task in most gene expression studies, where researchers try to identify the smallest possible set of genes that can still achieve good predictive performance (for instance, for future use with diagnostic purposes in clinical practice). Many gene selection approaches use univariate (gene-by-gene) rankings of gene relevance and arbitrary thresholds to select the number of genes, can only be applied to two-class problems, and use gene selection ranking criteria unrelated to the classification algorithm. In contrast, random forest is a classification algorithm well suited for microarray data: it shows excellent performance even when most predictive variables are noise, can be used when the number of variables is much larger than the number of observations and in problems involving more than two classes, and returns measures of variable importance. Thus, it is important to understand the performance of random forest with microarray data and its possible use for gene selection.","container-title":"BMC Bioinformatics","DOI":"10.1186/1471-2105-7-3","ISSN":"1471-2105","issue":"1","journalAbbreviation":"BMC Bioinformatics","language":"en","page":"3","source":"Springer Link","title":"Gene selection and classification of microarray data using random forest","volume":"7","author":[{"family":"Díaz-Uriarte","given":"Ramón"},{"family":"Alvarez de Andrés","given":"Sara"}],"issued":{"date-parts":[["2006",1,6]]}}},{"id":36397,"uris":["http://zotero.org/users/8364405/items/FFH6XMUB"],"itemData":{"id":36397,"type":"article-journal","abstract":"Random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regression.","container-title":"Machine Learning","DOI":"10.1023/A:1010933404324","ISSN":"1573-0565","issue":"1","journalAbbreviation":"Machine Learning","language":"en","page":"5-32","source":"Springer Link","title":"Random Forests","volume":"45","author":[{"family":"Breiman","given":"Leo"}],"issued":{"date-parts":[["2001",10,1]]}}},{"id":28701,"uris":["http://zotero.org/users/8364405/items/XKWXQW6J"],"itemData":{"id":28701,"type":"chapter","container-title":"The Elements of Statistical Learning: Data Mining, Inference, and Prediction","event-place":"New York, NY","ISBN":"978-0-387-84858-7","language":"en","note":"DOI: 10.1007/978-0-387-84858-7_15","page":"587-604","publisher":"Springer","publisher-place":"New York, NY","source":"Springer Link","title":"Random Forests","URL":"https://doi.org/10.1007/978-0-387-84858-7_15","author":[{"family":"Hastie","given":"Trevor"},{"family":"Tibshirani","given":"Robert"},{"family":"Friedman","given":"Jerome"}],"editor":[{"family":"Hastie","given":"Trevor"},{"family":"Tibshirani","given":"Robert"},{"family":"Friedman","given":"Jerome"}],"accessed":{"date-parts":[["2025",6,28]]},"issued":{"date-parts":[["2009"]]}}},{"id":36404,"uris":["http://zotero.org/users/8364405/items/LFETLLPB"],"itemData":{"id":36404,"type":"article-journal","abstract":"Random forests are a scheme proposed by Leo Breiman in the 2000's for building a predictor ensemble with a set of decision trees that grow in randomly selected subspaces of data. Despite growing interest and practical use, there has been little exploration of the statistical properties of random forests, and little is known about the mathematical forces driving the algorithm. In this paper, we offer an in-depth analysis of a random forests model suggested by Breiman in \\cite{Bre04}, which is very close to the original algorithm. We show in particular that the procedure is consistent and adapts to sparsity, in the sense that its rate of convergence depends only on the number of strong features and not on how many noise variables are present.","container-title":"Journal of Machine Learning Research","journalAbbreviation":"Journal of Machine Learning Research","source":"ResearchGate","title":"Analysis of a Random Forests Model","volume":"13","author":[{"family":"Biau","given":"Gérard"}],"issued":{"date-parts":[["2010",5,3]]}}}],"schema":"https://github.com/citation-style-language/schema/raw/master/csl-citation.json"} </w:instrText>
      </w:r>
      <w:r w:rsidRPr="003C1D92">
        <w:fldChar w:fldCharType="separate"/>
      </w:r>
      <w:r w:rsidRPr="003C1D92">
        <w:rPr>
          <w:rFonts w:cs="Times New Roman"/>
          <w:lang w:val="en-GB"/>
        </w:rPr>
        <w:t>(76–79)</w:t>
      </w:r>
      <w:r w:rsidRPr="003C1D92">
        <w:fldChar w:fldCharType="end"/>
      </w:r>
      <w:r w:rsidRPr="003C1D92">
        <w:rPr>
          <w:rFonts w:cs="Times New Roman"/>
          <w:lang w:val="en-GB" w:eastAsia="en-GB"/>
        </w:rPr>
        <w:t xml:space="preserve"> and set the number of candidate predictors considered at each split to the rule-of-thumb value </w:t>
      </w:r>
      <w:proofErr w:type="spellStart"/>
      <w:r w:rsidRPr="003C1D92">
        <w:rPr>
          <w:rFonts w:cs="Times New Roman"/>
          <w:lang w:val="en-GB" w:eastAsia="en-GB"/>
        </w:rPr>
        <w:t>mtry</w:t>
      </w:r>
      <w:proofErr w:type="spellEnd"/>
      <w:r w:rsidRPr="003C1D92">
        <w:rPr>
          <w:rFonts w:cs="Times New Roman"/>
          <w:lang w:val="en-GB" w:eastAsia="en-GB"/>
        </w:rPr>
        <w:t xml:space="preserve"> = √p (where p is the number of predictors), which corresponds to the default for classification in the original </w:t>
      </w:r>
      <w:proofErr w:type="spellStart"/>
      <w:r w:rsidRPr="003C1D92">
        <w:rPr>
          <w:rFonts w:cs="Times New Roman"/>
          <w:lang w:val="en-GB" w:eastAsia="en-GB"/>
        </w:rPr>
        <w:t>randomForest</w:t>
      </w:r>
      <w:proofErr w:type="spellEnd"/>
      <w:r w:rsidRPr="003C1D92">
        <w:rPr>
          <w:rFonts w:cs="Times New Roman"/>
          <w:lang w:val="en-GB" w:eastAsia="en-GB"/>
        </w:rPr>
        <w:t xml:space="preserve"> implementation and has been widely used in biomedical RF applications</w:t>
      </w:r>
      <w:r w:rsidRPr="003C1D92">
        <w:fldChar w:fldCharType="begin"/>
      </w:r>
      <w:r w:rsidRPr="003C1D92">
        <w:instrText xml:space="preserve"> ADDIN ZOTERO_ITEM CSL_CITATION {"citationID":"yS8qBn3m","properties":{"formattedCitation":"(80)","plainCitation":"(80)","noteIndex":0},"citationItems":[{"id":36399,"uris":["http://zotero.org/users/8364405/items/QY6W9MKK"],"itemData":{"id":36399,"type":"webpage","title":"Liaw, A. and Wiener, M. (2002) Classification and Regression by Randomforest. R News, 2, 18-22. - References - Scientific Research Publishing","URL":"https://www.scirp.org/reference/referencespapers?referenceid=2107686","accessed":{"date-parts":[["2025",12,16]]}}}],"schema":"https://github.com/citation-style-language/schema/raw/master/csl-citation.json"} </w:instrText>
      </w:r>
      <w:r w:rsidRPr="003C1D92">
        <w:fldChar w:fldCharType="separate"/>
      </w:r>
      <w:r w:rsidRPr="003C1D92">
        <w:rPr>
          <w:rFonts w:cs="Times New Roman"/>
          <w:lang w:val="en-GB"/>
        </w:rPr>
        <w:t>(80)</w:t>
      </w:r>
      <w:r w:rsidRPr="003C1D92">
        <w:fldChar w:fldCharType="end"/>
      </w:r>
      <w:r w:rsidRPr="003C1D92">
        <w:rPr>
          <w:rFonts w:cs="Times New Roman"/>
          <w:lang w:val="en-GB" w:eastAsia="en-GB"/>
        </w:rPr>
        <w:t>. All available predictors (excluding identifiers such as ID and group labels) were entered into the RF models; we did not apply any external supervised feature selection prior to model fitting. Thus, feature selection was implicit and embedded in the RF algorithm through random sub-sampling of predictors at each split, and variable importance indices (e.g. %</w:t>
      </w:r>
      <w:proofErr w:type="spellStart"/>
      <w:r w:rsidRPr="003C1D92">
        <w:rPr>
          <w:rFonts w:cs="Times New Roman"/>
          <w:lang w:val="en-GB" w:eastAsia="en-GB"/>
        </w:rPr>
        <w:t>IncMSE</w:t>
      </w:r>
      <w:proofErr w:type="spellEnd"/>
      <w:r w:rsidRPr="003C1D92">
        <w:rPr>
          <w:rFonts w:cs="Times New Roman"/>
          <w:lang w:val="en-GB" w:eastAsia="en-GB"/>
        </w:rPr>
        <w:t xml:space="preserve">) were computed post hoc to interpret which clinical, imaging, or immune variables contributed most to the predictions, without feeding back into model construction. Model performance was evaluated only on the held-out test set, using overall accuracy, 95% confidence intervals for accuracy, sensitivity, specificity, balanced accuracy, Cohen’s κ, and the area under the ROC curve (AUC) for the classifier, and standard regression metrics (RMSE, R²) for the regression models. To formally test whether the classifier performed better than chance, we used the no-information-rate test provided by </w:t>
      </w:r>
      <w:proofErr w:type="gramStart"/>
      <w:r w:rsidRPr="003C1D92">
        <w:rPr>
          <w:rFonts w:cs="Times New Roman"/>
          <w:lang w:val="en-GB" w:eastAsia="en-GB"/>
        </w:rPr>
        <w:t>caret::</w:t>
      </w:r>
      <w:proofErr w:type="spellStart"/>
      <w:proofErr w:type="gramEnd"/>
      <w:r w:rsidRPr="003C1D92">
        <w:rPr>
          <w:rFonts w:cs="Times New Roman"/>
          <w:lang w:val="en-GB" w:eastAsia="en-GB"/>
        </w:rPr>
        <w:t>confusionMatrix</w:t>
      </w:r>
      <w:proofErr w:type="spellEnd"/>
      <w:r w:rsidRPr="003C1D92">
        <w:rPr>
          <w:rFonts w:cs="Times New Roman"/>
          <w:lang w:val="en-GB" w:eastAsia="en-GB"/>
        </w:rPr>
        <w:t>, which assesses whether the observed accuracy is significantly higher than the accuracy expected from always predicting the majority class. Given this design and the absence of external validation, the RF results should be interpreted as exploratory and hypothesis-generating, providing convergent information on potentially relevant multimodal markers of EDD vulnerability rather than as fully optimized predictive tools.</w:t>
      </w:r>
    </w:p>
    <w:bookmarkEnd w:id="28"/>
    <w:p w14:paraId="64A34D4B" w14:textId="77777777" w:rsidR="00327C14" w:rsidRPr="003C1D92" w:rsidRDefault="00327C14" w:rsidP="00EF0772">
      <w:pPr>
        <w:rPr>
          <w:rFonts w:cs="Times New Roman"/>
          <w:lang w:val="en-GB" w:eastAsia="en-GB"/>
        </w:rPr>
      </w:pPr>
    </w:p>
    <w:p w14:paraId="0EE248F8" w14:textId="51D8CBD3" w:rsidR="00D3011A" w:rsidRPr="003C1D92" w:rsidRDefault="00D3011A" w:rsidP="00EF0772">
      <w:pPr>
        <w:pStyle w:val="Heading2"/>
        <w:spacing w:line="480" w:lineRule="auto"/>
      </w:pPr>
      <w:bookmarkStart w:id="29" w:name="_Toc229229965"/>
      <w:r w:rsidRPr="003C1D92">
        <w:t>Further details on RF model for group prediction</w:t>
      </w:r>
      <w:bookmarkEnd w:id="29"/>
    </w:p>
    <w:p w14:paraId="719A5B90" w14:textId="194CF875" w:rsidR="004D3CF1" w:rsidRPr="003C1D92" w:rsidRDefault="00DF2CC2" w:rsidP="00EF0772">
      <w:pPr>
        <w:rPr>
          <w:rFonts w:cs="Times New Roman"/>
          <w:lang w:val="en-US"/>
        </w:rPr>
      </w:pPr>
      <w:r w:rsidRPr="003C1D92">
        <w:rPr>
          <w:rFonts w:cs="Times New Roman"/>
          <w:lang w:val="en-US"/>
        </w:rPr>
        <w:t xml:space="preserve">In the first </w:t>
      </w:r>
      <w:r w:rsidRPr="003C1D92">
        <w:rPr>
          <w:rFonts w:eastAsia="Times New Roman" w:cs="Times New Roman"/>
          <w:lang w:eastAsia="en-GB"/>
        </w:rPr>
        <w:t>RF</w:t>
      </w:r>
      <w:r w:rsidRPr="003C1D92">
        <w:rPr>
          <w:rFonts w:cs="Times New Roman"/>
          <w:lang w:val="en-US"/>
        </w:rPr>
        <w:t xml:space="preserve"> analysis, multimodal predictors (clinical, biological, and neuroimaging) were used to train a RF model for group classification (healthy controls (HC) vs the other two groups). Data were stratified by group and split into training (70%) and test (30%) sets. Three artificial "probe" variables (Gaussian, uniform, and binomial noise) were initially included to detect overfitting. Any model that ranked these probes among its top predictors would be considered unreliable.</w:t>
      </w:r>
    </w:p>
    <w:p w14:paraId="19049374" w14:textId="31484D17" w:rsidR="00DF2CC2" w:rsidRPr="003C1D92" w:rsidRDefault="00DF2CC2" w:rsidP="00EF0772">
      <w:pPr>
        <w:rPr>
          <w:rFonts w:cs="Times New Roman"/>
          <w:lang w:val="en-US"/>
        </w:rPr>
      </w:pPr>
      <w:r w:rsidRPr="003C1D92">
        <w:rPr>
          <w:rFonts w:cs="Times New Roman"/>
          <w:lang w:val="en-US"/>
        </w:rPr>
        <w:t xml:space="preserve">This RF model was trained using the </w:t>
      </w:r>
      <w:proofErr w:type="spellStart"/>
      <w:r w:rsidRPr="003C1D92">
        <w:rPr>
          <w:rFonts w:cs="Times New Roman"/>
          <w:i/>
          <w:iCs/>
          <w:lang w:val="en-US"/>
        </w:rPr>
        <w:t>randomForest</w:t>
      </w:r>
      <w:proofErr w:type="spellEnd"/>
      <w:r w:rsidRPr="003C1D92">
        <w:rPr>
          <w:rFonts w:cs="Times New Roman"/>
          <w:lang w:val="en-US"/>
        </w:rPr>
        <w:t xml:space="preserve"> package in R with 1000 trees, based on stabilization of the OOB classification error,</w:t>
      </w:r>
      <w:r w:rsidRPr="003C1D92">
        <w:t xml:space="preserve"> in agreement with existing literature</w:t>
      </w:r>
      <w:bookmarkStart w:id="30" w:name="_Hlk216774431"/>
      <w:r w:rsidRPr="003C1D92">
        <w:fldChar w:fldCharType="begin"/>
      </w:r>
      <w:r w:rsidRPr="003C1D92">
        <w:instrText xml:space="preserve"> ADDIN ZOTERO_ITEM CSL_CITATION {"citationID":"sEh4LIzH","properties":{"formattedCitation":"(76\\uc0\\u8211{}79)","plainCitation":"(76–79)","noteIndex":0},"citationItems":[{"id":36402,"uris":["http://zotero.org/users/8364405/items/XNUPWMZJ"],"itemData":{"id":36402,"type":"article-journal","abstract":"Selection of relevant genes for sample classification is a common task in most gene expression studies, where researchers try to identify the smallest possible set of genes that can still achieve good predictive performance (for instance, for future use with diagnostic purposes in clinical practice). Many gene selection approaches use univariate (gene-by-gene) rankings of gene relevance and arbitrary thresholds to select the number of genes, can only be applied to two-class problems, and use gene selection ranking criteria unrelated to the classification algorithm. In contrast, random forest is a classification algorithm well suited for microarray data: it shows excellent performance even when most predictive variables are noise, can be used when the number of variables is much larger than the number of observations and in problems involving more than two classes, and returns measures of variable importance. Thus, it is important to understand the performance of random forest with microarray data and its possible use for gene selection.","container-title":"BMC Bioinformatics","DOI":"10.1186/1471-2105-7-3","ISSN":"1471-2105","issue":"1","journalAbbreviation":"BMC Bioinformatics","language":"en","page":"3","source":"Springer Link","title":"Gene selection and classification of microarray data using random forest","volume":"7","author":[{"family":"Díaz-Uriarte","given":"Ramón"},{"family":"Alvarez de Andrés","given":"Sara"}],"issued":{"date-parts":[["2006",1,6]]}}},{"id":36397,"uris":["http://zotero.org/users/8364405/items/FFH6XMUB"],"itemData":{"id":36397,"type":"article-journal","abstract":"Random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regression.","container-title":"Machine Learning","DOI":"10.1023/A:1010933404324","ISSN":"1573-0565","issue":"1","journalAbbreviation":"Machine Learning","language":"en","page":"5-32","source":"Springer Link","title":"Random Forests","volume":"45","author":[{"family":"Breiman","given":"Leo"}],"issued":{"date-parts":[["2001",10,1]]}}},{"id":28701,"uris":["http://zotero.org/users/8364405/items/XKWXQW6J"],"itemData":{"id":28701,"type":"chapter","container-title":"The Elements of Statistical Learning: Data Mining, Inference, and Prediction","event-place":"New York, NY","ISBN":"978-0-387-84858-7","language":"en","note":"DOI: 10.1007/978-0-387-84858-7_15","page":"587-604","publisher":"Springer","publisher-place":"New York, NY","source":"Springer Link","title":"Random Forests","URL":"https://doi.org/10.1007/978-0-387-84858-7_15","author":[{"family":"Hastie","given":"Trevor"},{"family":"Tibshirani","given":"Robert"},{"family":"Friedman","given":"Jerome"}],"editor":[{"family":"Hastie","given":"Trevor"},{"family":"Tibshirani","given":"Robert"},{"family":"Friedman","given":"Jerome"}],"accessed":{"date-parts":[["2025",6,28]]},"issued":{"date-parts":[["2009"]]}}},{"id":36404,"uris":["http://zotero.org/users/8364405/items/LFETLLPB"],"itemData":{"id":36404,"type":"article-journal","abstract":"Random forests are a scheme proposed by Leo Breiman in the 2000's for building a predictor ensemble with a set of decision trees that grow in randomly selected subspaces of data. Despite growing interest and practical use, there has been little exploration of the statistical properties of random forests, and little is known about the mathematical forces driving the algorithm. In this paper, we offer an in-depth analysis of a random forests model suggested by Breiman in \\cite{Bre04}, which is very close to the original algorithm. We show in particular that the procedure is consistent and adapts to sparsity, in the sense that its rate of convergence depends only on the number of strong features and not on how many noise variables are present.","container-title":"Journal of Machine Learning Research","journalAbbreviation":"Journal of Machine Learning Research","source":"ResearchGate","title":"Analysis of a Random Forests Model","volume":"13","author":[{"family":"Biau","given":"Gérard"}],"issued":{"date-parts":[["2010",5,3]]}}}],"schema":"https://github.com/citation-style-language/schema/raw/master/csl-citation.json"} </w:instrText>
      </w:r>
      <w:r w:rsidRPr="003C1D92">
        <w:fldChar w:fldCharType="separate"/>
      </w:r>
      <w:r w:rsidRPr="003C1D92">
        <w:rPr>
          <w:rFonts w:cs="Times New Roman"/>
          <w:lang w:val="en-GB"/>
        </w:rPr>
        <w:t>(76–79)</w:t>
      </w:r>
      <w:r w:rsidRPr="003C1D92">
        <w:fldChar w:fldCharType="end"/>
      </w:r>
      <w:bookmarkEnd w:id="30"/>
      <w:r w:rsidRPr="003C1D92">
        <w:rPr>
          <w:rFonts w:cs="Times New Roman"/>
          <w:lang w:val="en-US"/>
        </w:rPr>
        <w:t>. The number of drawn candidate variables in each split was set to the standard value of sqrt(p)</w:t>
      </w:r>
      <w:r w:rsidRPr="003C1D92">
        <w:rPr>
          <w:rFonts w:cs="Times New Roman"/>
          <w:lang w:val="en-US"/>
        </w:rPr>
        <w:fldChar w:fldCharType="begin"/>
      </w:r>
      <w:r w:rsidRPr="003C1D92">
        <w:rPr>
          <w:rFonts w:cs="Times New Roman"/>
          <w:lang w:val="en-US"/>
        </w:rPr>
        <w:instrText xml:space="preserve"> ADDIN ZOTERO_ITEM CSL_CITATION {"citationID":"Eg7KFBIv","properties":{"formattedCitation":"(81)","plainCitation":"(81)","noteIndex":0},"citationItems":[{"id":28745,"uris":["http://zotero.org/users/8364405/items/BSQKKUYA"],"itemData":{"id":28745,"type":"webpage","title":"Hyperparameters and tuning strategies for random forest - Probst - 2019 - WIREs Data Mining and Knowledge Discovery - Wiley Online Library","URL":"https://wires.onlinelibrary.wiley.com/doi/10.1002/widm.1301","accessed":{"date-parts":[["2025",4,24]]}}}],"schema":"https://github.com/citation-style-language/schema/raw/master/csl-citation.json"} </w:instrText>
      </w:r>
      <w:r w:rsidRPr="003C1D92">
        <w:rPr>
          <w:rFonts w:cs="Times New Roman"/>
          <w:lang w:val="en-US"/>
        </w:rPr>
        <w:fldChar w:fldCharType="separate"/>
      </w:r>
      <w:r w:rsidRPr="003C1D92">
        <w:rPr>
          <w:rFonts w:cs="Times New Roman"/>
          <w:noProof/>
          <w:lang w:val="en-US"/>
        </w:rPr>
        <w:t>(81)</w:t>
      </w:r>
      <w:r w:rsidRPr="003C1D92">
        <w:rPr>
          <w:rFonts w:cs="Times New Roman"/>
          <w:lang w:val="en-US"/>
        </w:rPr>
        <w:fldChar w:fldCharType="end"/>
      </w:r>
      <w:r w:rsidRPr="003C1D92">
        <w:rPr>
          <w:rFonts w:cs="Times New Roman"/>
          <w:lang w:val="en-US"/>
        </w:rPr>
        <w:t>. Variable importance was computed as</w:t>
      </w:r>
      <w:r w:rsidR="0037594E">
        <w:rPr>
          <w:rFonts w:cs="Times New Roman"/>
          <w:lang w:val="en-US"/>
        </w:rPr>
        <w:t xml:space="preserve"> </w:t>
      </w:r>
      <w:r w:rsidR="0037594E" w:rsidRPr="0037594E">
        <w:rPr>
          <w:rFonts w:cs="Times New Roman"/>
          <w:lang w:val="en-US"/>
        </w:rPr>
        <w:t>%</w:t>
      </w:r>
      <w:proofErr w:type="spellStart"/>
      <w:r w:rsidR="0037594E" w:rsidRPr="0037594E">
        <w:rPr>
          <w:rFonts w:cs="Times New Roman"/>
          <w:lang w:val="en-US"/>
        </w:rPr>
        <w:t>IncMSE</w:t>
      </w:r>
      <w:proofErr w:type="spellEnd"/>
      <w:r w:rsidR="0037594E">
        <w:rPr>
          <w:rFonts w:cs="Times New Roman"/>
          <w:lang w:val="en-US"/>
        </w:rPr>
        <w:t xml:space="preserve"> and</w:t>
      </w:r>
      <w:r w:rsidRPr="003C1D92">
        <w:rPr>
          <w:rFonts w:cs="Times New Roman"/>
          <w:lang w:val="en-US"/>
        </w:rPr>
        <w:t xml:space="preserve"> mean decrease in accuracy, i.e., the relative contribution of each input variable to classification performance. The RF model performance was compared with a baseline linear model, implemented with ridge regression, described in the following section.</w:t>
      </w:r>
    </w:p>
    <w:p w14:paraId="61A9354B" w14:textId="334ADD6D" w:rsidR="00B0025B" w:rsidRPr="003C1D92" w:rsidRDefault="00337956" w:rsidP="00EF0772">
      <w:pPr>
        <w:pStyle w:val="Heading2"/>
        <w:spacing w:line="480" w:lineRule="auto"/>
      </w:pPr>
      <w:bookmarkStart w:id="31" w:name="_Toc229229966"/>
      <w:r w:rsidRPr="003C1D92">
        <w:t>Baseline group predictor model: ridge regression</w:t>
      </w:r>
      <w:bookmarkEnd w:id="31"/>
      <w:r w:rsidRPr="003C1D92">
        <w:t xml:space="preserve"> </w:t>
      </w:r>
    </w:p>
    <w:p w14:paraId="2F23C502" w14:textId="5926E5F0" w:rsidR="00822E7F" w:rsidRPr="003C1D92" w:rsidRDefault="00822E7F"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To benchmark the performance of the RF classifier against a baseline linear model, we implemented a ridge regression to distinguish HC from the individuals with either EDD or familial EDD risk (EDDoff). R</w:t>
      </w:r>
      <w:proofErr w:type="spellStart"/>
      <w:r w:rsidRPr="003C1D92">
        <w:rPr>
          <w:rFonts w:eastAsia="Times New Roman" w:cs="Times New Roman"/>
          <w:lang w:val="en-US" w:eastAsia="en-GB"/>
        </w:rPr>
        <w:t>idge</w:t>
      </w:r>
      <w:proofErr w:type="spellEnd"/>
      <w:r w:rsidRPr="003C1D92">
        <w:rPr>
          <w:rFonts w:eastAsia="Times New Roman" w:cs="Times New Roman"/>
          <w:lang w:val="en-US" w:eastAsia="en-GB"/>
        </w:rPr>
        <w:t xml:space="preserve"> regression consists of a traditional logistic regression with an additional L2-regularization penalty. This penalty constrains the overall size of model coefficients and allows for stable predictions even when the predictor set is high-dimensional and possibly collinear. </w:t>
      </w:r>
      <w:r w:rsidRPr="003C1D92">
        <w:rPr>
          <w:rFonts w:eastAsia="Times New Roman" w:cs="Times New Roman"/>
          <w:lang w:eastAsia="en-GB"/>
        </w:rPr>
        <w:t xml:space="preserve">Prior to model fitting, all numeric features were standardized using z-score normalization to ensure uniform scaling and prevent bias due to differing feature magnitudes. Ridge regression was performed using the glmnet package in R. Model tuning was conducted via 10-fold cross-validation within the training set to identify the optimal </w:t>
      </w:r>
      <w:r w:rsidRPr="003C1D92">
        <w:rPr>
          <w:rFonts w:eastAsia="Times New Roman" w:cs="Times New Roman"/>
          <w:lang w:eastAsia="en-GB"/>
        </w:rPr>
        <w:lastRenderedPageBreak/>
        <w:t>regularization parameter. Both the ridge and RF models were trained and evaluated using the same stratified 70/30 training-to-test split, enabling direct and fair comparison of classification performance.</w:t>
      </w:r>
    </w:p>
    <w:p w14:paraId="3F7192C7" w14:textId="4AB5C39F" w:rsidR="00577CE7" w:rsidRPr="003C1D92" w:rsidRDefault="00AA1A37" w:rsidP="00EF0772">
      <w:pPr>
        <w:pStyle w:val="Heading2"/>
        <w:spacing w:line="480" w:lineRule="auto"/>
      </w:pPr>
      <w:bookmarkStart w:id="32" w:name="_Toc229229967"/>
      <w:r w:rsidRPr="003C1D92">
        <w:t>Further details on RF model for clinical symptoms prediction</w:t>
      </w:r>
      <w:bookmarkEnd w:id="32"/>
    </w:p>
    <w:p w14:paraId="76B3C42A" w14:textId="5FED3FB9" w:rsidR="00CF659F" w:rsidRPr="003C1D92" w:rsidRDefault="00CF659F" w:rsidP="00EF0772">
      <w:pPr>
        <w:spacing w:before="100" w:beforeAutospacing="1" w:after="100" w:afterAutospacing="1"/>
        <w:rPr>
          <w:rFonts w:cs="Times New Roman"/>
        </w:rPr>
      </w:pPr>
      <w:r w:rsidRPr="003C1D92">
        <w:rPr>
          <w:rFonts w:cs="Times New Roman"/>
        </w:rPr>
        <w:t xml:space="preserve">For the second RF analysis, two separate RF regression models were constructed to predict continuous ED symptom scores, specifically ALS and the CERQ (ratio of the non-adaptive emotion regulation strategies score to total). The predictor variables for these models consisted solely of non-clinical features, including serum and neuroimaging markers. Each RF regressor was trained using 500 trees, </w:t>
      </w:r>
      <w:r w:rsidRPr="003C1D92">
        <w:rPr>
          <w:rFonts w:cs="Times New Roman"/>
          <w:lang w:val="en-US"/>
        </w:rPr>
        <w:t>based on stabilization of the OOB classification error for all models,</w:t>
      </w:r>
      <w:r w:rsidRPr="003C1D92">
        <w:rPr>
          <w:rFonts w:cs="Times New Roman"/>
        </w:rPr>
        <w:t xml:space="preserve"> and the number of randomly selected predictors at each split was set to a third of the total number of predictor variables, a common heuristic for regression tasks in the </w:t>
      </w:r>
      <w:r w:rsidRPr="003C1D92">
        <w:rPr>
          <w:rStyle w:val="HTMLCode"/>
          <w:rFonts w:ascii="Times New Roman" w:eastAsiaTheme="minorHAnsi" w:hAnsi="Times New Roman" w:cs="Times New Roman"/>
          <w:sz w:val="24"/>
          <w:szCs w:val="24"/>
        </w:rPr>
        <w:t>randomForest</w:t>
      </w:r>
      <w:r w:rsidRPr="003C1D92">
        <w:rPr>
          <w:rFonts w:cs="Times New Roman"/>
        </w:rPr>
        <w:t xml:space="preserve"> package</w:t>
      </w:r>
      <w:r w:rsidRPr="003C1D92">
        <w:rPr>
          <w:rFonts w:cs="Times New Roman"/>
        </w:rPr>
        <w:fldChar w:fldCharType="begin"/>
      </w:r>
      <w:r w:rsidRPr="003C1D92">
        <w:rPr>
          <w:rFonts w:cs="Times New Roman"/>
        </w:rPr>
        <w:instrText xml:space="preserve"> ADDIN ZOTERO_ITEM CSL_CITATION {"citationID":"gl5YPq5y","properties":{"formattedCitation":"(81)","plainCitation":"(81)","noteIndex":0},"citationItems":[{"id":28745,"uris":["http://zotero.org/users/8364405/items/BSQKKUYA"],"itemData":{"id":28745,"type":"webpage","title":"Hyperparameters and tuning strategies for random forest - Probst - 2019 - WIREs Data Mining and Knowledge Discovery - Wiley Online Library","URL":"https://wires.onlinelibrary.wiley.com/doi/10.1002/widm.1301","accessed":{"date-parts":[["2025",4,24]]}}}],"schema":"https://github.com/citation-style-language/schema/raw/master/csl-citation.json"} </w:instrText>
      </w:r>
      <w:r w:rsidRPr="003C1D92">
        <w:rPr>
          <w:rFonts w:cs="Times New Roman"/>
        </w:rPr>
        <w:fldChar w:fldCharType="separate"/>
      </w:r>
      <w:r w:rsidRPr="003C1D92">
        <w:rPr>
          <w:rFonts w:cs="Times New Roman"/>
          <w:noProof/>
        </w:rPr>
        <w:t>(81)</w:t>
      </w:r>
      <w:r w:rsidRPr="003C1D92">
        <w:rPr>
          <w:rFonts w:cs="Times New Roman"/>
        </w:rPr>
        <w:fldChar w:fldCharType="end"/>
      </w:r>
      <w:r w:rsidRPr="003C1D92">
        <w:rPr>
          <w:rFonts w:cs="Times New Roman"/>
        </w:rPr>
        <w:t>. The predictive accuracy of each model was evaluated using Root</w:t>
      </w:r>
      <w:r w:rsidRPr="003C1D92">
        <w:rPr>
          <w:rFonts w:cs="Times New Roman"/>
          <w:lang w:val="en-US"/>
        </w:rPr>
        <w:t>-</w:t>
      </w:r>
      <w:r w:rsidRPr="003C1D92">
        <w:rPr>
          <w:rFonts w:cs="Times New Roman"/>
        </w:rPr>
        <w:t>Mean Squared Error (RMSE), Mean Absolute Error (MAE), coefficient of determination (</w:t>
      </w:r>
      <w:r w:rsidRPr="003C1D92">
        <w:rPr>
          <w:rStyle w:val="mord"/>
          <w:rFonts w:cs="Times New Roman"/>
        </w:rPr>
        <w:t>R</w:t>
      </w:r>
      <w:r w:rsidRPr="003C1D92">
        <w:rPr>
          <w:rStyle w:val="mord"/>
          <w:rFonts w:cs="Times New Roman"/>
          <w:vertAlign w:val="superscript"/>
        </w:rPr>
        <w:t>2</w:t>
      </w:r>
      <w:r w:rsidRPr="003C1D92">
        <w:rPr>
          <w:rFonts w:cs="Times New Roman"/>
        </w:rPr>
        <w:t xml:space="preserve">), and Pearson's correlation coefficient between the predicted and observed symptom scores. Permutation-based variable importance, quantified as the percentage increase in mean squared error (%IncMSE) derived from the OOB samples, was also extracted to assess the relative contribution of each predictor. </w:t>
      </w:r>
    </w:p>
    <w:p w14:paraId="1B7E750F" w14:textId="77777777" w:rsidR="00DE2FA5" w:rsidRPr="003C1D92" w:rsidRDefault="00DE2FA5" w:rsidP="00EF0772">
      <w:pPr>
        <w:pStyle w:val="Heading2"/>
        <w:spacing w:line="480" w:lineRule="auto"/>
      </w:pPr>
      <w:bookmarkStart w:id="33" w:name="_Toc229229968"/>
      <w:r w:rsidRPr="003C1D92">
        <w:t>Code availability</w:t>
      </w:r>
      <w:bookmarkEnd w:id="33"/>
    </w:p>
    <w:p w14:paraId="0D3A6A7F" w14:textId="77777777" w:rsidR="00DE2FA5" w:rsidRPr="003C1D92" w:rsidRDefault="00DE2FA5" w:rsidP="00DE2FA5"/>
    <w:p w14:paraId="3F64F74D" w14:textId="1D34BE86" w:rsidR="008866B1" w:rsidRPr="003C1D92" w:rsidRDefault="008866B1" w:rsidP="008866B1">
      <w:r w:rsidRPr="003C1D92">
        <w:t>As mentioned in the main text, fractional anisotropy (FA) values were extracted using the ENIGMA-DTI pipeline, which is available at https://enigma.ini.usc.edu/protocols/dti-protocols/. The μCAPs analysis code is accessible at: https://github.com/MIPLabCH/mCAP.</w:t>
      </w:r>
    </w:p>
    <w:p w14:paraId="29723939" w14:textId="77777777" w:rsidR="008866B1" w:rsidRPr="003C1D92" w:rsidRDefault="008866B1" w:rsidP="00DE2FA5"/>
    <w:p w14:paraId="75A845A2" w14:textId="5D5D7B0B" w:rsidR="007817EC" w:rsidRPr="003C1D92" w:rsidRDefault="00557BAC" w:rsidP="00EF0772">
      <w:pPr>
        <w:pStyle w:val="Heading2"/>
        <w:spacing w:line="480" w:lineRule="auto"/>
      </w:pPr>
      <w:bookmarkStart w:id="34" w:name="_Toc229229969"/>
      <w:r w:rsidRPr="003C1D92">
        <w:lastRenderedPageBreak/>
        <w:t>Figures and graphs</w:t>
      </w:r>
      <w:bookmarkEnd w:id="34"/>
    </w:p>
    <w:p w14:paraId="40BC4CB0" w14:textId="55A1A657" w:rsidR="00557BAC" w:rsidRPr="003C1D92" w:rsidRDefault="00557BAC" w:rsidP="00EF0772">
      <w:pPr>
        <w:pStyle w:val="NormalWeb"/>
        <w:ind w:firstLine="360"/>
      </w:pPr>
      <w:r w:rsidRPr="003C1D92">
        <w:t xml:space="preserve">The brain networks were visualized with Mango image processing software (Lancaster, Martinez; www.ric.uthscsa.edu/mango). Graphs and figures were generated using </w:t>
      </w:r>
      <w:proofErr w:type="spellStart"/>
      <w:r w:rsidRPr="003C1D92">
        <w:t>Matlab</w:t>
      </w:r>
      <w:proofErr w:type="spellEnd"/>
      <w:r w:rsidRPr="003C1D92">
        <w:t xml:space="preserve">©, Excel, PowerPoint, </w:t>
      </w:r>
      <w:proofErr w:type="spellStart"/>
      <w:r w:rsidRPr="003C1D92">
        <w:t>Biorender</w:t>
      </w:r>
      <w:proofErr w:type="spellEnd"/>
      <w:r w:rsidRPr="003C1D92">
        <w:t xml:space="preserve">, and/or R©. </w:t>
      </w:r>
    </w:p>
    <w:p w14:paraId="575B1EE3" w14:textId="43A959B8" w:rsidR="00557BAC" w:rsidRPr="003C1D92" w:rsidRDefault="009F2CAB" w:rsidP="00EF0772">
      <w:pPr>
        <w:rPr>
          <w:rFonts w:cs="Times New Roman"/>
          <w:b/>
          <w:bCs/>
          <w:lang w:val="en-US"/>
        </w:rPr>
      </w:pPr>
      <w:r w:rsidRPr="003C1D92">
        <w:rPr>
          <w:rFonts w:cs="Times New Roman"/>
          <w:b/>
          <w:bCs/>
          <w:lang w:val="en-US"/>
        </w:rPr>
        <w:br w:type="column"/>
      </w:r>
    </w:p>
    <w:p w14:paraId="5DBCC1FB" w14:textId="15399660" w:rsidR="00557BAC" w:rsidRPr="003C1D92" w:rsidRDefault="00557BAC" w:rsidP="00EF0772">
      <w:pPr>
        <w:pStyle w:val="Heading1"/>
        <w:spacing w:line="480" w:lineRule="auto"/>
        <w:rPr>
          <w:lang w:val="en-US"/>
        </w:rPr>
      </w:pPr>
      <w:bookmarkStart w:id="35" w:name="_Toc229229970"/>
      <w:r w:rsidRPr="003C1D92">
        <w:rPr>
          <w:lang w:val="en-US"/>
        </w:rPr>
        <w:t>SUPPLEMENTARY RESULTS AND DISCUSSION</w:t>
      </w:r>
      <w:bookmarkEnd w:id="35"/>
    </w:p>
    <w:p w14:paraId="1A633A99" w14:textId="77777777" w:rsidR="001C14BD" w:rsidRPr="003C1D92" w:rsidRDefault="001C14BD" w:rsidP="00EF0772">
      <w:pPr>
        <w:rPr>
          <w:rFonts w:cs="Times New Roman"/>
          <w:lang w:val="en-US"/>
        </w:rPr>
      </w:pPr>
    </w:p>
    <w:p w14:paraId="1170593B" w14:textId="1480CEA0" w:rsidR="0067700E" w:rsidRPr="003C1D92" w:rsidRDefault="00FF24F3" w:rsidP="00EF0772">
      <w:pPr>
        <w:pStyle w:val="Heading2"/>
        <w:spacing w:line="480" w:lineRule="auto"/>
      </w:pPr>
      <w:bookmarkStart w:id="36" w:name="_Toc229229971"/>
      <w:r w:rsidRPr="003C1D92">
        <w:t>Details on the subgroups</w:t>
      </w:r>
      <w:bookmarkEnd w:id="36"/>
    </w:p>
    <w:p w14:paraId="1649E4CE" w14:textId="34880CE2" w:rsidR="00D72082" w:rsidRPr="003C1D92" w:rsidRDefault="00D60E17" w:rsidP="00EF0772">
      <w:r w:rsidRPr="003C1D92">
        <w:rPr>
          <w:color w:val="000000"/>
        </w:rPr>
        <w:t xml:space="preserve">Among the 97 EDD patients </w:t>
      </w:r>
      <w:r w:rsidRPr="003C1D92">
        <w:t>30 were diagnosed with ADHD, 33 with BPD, and 34 with BD. Of the 34 patients with BD, 14 had BD type I, 15 had BD type II, and 5 unspecified BD. Among the 67 offspring of individuals with EDD (EDDoff), 23 had one parent affected by BD, 23 had one parent affected by BPD, and 21 had one parent affected by ADHD. To control for familial confounding factors, none of the participants across groups were biologically related. The vast majority of patients had recurrent episodes, and all were clinically stable at the time of assessment.</w:t>
      </w:r>
    </w:p>
    <w:p w14:paraId="75D8DB8C" w14:textId="77777777" w:rsidR="00D72082" w:rsidRPr="003C1D92" w:rsidRDefault="00D72082" w:rsidP="00EF0772">
      <w:pPr>
        <w:rPr>
          <w:rFonts w:cs="Times New Roman"/>
          <w:lang w:val="en-US"/>
        </w:rPr>
      </w:pPr>
    </w:p>
    <w:p w14:paraId="1B6B81AC" w14:textId="4982ED2C" w:rsidR="00D72082" w:rsidRPr="003C1D92" w:rsidRDefault="00D72082" w:rsidP="00EF0772">
      <w:pPr>
        <w:pStyle w:val="Heading2"/>
        <w:spacing w:line="480" w:lineRule="auto"/>
      </w:pPr>
      <w:bookmarkStart w:id="37" w:name="_Toc229229972"/>
      <w:r w:rsidRPr="003C1D92">
        <w:t>Identification of the micro-coactivation patterns (μCAPs) and the corresponding hippocampal subdivisions</w:t>
      </w:r>
      <w:bookmarkEnd w:id="37"/>
    </w:p>
    <w:p w14:paraId="6B36C117" w14:textId="4A978C96" w:rsidR="00D72082" w:rsidRPr="003C1D92" w:rsidRDefault="001E0905" w:rsidP="00EF0772">
      <w:pPr>
        <w:ind w:firstLine="360"/>
        <w:rPr>
          <w:rFonts w:cs="Times New Roman"/>
          <w:lang w:val="en-US"/>
        </w:rPr>
      </w:pPr>
      <w:r w:rsidRPr="003C1D92">
        <w:rPr>
          <w:rFonts w:cs="Times New Roman"/>
          <w:lang w:val="en-US"/>
        </w:rPr>
        <w:t>As previously described</w:t>
      </w:r>
      <w:r w:rsidRPr="003C1D92">
        <w:rPr>
          <w:rFonts w:cs="Times New Roman"/>
          <w:lang w:val="en-US"/>
        </w:rPr>
        <w:fldChar w:fldCharType="begin"/>
      </w:r>
      <w:r w:rsidRPr="003C1D92">
        <w:rPr>
          <w:rFonts w:cs="Times New Roman"/>
          <w:lang w:val="en-US"/>
        </w:rPr>
        <w:instrText xml:space="preserve"> ADDIN ZOTERO_ITEM CSL_CITATION {"citationID":"oe7mokTy","properties":{"formattedCitation":"(1)","plainCitation":"(1)","noteIndex":0},"citationItems":[{"id":28752,"uris":["http://zotero.org/users/8364405/items/AEAV5VYB"],"itemData":{"id":28752,"type":"article-journal","abstract":"Background\nEmotion dysregulation (ED) is a key transdiagnostic symptom in several psychiatric disorders such as borderline personality disorder (BPD), bipolar disorder (BD), and attention-deficit/hyperactivity disorder (ADHD). These disorders, here defined as ED disorders (EDD), share similarities in symptoms, comorbidity, and heritability, emphasizing the importance of a transdiagnostic approach to identify markers of vulnerability to EDD in high-risk populations, such as EDD patients’ offspring (EDDoff). The hippocampus, central to ED, exhibits alterations across EDD.\nMethods\nWe employed a state-of-the-art approach (micro-co-activation patterns, μCAPs) to study the transdiagnostic dynamic functional connectivity (dFC) of hippocampal subregions from resting-state functional MRI of 201 participants (74 EDD patients, 57 EDDoff, 70 controls). μCAPs provide a data-driven differentiation within the seed region.\nResults\nDFC between the sensorimotor network (SMN) and the hippocampal body was lower in EDD patients (pFDR=0.0002) and EDDoff (pFDR=0.01) compared to controls, with EDDoff displaying an intermediate pattern between EDD patients and controls. dFC between the limbic network (LN) and the hippocampal head was higher in EDD patients than in controls (pFDR=0.01) and in EDDoff (pFDR=0.01). A negative correlation was found between ED and SMN (pFDR=0.01), suggesting increasing ED with decreasing SMN dFC with the hippocampus.\nConclusions\nIncreased dFC between the hippocampal head and the LN, at the expense of the SMN, may represent a marker of disease in EDD patients. Lower dFC between the SMN and the hippocampal body may represent a marker of vulnerability to EDD in EDDoff, correlating with ED. Such a transdiagnostic construct represents a clinically relevant target for early interventions aimed at reducing vulnerability to EDD in high-risk populations.","container-title":"Biological Psychiatry: Cognitive Neuroscience and Neuroimaging","DOI":"10.1016/j.bpsc.2025.03.007","ISSN":"2451-9022","journalAbbreviation":"Biological Psychiatry: Cognitive Neuroscience and Neuroimaging","source":"ScienceDirect","title":"Limbic-Sensorimotor Tug of War for the Hippocampus: Dynamic Functional Connectivity as a Transdiagnostic Vulnerability Marker in Offspring of Emotion Dysregulation Patients","title-short":"Limbic-Sensorimotor Tug of War for the Hippocampus","URL":"https://www.sciencedirect.com/science/article/pii/S245190222500120X","author":[{"family":"Saccaro","given":"Luigi F."},{"family":"Delavari","given":"Farnaz"},{"family":"Meuleman","given":"Ben"},{"family":"Perroud","given":"Nader"},{"family":"Van De Ville","given":"Dimitri"},{"family":"Piguet","given":"Camille"}],"accessed":{"date-parts":[["2025",3,31]]},"issued":{"date-parts":[["2025",3,28]]}}}],"schema":"https://github.com/citation-style-language/schema/raw/master/csl-citation.json"} </w:instrText>
      </w:r>
      <w:r w:rsidRPr="003C1D92">
        <w:rPr>
          <w:rFonts w:cs="Times New Roman"/>
          <w:lang w:val="en-US"/>
        </w:rPr>
        <w:fldChar w:fldCharType="separate"/>
      </w:r>
      <w:r w:rsidRPr="003C1D92">
        <w:rPr>
          <w:rFonts w:cs="Times New Roman"/>
          <w:noProof/>
          <w:lang w:val="en-US"/>
        </w:rPr>
        <w:t>(1)</w:t>
      </w:r>
      <w:r w:rsidRPr="003C1D92">
        <w:rPr>
          <w:rFonts w:cs="Times New Roman"/>
          <w:lang w:val="en-US"/>
        </w:rPr>
        <w:fldChar w:fldCharType="end"/>
      </w:r>
      <w:r w:rsidRPr="003C1D92">
        <w:rPr>
          <w:rFonts w:cs="Times New Roman"/>
          <w:lang w:val="en-US"/>
        </w:rPr>
        <w:t xml:space="preserve">, the </w:t>
      </w:r>
      <w:r w:rsidRPr="003C1D92">
        <w:rPr>
          <w:rFonts w:cs="Times New Roman"/>
        </w:rPr>
        <w:t>μ</w:t>
      </w:r>
      <w:r w:rsidRPr="003C1D92">
        <w:rPr>
          <w:rFonts w:cs="Times New Roman"/>
          <w:lang w:val="en-US"/>
        </w:rPr>
        <w:t>CAPs analysis outlined in the Methods section led to the data-driven identification, across all participants, of five brain networks, each linked to a particular hippocampal subdivision (</w:t>
      </w:r>
      <w:r w:rsidRPr="003C1D92">
        <w:rPr>
          <w:rFonts w:cs="Times New Roman"/>
          <w:b/>
          <w:bCs/>
          <w:lang w:val="en-US"/>
        </w:rPr>
        <w:t>Supplementary</w:t>
      </w:r>
      <w:r w:rsidRPr="003C1D92">
        <w:rPr>
          <w:rFonts w:cs="Times New Roman"/>
          <w:lang w:val="en-US"/>
        </w:rPr>
        <w:t xml:space="preserve"> </w:t>
      </w:r>
      <w:r w:rsidRPr="003C1D92">
        <w:rPr>
          <w:rFonts w:cs="Times New Roman"/>
          <w:b/>
          <w:bCs/>
          <w:lang w:val="en-US"/>
        </w:rPr>
        <w:t>Figure 2</w:t>
      </w:r>
      <w:r w:rsidRPr="003C1D92">
        <w:rPr>
          <w:rFonts w:cs="Times New Roman"/>
          <w:lang w:val="en-US"/>
        </w:rPr>
        <w:t xml:space="preserve">). The main </w:t>
      </w:r>
      <w:r w:rsidRPr="003C1D92">
        <w:rPr>
          <w:rFonts w:cs="Times New Roman"/>
        </w:rPr>
        <w:t>μ</w:t>
      </w:r>
      <w:r w:rsidRPr="003C1D92">
        <w:rPr>
          <w:rFonts w:cs="Times New Roman"/>
          <w:lang w:val="en-US"/>
        </w:rPr>
        <w:t>CAPs matched well-established resting-state networks from the literature</w:t>
      </w:r>
      <w:r w:rsidRPr="003C1D92">
        <w:rPr>
          <w:rFonts w:cs="Times New Roman"/>
          <w:lang w:val="en-US"/>
        </w:rPr>
        <w:fldChar w:fldCharType="begin"/>
      </w:r>
      <w:r w:rsidRPr="003C1D92">
        <w:rPr>
          <w:rFonts w:cs="Times New Roman"/>
          <w:lang w:val="en-US"/>
        </w:rPr>
        <w:instrText xml:space="preserve"> ADDIN ZOTERO_ITEM CSL_CITATION {"citationID":"ahb8efpe12","properties":{"formattedCitation":"(82\\uc0\\u8211{}84)","plainCitation":"(82–84)","noteIndex":0},"citationItems":[{"id":8045,"uris":["http://zotero.org/users/8364405/items/DTQULMWU"],"itemData":{"id":8045,"type":"article-journal","abstract":"The past decade has witnessed a proliferation of studies aimed at characterizing the human connectome. These projects map the brain regions comprising large-scale systems underlying cognition using non-invasive neuroimaging approaches and advanced analytic techniques adopted from network science. While the idea that the human brain is composed of multiple macro-scale functional networks has been gaining traction in cognitive neuroscience, the field has yet to reach consensus on several key issues regarding terminology. What constitutes a functional brain network? Are there “core” functional networks, and if so, what are their spatial topographies? What naming conventions, if universally adopted, will provide the most utility and facilitate communication amongst researchers? Can a taxonomy of functional brain networks be delineated? Here we survey the current landscape to identify six common macro-scale brain network naming schemes and conventions utilized in the literature, highlighting inconsistencies and points of confusion where appropriate. As a minimum recommendation upon which to build, we propose that a scheme incorporating anatomical terminology should provide the foundation for a taxonomy of functional brain networks. A logical starting point in this endeavor might delineate systems that we refer to here as “occipital”, “pericentral”, “dorsal frontoparietal”, “lateral frontoparietal”, “midcingulo-insular”, and “medial frontoparietal” networks. We posit that as the field of network neuroscience matures, it will become increasingly imperative to arrive at a taxonomy such as that proposed here, that can be consistently referenced across research groups.","container-title":"Brain Topography","DOI":"10.1007/s10548-019-00744-6","ISSN":"15736792","issue":"6","note":"publisher: Springer US\nPMID: 31707621","page":"926-942","title":"Towards a Universal Taxonomy of Macro-scale Functional Human Brain Networks","volume":"32","author":[{"family":"Uddin","given":"Lucina Q."},{"family":"Yeo","given":"B. T. Thomas"},{"family":"Spreng","given":"R. Nathan"}],"issued":{"date-parts":[["2019"]]}}},{"id":28408,"uris":["http://zotero.org/users/8364405/items/4YFZ8KD8"],"itemData":{"id":28408,"type":"article-journal","abstract":"Emotional regulation is known to be associated with activity in the amygdala. The amygdala is an emotion-generative region that comprises of structurally and functionally distinct nuclei. However, little is known about the contributions of different frontal-amygdala sub-region pathways to emotion regulation. Here, we investigated how functional couplings between frontal regions and amygdala sub-regions are involved in different spontaneous emotion regulation processes by using an individual-difference approach and a generalized psycho-physiological interaction (gPPI) approach. Specifically, 50 healthy participants reported their dispositional use of spontaneous cognitive reappraisal and expressive suppression in daily life and their actual use of these two strategies during the performance of an emotional-picture watching task. Results showed that functional coupling between the orbitofrontal cortex (OFC) and the basolateral amygdala (BLA) was associated with higher scores of both dispositional and actual uses of reappraisal. Similarly, functional coupling between the dorsolateral prefrontal cortex (dlPFC) and the centromedial amygdala (CMA) was associated with higher scores of both dispositional and actual uses of suppression. Mediation analyses indicated that functional coupling of the right OFC-BLA partially mediated the association between reappraisal and emotional response, irrespective of whether reappraisal was measured by dispositional use (indirect effect(SE)=-0.2021 (0.0811), 95%CI(BC)= [-0.3851, -0.0655]) or actual use (indirect effect(SE)=-0.1951 (0.0796), 95%CI(BC)= [-0.3654, -0.0518])). These findings suggest that spontaneous reappraisal and suppression involve distinct frontal- amygdala functional couplings, and the modulation of BLA activity from OFC may be necessary for changing emotional response during spontaneous reappraisal.","container-title":"NeuroImage","DOI":"10.1016/j.neuroimage.2021.117918","ISSN":"1095-9572","journalAbbreviation":"Neuroimage","language":"eng","note":"PMID: 33652140","page":"117918","source":"PubMed","title":"Functional coupling of the orbitofrontal cortex and the basolateral amygdala mediates the association between spontaneous reappraisal and emotional response","volume":"232","author":[{"family":"Gao","given":"Wei"},{"family":"Biswal","given":"Bharat"},{"family":"Chen","given":"ShengDong"},{"family":"Wu","given":"XinRan"},{"family":"Yuan","given":"JiaJin"}],"issued":{"date-parts":[["2021",5,15]]}}},{"id":28400,"uris":["http://zotero.org/users/8364405/items/F4XYC54T"],"itemData":{"id":28400,"type":"article-journal","abstract":"The somatosensory-motor network (SMN) not only plays an important role in primary somatosensory and motor processing but is also central to many disorders. However, the SMN heterogeneity related to higher-order systems still remains unclear. Here, we investigated SMN heterogeneity from multiple perspectives. To characterize the SMN substructures in more detail, we used ultra-high-field functional MRI to delineate a finer-grained cortical parcellation containing 430 parcels that is more homogenous than the state-of-the-art parcellation. We personalized the new parcellation to account for individual differences and identified multiscale individual-specific brain structures. We found that the SMN subnetworks showed distinct resting-state functional connectivity (RSFC) patterns. The Hand subnetwork was central within the SMN and exhibited stronger RSFC with the attention systems than the other subnetworks, whereas the Tongue subnetwork exhibited stronger RSFC with the default systems. This two-fold differentiation was observed in the temporal ordering patterns within the SMN. Furthermore, we characterized how the distinct attention and default streams were carried forward into the functions of the SMN using dynamic causal modeling and identified two behavioral domains associated with this SMN fractionation using meta-analytic tools. Overall, our findings provided important insights into the heterogeneous SMN organization at the system level and suggested that the Hand subnetwork may be preferentially involved in exogenous processes, whereas the Tongue subnetwork may be more important in endogenous processes.","container-title":"PNAS Nexus","DOI":"10.1093/pnasnexus/pgad276","ISSN":"2752-6542","issue":"9","journalAbbreviation":"PNAS Nexus","page":"pgad276","source":"Silverchair","title":"Investigating the heterogeneity within the somatosensory-motor network and its relationship with the attention and default systems","volume":"2","author":[{"family":"Han","given":"Ziteng"},{"family":"Liu","given":"Tiantian"},{"family":"Shi","given":"Zhongyan"},{"family":"Zhang","given":"Jian"},{"family":"Suo","given":"Dingjie"},{"family":"Wang","given":"Li"},{"family":"Chen","given":"Duanduan"},{"family":"Wu","given":"Jinglong"},{"family":"Yan","given":"Tianyi"}],"issued":{"date-parts":[["2023",9,1]]}}}],"schema":"https://github.com/citation-style-language/schema/raw/master/csl-citation.json"} </w:instrText>
      </w:r>
      <w:r w:rsidRPr="003C1D92">
        <w:rPr>
          <w:rFonts w:cs="Times New Roman"/>
          <w:lang w:val="en-US"/>
        </w:rPr>
        <w:fldChar w:fldCharType="separate"/>
      </w:r>
      <w:r w:rsidRPr="003C1D92">
        <w:rPr>
          <w:rFonts w:cs="Times New Roman"/>
          <w:lang w:val="en-GB"/>
        </w:rPr>
        <w:t>(82–84)</w:t>
      </w:r>
      <w:r w:rsidRPr="003C1D92">
        <w:rPr>
          <w:rFonts w:cs="Times New Roman"/>
          <w:lang w:val="en-US"/>
        </w:rPr>
        <w:fldChar w:fldCharType="end"/>
      </w:r>
      <w:r w:rsidRPr="003C1D92">
        <w:rPr>
          <w:rFonts w:cs="Times New Roman"/>
          <w:lang w:val="en-US"/>
        </w:rPr>
        <w:t xml:space="preserve">, as follows. </w:t>
      </w:r>
      <w:r w:rsidRPr="003C1D92">
        <w:rPr>
          <w:rFonts w:cs="Times New Roman"/>
        </w:rPr>
        <w:t>A sensorimotor-μCAP (SMN) predominantly covered pericentral and parietal regions, including the inferior parietal lobule, as well as auditory and visual areas.</w:t>
      </w:r>
      <w:r w:rsidRPr="003C1D92">
        <w:rPr>
          <w:rFonts w:cs="Times New Roman"/>
          <w:lang w:val="en-US"/>
        </w:rPr>
        <w:t xml:space="preserve"> A limbic network-</w:t>
      </w:r>
      <w:r w:rsidRPr="003C1D92">
        <w:rPr>
          <w:rFonts w:cs="Times New Roman"/>
        </w:rPr>
        <w:t>μ</w:t>
      </w:r>
      <w:r w:rsidRPr="003C1D92">
        <w:rPr>
          <w:rFonts w:cs="Times New Roman"/>
          <w:lang w:val="en-US"/>
        </w:rPr>
        <w:t>CAP (LN) involved the orbitofrontal cortex, amygdala, insula, and ventral tegmental area (VTA). A default mode network-</w:t>
      </w:r>
      <w:r w:rsidRPr="003C1D92">
        <w:rPr>
          <w:rFonts w:cs="Times New Roman"/>
        </w:rPr>
        <w:t>μ</w:t>
      </w:r>
      <w:r w:rsidRPr="003C1D92">
        <w:rPr>
          <w:rFonts w:cs="Times New Roman"/>
          <w:lang w:val="en-US"/>
        </w:rPr>
        <w:t xml:space="preserve">CAP (DMN, also referred to as the medial frontoparietal network) included the posterior cingulate cortex, the angular gyrus, the precuneus, and the medial prefrontal </w:t>
      </w:r>
      <w:r w:rsidRPr="003C1D92">
        <w:rPr>
          <w:rFonts w:cs="Times New Roman"/>
          <w:lang w:val="en-US"/>
        </w:rPr>
        <w:lastRenderedPageBreak/>
        <w:t>cortex</w:t>
      </w:r>
      <w:r w:rsidRPr="003C1D92">
        <w:rPr>
          <w:rFonts w:cs="Times New Roman"/>
          <w:lang w:val="en-US"/>
        </w:rPr>
        <w:fldChar w:fldCharType="begin"/>
      </w:r>
      <w:r w:rsidRPr="003C1D92">
        <w:rPr>
          <w:rFonts w:cs="Times New Roman"/>
          <w:lang w:val="en-US"/>
        </w:rPr>
        <w:instrText xml:space="preserve"> ADDIN ZOTERO_ITEM CSL_CITATION {"citationID":"78PxuvEC","properties":{"formattedCitation":"(82,83)","plainCitation":"(82,83)","noteIndex":0},"citationItems":[{"id":8045,"uris":["http://zotero.org/users/8364405/items/DTQULMWU"],"itemData":{"id":8045,"type":"article-journal","abstract":"The past decade has witnessed a proliferation of studies aimed at characterizing the human connectome. These projects map the brain regions comprising large-scale systems underlying cognition using non-invasive neuroimaging approaches and advanced analytic techniques adopted from network science. While the idea that the human brain is composed of multiple macro-scale functional networks has been gaining traction in cognitive neuroscience, the field has yet to reach consensus on several key issues regarding terminology. What constitutes a functional brain network? Are there “core” functional networks, and if so, what are their spatial topographies? What naming conventions, if universally adopted, will provide the most utility and facilitate communication amongst researchers? Can a taxonomy of functional brain networks be delineated? Here we survey the current landscape to identify six common macro-scale brain network naming schemes and conventions utilized in the literature, highlighting inconsistencies and points of confusion where appropriate. As a minimum recommendation upon which to build, we propose that a scheme incorporating anatomical terminology should provide the foundation for a taxonomy of functional brain networks. A logical starting point in this endeavor might delineate systems that we refer to here as “occipital”, “pericentral”, “dorsal frontoparietal”, “lateral frontoparietal”, “midcingulo-insular”, and “medial frontoparietal” networks. We posit that as the field of network neuroscience matures, it will become increasingly imperative to arrive at a taxonomy such as that proposed here, that can be consistently referenced across research groups.","container-title":"Brain Topography","DOI":"10.1007/s10548-019-00744-6","ISSN":"15736792","issue":"6","note":"publisher: Springer US\nPMID: 31707621","page":"926-942","title":"Towards a Universal Taxonomy of Macro-scale Functional Human Brain Networks","volume":"32","author":[{"family":"Uddin","given":"Lucina Q."},{"family":"Yeo","given":"B. T. Thomas"},{"family":"Spreng","given":"R. Nathan"}],"issued":{"date-parts":[["2019"]]}}},{"id":28408,"uris":["http://zotero.org/users/8364405/items/4YFZ8KD8"],"itemData":{"id":28408,"type":"article-journal","abstract":"Emotional regulation is known to be associated with activity in the amygdala. The amygdala is an emotion-generative region that comprises of structurally and functionally distinct nuclei. However, little is known about the contributions of different frontal-amygdala sub-region pathways to emotion regulation. Here, we investigated how functional couplings between frontal regions and amygdala sub-regions are involved in different spontaneous emotion regulation processes by using an individual-difference approach and a generalized psycho-physiological interaction (gPPI) approach. Specifically, 50 healthy participants reported their dispositional use of spontaneous cognitive reappraisal and expressive suppression in daily life and their actual use of these two strategies during the performance of an emotional-picture watching task. Results showed that functional coupling between the orbitofrontal cortex (OFC) and the basolateral amygdala (BLA) was associated with higher scores of both dispositional and actual uses of reappraisal. Similarly, functional coupling between the dorsolateral prefrontal cortex (dlPFC) and the centromedial amygdala (CMA) was associated with higher scores of both dispositional and actual uses of suppression. Mediation analyses indicated that functional coupling of the right OFC-BLA partially mediated the association between reappraisal and emotional response, irrespective of whether reappraisal was measured by dispositional use (indirect effect(SE)=-0.2021 (0.0811), 95%CI(BC)= [-0.3851, -0.0655]) or actual use (indirect effect(SE)=-0.1951 (0.0796), 95%CI(BC)= [-0.3654, -0.0518])). These findings suggest that spontaneous reappraisal and suppression involve distinct frontal- amygdala functional couplings, and the modulation of BLA activity from OFC may be necessary for changing emotional response during spontaneous reappraisal.","container-title":"NeuroImage","DOI":"10.1016/j.neuroimage.2021.117918","ISSN":"1095-9572","journalAbbreviation":"Neuroimage","language":"eng","note":"PMID: 33652140","page":"117918","source":"PubMed","title":"Functional coupling of the orbitofrontal cortex and the basolateral amygdala mediates the association between spontaneous reappraisal and emotional response","volume":"232","author":[{"family":"Gao","given":"Wei"},{"family":"Biswal","given":"Bharat"},{"family":"Chen","given":"ShengDong"},{"family":"Wu","given":"XinRan"},{"family":"Yuan","given":"JiaJin"}],"issued":{"date-parts":[["2021",5,15]]}}}],"schema":"https://github.com/citation-style-language/schema/raw/master/csl-citation.json"} </w:instrText>
      </w:r>
      <w:r w:rsidRPr="003C1D92">
        <w:rPr>
          <w:rFonts w:cs="Times New Roman"/>
          <w:lang w:val="en-US"/>
        </w:rPr>
        <w:fldChar w:fldCharType="separate"/>
      </w:r>
      <w:r w:rsidRPr="003C1D92">
        <w:rPr>
          <w:rFonts w:cs="Times New Roman"/>
          <w:lang w:val="en-GB"/>
        </w:rPr>
        <w:t>(82,83)</w:t>
      </w:r>
      <w:r w:rsidRPr="003C1D92">
        <w:rPr>
          <w:rFonts w:cs="Times New Roman"/>
          <w:lang w:val="en-US"/>
        </w:rPr>
        <w:fldChar w:fldCharType="end"/>
      </w:r>
      <w:r w:rsidRPr="003C1D92">
        <w:rPr>
          <w:rFonts w:cs="Times New Roman"/>
          <w:lang w:val="en-US"/>
        </w:rPr>
        <w:t xml:space="preserve">. The two remaining networks included a visual, occipital </w:t>
      </w:r>
      <w:r w:rsidRPr="003C1D92">
        <w:rPr>
          <w:rFonts w:cs="Times New Roman"/>
        </w:rPr>
        <w:t>μ</w:t>
      </w:r>
      <w:r w:rsidRPr="003C1D92">
        <w:rPr>
          <w:rFonts w:cs="Times New Roman"/>
          <w:lang w:val="en-US"/>
        </w:rPr>
        <w:t xml:space="preserve">CAP involving the superior colliculi, and a </w:t>
      </w:r>
      <w:r w:rsidRPr="003C1D92">
        <w:rPr>
          <w:rFonts w:cs="Times New Roman"/>
        </w:rPr>
        <w:t>μ</w:t>
      </w:r>
      <w:r w:rsidRPr="003C1D92">
        <w:rPr>
          <w:rFonts w:cs="Times New Roman"/>
          <w:lang w:val="en-US"/>
        </w:rPr>
        <w:t xml:space="preserve">CAP involving the VTA </w:t>
      </w:r>
      <w:r w:rsidRPr="003C1D92">
        <w:rPr>
          <w:rFonts w:cs="Times New Roman"/>
        </w:rPr>
        <w:t>(</w:t>
      </w:r>
      <w:r w:rsidRPr="003C1D92">
        <w:rPr>
          <w:rFonts w:cs="Times New Roman"/>
          <w:b/>
          <w:bCs/>
        </w:rPr>
        <w:t>Supplementary Figure 2</w:t>
      </w:r>
      <w:r w:rsidRPr="003C1D92">
        <w:rPr>
          <w:rFonts w:cs="Times New Roman"/>
        </w:rPr>
        <w:t>)</w:t>
      </w:r>
      <w:r w:rsidRPr="003C1D92">
        <w:rPr>
          <w:rFonts w:cs="Times New Roman"/>
          <w:lang w:val="en-US"/>
        </w:rPr>
        <w:t xml:space="preserve">. </w:t>
      </w:r>
    </w:p>
    <w:p w14:paraId="2E9A8CA3" w14:textId="77777777" w:rsidR="00D72082" w:rsidRPr="003C1D92" w:rsidRDefault="00D72082" w:rsidP="00EF0772">
      <w:pPr>
        <w:ind w:firstLine="360"/>
        <w:rPr>
          <w:rFonts w:cs="Times New Roman"/>
          <w:lang w:val="en-US"/>
        </w:rPr>
      </w:pPr>
    </w:p>
    <w:p w14:paraId="1C2FEE62" w14:textId="7E739C5E" w:rsidR="00D72082" w:rsidRPr="003C1D92" w:rsidRDefault="00D72082" w:rsidP="00EF0772">
      <w:pPr>
        <w:rPr>
          <w:rFonts w:cs="Times New Roman"/>
          <w:lang w:val="en-US"/>
        </w:rPr>
      </w:pPr>
      <w:r w:rsidRPr="003C1D92">
        <w:rPr>
          <w:rFonts w:cs="Times New Roman"/>
          <w:lang w:val="en-US"/>
        </w:rPr>
        <w:t>Data-driven analysis of fMRI data indicated that, across all participants, each of these large-scale brain networks was associated with a data-driven hippocampal subdivision (</w:t>
      </w:r>
      <w:r w:rsidRPr="003C1D92">
        <w:rPr>
          <w:rFonts w:cs="Times New Roman"/>
          <w:b/>
          <w:bCs/>
          <w:lang w:val="en-US"/>
        </w:rPr>
        <w:t>Supplementary Figure 2)</w:t>
      </w:r>
      <w:r w:rsidRPr="003C1D92">
        <w:rPr>
          <w:rFonts w:cs="Times New Roman"/>
          <w:lang w:val="en-US"/>
        </w:rPr>
        <w:t xml:space="preserve">. The SMN was associated with the lateral body of the hippocampus. The LN, known for its involvement in emotion processing and regulation, was associated with the hippocampal head. The DMN was associated with the medial body of the hippocampus. Lastly, the visual network (VN) was associated with the hippocampal lateral tail, and the VTA with the hippocampal anterior body. </w:t>
      </w:r>
    </w:p>
    <w:p w14:paraId="7EC51DB9" w14:textId="77777777" w:rsidR="004A0225" w:rsidRPr="003C1D92" w:rsidRDefault="004A0225" w:rsidP="00EF0772">
      <w:pPr>
        <w:pStyle w:val="SezioneBD"/>
        <w:numPr>
          <w:ilvl w:val="0"/>
          <w:numId w:val="0"/>
        </w:numPr>
        <w:rPr>
          <w:b w:val="0"/>
          <w:bCs w:val="0"/>
          <w:sz w:val="24"/>
          <w:szCs w:val="24"/>
          <w:lang w:val="en-GB"/>
        </w:rPr>
      </w:pPr>
    </w:p>
    <w:p w14:paraId="744ACB36" w14:textId="48EF96BF" w:rsidR="00E45598" w:rsidRPr="003C1D92" w:rsidRDefault="00544404" w:rsidP="00EF0772">
      <w:pPr>
        <w:pStyle w:val="Heading2"/>
        <w:spacing w:line="480" w:lineRule="auto"/>
      </w:pPr>
      <w:bookmarkStart w:id="38" w:name="_Toc229229973"/>
      <w:r w:rsidRPr="003C1D92">
        <w:t>Potential confounders</w:t>
      </w:r>
      <w:bookmarkEnd w:id="38"/>
    </w:p>
    <w:p w14:paraId="1C2A3627" w14:textId="3921B49F" w:rsidR="00544404" w:rsidRPr="003C1D92" w:rsidRDefault="00FD3435" w:rsidP="00EF0772">
      <w:pPr>
        <w:pStyle w:val="NormalWeb"/>
      </w:pPr>
      <w:r w:rsidRPr="003C1D92">
        <w:t xml:space="preserve">As detailed in </w:t>
      </w:r>
      <w:r w:rsidRPr="003C1D92">
        <w:rPr>
          <w:b/>
          <w:bCs/>
        </w:rPr>
        <w:t>Table 1</w:t>
      </w:r>
      <w:r w:rsidRPr="003C1D92">
        <w:t>, our analysis revealed no statistically significant differences among the three groups in terms of sex distribution, handedness, BMI, or cognitive scores, indicating overall well-balanced demographic and clinical characteristics across the cohorts.</w:t>
      </w:r>
    </w:p>
    <w:p w14:paraId="40BC4A6E" w14:textId="77F15370" w:rsidR="00111EF8" w:rsidRPr="003C1D92" w:rsidRDefault="00111EF8" w:rsidP="00EF0772">
      <w:pPr>
        <w:rPr>
          <w:rFonts w:eastAsia="Times New Roman" w:cs="Times New Roman"/>
          <w:lang w:val="en-US"/>
        </w:rPr>
      </w:pPr>
      <w:r w:rsidRPr="003C1D92">
        <w:rPr>
          <w:rFonts w:eastAsia="Times New Roman" w:cs="Times New Roman"/>
          <w:lang w:val="en-US"/>
        </w:rPr>
        <w:t xml:space="preserve">To ensure that differences in hippocampal </w:t>
      </w:r>
      <w:proofErr w:type="spellStart"/>
      <w:r w:rsidRPr="003C1D92">
        <w:rPr>
          <w:rFonts w:eastAsia="Times New Roman" w:cs="Times New Roman"/>
          <w:lang w:val="en-US"/>
        </w:rPr>
        <w:t>dFC</w:t>
      </w:r>
      <w:proofErr w:type="spellEnd"/>
      <w:r w:rsidRPr="003C1D92">
        <w:rPr>
          <w:rFonts w:eastAsia="Times New Roman" w:cs="Times New Roman"/>
          <w:lang w:val="en-US"/>
        </w:rPr>
        <w:t xml:space="preserve"> were not influenced by participant motion during the fMRI scan, in addition to the motion adjustments described above, we conducted correlation analyses between FD and occurrences of hippocampal </w:t>
      </w:r>
      <w:proofErr w:type="spellStart"/>
      <w:r w:rsidRPr="003C1D92">
        <w:rPr>
          <w:rFonts w:eastAsia="Times New Roman" w:cs="Times New Roman"/>
          <w:lang w:val="en-US"/>
        </w:rPr>
        <w:t>μCAPs</w:t>
      </w:r>
      <w:proofErr w:type="spellEnd"/>
      <w:r w:rsidRPr="003C1D92">
        <w:rPr>
          <w:rFonts w:eastAsia="Times New Roman" w:cs="Times New Roman"/>
          <w:lang w:val="en-US"/>
        </w:rPr>
        <w:t xml:space="preserve">. These analyses revealed no significant associations </w:t>
      </w:r>
      <w:r w:rsidRPr="003C1D92">
        <w:t>(</w:t>
      </w:r>
      <w:r w:rsidRPr="003C1D92">
        <w:rPr>
          <w:i/>
          <w:iCs/>
        </w:rPr>
        <w:t>p</w:t>
      </w:r>
      <w:r w:rsidRPr="003C1D92">
        <w:t xml:space="preserve"> &gt; 0.8 for all comparisons),</w:t>
      </w:r>
      <w:r w:rsidRPr="003C1D92">
        <w:rPr>
          <w:rFonts w:eastAsia="Times New Roman" w:cs="Times New Roman"/>
          <w:lang w:val="en-US"/>
        </w:rPr>
        <w:t xml:space="preserve"> thereby supporting the conclusion that observed </w:t>
      </w:r>
      <w:proofErr w:type="spellStart"/>
      <w:r w:rsidRPr="003C1D92">
        <w:rPr>
          <w:rFonts w:eastAsia="Times New Roman" w:cs="Times New Roman"/>
          <w:lang w:val="en-US"/>
        </w:rPr>
        <w:t>μCAPs</w:t>
      </w:r>
      <w:proofErr w:type="spellEnd"/>
      <w:r w:rsidRPr="003C1D92">
        <w:rPr>
          <w:rFonts w:eastAsia="Times New Roman" w:cs="Times New Roman"/>
          <w:lang w:val="en-US"/>
        </w:rPr>
        <w:t xml:space="preserve"> differences across groups were not confounded by subjects’ movement.</w:t>
      </w:r>
    </w:p>
    <w:p w14:paraId="3FE3E766" w14:textId="6F48BB08" w:rsidR="00573217" w:rsidRPr="003C1D92" w:rsidRDefault="00461AC2" w:rsidP="00EF0772">
      <w:pPr>
        <w:pStyle w:val="NormalWeb"/>
      </w:pPr>
      <w:r w:rsidRPr="003C1D92">
        <w:t xml:space="preserve">On the other hand, age significantly differed among groups, with </w:t>
      </w:r>
      <w:proofErr w:type="spellStart"/>
      <w:r w:rsidRPr="003C1D92">
        <w:t>EDDoff</w:t>
      </w:r>
      <w:proofErr w:type="spellEnd"/>
      <w:r w:rsidRPr="003C1D92">
        <w:t xml:space="preserve"> being predictably younger than the other two groups (</w:t>
      </w:r>
      <w:r w:rsidRPr="003C1D92">
        <w:rPr>
          <w:i/>
          <w:iCs/>
        </w:rPr>
        <w:t>p</w:t>
      </w:r>
      <w:r w:rsidRPr="003C1D92">
        <w:t xml:space="preserve"> &lt; 0.05 for all ANOVA post-hoc comparisons). However, several lines of evidence suggest that age did not substantially confound our main findings. </w:t>
      </w:r>
      <w:r w:rsidRPr="003C1D92">
        <w:lastRenderedPageBreak/>
        <w:t xml:space="preserve">Specifically, age was not prominently featured in any of the principal components associated with the primary outcomes reported in this study. Indeed, age was one of the primary contributors to only one retained PCA component (CL-RC3; </w:t>
      </w:r>
      <w:r w:rsidRPr="003C1D92">
        <w:rPr>
          <w:b/>
          <w:bCs/>
        </w:rPr>
        <w:t>Supplementary Figure 14</w:t>
      </w:r>
      <w:r w:rsidRPr="003C1D92">
        <w:t xml:space="preserve">), which was unrelated to the main findings reported in the article, showing only a modest negative correlation with a structural connectivity component (FA-RC1; </w:t>
      </w:r>
      <w:r w:rsidRPr="003C1D92">
        <w:rPr>
          <w:b/>
          <w:bCs/>
        </w:rPr>
        <w:t>Supplementary Figure 15</w:t>
      </w:r>
      <w:r w:rsidRPr="003C1D92">
        <w:t xml:space="preserve">), primarily characterized by FA in the SCR and PLIC regions, </w:t>
      </w:r>
      <w:proofErr w:type="gramStart"/>
      <w:r w:rsidRPr="003C1D92">
        <w:t>r(</w:t>
      </w:r>
      <w:proofErr w:type="gramEnd"/>
      <w:r w:rsidRPr="003C1D92">
        <w:t xml:space="preserve">235) = −0.14, </w:t>
      </w:r>
      <w:r w:rsidRPr="003C1D92">
        <w:rPr>
          <w:i/>
          <w:iCs/>
        </w:rPr>
        <w:t>p</w:t>
      </w:r>
      <w:r w:rsidRPr="003C1D92">
        <w:t xml:space="preserve"> = .038 (</w:t>
      </w:r>
      <w:r w:rsidRPr="003C1D92">
        <w:rPr>
          <w:b/>
          <w:bCs/>
        </w:rPr>
        <w:t>Supplementary Figure 16</w:t>
      </w:r>
      <w:r w:rsidRPr="003C1D92">
        <w:t>). This modest association likely reflects the well-established and documented decline of white matter integrity with increasing age</w:t>
      </w:r>
      <w:r w:rsidRPr="003C1D92">
        <w:fldChar w:fldCharType="begin"/>
      </w:r>
      <w:r w:rsidRPr="003C1D92">
        <w:instrText xml:space="preserve"> ADDIN ZOTERO_ITEM CSL_CITATION {"citationID":"Epf1dvPX","properties":{"formattedCitation":"(85)","plainCitation":"(85)","noteIndex":0},"citationItems":[{"id":28704,"uris":["http://zotero.org/users/8364405/items/BPUWZ7TV"],"itemData":{"id":28704,"type":"article-journal","abstract":"BACKGROUND AND PURPOSE: Fractional anisotropy (FA) is a useful measure of connectivity in the brain that can be derived from the diffusion tensor imaging (DTI) dataset. This study investigated the relationship between FA and selected measures of cognition across a broad age group to explore a possible structural basis for cognitive changes with age., METHODS: FA images were generated from DTI data acquired at 1.5T in 87 healthy subjects (age range, 20–73 years). Relationships between a range of cognitive measures and FA were explored using regional and voxel-based analysis., RESULTS: Age and regional average FA were significantly associated in the frontal, parietal, and temporal lobes but not in the occipital lobe. This negative relationship was especially prominent in the prefrontal regions of the frontal lobe, where FA declined at a rate of approximately 3% per decade. Decreased FA in the frontal, temporal, and parietal lobes was associated with poorer cognitive performance in executive maze and in an attention-switching task. A voxel-level analysis of these data revealed that the executive function-FA association was particularly strong and regionally delineated over 2 continuous, bilateral areas extending from the prefrontal cortex to the parietal lobe, with projections to the anterior portions of the thalamus., CONCLUSIONS: We demonstrate a relationship between FA and a measure of executive function—a core cognitive component that is a key feature of cognitive aging. We propose that that FA may provide an early means for the detection of age-related cognitive change and suggest a need for prospective data to explore this association.","container-title":"AJNR: American Journal of Neuroradiology","ISSN":"0195-6108","issue":"2","journalAbbreviation":"AJNR Am J Neuroradiol","note":"PMID: 17296985\nPMCID: PMC7977408","page":"226-235","source":"PubMed Central","title":"Cognitive Aging, Executive Function, and Fractional Anisotropy: A Diffusion Tensor MR Imaging Study","title-short":"Cognitive Aging, Executive Function, and Fractional Anisotropy","volume":"28","author":[{"family":"Grieve","given":"S.M."},{"family":"Williams","given":"L.M."},{"family":"Paul","given":"R.H."},{"family":"Clark","given":"C.R."},{"family":"Gordon","given":"E."}],"issued":{"date-parts":[["2007",2]]}}}],"schema":"https://github.com/citation-style-language/schema/raw/master/csl-citation.json"} </w:instrText>
      </w:r>
      <w:r w:rsidRPr="003C1D92">
        <w:fldChar w:fldCharType="separate"/>
      </w:r>
      <w:r w:rsidRPr="003C1D92">
        <w:rPr>
          <w:noProof/>
        </w:rPr>
        <w:t>(85)</w:t>
      </w:r>
      <w:r w:rsidRPr="003C1D92">
        <w:fldChar w:fldCharType="end"/>
      </w:r>
      <w:r w:rsidRPr="003C1D92">
        <w:t>.</w:t>
      </w:r>
    </w:p>
    <w:p w14:paraId="0BF694F7" w14:textId="741F0EE9" w:rsidR="00326C4E" w:rsidRPr="003C1D92" w:rsidRDefault="00691ACF" w:rsidP="00EF0772">
      <w:r w:rsidRPr="003C1D92">
        <w:rPr>
          <w:rFonts w:eastAsia="Times New Roman" w:cs="Times New Roman"/>
          <w:lang w:val="en-US"/>
        </w:rPr>
        <w:t xml:space="preserve">Further corroborating the minimal role of age as a confounder, it was not ranked among the top 60% of most influential variables in any of the RF models predicting diagnostic group membership or ED symptoms. </w:t>
      </w:r>
      <w:r w:rsidRPr="003C1D92">
        <w:t>These results suggest that while age varied across groups, it was unlikely to have substantially confounded the primary outcomes of interest.</w:t>
      </w:r>
    </w:p>
    <w:p w14:paraId="1074AA68" w14:textId="77777777" w:rsidR="00555A01" w:rsidRPr="003C1D92" w:rsidRDefault="00555A01" w:rsidP="00EF0772"/>
    <w:p w14:paraId="22BBE595" w14:textId="24AFA669" w:rsidR="003A107C" w:rsidRPr="003C1D92" w:rsidRDefault="003A107C" w:rsidP="00EF0772">
      <w:r w:rsidRPr="003C1D92">
        <w:t xml:space="preserve">Lastly, as anticipated, approximately half of the EDD patients (49%) were prescribed psychotropic medication, contrary to the other groups. To evaluate whether psychotropic medication influenced the observed group differences, we computed a psychotropic treatment load index (0, 1, or 2 medications) for each patient. Correlation analyses (Spearman and Pearson) between this treatment load index and </w:t>
      </w:r>
      <w:r w:rsidRPr="003C1D92">
        <w:rPr>
          <w:color w:val="000000"/>
          <w:sz w:val="22"/>
          <w:szCs w:val="22"/>
        </w:rPr>
        <w:t>participants’ scores on</w:t>
      </w:r>
      <w:r w:rsidRPr="003C1D92">
        <w:t xml:space="preserve"> retained PCA components showed no significant associations with any components exhibiting significant group differences (all </w:t>
      </w:r>
      <w:r w:rsidRPr="003C1D92">
        <w:rPr>
          <w:i/>
          <w:iCs/>
        </w:rPr>
        <w:t>p</w:t>
      </w:r>
      <w:r w:rsidRPr="003C1D92">
        <w:t xml:space="preserve"> &gt; 0.2), thereby supporting the conclusion that psychotropic medication use is unlikely to have driven the observed differences.</w:t>
      </w:r>
    </w:p>
    <w:p w14:paraId="11AEFE1A" w14:textId="12E961A6" w:rsidR="003836F9" w:rsidRPr="003C1D92" w:rsidRDefault="003836F9" w:rsidP="00EF0772">
      <w:r w:rsidRPr="003C1D92">
        <w:t>Collectively, these results suggest that demographic factors, such as age, as well as clinical factors, such as psychotropic medication usage, did not meaningfully bias or confound the findings presented in this study.</w:t>
      </w:r>
    </w:p>
    <w:p w14:paraId="3CDBB109" w14:textId="77777777" w:rsidR="003836F9" w:rsidRPr="003C1D92" w:rsidRDefault="003836F9" w:rsidP="00EF0772">
      <w:pPr>
        <w:pStyle w:val="Heading2"/>
        <w:spacing w:line="480" w:lineRule="auto"/>
        <w:rPr>
          <w:lang w:eastAsia="en-GB"/>
        </w:rPr>
      </w:pPr>
    </w:p>
    <w:p w14:paraId="2B5A9810" w14:textId="5A45A51A" w:rsidR="0097148B" w:rsidRPr="003C1D92" w:rsidRDefault="00FF2AFF" w:rsidP="00EF0772">
      <w:pPr>
        <w:pStyle w:val="Heading2"/>
        <w:spacing w:line="480" w:lineRule="auto"/>
        <w:rPr>
          <w:lang w:eastAsia="en-GB"/>
        </w:rPr>
      </w:pPr>
      <w:bookmarkStart w:id="39" w:name="_Toc229229974"/>
      <w:r w:rsidRPr="003C1D92">
        <w:rPr>
          <w:lang w:eastAsia="en-GB"/>
        </w:rPr>
        <w:t>Baseline linear model (ridge regression) for group prediction</w:t>
      </w:r>
      <w:bookmarkEnd w:id="39"/>
    </w:p>
    <w:p w14:paraId="1C3D63A4" w14:textId="1E9C1ACF" w:rsidR="00D753AB" w:rsidRPr="003C1D92" w:rsidRDefault="000831A5" w:rsidP="00EF0772">
      <w:pPr>
        <w:rPr>
          <w:lang w:eastAsia="en-GB"/>
        </w:rPr>
      </w:pPr>
      <w:r w:rsidRPr="003C1D92">
        <w:rPr>
          <w:lang w:eastAsia="en-GB"/>
        </w:rPr>
        <w:t xml:space="preserve">Ridge regression achieved a test set classification accuracy of 74.3% (95% CI: 62.4%–84.0%) and a balanced accuracy (i.e. performance adjusted for group sizes) of 62.6%, with the optimal regularization parameter selected via 10-fold cross-validation. However, this performance was not significantly better than chance (No Information Rate = 70%; </w:t>
      </w:r>
      <w:r w:rsidRPr="003C1D92">
        <w:rPr>
          <w:i/>
          <w:iCs/>
        </w:rPr>
        <w:t>p</w:t>
      </w:r>
      <w:r w:rsidRPr="003C1D92">
        <w:rPr>
          <w:lang w:eastAsia="en-GB"/>
        </w:rPr>
        <w:t xml:space="preserve"> = .26). The Cohen’s kappa coefficient was 0.29, indicating fair agreement between predicted and actual class labels</w:t>
      </w:r>
      <w:r w:rsidRPr="003C1D92">
        <w:rPr>
          <w:lang w:eastAsia="en-GB"/>
        </w:rPr>
        <w:fldChar w:fldCharType="begin"/>
      </w:r>
      <w:r w:rsidRPr="003C1D92">
        <w:rPr>
          <w:lang w:eastAsia="en-GB"/>
        </w:rPr>
        <w:instrText xml:space="preserve"> ADDIN ZOTERO_ITEM CSL_CITATION {"citationID":"LgY1q4Ek","properties":{"formattedCitation":"(86)","plainCitation":"(86)","noteIndex":0},"citationItems":[{"id":28698,"uris":["http://zotero.org/users/8364405/items/4ZSJGBG7"],"itemData":{"id":28698,"type":"article-journal","abstract":"The kappa statistic is frequently used to test interrater reliability. The importance of rater reliability lies in the fact that it represents the extent to which the data collected in the study are correct representations of the variables measured. Measurement of the extent to which data collectors (raters) assign the same score to the same variable is called interrater reliability. While there have been a variety of methods to measure interrater reliability, traditionally it was measured as percent agreement, calculated as the number of agreement scores divided by the total number of scores. In 1960, Jacob Cohen critiqued use of percent agreement due to its inability to account for chance agreement. He introduced the Cohen’s kappa, developed to account for the possibility that raters actually guess on at least some variables due to uncertainty. Like most correlation statistics, the kappa can range from −1 to +1. While the kappa is one of the most commonly used statistics to test interrater reliability, it has limitations. Judgments about what level of kappa should be acceptable for health research are questioned. Cohen’s suggested interpretation may be too lenient for health related studies because it implies that a score as low as 0.41 might be acceptable. Kappa and percent agreement are compared, and levels for both kappa and percent agreement that should be demanded in healthcare studies are suggested.","container-title":"Biochemia Medica","ISSN":"1330-0962","issue":"3","journalAbbreviation":"Biochem Med (Zagreb)","note":"PMID: 23092060\nPMCID: PMC3900052","page":"276-282","source":"PubMed Central","title":"Interrater reliability: the kappa statistic","title-short":"Interrater reliability","volume":"22","author":[{"family":"McHugh","given":"Mary L."}],"issued":{"date-parts":[["2012",10,15]]}}}],"schema":"https://github.com/citation-style-language/schema/raw/master/csl-citation.json"} </w:instrText>
      </w:r>
      <w:r w:rsidRPr="003C1D92">
        <w:rPr>
          <w:lang w:eastAsia="en-GB"/>
        </w:rPr>
        <w:fldChar w:fldCharType="separate"/>
      </w:r>
      <w:r w:rsidRPr="003C1D92">
        <w:rPr>
          <w:noProof/>
          <w:lang w:eastAsia="en-GB"/>
        </w:rPr>
        <w:t>(86)</w:t>
      </w:r>
      <w:r w:rsidRPr="003C1D92">
        <w:rPr>
          <w:lang w:eastAsia="en-GB"/>
        </w:rPr>
        <w:fldChar w:fldCharType="end"/>
      </w:r>
      <w:r w:rsidRPr="003C1D92">
        <w:rPr>
          <w:lang w:eastAsia="en-GB"/>
        </w:rPr>
        <w:t>.</w:t>
      </w:r>
    </w:p>
    <w:p w14:paraId="4213FC82" w14:textId="0EE78CA3" w:rsidR="0097148B" w:rsidRPr="003C1D92" w:rsidRDefault="000831A5" w:rsidP="00EF0772">
      <w:pPr>
        <w:rPr>
          <w:b/>
          <w:bCs/>
          <w:lang w:eastAsia="en-GB"/>
        </w:rPr>
      </w:pPr>
      <w:r w:rsidRPr="003C1D92">
        <w:rPr>
          <w:lang w:eastAsia="en-GB"/>
        </w:rPr>
        <w:t>Overall, these results highlight the limited ability of linear models to capture the complexity of group distinctions in this multimodal dataset, particularly in differentiating HC from at-risk or affected individuals.</w:t>
      </w:r>
    </w:p>
    <w:p w14:paraId="42EFA759" w14:textId="77777777" w:rsidR="00FF24F3" w:rsidRPr="003C1D92" w:rsidRDefault="00FF24F3" w:rsidP="00EF0772">
      <w:pPr>
        <w:pStyle w:val="SezioneBD"/>
        <w:numPr>
          <w:ilvl w:val="0"/>
          <w:numId w:val="0"/>
        </w:numPr>
        <w:rPr>
          <w:sz w:val="24"/>
          <w:szCs w:val="24"/>
        </w:rPr>
      </w:pPr>
    </w:p>
    <w:p w14:paraId="22150684" w14:textId="51B31974" w:rsidR="00E8095A" w:rsidRPr="003C1D92" w:rsidRDefault="0025375C" w:rsidP="00EF0772">
      <w:pPr>
        <w:pStyle w:val="Heading2"/>
        <w:spacing w:line="480" w:lineRule="auto"/>
      </w:pPr>
      <w:bookmarkStart w:id="40" w:name="_Toc229229975"/>
      <w:r w:rsidRPr="003C1D92">
        <w:t>Negative control features confirm RF models validity</w:t>
      </w:r>
      <w:bookmarkEnd w:id="40"/>
    </w:p>
    <w:p w14:paraId="24276CAC" w14:textId="3DC15FA9" w:rsidR="00B264EB" w:rsidRPr="003C1D92" w:rsidRDefault="00E8095A" w:rsidP="00EF0772">
      <w:pPr>
        <w:pStyle w:val="NormalWeb"/>
      </w:pPr>
      <w:r w:rsidRPr="003C1D92">
        <w:t xml:space="preserve">To assess the specificity and robustness of the RF models and the risk of overfitting, three synthetic noise features (Gaussian, random, and binomial) were included as negative controls in all classification and regression analyses. </w:t>
      </w:r>
    </w:p>
    <w:p w14:paraId="7887F617" w14:textId="6801B270" w:rsidR="002929B2" w:rsidRPr="003C1D92" w:rsidRDefault="00E8095A" w:rsidP="00EF0772">
      <w:pPr>
        <w:pStyle w:val="NormalWeb"/>
      </w:pPr>
      <w:r w:rsidRPr="003C1D92">
        <w:t xml:space="preserve">Importantly, none of these noise features ranked among the top 60% of features in any RF model’s variable importance rankings. This pattern was consistent across both group classification and symptom prediction tasks. The lack of predictive value for these randomly generated features supports the specificity of the RF models and reduces the likelihood of overfitting or spurious associations. </w:t>
      </w:r>
    </w:p>
    <w:p w14:paraId="1BA7B558" w14:textId="7C378220" w:rsidR="00E8095A" w:rsidRPr="003C1D92" w:rsidRDefault="00E8095A" w:rsidP="00EF0772">
      <w:pPr>
        <w:pStyle w:val="NormalWeb"/>
      </w:pPr>
      <w:r w:rsidRPr="003C1D92">
        <w:t>These results strengthen confidence that the model’s predictive performance is driven by meaningful, biologically and clinically relevant variables rather than by noise or random artifacts.</w:t>
      </w:r>
    </w:p>
    <w:p w14:paraId="4B40B4C1" w14:textId="77777777" w:rsidR="00A61438" w:rsidRPr="003C1D92" w:rsidRDefault="00A61438" w:rsidP="00EF0772">
      <w:pPr>
        <w:pStyle w:val="NormalWeb"/>
      </w:pPr>
    </w:p>
    <w:p w14:paraId="39DC6FAB" w14:textId="38881A0D" w:rsidR="00FC1245" w:rsidRPr="003C1D92" w:rsidRDefault="00FC1245" w:rsidP="00EF0772">
      <w:pPr>
        <w:pStyle w:val="Heading2"/>
        <w:spacing w:line="480" w:lineRule="auto"/>
        <w:rPr>
          <w:lang w:eastAsia="en-GB"/>
        </w:rPr>
      </w:pPr>
      <w:bookmarkStart w:id="41" w:name="_Toc229229976"/>
      <w:bookmarkStart w:id="42" w:name="_Hlk215844167"/>
      <w:r w:rsidRPr="003C1D92">
        <w:rPr>
          <w:lang w:eastAsia="en-GB"/>
        </w:rPr>
        <w:t>RF prediction of cognitive emotion regulation strategies</w:t>
      </w:r>
      <w:bookmarkEnd w:id="41"/>
      <w:r w:rsidRPr="003C1D92">
        <w:rPr>
          <w:lang w:eastAsia="en-GB"/>
        </w:rPr>
        <w:t xml:space="preserve"> </w:t>
      </w:r>
    </w:p>
    <w:bookmarkEnd w:id="42"/>
    <w:p w14:paraId="58B4B728" w14:textId="374F083D" w:rsidR="00FC1245" w:rsidRPr="003C1D92" w:rsidRDefault="00FC1245"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A RF regression model was trained to predict participants’ CERQ, using multimodal biological and neuroimaging variables. The model yielded a predictive performance of RMSE = 0.082, MAE = 0.065, and R² = 0.054. Despite the low explained variance, the prediction error remained relatively constrained, and actual and predicted CERQ scores showed a statistically significant correlation across participants (r = .32, </w:t>
      </w:r>
      <w:r w:rsidRPr="003C1D92">
        <w:rPr>
          <w:rFonts w:eastAsia="Times New Roman" w:cs="Times New Roman"/>
          <w:i/>
          <w:iCs/>
          <w:lang w:eastAsia="en-GB"/>
        </w:rPr>
        <w:t>p</w:t>
      </w:r>
      <w:r w:rsidRPr="003C1D92">
        <w:rPr>
          <w:rFonts w:eastAsia="Times New Roman" w:cs="Times New Roman"/>
          <w:lang w:eastAsia="en-GB"/>
        </w:rPr>
        <w:t xml:space="preserve"> = .007, </w:t>
      </w:r>
      <w:r w:rsidRPr="003C1D92">
        <w:rPr>
          <w:rFonts w:eastAsia="Times New Roman" w:cs="Times New Roman"/>
          <w:b/>
          <w:bCs/>
          <w:lang w:eastAsia="en-GB"/>
        </w:rPr>
        <w:t>Supplementary Figure 12</w:t>
      </w:r>
      <w:r w:rsidRPr="003C1D92">
        <w:rPr>
          <w:rFonts w:eastAsia="Times New Roman" w:cs="Times New Roman"/>
          <w:lang w:eastAsia="en-GB"/>
        </w:rPr>
        <w:t xml:space="preserve">). </w:t>
      </w:r>
    </w:p>
    <w:p w14:paraId="46326CDC" w14:textId="5B22E520" w:rsidR="00C80E0F" w:rsidRPr="003C1D92" w:rsidRDefault="00FC1245"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The most informative predictors included white matter integrity indices—particularly within the PCR and GCC- along with hippocampal dFC with the DMN. Interestingly, the proinflammatory cytokines IL-4 and MIF, and the anti-inflammatory cytokine IL-2 were the biological markers most relevant to the model (</w:t>
      </w:r>
      <w:r w:rsidRPr="003C1D92">
        <w:rPr>
          <w:rFonts w:eastAsia="Times New Roman" w:cs="Times New Roman"/>
          <w:b/>
          <w:bCs/>
          <w:lang w:eastAsia="en-GB"/>
        </w:rPr>
        <w:t>Supplementary Figure 13</w:t>
      </w:r>
      <w:r w:rsidRPr="003C1D92">
        <w:rPr>
          <w:rFonts w:eastAsia="Times New Roman" w:cs="Times New Roman"/>
          <w:lang w:eastAsia="en-GB"/>
        </w:rPr>
        <w:t xml:space="preserve">). </w:t>
      </w:r>
    </w:p>
    <w:p w14:paraId="4D58A7C9" w14:textId="54DE4C26" w:rsidR="00FD633E" w:rsidRPr="003C1D92" w:rsidRDefault="00FC1245"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These results indicate that although the model's effect size was modest, immune and neuroimaging features contribute meaningfully to the prediction of individual variability in cognitive emotion regulation strategies. </w:t>
      </w:r>
    </w:p>
    <w:p w14:paraId="2891AAA6" w14:textId="77777777" w:rsidR="00A61438" w:rsidRPr="003C1D92" w:rsidRDefault="00A61438" w:rsidP="00EF0772">
      <w:pPr>
        <w:spacing w:before="100" w:beforeAutospacing="1" w:after="100" w:afterAutospacing="1"/>
        <w:rPr>
          <w:rFonts w:eastAsia="Times New Roman" w:cs="Times New Roman"/>
          <w:lang w:eastAsia="en-GB"/>
        </w:rPr>
      </w:pPr>
    </w:p>
    <w:p w14:paraId="31932646" w14:textId="34E64C4C" w:rsidR="00E60440" w:rsidRPr="003C1D92" w:rsidRDefault="009973B3" w:rsidP="00EF0772">
      <w:pPr>
        <w:pStyle w:val="Heading2"/>
        <w:spacing w:line="480" w:lineRule="auto"/>
        <w:rPr>
          <w:lang w:eastAsia="en-GB"/>
        </w:rPr>
      </w:pPr>
      <w:bookmarkStart w:id="43" w:name="_Toc229229977"/>
      <w:bookmarkStart w:id="44" w:name="_Hlk215844419"/>
      <w:bookmarkStart w:id="45" w:name="_Hlk229229216"/>
      <w:r w:rsidRPr="003C1D92">
        <w:rPr>
          <w:lang w:eastAsia="en-GB"/>
        </w:rPr>
        <w:t xml:space="preserve">Group differences in the </w:t>
      </w:r>
      <w:bookmarkStart w:id="46" w:name="_Hlk215844191"/>
      <w:r w:rsidRPr="003C1D92">
        <w:rPr>
          <w:lang w:eastAsia="en-GB"/>
        </w:rPr>
        <w:t>within-block PCA</w:t>
      </w:r>
      <w:bookmarkEnd w:id="43"/>
      <w:r w:rsidRPr="003C1D92">
        <w:rPr>
          <w:lang w:eastAsia="en-GB"/>
        </w:rPr>
        <w:t xml:space="preserve"> </w:t>
      </w:r>
      <w:bookmarkEnd w:id="44"/>
      <w:bookmarkEnd w:id="46"/>
    </w:p>
    <w:bookmarkEnd w:id="45"/>
    <w:p w14:paraId="4C5F951A" w14:textId="65830D8A" w:rsidR="00E60440" w:rsidRPr="003C1D92" w:rsidRDefault="00E60440" w:rsidP="00EF0772">
      <w:pPr>
        <w:spacing w:before="100" w:beforeAutospacing="1" w:after="100" w:afterAutospacing="1"/>
        <w:rPr>
          <w:rFonts w:cs="Times New Roman"/>
        </w:rPr>
      </w:pPr>
      <w:r w:rsidRPr="003C1D92">
        <w:rPr>
          <w:rFonts w:eastAsia="Times New Roman" w:cs="Times New Roman"/>
          <w:lang w:eastAsia="en-GB"/>
        </w:rPr>
        <w:t>Within-block PCA revealed group differences in a restricted set of components. In the immune-biological (BIO) block, BIO-RC3 (</w:t>
      </w:r>
      <w:r w:rsidRPr="003C1D92">
        <w:rPr>
          <w:rFonts w:eastAsia="Times New Roman" w:cs="Times New Roman"/>
          <w:b/>
          <w:bCs/>
          <w:lang w:eastAsia="en-GB"/>
        </w:rPr>
        <w:t>Supplementary Figure 23)</w:t>
      </w:r>
      <w:r w:rsidRPr="003C1D92">
        <w:rPr>
          <w:rFonts w:eastAsia="Times New Roman" w:cs="Times New Roman"/>
          <w:lang w:eastAsia="en-GB"/>
        </w:rPr>
        <w:t xml:space="preserve"> showed a significant main effect of group (F(2,234) = 4.88, p = .008), with EDD patients scoring higher than both EDDoff (Tukey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 .022) and HC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 .028), whereas EDDoff and HC did not differ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 .99). In the structural FA block, RC2 differed across groups (F(2,234) = 3.11, p = .047), driven by lower scores in EDD relative to HC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 xml:space="preserve">= .037); EDDoff did not differ significantly from </w:t>
      </w:r>
      <w:r w:rsidRPr="003C1D92">
        <w:rPr>
          <w:rFonts w:eastAsia="Times New Roman" w:cs="Times New Roman"/>
          <w:lang w:eastAsia="en-GB"/>
        </w:rPr>
        <w:lastRenderedPageBreak/>
        <w:t xml:space="preserve">either EDD or HC (both </w:t>
      </w:r>
      <w:r w:rsidRPr="003C1D92">
        <w:rPr>
          <w:rStyle w:val="mord"/>
          <w:rFonts w:cs="Times New Roman"/>
          <w:i/>
          <w:iCs/>
        </w:rPr>
        <w:t>p</w:t>
      </w:r>
      <w:r w:rsidRPr="003C1D92">
        <w:rPr>
          <w:rStyle w:val="mord"/>
          <w:rFonts w:cs="Times New Roman"/>
          <w:i/>
          <w:iCs/>
          <w:vertAlign w:val="subscript"/>
        </w:rPr>
        <w:t>adj</w:t>
      </w:r>
      <w:r w:rsidRPr="003C1D92">
        <w:rPr>
          <w:rFonts w:eastAsia="Times New Roman" w:cs="Times New Roman"/>
          <w:lang w:eastAsia="en-GB"/>
        </w:rPr>
        <w:t xml:space="preserve"> ≥ .27). In the functional CAP block, dFC-RC1 (</w:t>
      </w:r>
      <w:r w:rsidRPr="003C1D92">
        <w:rPr>
          <w:rFonts w:eastAsia="Times New Roman" w:cs="Times New Roman"/>
          <w:b/>
          <w:bCs/>
          <w:lang w:eastAsia="en-GB"/>
        </w:rPr>
        <w:t>Supplementary Figure 17)</w:t>
      </w:r>
      <w:r w:rsidRPr="003C1D92">
        <w:rPr>
          <w:rFonts w:eastAsia="Times New Roman" w:cs="Times New Roman"/>
          <w:lang w:eastAsia="en-GB"/>
        </w:rPr>
        <w:t xml:space="preserve"> showed a significant group effect (F(2,234) = 4.67, p = .010), with higher scores in EDD patients than in HC (</w:t>
      </w:r>
      <w:r w:rsidRPr="003C1D92">
        <w:rPr>
          <w:rStyle w:val="mord"/>
          <w:rFonts w:cs="Times New Roman"/>
          <w:i/>
          <w:iCs/>
        </w:rPr>
        <w:t>p</w:t>
      </w:r>
      <w:r w:rsidRPr="003C1D92">
        <w:rPr>
          <w:rStyle w:val="mord"/>
          <w:rFonts w:cs="Times New Roman"/>
          <w:i/>
          <w:iCs/>
          <w:vertAlign w:val="subscript"/>
        </w:rPr>
        <w:t>adj</w:t>
      </w:r>
      <w:r w:rsidRPr="003C1D92">
        <w:rPr>
          <w:rFonts w:eastAsia="Times New Roman" w:cs="Times New Roman"/>
          <w:lang w:eastAsia="en-GB"/>
        </w:rPr>
        <w:t xml:space="preserve"> = .008), while EDDoff again did not differ from either group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 xml:space="preserve">≥ .11). In the clinical block, </w:t>
      </w:r>
      <w:bookmarkStart w:id="47" w:name="_Hlk219818899"/>
      <w:r w:rsidRPr="003C1D92">
        <w:rPr>
          <w:rFonts w:eastAsia="Times New Roman" w:cs="Times New Roman"/>
          <w:lang w:eastAsia="en-GB"/>
        </w:rPr>
        <w:t xml:space="preserve">CL-RC1 </w:t>
      </w:r>
      <w:bookmarkEnd w:id="47"/>
      <w:r w:rsidRPr="003C1D92">
        <w:rPr>
          <w:rFonts w:eastAsia="Times New Roman" w:cs="Times New Roman"/>
          <w:lang w:eastAsia="en-GB"/>
        </w:rPr>
        <w:t>(</w:t>
      </w:r>
      <w:r w:rsidRPr="003C1D92">
        <w:rPr>
          <w:b/>
          <w:bCs/>
        </w:rPr>
        <w:t>Supplementary Figure 7</w:t>
      </w:r>
      <w:r w:rsidRPr="003C1D92">
        <w:t xml:space="preserve">) </w:t>
      </w:r>
      <w:r w:rsidRPr="003C1D92">
        <w:rPr>
          <w:rFonts w:eastAsia="Times New Roman" w:cs="Times New Roman"/>
          <w:lang w:eastAsia="en-GB"/>
        </w:rPr>
        <w:t xml:space="preserve">showed a robust main effect of group (F(2,234) = 56.81, p &lt; .001), with a clear gradient EDD &gt; EDDoff &gt; HC: EDD patients scored higher than both EDDoff and HC (both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&lt; 1×10⁻⁷), and EDDoff scored higher than HC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&lt; .001). CL-RC3 also differed significantly between groups (F(2,234) = 9.77, p &lt; .001): EDD patients had higher scores than EDDoff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&lt; .001), and HC scored higher than EDDoff (</w:t>
      </w:r>
      <w:bookmarkStart w:id="48" w:name="_Hlk229229386"/>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bookmarkEnd w:id="48"/>
      <w:r w:rsidRPr="003C1D92">
        <w:rPr>
          <w:rFonts w:eastAsia="Times New Roman" w:cs="Times New Roman"/>
          <w:lang w:eastAsia="en-GB"/>
        </w:rPr>
        <w:t>= .0013), whereas EDD and HC did not differ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 xml:space="preserve">= .93). No other pairwise group differences for any intra-modality component survived Tukey-adjusted post-hoc testing. These results are overall coherent with the multimodal results, which are reported in the main text. </w:t>
      </w:r>
      <w:r w:rsidRPr="003C1D92">
        <w:rPr>
          <w:rFonts w:cs="Times New Roman"/>
        </w:rPr>
        <w:t xml:space="preserve">Detailed variable loadings and description for all retained components from the unimodal (clinical, FA, dFC, and biological) and multimodal PCAs are provided in </w:t>
      </w:r>
      <w:r w:rsidRPr="003C1D92">
        <w:rPr>
          <w:b/>
          <w:bCs/>
        </w:rPr>
        <w:t>Supplementary Figures 16–29</w:t>
      </w:r>
      <w:r w:rsidRPr="003C1D92">
        <w:rPr>
          <w:rFonts w:cs="Times New Roman"/>
        </w:rPr>
        <w:t>, and discussed in the sections below.</w:t>
      </w:r>
    </w:p>
    <w:p w14:paraId="5E1360F6" w14:textId="7CB3B506" w:rsidR="00A36567" w:rsidRPr="003C1D92" w:rsidRDefault="00806470" w:rsidP="00B66BC7">
      <w:pPr>
        <w:pStyle w:val="Heading2"/>
        <w:spacing w:line="480" w:lineRule="auto"/>
        <w:rPr>
          <w:lang w:eastAsia="en-GB"/>
        </w:rPr>
      </w:pPr>
      <w:bookmarkStart w:id="49" w:name="_Toc229229978"/>
      <w:bookmarkStart w:id="50" w:name="_Hlk229229986"/>
      <w:r w:rsidRPr="003C1D92">
        <w:rPr>
          <w:lang w:eastAsia="en-GB"/>
        </w:rPr>
        <w:t xml:space="preserve">Multimodal diagnostic </w:t>
      </w:r>
      <w:r w:rsidR="009D531A" w:rsidRPr="003C1D92">
        <w:rPr>
          <w:lang w:eastAsia="en-GB"/>
        </w:rPr>
        <w:t>subgroup</w:t>
      </w:r>
      <w:r w:rsidRPr="003C1D92">
        <w:rPr>
          <w:lang w:eastAsia="en-GB"/>
        </w:rPr>
        <w:t xml:space="preserve"> differences</w:t>
      </w:r>
      <w:bookmarkEnd w:id="49"/>
    </w:p>
    <w:bookmarkEnd w:id="50"/>
    <w:p w14:paraId="3F954BD6" w14:textId="3458778B" w:rsidR="00D941B8" w:rsidRPr="003C1D92" w:rsidRDefault="00D941B8"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One-way ANOVAs revealed significant </w:t>
      </w:r>
      <w:r w:rsidR="009D531A" w:rsidRPr="003C1D92">
        <w:rPr>
          <w:rFonts w:eastAsia="Times New Roman" w:cs="Times New Roman"/>
          <w:lang w:eastAsia="en-GB"/>
        </w:rPr>
        <w:t>subgroup</w:t>
      </w:r>
      <w:r w:rsidRPr="003C1D92">
        <w:rPr>
          <w:rFonts w:eastAsia="Times New Roman" w:cs="Times New Roman"/>
          <w:lang w:eastAsia="en-GB"/>
        </w:rPr>
        <w:t xml:space="preserve"> diagnostic differences for the multimodal PCA components RC3, labeled “</w:t>
      </w:r>
      <w:r w:rsidR="00493FEE" w:rsidRPr="00493FEE">
        <w:rPr>
          <w:rFonts w:eastAsia="Times New Roman" w:cs="Times New Roman"/>
          <w:lang w:eastAsia="en-GB"/>
        </w:rPr>
        <w:t>High emotion dysregulation–hippocampal dFC</w:t>
      </w:r>
      <w:r w:rsidRPr="003C1D92">
        <w:rPr>
          <w:rFonts w:eastAsia="Times New Roman" w:cs="Times New Roman"/>
          <w:lang w:eastAsia="en-GB"/>
        </w:rPr>
        <w:t xml:space="preserve">”  (F(6,230) = 34.44, p &lt; .001) and RC5, labeled “High Immune Dysregulation” (F(6,230) = 7.36, p &lt; .001), consistent in direction with the transdiagnostic analyses reported in the main text. For RC3, post-hoc Tukey HSD comparisons indicated that all clinical groups showed significantly higher scores than controls (all </w:t>
      </w:r>
      <w:r w:rsidRPr="003C1D92">
        <w:rPr>
          <w:rStyle w:val="mord"/>
          <w:rFonts w:cs="Times New Roman"/>
          <w:i/>
          <w:iCs/>
        </w:rPr>
        <w:t>p</w:t>
      </w:r>
      <w:r w:rsidRPr="003C1D92">
        <w:rPr>
          <w:rStyle w:val="mord"/>
          <w:rFonts w:cs="Times New Roman"/>
          <w:i/>
          <w:iCs/>
          <w:vertAlign w:val="subscript"/>
        </w:rPr>
        <w:t>adj</w:t>
      </w:r>
      <w:r w:rsidRPr="003C1D92">
        <w:rPr>
          <w:rFonts w:eastAsia="Times New Roman" w:cs="Times New Roman"/>
          <w:lang w:eastAsia="en-GB"/>
        </w:rPr>
        <w:t xml:space="preserve"> ≤ .006), with BPD patients exhibiting the highest scores and the largest effect relative to controls (</w:t>
      </w:r>
      <w:r w:rsidRPr="003C1D92">
        <w:rPr>
          <w:rStyle w:val="mord"/>
          <w:rFonts w:cs="Times New Roman"/>
          <w:i/>
          <w:iCs/>
        </w:rPr>
        <w:t>p</w:t>
      </w:r>
      <w:r w:rsidRPr="003C1D92">
        <w:rPr>
          <w:rStyle w:val="mord"/>
          <w:rFonts w:cs="Times New Roman"/>
          <w:i/>
          <w:iCs/>
          <w:vertAlign w:val="subscript"/>
        </w:rPr>
        <w:t>adj</w:t>
      </w:r>
      <w:r w:rsidRPr="003C1D92">
        <w:rPr>
          <w:rFonts w:eastAsia="Times New Roman" w:cs="Times New Roman"/>
          <w:lang w:eastAsia="en-GB"/>
        </w:rPr>
        <w:t xml:space="preserve"> &lt; .001). BPD scores were also significantly higher than those of BD (</w:t>
      </w:r>
      <w:r w:rsidRPr="003C1D92">
        <w:rPr>
          <w:rStyle w:val="mord"/>
          <w:rFonts w:cs="Times New Roman"/>
          <w:i/>
          <w:iCs/>
        </w:rPr>
        <w:t>p</w:t>
      </w:r>
      <w:r w:rsidRPr="003C1D92">
        <w:rPr>
          <w:rStyle w:val="mord"/>
          <w:rFonts w:cs="Times New Roman"/>
          <w:i/>
          <w:iCs/>
          <w:vertAlign w:val="subscript"/>
        </w:rPr>
        <w:t>adj</w:t>
      </w:r>
      <w:r w:rsidRPr="003C1D92">
        <w:rPr>
          <w:rFonts w:eastAsia="Times New Roman" w:cs="Times New Roman"/>
          <w:lang w:eastAsia="en-GB"/>
        </w:rPr>
        <w:t xml:space="preserve"> &lt; .001), BDOFF (</w:t>
      </w:r>
      <w:r w:rsidRPr="003C1D92">
        <w:rPr>
          <w:rStyle w:val="mord"/>
          <w:rFonts w:cs="Times New Roman"/>
          <w:i/>
          <w:iCs/>
        </w:rPr>
        <w:t>p</w:t>
      </w:r>
      <w:r w:rsidRPr="003C1D92">
        <w:rPr>
          <w:rStyle w:val="mord"/>
          <w:rFonts w:cs="Times New Roman"/>
          <w:i/>
          <w:iCs/>
          <w:vertAlign w:val="subscript"/>
        </w:rPr>
        <w:t>adj</w:t>
      </w:r>
      <w:r w:rsidRPr="003C1D92">
        <w:rPr>
          <w:rFonts w:eastAsia="Times New Roman" w:cs="Times New Roman"/>
          <w:lang w:eastAsia="en-GB"/>
        </w:rPr>
        <w:t xml:space="preserve"> &lt; .001), BPDOFF (</w:t>
      </w:r>
      <w:r w:rsidRPr="003C1D92">
        <w:rPr>
          <w:rStyle w:val="mord"/>
          <w:rFonts w:cs="Times New Roman"/>
          <w:i/>
          <w:iCs/>
        </w:rPr>
        <w:t>p</w:t>
      </w:r>
      <w:r w:rsidRPr="003C1D92">
        <w:rPr>
          <w:rStyle w:val="mord"/>
          <w:rFonts w:cs="Times New Roman"/>
          <w:i/>
          <w:iCs/>
          <w:vertAlign w:val="subscript"/>
        </w:rPr>
        <w:t>adj</w:t>
      </w:r>
      <w:r w:rsidRPr="003C1D92">
        <w:rPr>
          <w:rFonts w:eastAsia="Times New Roman" w:cs="Times New Roman"/>
          <w:lang w:eastAsia="en-GB"/>
        </w:rPr>
        <w:t xml:space="preserve"> &lt; .001), ADHD (p &lt; .001), and ADHDOFF (</w:t>
      </w:r>
      <w:r w:rsidRPr="003C1D92">
        <w:rPr>
          <w:rStyle w:val="mord"/>
          <w:rFonts w:cs="Times New Roman"/>
          <w:i/>
          <w:iCs/>
        </w:rPr>
        <w:t>p</w:t>
      </w:r>
      <w:r w:rsidRPr="003C1D92">
        <w:rPr>
          <w:rStyle w:val="mord"/>
          <w:rFonts w:cs="Times New Roman"/>
          <w:i/>
          <w:iCs/>
          <w:vertAlign w:val="subscript"/>
        </w:rPr>
        <w:t>adj</w:t>
      </w:r>
      <w:r w:rsidRPr="003C1D92">
        <w:rPr>
          <w:rFonts w:cs="Times New Roman"/>
        </w:rPr>
        <w:t xml:space="preserve"> </w:t>
      </w:r>
      <w:r w:rsidRPr="003C1D92">
        <w:rPr>
          <w:rFonts w:eastAsia="Times New Roman" w:cs="Times New Roman"/>
          <w:lang w:eastAsia="en-GB"/>
        </w:rPr>
        <w:t xml:space="preserve">&lt; .001, </w:t>
      </w:r>
      <w:r w:rsidRPr="003C1D92">
        <w:rPr>
          <w:rFonts w:eastAsia="Times New Roman" w:cs="Times New Roman"/>
          <w:b/>
          <w:bCs/>
          <w:lang w:eastAsia="en-GB"/>
        </w:rPr>
        <w:t>Supplementary Figure 4</w:t>
      </w:r>
      <w:r w:rsidRPr="003C1D92">
        <w:rPr>
          <w:rFonts w:eastAsia="Times New Roman" w:cs="Times New Roman"/>
          <w:lang w:eastAsia="en-GB"/>
        </w:rPr>
        <w:t xml:space="preserve">). For RC5, all patients’ diagnostic </w:t>
      </w:r>
      <w:r w:rsidRPr="003C1D92">
        <w:rPr>
          <w:rFonts w:eastAsia="Times New Roman" w:cs="Times New Roman"/>
          <w:lang w:eastAsia="en-GB"/>
        </w:rPr>
        <w:lastRenderedPageBreak/>
        <w:t>subgroups showed trends towards higher scores, although only the BD subgroup difference remained significant after multiple comparison adjustement (</w:t>
      </w:r>
      <w:r w:rsidRPr="003C1D92">
        <w:rPr>
          <w:rStyle w:val="mord"/>
          <w:rFonts w:cs="Times New Roman"/>
          <w:i/>
          <w:iCs/>
        </w:rPr>
        <w:t>p</w:t>
      </w:r>
      <w:r w:rsidRPr="003C1D92">
        <w:rPr>
          <w:rStyle w:val="mord"/>
          <w:rFonts w:cs="Times New Roman"/>
          <w:i/>
          <w:iCs/>
          <w:vertAlign w:val="subscript"/>
        </w:rPr>
        <w:t>adj</w:t>
      </w:r>
      <w:r w:rsidRPr="003C1D92">
        <w:rPr>
          <w:rFonts w:eastAsia="Times New Roman" w:cs="Times New Roman"/>
          <w:lang w:eastAsia="en-GB"/>
        </w:rPr>
        <w:t xml:space="preserve"> &lt; .001). No significant omnibus effects or pairwise differences surviving Tukey correction were observed for RC1, RC2, RC4, RC6, RC7, or RC8 (all p &gt; .05).</w:t>
      </w:r>
      <w:r w:rsidR="00215866" w:rsidRPr="003C1D92">
        <w:rPr>
          <w:rFonts w:eastAsia="Times New Roman" w:cs="Times New Roman"/>
          <w:lang w:eastAsia="en-GB"/>
        </w:rPr>
        <w:t xml:space="preserve"> Given the modest size of each diagnostic subgroup, they should be interpreted as descriptive and underpowered rather than as definitive disorder-specific tests.</w:t>
      </w:r>
    </w:p>
    <w:p w14:paraId="6CC09F1F" w14:textId="77777777" w:rsidR="00D941B8" w:rsidRPr="003C1D92" w:rsidRDefault="00D941B8" w:rsidP="00EF0772">
      <w:pPr>
        <w:spacing w:before="100" w:beforeAutospacing="1" w:after="100" w:afterAutospacing="1"/>
        <w:rPr>
          <w:rFonts w:eastAsia="Times New Roman" w:cs="Times New Roman"/>
          <w:lang w:eastAsia="en-GB"/>
        </w:rPr>
      </w:pPr>
    </w:p>
    <w:p w14:paraId="1812CEA6" w14:textId="55F48C59" w:rsidR="009973B3" w:rsidRPr="003C1D92" w:rsidRDefault="009973B3" w:rsidP="00EF0772">
      <w:pPr>
        <w:pStyle w:val="Heading2"/>
        <w:spacing w:line="480" w:lineRule="auto"/>
        <w:rPr>
          <w:lang w:eastAsia="en-GB"/>
        </w:rPr>
      </w:pPr>
      <w:bookmarkStart w:id="51" w:name="_Toc229229979"/>
      <w:bookmarkStart w:id="52" w:name="_Hlk216970016"/>
      <w:r w:rsidRPr="003C1D92">
        <w:rPr>
          <w:lang w:eastAsia="en-GB"/>
        </w:rPr>
        <w:t>Correlations among the retained components of multimodal PCA</w:t>
      </w:r>
      <w:bookmarkEnd w:id="51"/>
      <w:r w:rsidRPr="003C1D92">
        <w:rPr>
          <w:lang w:eastAsia="en-GB"/>
        </w:rPr>
        <w:t xml:space="preserve"> </w:t>
      </w:r>
    </w:p>
    <w:p w14:paraId="3147775A" w14:textId="58DA6AEA" w:rsidR="00850126" w:rsidRPr="003C1D92" w:rsidRDefault="00C61AC8" w:rsidP="00EF0772">
      <w:pPr>
        <w:spacing w:before="100" w:beforeAutospacing="1" w:after="100" w:afterAutospacing="1"/>
        <w:rPr>
          <w:rFonts w:eastAsia="Times New Roman" w:cs="Times New Roman"/>
          <w:b/>
          <w:bCs/>
          <w:lang w:eastAsia="en-GB"/>
        </w:rPr>
      </w:pPr>
      <w:bookmarkStart w:id="53" w:name="_Hlk215839916"/>
      <w:bookmarkEnd w:id="52"/>
      <w:r w:rsidRPr="003C1D92">
        <w:rPr>
          <w:rFonts w:eastAsia="Times New Roman" w:cs="Times New Roman"/>
          <w:lang w:eastAsia="en-GB"/>
        </w:rPr>
        <w:br/>
        <w:t>Because the multimodal PCA was computed with an orthogonal Varimax rotation, the retained components are expected to be approximately uncorrelated at the group level. Nevertheless, as an empirical sanity check, we examined whether the two multimodal components that showed significant group differences (</w:t>
      </w:r>
      <w:r w:rsidRPr="003C1D92">
        <w:rPr>
          <w:rFonts w:eastAsia="Times New Roman" w:cs="Times New Roman"/>
          <w:b/>
          <w:bCs/>
          <w:lang w:eastAsia="en-GB"/>
        </w:rPr>
        <w:t>Figures 2a–b</w:t>
      </w:r>
      <w:r w:rsidRPr="003C1D92">
        <w:rPr>
          <w:rFonts w:eastAsia="Times New Roman" w:cs="Times New Roman"/>
          <w:lang w:eastAsia="en-GB"/>
        </w:rPr>
        <w:t>) were correlated at the subject level. Pearson’s and Spearman’s correlations between these two component scores did not reach statistical significance (p&gt;0.8 for both analyses), indicating that the immune-related and ED/hippocampal connectivity components capture largely independent sources of variability.</w:t>
      </w:r>
      <w:bookmarkEnd w:id="53"/>
      <w:r w:rsidRPr="003C1D92">
        <w:rPr>
          <w:rFonts w:eastAsia="Times New Roman" w:cs="Times New Roman"/>
          <w:lang w:eastAsia="en-GB"/>
        </w:rPr>
        <w:t xml:space="preserve"> A heatmap summarizing all inter-block RC correlations is provided in </w:t>
      </w:r>
      <w:r w:rsidRPr="003C1D92">
        <w:rPr>
          <w:rFonts w:eastAsia="Times New Roman" w:cs="Times New Roman"/>
          <w:b/>
          <w:bCs/>
          <w:lang w:eastAsia="en-GB"/>
        </w:rPr>
        <w:t>Supplementary Figure 31.</w:t>
      </w:r>
    </w:p>
    <w:p w14:paraId="71F26210" w14:textId="77777777" w:rsidR="009973B3" w:rsidRPr="003C1D92" w:rsidRDefault="009973B3" w:rsidP="00EF0772">
      <w:pPr>
        <w:spacing w:before="100" w:beforeAutospacing="1" w:after="100" w:afterAutospacing="1"/>
        <w:rPr>
          <w:rFonts w:eastAsia="Times New Roman" w:cs="Times New Roman"/>
          <w:lang w:eastAsia="en-GB"/>
        </w:rPr>
      </w:pPr>
      <w:bookmarkStart w:id="54" w:name="_Hlk217036923"/>
    </w:p>
    <w:p w14:paraId="4D31159B" w14:textId="2A2358EF" w:rsidR="001233B9" w:rsidRPr="003C1D92" w:rsidRDefault="00512F9B" w:rsidP="00EF0772">
      <w:pPr>
        <w:pStyle w:val="Heading2"/>
        <w:spacing w:line="480" w:lineRule="auto"/>
        <w:rPr>
          <w:lang w:eastAsia="en-GB"/>
        </w:rPr>
      </w:pPr>
      <w:bookmarkStart w:id="55" w:name="_Toc229229980"/>
      <w:r w:rsidRPr="003C1D92">
        <w:rPr>
          <w:lang w:eastAsia="en-GB"/>
        </w:rPr>
        <w:t xml:space="preserve">Further details on </w:t>
      </w:r>
      <w:bookmarkStart w:id="56" w:name="_Hlk217047725"/>
      <w:r w:rsidRPr="003C1D92">
        <w:rPr>
          <w:lang w:eastAsia="en-GB"/>
        </w:rPr>
        <w:t>retained components of within-block PCAs</w:t>
      </w:r>
      <w:bookmarkEnd w:id="55"/>
    </w:p>
    <w:bookmarkEnd w:id="54"/>
    <w:bookmarkEnd w:id="56"/>
    <w:p w14:paraId="5C3C8C39" w14:textId="26E3E73E" w:rsidR="009673C8" w:rsidRPr="003C1D92" w:rsidRDefault="009673C8"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This section describes and discusses the retained components of within-block PCAs, which are further detailed in </w:t>
      </w:r>
      <w:r w:rsidRPr="003C1D92">
        <w:rPr>
          <w:rFonts w:eastAsia="Times New Roman" w:cs="Times New Roman"/>
          <w:b/>
          <w:bCs/>
          <w:lang w:eastAsia="en-GB"/>
        </w:rPr>
        <w:t>Supplementary Figures 16-23</w:t>
      </w:r>
      <w:r w:rsidRPr="003C1D92">
        <w:rPr>
          <w:rFonts w:eastAsia="Times New Roman" w:cs="Times New Roman"/>
          <w:lang w:eastAsia="en-GB"/>
        </w:rPr>
        <w:t>.</w:t>
      </w:r>
    </w:p>
    <w:p w14:paraId="45D621E6" w14:textId="353B5F0D" w:rsidR="000446E6" w:rsidRPr="003C1D92" w:rsidRDefault="001233B9"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lastRenderedPageBreak/>
        <w:t>Within the white-matter integrity (FA) block, the first retained component (FA-RC1) explained 75.2% of the variance and reflected a global FA dimension across widespread projection and association tracts. Loadings were strongly positive in the corona radiata (SCR, PCR, ACR), internal capsule segments (PLIC, ALIC, IC, RLIC), superior longitudinal fasciculus (SLF), with a relative negative loading for the fornix (FX). Thus, higher FA-RC1 scores index overall higher white-matter integrity in these major pathways, with comparatively lower FA in the fornix. The second component (FA-RC2), which accounted for an additional 14.1% of variance, captured a more specific “callosal–cingulo” pattern: it showed high loadings in the body, genu, and splenium of the corpus callosum (BCC, GCC, CC) and cingulum bundle (CGC) and ACR. FA-RC3, as described in the main text, contributed 10.7% of white-matter variance, and captured FA concentrated in limbic and posterior association pathways, with highest loadings in the hippocampal cingulum (CGH), sagittal stratum (SS), external capsule (EC), retrolenticular internal capsule (RLIC), posterior thalamic radiation (PTR), and fornix-stria terminalis (FXST), consistent with a temporo-limbic/occipito-parietal microstructural axis.</w:t>
      </w:r>
    </w:p>
    <w:p w14:paraId="6BE060AB" w14:textId="2E6A39BC" w:rsidR="001233B9" w:rsidRPr="003C1D92" w:rsidRDefault="002F04FC"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In the clinical block, CL-RC1 </w:t>
      </w:r>
      <w:bookmarkStart w:id="57" w:name="_Hlk219818930"/>
      <w:r w:rsidRPr="003C1D92">
        <w:rPr>
          <w:rFonts w:eastAsia="Times New Roman" w:cs="Times New Roman"/>
          <w:lang w:eastAsia="en-GB"/>
        </w:rPr>
        <w:t>(</w:t>
      </w:r>
      <w:r w:rsidRPr="003C1D92">
        <w:rPr>
          <w:b/>
          <w:bCs/>
        </w:rPr>
        <w:t>Supplementary Figure 7</w:t>
      </w:r>
      <w:r w:rsidRPr="003C1D92">
        <w:t xml:space="preserve">) </w:t>
      </w:r>
      <w:bookmarkEnd w:id="57"/>
      <w:r w:rsidRPr="003C1D92">
        <w:rPr>
          <w:rFonts w:eastAsia="Times New Roman" w:cs="Times New Roman"/>
          <w:lang w:eastAsia="en-GB"/>
        </w:rPr>
        <w:t xml:space="preserve">explained 61.8% of the variance and represented a core ED/psychopathology factor: it loaded highly on trait anxiety (STAI-B), affective lability (ALS), borderline traits (BORD), non-adaptive emotion regulation (CERQ), ADHD symptoms (ASRS-i/hi), anger (STAXI), depressive symptoms (MADRS), rumination (RRS) and childhood trauma (CTQ), with small or negative loadings on working-memory and mental-calculation measures (IncrMem, RevDS, DigSpan, MenCal), indicating that more severe ED-related psychopathology tended to co-occur with slightly poorer cognitive performance. The second retained component (CL-RC2; 23.2% of explained variance) primarily indexed cognitive efficiency. It showed the highest positive loadings on incremental memory (IncrMem), backward digit span (RevDS), forward digit span (DigSpan), and mental </w:t>
      </w:r>
      <w:r w:rsidRPr="003C1D92">
        <w:rPr>
          <w:rFonts w:eastAsia="Times New Roman" w:cs="Times New Roman"/>
          <w:lang w:eastAsia="en-GB"/>
        </w:rPr>
        <w:lastRenderedPageBreak/>
        <w:t>calculation (MenCal), with smaller positive contributions from age, indicating that higher scores reflected better working memory and attentional control. In contrast, affective lability (ALS) and childhood trauma (CTQ) loaded negatively on this dimension, as did indices of inattention and hyperactivity (ASRSi/ASRShi), anxiety (STAIB), and BMI, suggesting that, also in this component, poorer cognitive performance tended to co-occur with higher emotional instability and subclinical psychopathology. The third component (CL-RC3; 15% of explained variance) captured a distinct “age–somatic load” and trauma dimension: it was dominated by positive loadings on age and BMI, as well as moderate positive loadings on CTQ, depressive symptoms (MADRS), and cognitive performance measures (DigSpan, RevDS, IncrMem), while ADHD symptoms (ASRSi/ASRShi) and borderline traits (BORD), along with ALS and anxiety, contributed negatively. Overall, CL-RC1 and CL-RC2 may reflect a gradient from lower to higher cognitive control and memory capacity in the context of ED and early life adversities, whereas CL-RC3 maps onto an axis combining older age and higher somatic burden with greater early adversity and mood symptoms but relatively fewer ADHD-like features.</w:t>
      </w:r>
    </w:p>
    <w:p w14:paraId="61488960" w14:textId="2F62E29A" w:rsidR="00F123D8" w:rsidRPr="003C1D92" w:rsidRDefault="00F123D8"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The first and only principal component from the hippocampal micro-co-activation pattern block (dFC-RC1) included all five μCAPs (SMN, VTA, DMN, VN, LN), with  the SMN as the only negative loading.</w:t>
      </w:r>
    </w:p>
    <w:p w14:paraId="1E35D64D" w14:textId="208AD3A4" w:rsidR="003A2F3B" w:rsidRPr="003C1D92" w:rsidRDefault="001F5E88"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In the immunobiological blocks, as mentioned in the main text, BIO-RC1 (explaining 46.3% of the variance), reflected a broad immune dysregulation profile, with strong positive loadings on IL-12, IFN-γ, IL-17, IL-1β, TNF-α, IL-18, IFN-α, EGF and GM-CSF, and weaker negative loadings on adhesion and endothelial markers such as CD62E, VCAM, IL-6, GRO-α and IL-2; this axis therefore may capture a shift toward heightened Th1/Th17 and innate inflammatory signalling relative to vascular/endothelial activation. The second and third retained components </w:t>
      </w:r>
      <w:r w:rsidRPr="003C1D92">
        <w:rPr>
          <w:rFonts w:eastAsia="Times New Roman" w:cs="Times New Roman"/>
          <w:lang w:eastAsia="en-GB"/>
        </w:rPr>
        <w:lastRenderedPageBreak/>
        <w:t>captured two complementary axes of coordinated immune variation. The second component (BIO-RC2), which explained 21.7% of the total variance, showed strong positive loadings on canonical pro-inflammatory and growth-related markers, including IL-2, IL-6, GM-CSF, IL-8, type I interferons (IFNα, IFNβ), TNFα, IL-1β, MCP-1, IFNγ, IL-4 and EGF, and negative loadings on MIF, IL-18, IL-17, GROα, VCAM, CRP, BDNF, IL-12, IL-2R, LAP, IP-10, CD62E and IL-1α. Higher BIO-RC2 scores therefore index a profile dominated by IL-2/IL-6/GM-CSF/IL-8 and interferon activity, with relatively lower levels of adhesion, chemotactic and acute-phase markers. The third component (BIO-RC3), accounting for an additional 15.0% of variance, showed the opposite pattern for a partially distinct set of variables: it loaded positively on BDNF, IL-2R, MIF, MCP-1, CD62E, EGF, IL-18, CRP and IL-17, while exhibiting negative loadings on TNFα, IL-4, IL-1β, IL-8, IL-1α, GROα, IFNγ, IFNα, IFNβ, IL-6, IL-12, VCAM, IL-10, IL-2, GM-CSF, LAP and IP-10. As such, higher BIO-RC3 scores reflect a pattern of increased neurotrophic (BDNF), chemotactic (MCP-1), endothelial/adhesion (CD62E) and acute-phase/Th17-related markers (CRP, IL-17, IL-18), coupled with relatively reduced levels of several classical pro-inflammatory cytokines and growth factors. Together, BIO-RC2 and BIO-RC3 summarise distinct immune configurations, capturing coordinated shifts across multiple immune pathways rather than isolated changes in single analytes. Finally, BIO-RC4 accounted for a further 16.9% of immune variance and was dominated by chemokines and adhesion molecules (IP-10, LAP, GRO-α, VCAM) together with IL-17/IL-18 and soluble IL-2 receptor, suggesting a partially independent “chemokine/vascular activation” dimension of immune dysregulation.</w:t>
      </w:r>
    </w:p>
    <w:p w14:paraId="16A59EE1" w14:textId="77777777" w:rsidR="002F04FC" w:rsidRPr="003C1D92" w:rsidRDefault="002F04FC" w:rsidP="00EF0772">
      <w:pPr>
        <w:spacing w:before="100" w:beforeAutospacing="1" w:after="100" w:afterAutospacing="1"/>
        <w:rPr>
          <w:rFonts w:eastAsia="Times New Roman" w:cs="Times New Roman"/>
          <w:lang w:eastAsia="en-GB"/>
        </w:rPr>
      </w:pPr>
    </w:p>
    <w:p w14:paraId="4589DBE1" w14:textId="6F05D0AF" w:rsidR="00E43105" w:rsidRPr="003C1D92" w:rsidRDefault="00E43105" w:rsidP="00EF0772">
      <w:pPr>
        <w:pStyle w:val="Heading2"/>
        <w:spacing w:line="480" w:lineRule="auto"/>
        <w:rPr>
          <w:lang w:eastAsia="en-GB"/>
        </w:rPr>
      </w:pPr>
      <w:bookmarkStart w:id="58" w:name="_Toc229229981"/>
      <w:r w:rsidRPr="003C1D92">
        <w:rPr>
          <w:lang w:eastAsia="en-GB"/>
        </w:rPr>
        <w:t xml:space="preserve">Further details on retained components of the </w:t>
      </w:r>
      <w:bookmarkStart w:id="59" w:name="_Hlk217047886"/>
      <w:r w:rsidRPr="003C1D92">
        <w:rPr>
          <w:lang w:eastAsia="en-GB"/>
        </w:rPr>
        <w:t xml:space="preserve">multimodal </w:t>
      </w:r>
      <w:bookmarkEnd w:id="59"/>
      <w:r w:rsidRPr="003C1D92">
        <w:rPr>
          <w:lang w:eastAsia="en-GB"/>
        </w:rPr>
        <w:t>PCA</w:t>
      </w:r>
      <w:bookmarkEnd w:id="58"/>
    </w:p>
    <w:p w14:paraId="1BF5D7D9" w14:textId="77777777" w:rsidR="00C900A4" w:rsidRPr="003C1D92" w:rsidRDefault="00C900A4" w:rsidP="00EF0772">
      <w:pPr>
        <w:rPr>
          <w:lang w:eastAsia="en-GB"/>
        </w:rPr>
      </w:pPr>
    </w:p>
    <w:p w14:paraId="26EA2D09" w14:textId="77777777" w:rsidR="00B04B9F" w:rsidRPr="003C1D92" w:rsidRDefault="008F6FEE" w:rsidP="00EF0772">
      <w:pPr>
        <w:spacing w:before="100" w:beforeAutospacing="1" w:after="100" w:afterAutospacing="1"/>
        <w:rPr>
          <w:rFonts w:eastAsia="Times New Roman" w:cs="Times New Roman"/>
          <w:b/>
          <w:bCs/>
          <w:lang w:eastAsia="en-GB"/>
        </w:rPr>
      </w:pPr>
      <w:r w:rsidRPr="003C1D92">
        <w:rPr>
          <w:rFonts w:eastAsia="Times New Roman" w:cs="Times New Roman"/>
          <w:lang w:eastAsia="en-GB"/>
        </w:rPr>
        <w:lastRenderedPageBreak/>
        <w:t xml:space="preserve">This section describes and discusses the retained components of multimodal PCA, which are further detailed in </w:t>
      </w:r>
      <w:r w:rsidRPr="003C1D92">
        <w:rPr>
          <w:rFonts w:eastAsia="Times New Roman" w:cs="Times New Roman"/>
          <w:b/>
          <w:bCs/>
          <w:lang w:eastAsia="en-GB"/>
        </w:rPr>
        <w:t>Supplementary Figures 24-29.</w:t>
      </w:r>
    </w:p>
    <w:p w14:paraId="23615D85" w14:textId="5B3C8388" w:rsidR="009A6F60" w:rsidRPr="003C1D92" w:rsidRDefault="009A6F60" w:rsidP="00EF0772">
      <w:pPr>
        <w:spacing w:before="100" w:beforeAutospacing="1" w:after="100" w:afterAutospacing="1"/>
        <w:rPr>
          <w:rFonts w:eastAsia="Times New Roman" w:cs="Times New Roman"/>
          <w:lang w:eastAsia="en-GB"/>
        </w:rPr>
      </w:pPr>
      <w:r w:rsidRPr="003C1D92">
        <w:rPr>
          <w:rFonts w:eastAsia="Times New Roman" w:cs="Times New Roman"/>
          <w:lang w:eastAsia="en-GB"/>
        </w:rPr>
        <w:t xml:space="preserve">As mentioned in the main text, in the combined multimodal PCA, RC3 explained 15.4% of the total variance and recapitulated the “Elevated ED–SMN Hypoconnectivity–LN Hyperconnectivity” pattern: it was dominated by the EDD-related psychopathology measures (STAI-B, ALS, BORD, ASRS-hi/-i, CERQ, STAXI, MADRS, RRS, CTQ) together with reduced hippocampal–sensorimotor (SMN) and increased hippocampal–limbic (LN) connectivity, and modest contributions from association-tract FA, thus linking behavioral ED severity to a coherent hippocampal dFC signature, as discussed in the main text. RC5, labeled </w:t>
      </w:r>
      <w:bookmarkStart w:id="60" w:name="_Hlk217048378"/>
      <w:r w:rsidRPr="003C1D92">
        <w:rPr>
          <w:rFonts w:eastAsia="Times New Roman" w:cs="Times New Roman"/>
          <w:lang w:eastAsia="en-GB"/>
        </w:rPr>
        <w:t xml:space="preserve">“High </w:t>
      </w:r>
      <w:bookmarkStart w:id="61" w:name="_Hlk217048339"/>
      <w:r w:rsidRPr="003C1D92">
        <w:rPr>
          <w:rFonts w:eastAsia="Times New Roman" w:cs="Times New Roman"/>
          <w:lang w:eastAsia="en-GB"/>
        </w:rPr>
        <w:t>Immune Dysregulation</w:t>
      </w:r>
      <w:bookmarkEnd w:id="61"/>
      <w:r w:rsidRPr="003C1D92">
        <w:rPr>
          <w:rFonts w:eastAsia="Times New Roman" w:cs="Times New Roman"/>
          <w:lang w:eastAsia="en-GB"/>
        </w:rPr>
        <w:t xml:space="preserve">” </w:t>
      </w:r>
      <w:bookmarkEnd w:id="60"/>
      <w:r w:rsidRPr="003C1D92">
        <w:rPr>
          <w:rFonts w:eastAsia="Times New Roman" w:cs="Times New Roman"/>
          <w:lang w:eastAsia="en-GB"/>
        </w:rPr>
        <w:t>(accounting for 7% of the multimodal variance), was instead primarily immunobiological, with strong positive loadings on BDNF, MIF, soluble IL-2 receptor, MCP-1, CD62E, EGF, CRP and IL-18 (and only minor contributions from imaging and clinical variables), indicating a largely orthogonal “neurotrophic–Immune Dysregulation” axis that cut across modalities but was less tightly coupled to overt ED symptomatology than RC3.</w:t>
      </w:r>
    </w:p>
    <w:p w14:paraId="78BF501B" w14:textId="1588A0AE" w:rsidR="00CE47EF" w:rsidRPr="003C1D92" w:rsidRDefault="00B04B9F" w:rsidP="00EF0772">
      <w:pPr>
        <w:rPr>
          <w:lang w:eastAsia="en-GB"/>
        </w:rPr>
      </w:pPr>
      <w:r w:rsidRPr="003C1D92">
        <w:rPr>
          <w:lang w:eastAsia="en-GB"/>
        </w:rPr>
        <w:t xml:space="preserve">Several components other than the ED–hippocampal RC3 and the </w:t>
      </w:r>
      <w:r w:rsidRPr="003C1D92">
        <w:rPr>
          <w:rFonts w:eastAsia="Times New Roman" w:cs="Times New Roman"/>
          <w:lang w:eastAsia="en-GB"/>
        </w:rPr>
        <w:t>“High Immune Dysregulation” RC5</w:t>
      </w:r>
      <w:r w:rsidRPr="003C1D92">
        <w:rPr>
          <w:lang w:eastAsia="en-GB"/>
        </w:rPr>
        <w:t xml:space="preserve"> captured meaningful cross-domain structure. RC1 accounted for 28.8% of the total variance and was dominated by high positive loadings on fractional anisotropy in almost all major white-matter tracts (e.g. corona radiata, corpus callosum, internal capsule, association and projection fibres), with only minimal contribution from clinical, dFC or immune variables; this component therefore indexes a global white-matter integrity factor. RC2 explained a further 19.8% of the variance and was primarily an immune–inflammatory dimension, with strong positive loadings on pro-inflammatory cytokines and growth factors (IL-12, IL-4, IFN-γ, IL-10, IL-1β, IL-17, TNF-α, IFN-α, GM-CSF, IL-8, IL-6, VCAM and </w:t>
      </w:r>
      <w:r w:rsidRPr="003C1D92">
        <w:rPr>
          <w:lang w:eastAsia="en-GB"/>
        </w:rPr>
        <w:lastRenderedPageBreak/>
        <w:t xml:space="preserve">related markers), and smaller contributions from limbic/default-mode μCAPs, suggesting a systemic immune activation axis partly linked to large-scale network dynamics. RC4 (9.7% explained variance) also reflected immune activation, characterized by elevated loadings on IL-2, IL-6, GM-CSF, IL-8, interferons, MCP-1, MIF and CRP, representing a broad mixed T-cell/monocyte inflammatory profile mostly independent from other modalities. RC6, explaining 7.7% of the variance, captured a chemokine–endothelial/vascular component (IP-10, LAP, GRO-α, VCAM, IL-17, IL-18) coupled with FA in cortico-striatal tracts (e.g. CST, PLIC) and DMN/VTA connectivity. RC7 (5.9% variance) loaded most strongly on better memory and working-memory performance (Incremental Memory, Reverse Digit Span, Digit Span, Mental Calculation), and inversely with variables such as CRP and childhood trauma (CTQ). Finally, RC8 accounted for 5.6% of the variance and showed prominent (mainly negative) loadings on FA in the posterior and anterior limbs of the internal capsule, fornix and superior corona radiata, along with altered SMN/DMN </w:t>
      </w:r>
      <w:r w:rsidRPr="003C1D92">
        <w:t xml:space="preserve">μCAPs </w:t>
      </w:r>
      <w:r w:rsidRPr="003C1D92">
        <w:rPr>
          <w:lang w:eastAsia="en-GB"/>
        </w:rPr>
        <w:t>and only modest clinical/immune weights.</w:t>
      </w:r>
    </w:p>
    <w:p w14:paraId="4A8076D5" w14:textId="77777777" w:rsidR="005E5BD2" w:rsidRPr="003C1D92" w:rsidRDefault="005E5BD2" w:rsidP="00EF0772">
      <w:pPr>
        <w:spacing w:before="100" w:beforeAutospacing="1" w:after="100" w:afterAutospacing="1"/>
        <w:rPr>
          <w:rFonts w:eastAsia="Times New Roman" w:cs="Times New Roman"/>
          <w:lang w:eastAsia="en-GB"/>
        </w:rPr>
      </w:pPr>
    </w:p>
    <w:p w14:paraId="1E5903D5" w14:textId="77777777" w:rsidR="0058646F" w:rsidRPr="003C1D92" w:rsidRDefault="0058646F" w:rsidP="00EF0772">
      <w:pPr>
        <w:spacing w:before="100" w:beforeAutospacing="1" w:after="100" w:afterAutospacing="1"/>
        <w:rPr>
          <w:rFonts w:eastAsia="Times New Roman" w:cs="Times New Roman"/>
          <w:lang w:eastAsia="en-GB"/>
        </w:rPr>
      </w:pPr>
    </w:p>
    <w:p w14:paraId="499172C4" w14:textId="5CA8A898" w:rsidR="00557BAC" w:rsidRPr="003C1D92" w:rsidRDefault="00366001" w:rsidP="00EF0772">
      <w:pPr>
        <w:rPr>
          <w:rFonts w:cs="Times New Roman"/>
          <w:lang w:val="en-US"/>
        </w:rPr>
      </w:pPr>
      <w:r w:rsidRPr="003C1D92">
        <w:rPr>
          <w:rFonts w:cs="Times New Roman"/>
          <w:lang w:val="en-US"/>
        </w:rPr>
        <w:br w:type="column"/>
      </w:r>
    </w:p>
    <w:p w14:paraId="558EF261" w14:textId="070591E6" w:rsidR="00D02760" w:rsidRPr="003C1D92" w:rsidRDefault="00D02760" w:rsidP="00EF0772">
      <w:pPr>
        <w:pStyle w:val="Heading1"/>
        <w:spacing w:line="480" w:lineRule="auto"/>
      </w:pPr>
      <w:bookmarkStart w:id="62" w:name="_Toc229229982"/>
      <w:r w:rsidRPr="003C1D92">
        <w:t>SUPPLEMENTARY TABLES AND SUPPLEMENTARY TABLES LEGENDS</w:t>
      </w:r>
      <w:bookmarkEnd w:id="62"/>
    </w:p>
    <w:p w14:paraId="1A76AA9F" w14:textId="77777777" w:rsidR="00970765" w:rsidRPr="003C1D92" w:rsidRDefault="00970765" w:rsidP="00EF0772"/>
    <w:p w14:paraId="37AA731B" w14:textId="6B268CF8" w:rsidR="00970765" w:rsidRPr="003C1D92" w:rsidRDefault="00970765" w:rsidP="00EF0772">
      <w:pPr>
        <w:rPr>
          <w:rFonts w:cs="Times New Roman"/>
          <w:lang w:val="en-US"/>
        </w:rPr>
      </w:pPr>
      <w:r w:rsidRPr="003C1D92">
        <w:rPr>
          <w:rFonts w:cs="Times New Roman"/>
          <w:b/>
          <w:bCs/>
          <w:lang w:val="en-US"/>
        </w:rPr>
        <w:t>Supplementary Table 1.</w:t>
      </w:r>
      <w:r w:rsidRPr="003C1D92">
        <w:rPr>
          <w:rFonts w:cs="Times New Roman"/>
          <w:lang w:val="en-US"/>
        </w:rPr>
        <w:t xml:space="preserve"> </w:t>
      </w:r>
      <w:r w:rsidRPr="003C1D92">
        <w:rPr>
          <w:rFonts w:cs="Times New Roman"/>
          <w:b/>
          <w:bCs/>
          <w:lang w:val="en-US"/>
        </w:rPr>
        <w:t xml:space="preserve">Comprehensive list of all multimodal variables included in the analyses, along with their abbreviations. </w:t>
      </w:r>
      <w:r w:rsidRPr="003C1D92">
        <w:rPr>
          <w:rFonts w:cs="Times New Roman"/>
          <w:lang w:val="en-US"/>
        </w:rPr>
        <w:t>Variables are grouped into four blocks: Clinical (CL), Hippocampal Dynamic Functional Connectivity (</w:t>
      </w:r>
      <w:proofErr w:type="spellStart"/>
      <w:r w:rsidRPr="003C1D92">
        <w:rPr>
          <w:rFonts w:cs="Times New Roman"/>
          <w:lang w:val="en-US"/>
        </w:rPr>
        <w:t>dFC</w:t>
      </w:r>
      <w:proofErr w:type="spellEnd"/>
      <w:r w:rsidRPr="003C1D92">
        <w:rPr>
          <w:rFonts w:cs="Times New Roman"/>
          <w:lang w:val="en-US"/>
        </w:rPr>
        <w:t>), Structural Connectivity (FA), and Biological Markers (BIO). Variables are listed in alphabetical order within each block.</w:t>
      </w:r>
    </w:p>
    <w:tbl>
      <w:tblPr>
        <w:tblStyle w:val="TableGridLight"/>
        <w:tblW w:w="0" w:type="auto"/>
        <w:tblLook w:val="04A0" w:firstRow="1" w:lastRow="0" w:firstColumn="1" w:lastColumn="0" w:noHBand="0" w:noVBand="1"/>
      </w:tblPr>
      <w:tblGrid>
        <w:gridCol w:w="3586"/>
        <w:gridCol w:w="5430"/>
      </w:tblGrid>
      <w:tr w:rsidR="00CA47B2" w:rsidRPr="003C1D92" w14:paraId="4691A47E" w14:textId="77777777" w:rsidTr="00450053">
        <w:tc>
          <w:tcPr>
            <w:tcW w:w="3541" w:type="dxa"/>
            <w:hideMark/>
          </w:tcPr>
          <w:p w14:paraId="2AF803EF" w14:textId="77777777" w:rsidR="00CA47B2" w:rsidRPr="003C1D92" w:rsidRDefault="00CA47B2" w:rsidP="00EF0772">
            <w:pPr>
              <w:rPr>
                <w:rFonts w:eastAsia="Times New Roman" w:cs="Times New Roman"/>
                <w:b/>
                <w:bCs/>
                <w:lang w:eastAsia="en-GB"/>
              </w:rPr>
            </w:pPr>
            <w:r w:rsidRPr="003C1D92">
              <w:rPr>
                <w:rFonts w:eastAsia="Times New Roman" w:cs="Times New Roman"/>
                <w:b/>
                <w:bCs/>
                <w:lang w:eastAsia="en-GB"/>
              </w:rPr>
              <w:t>ABBREVIATION</w:t>
            </w:r>
          </w:p>
        </w:tc>
        <w:tc>
          <w:tcPr>
            <w:tcW w:w="5475" w:type="dxa"/>
            <w:hideMark/>
          </w:tcPr>
          <w:p w14:paraId="07BBB168" w14:textId="77777777" w:rsidR="00CA47B2" w:rsidRPr="003C1D92" w:rsidRDefault="00CA47B2" w:rsidP="00EF0772">
            <w:pPr>
              <w:rPr>
                <w:rFonts w:eastAsia="Times New Roman" w:cs="Times New Roman"/>
                <w:b/>
                <w:bCs/>
                <w:lang w:eastAsia="en-GB"/>
              </w:rPr>
            </w:pPr>
            <w:r w:rsidRPr="003C1D92">
              <w:rPr>
                <w:rFonts w:eastAsia="Times New Roman" w:cs="Times New Roman"/>
                <w:b/>
                <w:bCs/>
                <w:lang w:eastAsia="en-GB"/>
              </w:rPr>
              <w:t>DESCRIPTION</w:t>
            </w:r>
          </w:p>
        </w:tc>
      </w:tr>
      <w:tr w:rsidR="00CA47B2" w:rsidRPr="003C1D92" w14:paraId="3B3E3055" w14:textId="77777777" w:rsidTr="00F15486">
        <w:tc>
          <w:tcPr>
            <w:tcW w:w="0" w:type="auto"/>
            <w:gridSpan w:val="2"/>
            <w:hideMark/>
          </w:tcPr>
          <w:p w14:paraId="5C605B13" w14:textId="77777777" w:rsidR="00CA47B2" w:rsidRPr="003C1D92" w:rsidRDefault="00CA47B2" w:rsidP="00EF0772">
            <w:pPr>
              <w:ind w:left="1440"/>
              <w:rPr>
                <w:rFonts w:eastAsia="Times New Roman" w:cs="Times New Roman"/>
                <w:b/>
                <w:bCs/>
                <w:lang w:eastAsia="en-GB"/>
              </w:rPr>
            </w:pPr>
          </w:p>
          <w:p w14:paraId="5772416A" w14:textId="3BD153E2" w:rsidR="00CA47B2" w:rsidRPr="003C1D92" w:rsidRDefault="00CA47B2" w:rsidP="00EF0772">
            <w:pPr>
              <w:rPr>
                <w:rFonts w:eastAsia="Times New Roman" w:cs="Times New Roman"/>
                <w:b/>
                <w:bCs/>
                <w:lang w:eastAsia="en-GB"/>
              </w:rPr>
            </w:pPr>
            <w:r w:rsidRPr="003C1D92">
              <w:rPr>
                <w:rFonts w:eastAsia="Times New Roman" w:cs="Times New Roman"/>
                <w:b/>
                <w:bCs/>
                <w:lang w:eastAsia="en-GB"/>
              </w:rPr>
              <w:t>Clinical measures</w:t>
            </w:r>
          </w:p>
          <w:p w14:paraId="554460B0" w14:textId="77777777" w:rsidR="00CA47B2" w:rsidRPr="003C1D92" w:rsidRDefault="00CA47B2" w:rsidP="00EF0772">
            <w:pPr>
              <w:ind w:left="1440"/>
              <w:rPr>
                <w:rFonts w:eastAsia="Times New Roman" w:cs="Times New Roman"/>
                <w:lang w:eastAsia="en-GB"/>
              </w:rPr>
            </w:pPr>
          </w:p>
        </w:tc>
      </w:tr>
      <w:tr w:rsidR="00753B1B" w:rsidRPr="003C1D92" w14:paraId="76BBA3A9" w14:textId="77777777" w:rsidTr="00450053">
        <w:tc>
          <w:tcPr>
            <w:tcW w:w="3541" w:type="dxa"/>
            <w:hideMark/>
          </w:tcPr>
          <w:p w14:paraId="34409ADF"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Age</w:t>
            </w:r>
          </w:p>
        </w:tc>
        <w:tc>
          <w:tcPr>
            <w:tcW w:w="5475" w:type="dxa"/>
            <w:hideMark/>
          </w:tcPr>
          <w:p w14:paraId="2D8231C2"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Chronological age in years</w:t>
            </w:r>
          </w:p>
        </w:tc>
      </w:tr>
      <w:tr w:rsidR="00753B1B" w:rsidRPr="003C1D92" w14:paraId="213E7775" w14:textId="77777777" w:rsidTr="00450053">
        <w:tc>
          <w:tcPr>
            <w:tcW w:w="3541" w:type="dxa"/>
            <w:hideMark/>
          </w:tcPr>
          <w:p w14:paraId="17826F7A"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ALS</w:t>
            </w:r>
          </w:p>
        </w:tc>
        <w:tc>
          <w:tcPr>
            <w:tcW w:w="5475" w:type="dxa"/>
            <w:hideMark/>
          </w:tcPr>
          <w:p w14:paraId="01FB5026"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Affective Lability Scale total score</w:t>
            </w:r>
          </w:p>
        </w:tc>
      </w:tr>
      <w:tr w:rsidR="00753B1B" w:rsidRPr="003C1D92" w14:paraId="35755442" w14:textId="77777777" w:rsidTr="00450053">
        <w:tc>
          <w:tcPr>
            <w:tcW w:w="3541" w:type="dxa"/>
            <w:hideMark/>
          </w:tcPr>
          <w:p w14:paraId="74797914"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ASRShi</w:t>
            </w:r>
          </w:p>
        </w:tc>
        <w:tc>
          <w:tcPr>
            <w:tcW w:w="5475" w:type="dxa"/>
            <w:hideMark/>
          </w:tcPr>
          <w:p w14:paraId="7326E03C"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Adult ADHD Self-Report Scale - hyperactivity</w:t>
            </w:r>
          </w:p>
        </w:tc>
      </w:tr>
      <w:tr w:rsidR="00753B1B" w:rsidRPr="003C1D92" w14:paraId="4E6DC121" w14:textId="77777777" w:rsidTr="00450053">
        <w:tc>
          <w:tcPr>
            <w:tcW w:w="3541" w:type="dxa"/>
            <w:hideMark/>
          </w:tcPr>
          <w:p w14:paraId="712E488E"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ASRSi</w:t>
            </w:r>
          </w:p>
        </w:tc>
        <w:tc>
          <w:tcPr>
            <w:tcW w:w="5475" w:type="dxa"/>
            <w:hideMark/>
          </w:tcPr>
          <w:p w14:paraId="17A274F6" w14:textId="6AF673F5" w:rsidR="00753B1B" w:rsidRPr="003C1D92" w:rsidRDefault="00753B1B" w:rsidP="00EF0772">
            <w:pPr>
              <w:rPr>
                <w:rFonts w:eastAsia="Times New Roman" w:cs="Times New Roman"/>
                <w:lang w:eastAsia="en-GB"/>
              </w:rPr>
            </w:pPr>
            <w:r w:rsidRPr="003C1D92">
              <w:rPr>
                <w:rFonts w:eastAsia="Times New Roman" w:cs="Times New Roman"/>
                <w:lang w:eastAsia="en-GB"/>
              </w:rPr>
              <w:t>Adult ADHD Self-Report Scale - inattention</w:t>
            </w:r>
          </w:p>
        </w:tc>
      </w:tr>
      <w:tr w:rsidR="00753B1B" w:rsidRPr="003C1D92" w14:paraId="5E85E512" w14:textId="77777777" w:rsidTr="00450053">
        <w:tc>
          <w:tcPr>
            <w:tcW w:w="3541" w:type="dxa"/>
          </w:tcPr>
          <w:p w14:paraId="6396FEEE"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BMI</w:t>
            </w:r>
          </w:p>
        </w:tc>
        <w:tc>
          <w:tcPr>
            <w:tcW w:w="5475" w:type="dxa"/>
          </w:tcPr>
          <w:p w14:paraId="32BED88A" w14:textId="03ECEF34" w:rsidR="00753B1B" w:rsidRPr="003C1D92" w:rsidRDefault="00753B1B" w:rsidP="00EF0772">
            <w:pPr>
              <w:rPr>
                <w:rFonts w:eastAsia="Times New Roman" w:cs="Times New Roman"/>
                <w:lang w:eastAsia="en-GB"/>
              </w:rPr>
            </w:pPr>
            <w:r w:rsidRPr="003C1D92">
              <w:rPr>
                <w:rFonts w:eastAsia="Times New Roman" w:cs="Times New Roman"/>
                <w:lang w:eastAsia="en-GB"/>
              </w:rPr>
              <w:t>Body Mass Index</w:t>
            </w:r>
          </w:p>
        </w:tc>
      </w:tr>
      <w:tr w:rsidR="00753B1B" w:rsidRPr="003C1D92" w14:paraId="64FC4AAB" w14:textId="77777777" w:rsidTr="00450053">
        <w:tc>
          <w:tcPr>
            <w:tcW w:w="3541" w:type="dxa"/>
            <w:hideMark/>
          </w:tcPr>
          <w:p w14:paraId="51B1D38E"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BORD</w:t>
            </w:r>
          </w:p>
        </w:tc>
        <w:tc>
          <w:tcPr>
            <w:tcW w:w="5475" w:type="dxa"/>
            <w:hideMark/>
          </w:tcPr>
          <w:p w14:paraId="2E0DDDA2"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Borderline Symptoms Checklist total score</w:t>
            </w:r>
          </w:p>
        </w:tc>
      </w:tr>
      <w:tr w:rsidR="00753B1B" w:rsidRPr="003C1D92" w14:paraId="0F708471" w14:textId="77777777" w:rsidTr="00450053">
        <w:tc>
          <w:tcPr>
            <w:tcW w:w="3541" w:type="dxa"/>
            <w:hideMark/>
          </w:tcPr>
          <w:p w14:paraId="3DC97284"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CERQ</w:t>
            </w:r>
          </w:p>
        </w:tc>
        <w:tc>
          <w:tcPr>
            <w:tcW w:w="5475" w:type="dxa"/>
            <w:hideMark/>
          </w:tcPr>
          <w:p w14:paraId="743AF71C"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 xml:space="preserve">Cognitive Emotion Regulation Questionnaire </w:t>
            </w:r>
          </w:p>
          <w:p w14:paraId="1526E01D"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(Non-adaptive/Total)</w:t>
            </w:r>
          </w:p>
        </w:tc>
      </w:tr>
      <w:tr w:rsidR="00753B1B" w:rsidRPr="003C1D92" w14:paraId="5568D1C2" w14:textId="77777777" w:rsidTr="00450053">
        <w:tc>
          <w:tcPr>
            <w:tcW w:w="3541" w:type="dxa"/>
            <w:hideMark/>
          </w:tcPr>
          <w:p w14:paraId="6A959699"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CTQ</w:t>
            </w:r>
          </w:p>
        </w:tc>
        <w:tc>
          <w:tcPr>
            <w:tcW w:w="5475" w:type="dxa"/>
            <w:hideMark/>
          </w:tcPr>
          <w:p w14:paraId="07BF6A97"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Childhood Trauma Questionnaire total score</w:t>
            </w:r>
          </w:p>
        </w:tc>
      </w:tr>
      <w:tr w:rsidR="00753B1B" w:rsidRPr="003C1D92" w14:paraId="438BB6E4" w14:textId="77777777" w:rsidTr="00450053">
        <w:tc>
          <w:tcPr>
            <w:tcW w:w="3541" w:type="dxa"/>
          </w:tcPr>
          <w:p w14:paraId="3143F471"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DigSpan</w:t>
            </w:r>
          </w:p>
        </w:tc>
        <w:tc>
          <w:tcPr>
            <w:tcW w:w="5475" w:type="dxa"/>
          </w:tcPr>
          <w:p w14:paraId="17055B49"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Digit Span</w:t>
            </w:r>
          </w:p>
        </w:tc>
      </w:tr>
      <w:tr w:rsidR="00753B1B" w:rsidRPr="003C1D92" w14:paraId="736C3D1F" w14:textId="77777777" w:rsidTr="00450053">
        <w:tc>
          <w:tcPr>
            <w:tcW w:w="3541" w:type="dxa"/>
          </w:tcPr>
          <w:p w14:paraId="61F42B95" w14:textId="05EA762D" w:rsidR="00753B1B" w:rsidRPr="003C1D92" w:rsidRDefault="0058432F" w:rsidP="00EF0772">
            <w:pPr>
              <w:rPr>
                <w:rFonts w:eastAsia="Times New Roman" w:cs="Times New Roman"/>
                <w:lang w:eastAsia="en-GB"/>
              </w:rPr>
            </w:pPr>
            <w:r w:rsidRPr="003C1D92">
              <w:rPr>
                <w:rFonts w:eastAsia="Times New Roman" w:cs="Times New Roman"/>
                <w:lang w:eastAsia="en-GB"/>
              </w:rPr>
              <w:t>IncrMem</w:t>
            </w:r>
          </w:p>
        </w:tc>
        <w:tc>
          <w:tcPr>
            <w:tcW w:w="5475" w:type="dxa"/>
          </w:tcPr>
          <w:p w14:paraId="6F38DC67" w14:textId="0DD1B928" w:rsidR="00753B1B" w:rsidRPr="003C1D92" w:rsidRDefault="0058432F" w:rsidP="00EF0772">
            <w:pPr>
              <w:rPr>
                <w:rFonts w:eastAsia="Times New Roman" w:cs="Times New Roman"/>
                <w:lang w:eastAsia="en-GB"/>
              </w:rPr>
            </w:pPr>
            <w:r w:rsidRPr="003C1D92">
              <w:rPr>
                <w:rFonts w:eastAsia="Times New Roman" w:cs="Times New Roman"/>
                <w:lang w:eastAsia="en-GB"/>
              </w:rPr>
              <w:t>Incremental Memory Task</w:t>
            </w:r>
          </w:p>
        </w:tc>
      </w:tr>
      <w:tr w:rsidR="00753B1B" w:rsidRPr="003C1D92" w14:paraId="789B9B0C" w14:textId="77777777" w:rsidTr="00450053">
        <w:tc>
          <w:tcPr>
            <w:tcW w:w="3541" w:type="dxa"/>
            <w:hideMark/>
          </w:tcPr>
          <w:p w14:paraId="1A71C912"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lastRenderedPageBreak/>
              <w:t>MADRS</w:t>
            </w:r>
          </w:p>
        </w:tc>
        <w:tc>
          <w:tcPr>
            <w:tcW w:w="5475" w:type="dxa"/>
            <w:hideMark/>
          </w:tcPr>
          <w:p w14:paraId="1A3B864B"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Montgomery–Åsberg Depression Rating Scale total score</w:t>
            </w:r>
          </w:p>
        </w:tc>
      </w:tr>
      <w:tr w:rsidR="00753B1B" w:rsidRPr="003C1D92" w14:paraId="221A6327" w14:textId="77777777" w:rsidTr="00450053">
        <w:tc>
          <w:tcPr>
            <w:tcW w:w="3541" w:type="dxa"/>
            <w:hideMark/>
          </w:tcPr>
          <w:p w14:paraId="04981738"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 xml:space="preserve">MenCal </w:t>
            </w:r>
          </w:p>
        </w:tc>
        <w:tc>
          <w:tcPr>
            <w:tcW w:w="5475" w:type="dxa"/>
            <w:hideMark/>
          </w:tcPr>
          <w:p w14:paraId="59BF7C8F"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Mental Calculation</w:t>
            </w:r>
          </w:p>
        </w:tc>
      </w:tr>
      <w:tr w:rsidR="00753B1B" w:rsidRPr="003C1D92" w14:paraId="3DC0E81D" w14:textId="77777777" w:rsidTr="00450053">
        <w:tc>
          <w:tcPr>
            <w:tcW w:w="3541" w:type="dxa"/>
          </w:tcPr>
          <w:p w14:paraId="695A838A"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RevDS</w:t>
            </w:r>
          </w:p>
        </w:tc>
        <w:tc>
          <w:tcPr>
            <w:tcW w:w="5475" w:type="dxa"/>
          </w:tcPr>
          <w:p w14:paraId="50754410"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Reverse Digit Span</w:t>
            </w:r>
          </w:p>
        </w:tc>
      </w:tr>
      <w:tr w:rsidR="00753B1B" w:rsidRPr="003C1D92" w14:paraId="740936A2" w14:textId="77777777" w:rsidTr="00450053">
        <w:tc>
          <w:tcPr>
            <w:tcW w:w="3541" w:type="dxa"/>
            <w:hideMark/>
          </w:tcPr>
          <w:p w14:paraId="2C957342"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RRS</w:t>
            </w:r>
          </w:p>
        </w:tc>
        <w:tc>
          <w:tcPr>
            <w:tcW w:w="5475" w:type="dxa"/>
            <w:hideMark/>
          </w:tcPr>
          <w:p w14:paraId="7C7372D4"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Ruminative Response Scale total score</w:t>
            </w:r>
          </w:p>
        </w:tc>
      </w:tr>
      <w:tr w:rsidR="00753B1B" w:rsidRPr="003C1D92" w14:paraId="18ECCBA4" w14:textId="77777777" w:rsidTr="00450053">
        <w:tc>
          <w:tcPr>
            <w:tcW w:w="3541" w:type="dxa"/>
            <w:hideMark/>
          </w:tcPr>
          <w:p w14:paraId="2081DC37" w14:textId="53580438" w:rsidR="00753B1B" w:rsidRPr="003C1D92" w:rsidRDefault="00753B1B" w:rsidP="00EF0772">
            <w:pPr>
              <w:rPr>
                <w:rFonts w:eastAsia="Times New Roman" w:cs="Times New Roman"/>
                <w:lang w:eastAsia="en-GB"/>
              </w:rPr>
            </w:pPr>
            <w:r w:rsidRPr="003C1D92">
              <w:rPr>
                <w:rFonts w:eastAsia="Times New Roman" w:cs="Times New Roman"/>
                <w:lang w:eastAsia="en-GB"/>
              </w:rPr>
              <w:t>STAI-B</w:t>
            </w:r>
          </w:p>
        </w:tc>
        <w:tc>
          <w:tcPr>
            <w:tcW w:w="5475" w:type="dxa"/>
            <w:hideMark/>
          </w:tcPr>
          <w:p w14:paraId="30E9EB18"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Trait Anxiety Inventory total score</w:t>
            </w:r>
          </w:p>
        </w:tc>
      </w:tr>
      <w:tr w:rsidR="00753B1B" w:rsidRPr="003C1D92" w14:paraId="3ED54B60" w14:textId="77777777" w:rsidTr="00450053">
        <w:tc>
          <w:tcPr>
            <w:tcW w:w="3541" w:type="dxa"/>
            <w:hideMark/>
          </w:tcPr>
          <w:p w14:paraId="4F4D16D6"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STAXI</w:t>
            </w:r>
          </w:p>
        </w:tc>
        <w:tc>
          <w:tcPr>
            <w:tcW w:w="5475" w:type="dxa"/>
            <w:hideMark/>
          </w:tcPr>
          <w:p w14:paraId="5B71FBCA"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Trait Anger Expression Inventory total score</w:t>
            </w:r>
          </w:p>
        </w:tc>
      </w:tr>
      <w:tr w:rsidR="00753B1B" w:rsidRPr="003C1D92" w14:paraId="5D1B6302" w14:textId="77777777" w:rsidTr="00450053">
        <w:tc>
          <w:tcPr>
            <w:tcW w:w="3541" w:type="dxa"/>
            <w:hideMark/>
          </w:tcPr>
          <w:p w14:paraId="17B9774C" w14:textId="77777777" w:rsidR="00753B1B" w:rsidRPr="003C1D92" w:rsidRDefault="00753B1B" w:rsidP="00EF0772">
            <w:pPr>
              <w:rPr>
                <w:rFonts w:eastAsia="Times New Roman" w:cs="Times New Roman"/>
                <w:lang w:eastAsia="en-GB"/>
              </w:rPr>
            </w:pPr>
            <w:r w:rsidRPr="003C1D92">
              <w:rPr>
                <w:rFonts w:eastAsia="Times New Roman" w:cs="Times New Roman"/>
                <w:lang w:eastAsia="en-GB"/>
              </w:rPr>
              <w:t>TEMPS</w:t>
            </w:r>
          </w:p>
        </w:tc>
        <w:tc>
          <w:tcPr>
            <w:tcW w:w="5475" w:type="dxa"/>
            <w:hideMark/>
          </w:tcPr>
          <w:p w14:paraId="412254C8" w14:textId="7389D471" w:rsidR="00753B1B" w:rsidRPr="003C1D92" w:rsidRDefault="00753B1B" w:rsidP="00EF0772">
            <w:pPr>
              <w:rPr>
                <w:rFonts w:eastAsia="Times New Roman" w:cs="Times New Roman"/>
                <w:lang w:eastAsia="en-GB"/>
              </w:rPr>
            </w:pPr>
            <w:r w:rsidRPr="003C1D92">
              <w:rPr>
                <w:rFonts w:eastAsia="Times New Roman" w:cs="Times New Roman"/>
                <w:lang w:eastAsia="en-GB"/>
              </w:rPr>
              <w:t>Temperament Evaluation of Memphis, Pisa, Paris, and San Diego scale total score</w:t>
            </w:r>
          </w:p>
        </w:tc>
      </w:tr>
      <w:tr w:rsidR="00CA47B2" w:rsidRPr="003C1D92" w14:paraId="33661B33" w14:textId="77777777" w:rsidTr="00F15486">
        <w:tc>
          <w:tcPr>
            <w:tcW w:w="0" w:type="auto"/>
            <w:gridSpan w:val="2"/>
            <w:hideMark/>
          </w:tcPr>
          <w:p w14:paraId="09312F88" w14:textId="77777777" w:rsidR="00CA47B2" w:rsidRPr="003C1D92" w:rsidRDefault="00CA47B2" w:rsidP="00EF0772">
            <w:pPr>
              <w:rPr>
                <w:rFonts w:eastAsia="Times New Roman" w:cs="Times New Roman"/>
                <w:b/>
                <w:bCs/>
                <w:lang w:eastAsia="en-GB"/>
              </w:rPr>
            </w:pPr>
          </w:p>
          <w:p w14:paraId="77EED599" w14:textId="46028AF7" w:rsidR="00CA47B2" w:rsidRPr="003C1D92" w:rsidRDefault="00CA47B2" w:rsidP="00EF0772">
            <w:pPr>
              <w:rPr>
                <w:rFonts w:eastAsia="Times New Roman" w:cs="Times New Roman"/>
                <w:b/>
                <w:bCs/>
                <w:lang w:eastAsia="en-GB"/>
              </w:rPr>
            </w:pPr>
            <w:r w:rsidRPr="003C1D92">
              <w:rPr>
                <w:rFonts w:eastAsia="Times New Roman" w:cs="Times New Roman"/>
                <w:b/>
                <w:bCs/>
                <w:lang w:eastAsia="en-GB"/>
              </w:rPr>
              <w:t>Micro-CoActivation Patterns (μCAPs) hippocampal dynamic functional connectivity (dFC)</w:t>
            </w:r>
          </w:p>
          <w:p w14:paraId="208542F3" w14:textId="77777777" w:rsidR="00CA47B2" w:rsidRPr="003C1D92" w:rsidRDefault="00CA47B2" w:rsidP="00EF0772">
            <w:pPr>
              <w:ind w:left="720"/>
              <w:rPr>
                <w:rFonts w:eastAsia="Times New Roman" w:cs="Times New Roman"/>
                <w:b/>
                <w:bCs/>
                <w:lang w:eastAsia="en-GB"/>
              </w:rPr>
            </w:pPr>
          </w:p>
        </w:tc>
      </w:tr>
      <w:tr w:rsidR="00CA47B2" w:rsidRPr="003C1D92" w14:paraId="5183E3C5" w14:textId="77777777" w:rsidTr="00450053">
        <w:tc>
          <w:tcPr>
            <w:tcW w:w="3541" w:type="dxa"/>
            <w:hideMark/>
          </w:tcPr>
          <w:p w14:paraId="6F2E52D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DMN</w:t>
            </w:r>
          </w:p>
        </w:tc>
        <w:tc>
          <w:tcPr>
            <w:tcW w:w="5475" w:type="dxa"/>
            <w:hideMark/>
          </w:tcPr>
          <w:p w14:paraId="5F2CB761"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Default Mode Network dFC with the hippocampal medial body</w:t>
            </w:r>
          </w:p>
        </w:tc>
      </w:tr>
      <w:tr w:rsidR="00CA47B2" w:rsidRPr="003C1D92" w14:paraId="5F969912" w14:textId="77777777" w:rsidTr="00450053">
        <w:tc>
          <w:tcPr>
            <w:tcW w:w="3541" w:type="dxa"/>
            <w:hideMark/>
          </w:tcPr>
          <w:p w14:paraId="4BC5ED1C"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LN</w:t>
            </w:r>
          </w:p>
        </w:tc>
        <w:tc>
          <w:tcPr>
            <w:tcW w:w="5475" w:type="dxa"/>
            <w:hideMark/>
          </w:tcPr>
          <w:p w14:paraId="03261E4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Limbic Network dFC with the hippocampal head</w:t>
            </w:r>
          </w:p>
          <w:p w14:paraId="68640166" w14:textId="77777777" w:rsidR="00CA47B2" w:rsidRPr="003C1D92" w:rsidRDefault="00CA47B2" w:rsidP="00EF0772">
            <w:pPr>
              <w:rPr>
                <w:rFonts w:eastAsia="Times New Roman" w:cs="Times New Roman"/>
                <w:lang w:eastAsia="en-GB"/>
              </w:rPr>
            </w:pPr>
          </w:p>
        </w:tc>
      </w:tr>
      <w:tr w:rsidR="00CA47B2" w:rsidRPr="003C1D92" w14:paraId="0061E3A4" w14:textId="77777777" w:rsidTr="00450053">
        <w:tc>
          <w:tcPr>
            <w:tcW w:w="3541" w:type="dxa"/>
            <w:hideMark/>
          </w:tcPr>
          <w:p w14:paraId="2F7B316A"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SMN</w:t>
            </w:r>
          </w:p>
        </w:tc>
        <w:tc>
          <w:tcPr>
            <w:tcW w:w="5475" w:type="dxa"/>
            <w:hideMark/>
          </w:tcPr>
          <w:p w14:paraId="24237C3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Sensorimotor Network dFC with hippocampal lateral body</w:t>
            </w:r>
          </w:p>
        </w:tc>
      </w:tr>
      <w:tr w:rsidR="00CA47B2" w:rsidRPr="003C1D92" w14:paraId="1547142C" w14:textId="77777777" w:rsidTr="00450053">
        <w:tc>
          <w:tcPr>
            <w:tcW w:w="3541" w:type="dxa"/>
            <w:hideMark/>
          </w:tcPr>
          <w:p w14:paraId="4666B5E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VN</w:t>
            </w:r>
          </w:p>
        </w:tc>
        <w:tc>
          <w:tcPr>
            <w:tcW w:w="5475" w:type="dxa"/>
            <w:hideMark/>
          </w:tcPr>
          <w:p w14:paraId="6D5C9EDA"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Visual Network dFC with the hippocampal lateral tail</w:t>
            </w:r>
          </w:p>
        </w:tc>
      </w:tr>
      <w:tr w:rsidR="00CA47B2" w:rsidRPr="003C1D92" w14:paraId="5F41DA18" w14:textId="77777777" w:rsidTr="00450053">
        <w:tc>
          <w:tcPr>
            <w:tcW w:w="3541" w:type="dxa"/>
            <w:hideMark/>
          </w:tcPr>
          <w:p w14:paraId="62DDA2F1"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VTA</w:t>
            </w:r>
          </w:p>
        </w:tc>
        <w:tc>
          <w:tcPr>
            <w:tcW w:w="5475" w:type="dxa"/>
            <w:hideMark/>
          </w:tcPr>
          <w:p w14:paraId="6BC0D1E9"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 xml:space="preserve">Ventral Tegmental Area dFC with the hippocampal anterior body </w:t>
            </w:r>
          </w:p>
        </w:tc>
      </w:tr>
      <w:tr w:rsidR="00CA47B2" w:rsidRPr="003C1D92" w14:paraId="6CB36334" w14:textId="77777777" w:rsidTr="00F15486">
        <w:tc>
          <w:tcPr>
            <w:tcW w:w="0" w:type="auto"/>
            <w:gridSpan w:val="2"/>
            <w:hideMark/>
          </w:tcPr>
          <w:p w14:paraId="7C58ADB2" w14:textId="77777777" w:rsidR="00CA47B2" w:rsidRPr="003C1D92" w:rsidRDefault="00CA47B2" w:rsidP="00EF0772">
            <w:pPr>
              <w:rPr>
                <w:rFonts w:eastAsia="Times New Roman" w:cs="Times New Roman"/>
                <w:b/>
                <w:bCs/>
                <w:lang w:eastAsia="en-GB"/>
              </w:rPr>
            </w:pPr>
          </w:p>
          <w:p w14:paraId="710C83D7" w14:textId="77777777" w:rsidR="00CA47B2" w:rsidRPr="003C1D92" w:rsidRDefault="00CA47B2" w:rsidP="00EF0772">
            <w:pPr>
              <w:rPr>
                <w:rFonts w:eastAsia="Times New Roman" w:cs="Times New Roman"/>
                <w:b/>
                <w:bCs/>
                <w:lang w:eastAsia="en-GB"/>
              </w:rPr>
            </w:pPr>
            <w:r w:rsidRPr="003C1D92">
              <w:rPr>
                <w:rFonts w:eastAsia="Times New Roman" w:cs="Times New Roman"/>
                <w:b/>
                <w:bCs/>
                <w:lang w:eastAsia="en-GB"/>
              </w:rPr>
              <w:t>Fractional anisotropy (FA)</w:t>
            </w:r>
          </w:p>
          <w:p w14:paraId="082ACAD1" w14:textId="77777777" w:rsidR="00CA47B2" w:rsidRPr="003C1D92" w:rsidRDefault="00CA47B2" w:rsidP="00EF0772">
            <w:pPr>
              <w:ind w:left="720"/>
              <w:rPr>
                <w:rFonts w:eastAsia="Times New Roman" w:cs="Times New Roman"/>
                <w:lang w:eastAsia="en-GB"/>
              </w:rPr>
            </w:pPr>
          </w:p>
        </w:tc>
      </w:tr>
      <w:tr w:rsidR="00CA47B2" w:rsidRPr="003C1D92" w14:paraId="73AA2D41" w14:textId="77777777" w:rsidTr="00450053">
        <w:tc>
          <w:tcPr>
            <w:tcW w:w="3541" w:type="dxa"/>
            <w:hideMark/>
          </w:tcPr>
          <w:p w14:paraId="38F1B35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ACR</w:t>
            </w:r>
          </w:p>
        </w:tc>
        <w:tc>
          <w:tcPr>
            <w:tcW w:w="5475" w:type="dxa"/>
            <w:hideMark/>
          </w:tcPr>
          <w:p w14:paraId="2B799DDF"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Anterior Corona Radiata FA</w:t>
            </w:r>
          </w:p>
        </w:tc>
      </w:tr>
      <w:tr w:rsidR="00CA47B2" w:rsidRPr="003C1D92" w14:paraId="6D57A886" w14:textId="77777777" w:rsidTr="00450053">
        <w:tc>
          <w:tcPr>
            <w:tcW w:w="3541" w:type="dxa"/>
            <w:hideMark/>
          </w:tcPr>
          <w:p w14:paraId="62970E1F"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ALIC</w:t>
            </w:r>
          </w:p>
        </w:tc>
        <w:tc>
          <w:tcPr>
            <w:tcW w:w="5475" w:type="dxa"/>
            <w:hideMark/>
          </w:tcPr>
          <w:p w14:paraId="5805B0AC"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Anterior Limb of Internal Capsule FA</w:t>
            </w:r>
          </w:p>
        </w:tc>
      </w:tr>
      <w:tr w:rsidR="00CA47B2" w:rsidRPr="003C1D92" w14:paraId="6358F695" w14:textId="77777777" w:rsidTr="00450053">
        <w:tc>
          <w:tcPr>
            <w:tcW w:w="3541" w:type="dxa"/>
            <w:hideMark/>
          </w:tcPr>
          <w:p w14:paraId="56E9080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lastRenderedPageBreak/>
              <w:t>BCC</w:t>
            </w:r>
          </w:p>
        </w:tc>
        <w:tc>
          <w:tcPr>
            <w:tcW w:w="5475" w:type="dxa"/>
            <w:hideMark/>
          </w:tcPr>
          <w:p w14:paraId="44E6BFC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Body of the Corpus Callosum FA</w:t>
            </w:r>
          </w:p>
        </w:tc>
      </w:tr>
      <w:tr w:rsidR="00CA47B2" w:rsidRPr="003C1D92" w14:paraId="6F91D99B" w14:textId="77777777" w:rsidTr="00450053">
        <w:tc>
          <w:tcPr>
            <w:tcW w:w="3541" w:type="dxa"/>
            <w:hideMark/>
          </w:tcPr>
          <w:p w14:paraId="66F8AD89"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CC</w:t>
            </w:r>
          </w:p>
        </w:tc>
        <w:tc>
          <w:tcPr>
            <w:tcW w:w="5475" w:type="dxa"/>
            <w:hideMark/>
          </w:tcPr>
          <w:p w14:paraId="6D2640D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Corpus Callosum FA</w:t>
            </w:r>
          </w:p>
        </w:tc>
      </w:tr>
      <w:tr w:rsidR="00CA47B2" w:rsidRPr="003C1D92" w14:paraId="740E0971" w14:textId="77777777" w:rsidTr="00450053">
        <w:tc>
          <w:tcPr>
            <w:tcW w:w="3541" w:type="dxa"/>
            <w:hideMark/>
          </w:tcPr>
          <w:p w14:paraId="4956125C"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CGC</w:t>
            </w:r>
          </w:p>
        </w:tc>
        <w:tc>
          <w:tcPr>
            <w:tcW w:w="5475" w:type="dxa"/>
            <w:hideMark/>
          </w:tcPr>
          <w:p w14:paraId="060B216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Cingulum (cingulate gyrus) FA</w:t>
            </w:r>
          </w:p>
        </w:tc>
      </w:tr>
      <w:tr w:rsidR="00CA47B2" w:rsidRPr="003C1D92" w14:paraId="09482AF8" w14:textId="77777777" w:rsidTr="00450053">
        <w:tc>
          <w:tcPr>
            <w:tcW w:w="3541" w:type="dxa"/>
            <w:hideMark/>
          </w:tcPr>
          <w:p w14:paraId="598D32C1"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CGH</w:t>
            </w:r>
          </w:p>
        </w:tc>
        <w:tc>
          <w:tcPr>
            <w:tcW w:w="5475" w:type="dxa"/>
            <w:hideMark/>
          </w:tcPr>
          <w:p w14:paraId="18E0F5F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Perihippocampal cingulum tract FA</w:t>
            </w:r>
          </w:p>
        </w:tc>
      </w:tr>
      <w:tr w:rsidR="00CA47B2" w:rsidRPr="003C1D92" w14:paraId="5B46AE6B" w14:textId="77777777" w:rsidTr="00450053">
        <w:tc>
          <w:tcPr>
            <w:tcW w:w="3541" w:type="dxa"/>
            <w:hideMark/>
          </w:tcPr>
          <w:p w14:paraId="30A52EB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CR</w:t>
            </w:r>
          </w:p>
        </w:tc>
        <w:tc>
          <w:tcPr>
            <w:tcW w:w="5475" w:type="dxa"/>
            <w:hideMark/>
          </w:tcPr>
          <w:p w14:paraId="4BFD9B9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Corona Radiata FA</w:t>
            </w:r>
          </w:p>
        </w:tc>
      </w:tr>
      <w:tr w:rsidR="00CA47B2" w:rsidRPr="003C1D92" w14:paraId="51563245" w14:textId="77777777" w:rsidTr="00450053">
        <w:tc>
          <w:tcPr>
            <w:tcW w:w="3541" w:type="dxa"/>
            <w:hideMark/>
          </w:tcPr>
          <w:p w14:paraId="419E3269"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CST</w:t>
            </w:r>
          </w:p>
        </w:tc>
        <w:tc>
          <w:tcPr>
            <w:tcW w:w="5475" w:type="dxa"/>
            <w:hideMark/>
          </w:tcPr>
          <w:p w14:paraId="6D00C36E"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Corticospinal Tract FA</w:t>
            </w:r>
          </w:p>
        </w:tc>
      </w:tr>
      <w:tr w:rsidR="00CA47B2" w:rsidRPr="003C1D92" w14:paraId="39962268" w14:textId="77777777" w:rsidTr="00450053">
        <w:tc>
          <w:tcPr>
            <w:tcW w:w="3541" w:type="dxa"/>
            <w:hideMark/>
          </w:tcPr>
          <w:p w14:paraId="72D35CB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EC</w:t>
            </w:r>
          </w:p>
        </w:tc>
        <w:tc>
          <w:tcPr>
            <w:tcW w:w="5475" w:type="dxa"/>
            <w:hideMark/>
          </w:tcPr>
          <w:p w14:paraId="319844DA"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External Capsule FA</w:t>
            </w:r>
          </w:p>
        </w:tc>
      </w:tr>
      <w:tr w:rsidR="00CA47B2" w:rsidRPr="003C1D92" w14:paraId="5D0FC38A" w14:textId="77777777" w:rsidTr="00450053">
        <w:tc>
          <w:tcPr>
            <w:tcW w:w="3541" w:type="dxa"/>
            <w:hideMark/>
          </w:tcPr>
          <w:p w14:paraId="4FB2C6FF"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FX</w:t>
            </w:r>
          </w:p>
        </w:tc>
        <w:tc>
          <w:tcPr>
            <w:tcW w:w="5475" w:type="dxa"/>
            <w:hideMark/>
          </w:tcPr>
          <w:p w14:paraId="18890EF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Fornix FA</w:t>
            </w:r>
          </w:p>
        </w:tc>
      </w:tr>
      <w:tr w:rsidR="00CA47B2" w:rsidRPr="003C1D92" w14:paraId="75083B7A" w14:textId="77777777" w:rsidTr="00450053">
        <w:tc>
          <w:tcPr>
            <w:tcW w:w="3541" w:type="dxa"/>
            <w:hideMark/>
          </w:tcPr>
          <w:p w14:paraId="40CD6C9C"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FXST</w:t>
            </w:r>
          </w:p>
        </w:tc>
        <w:tc>
          <w:tcPr>
            <w:tcW w:w="5475" w:type="dxa"/>
            <w:hideMark/>
          </w:tcPr>
          <w:p w14:paraId="23CC7098"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Fornix Stria Terminalis FA</w:t>
            </w:r>
          </w:p>
        </w:tc>
      </w:tr>
      <w:tr w:rsidR="00CA47B2" w:rsidRPr="003C1D92" w14:paraId="6C2D4E7E" w14:textId="77777777" w:rsidTr="00450053">
        <w:tc>
          <w:tcPr>
            <w:tcW w:w="3541" w:type="dxa"/>
            <w:hideMark/>
          </w:tcPr>
          <w:p w14:paraId="57DEA35E"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GCC</w:t>
            </w:r>
          </w:p>
        </w:tc>
        <w:tc>
          <w:tcPr>
            <w:tcW w:w="5475" w:type="dxa"/>
            <w:hideMark/>
          </w:tcPr>
          <w:p w14:paraId="132E242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Genu of the Corpus Callosum FA</w:t>
            </w:r>
          </w:p>
        </w:tc>
      </w:tr>
      <w:tr w:rsidR="00CA47B2" w:rsidRPr="003C1D92" w14:paraId="74F4D618" w14:textId="77777777" w:rsidTr="00450053">
        <w:tc>
          <w:tcPr>
            <w:tcW w:w="3541" w:type="dxa"/>
            <w:hideMark/>
          </w:tcPr>
          <w:p w14:paraId="21293AA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IC</w:t>
            </w:r>
          </w:p>
        </w:tc>
        <w:tc>
          <w:tcPr>
            <w:tcW w:w="5475" w:type="dxa"/>
            <w:hideMark/>
          </w:tcPr>
          <w:p w14:paraId="45BCBEE9"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Internal Capsule FA</w:t>
            </w:r>
          </w:p>
        </w:tc>
      </w:tr>
      <w:tr w:rsidR="00CA47B2" w:rsidRPr="003C1D92" w14:paraId="10917F66" w14:textId="77777777" w:rsidTr="00450053">
        <w:tc>
          <w:tcPr>
            <w:tcW w:w="3541" w:type="dxa"/>
            <w:hideMark/>
          </w:tcPr>
          <w:p w14:paraId="6FC654AC"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PCR</w:t>
            </w:r>
          </w:p>
        </w:tc>
        <w:tc>
          <w:tcPr>
            <w:tcW w:w="5475" w:type="dxa"/>
            <w:hideMark/>
          </w:tcPr>
          <w:p w14:paraId="26AB315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Posterior Corona Radiata FA</w:t>
            </w:r>
          </w:p>
        </w:tc>
      </w:tr>
      <w:tr w:rsidR="00CA47B2" w:rsidRPr="003C1D92" w14:paraId="0E290DDF" w14:textId="77777777" w:rsidTr="00450053">
        <w:tc>
          <w:tcPr>
            <w:tcW w:w="3541" w:type="dxa"/>
            <w:hideMark/>
          </w:tcPr>
          <w:p w14:paraId="38D131E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PLIC</w:t>
            </w:r>
          </w:p>
        </w:tc>
        <w:tc>
          <w:tcPr>
            <w:tcW w:w="5475" w:type="dxa"/>
            <w:hideMark/>
          </w:tcPr>
          <w:p w14:paraId="4C73B66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Posterior Limb of Internal Capsule FA</w:t>
            </w:r>
          </w:p>
        </w:tc>
      </w:tr>
      <w:tr w:rsidR="00CA47B2" w:rsidRPr="003C1D92" w14:paraId="4A6C0DFD" w14:textId="77777777" w:rsidTr="00450053">
        <w:tc>
          <w:tcPr>
            <w:tcW w:w="3541" w:type="dxa"/>
            <w:hideMark/>
          </w:tcPr>
          <w:p w14:paraId="5805DAEF"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PTR</w:t>
            </w:r>
          </w:p>
        </w:tc>
        <w:tc>
          <w:tcPr>
            <w:tcW w:w="5475" w:type="dxa"/>
            <w:hideMark/>
          </w:tcPr>
          <w:p w14:paraId="73ACE221"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Posterior Thalamic Radiation FA</w:t>
            </w:r>
          </w:p>
        </w:tc>
      </w:tr>
      <w:tr w:rsidR="00CA47B2" w:rsidRPr="003C1D92" w14:paraId="49A0AF50" w14:textId="77777777" w:rsidTr="00450053">
        <w:tc>
          <w:tcPr>
            <w:tcW w:w="3541" w:type="dxa"/>
            <w:hideMark/>
          </w:tcPr>
          <w:p w14:paraId="2E618272"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RLIC</w:t>
            </w:r>
          </w:p>
        </w:tc>
        <w:tc>
          <w:tcPr>
            <w:tcW w:w="5475" w:type="dxa"/>
            <w:hideMark/>
          </w:tcPr>
          <w:p w14:paraId="6DD61997"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Retrolenticular part of Internal Capsule FA</w:t>
            </w:r>
          </w:p>
        </w:tc>
      </w:tr>
      <w:tr w:rsidR="00CA47B2" w:rsidRPr="003C1D92" w14:paraId="5C5BB989" w14:textId="77777777" w:rsidTr="00450053">
        <w:tc>
          <w:tcPr>
            <w:tcW w:w="3541" w:type="dxa"/>
            <w:hideMark/>
          </w:tcPr>
          <w:p w14:paraId="34727AD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SCC</w:t>
            </w:r>
          </w:p>
        </w:tc>
        <w:tc>
          <w:tcPr>
            <w:tcW w:w="5475" w:type="dxa"/>
            <w:hideMark/>
          </w:tcPr>
          <w:p w14:paraId="26DF375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Splenium of the Corpus Callosum FA</w:t>
            </w:r>
          </w:p>
        </w:tc>
      </w:tr>
      <w:tr w:rsidR="00CA47B2" w:rsidRPr="003C1D92" w14:paraId="7D56B4B6" w14:textId="77777777" w:rsidTr="00450053">
        <w:tc>
          <w:tcPr>
            <w:tcW w:w="3541" w:type="dxa"/>
            <w:hideMark/>
          </w:tcPr>
          <w:p w14:paraId="45E992F0"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SCR</w:t>
            </w:r>
          </w:p>
        </w:tc>
        <w:tc>
          <w:tcPr>
            <w:tcW w:w="5475" w:type="dxa"/>
            <w:hideMark/>
          </w:tcPr>
          <w:p w14:paraId="2CB6D6AF"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Superior Corona Radiata FA</w:t>
            </w:r>
          </w:p>
        </w:tc>
      </w:tr>
      <w:tr w:rsidR="00CA47B2" w:rsidRPr="003C1D92" w14:paraId="3FAF04E2" w14:textId="77777777" w:rsidTr="00450053">
        <w:tc>
          <w:tcPr>
            <w:tcW w:w="3541" w:type="dxa"/>
            <w:hideMark/>
          </w:tcPr>
          <w:p w14:paraId="025FB2B7"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SFO</w:t>
            </w:r>
          </w:p>
        </w:tc>
        <w:tc>
          <w:tcPr>
            <w:tcW w:w="5475" w:type="dxa"/>
            <w:hideMark/>
          </w:tcPr>
          <w:p w14:paraId="2C57CF0E" w14:textId="29B4A304" w:rsidR="00CA47B2" w:rsidRPr="003C1D92" w:rsidRDefault="00CA47B2" w:rsidP="00EF0772">
            <w:pPr>
              <w:rPr>
                <w:rFonts w:eastAsia="Times New Roman" w:cs="Times New Roman"/>
                <w:lang w:eastAsia="en-GB"/>
              </w:rPr>
            </w:pPr>
            <w:r w:rsidRPr="003C1D92">
              <w:rPr>
                <w:rFonts w:eastAsia="Times New Roman" w:cs="Times New Roman"/>
                <w:lang w:eastAsia="en-GB"/>
              </w:rPr>
              <w:t>Superior Fronto</w:t>
            </w:r>
            <w:r w:rsidRPr="003C1D92">
              <w:rPr>
                <w:rFonts w:eastAsia="Times New Roman" w:cs="Times New Roman"/>
                <w:lang w:eastAsia="en-GB"/>
              </w:rPr>
              <w:noBreakHyphen/>
              <w:t>Occipital fasciculus FA</w:t>
            </w:r>
          </w:p>
        </w:tc>
      </w:tr>
      <w:tr w:rsidR="00CA47B2" w:rsidRPr="003C1D92" w14:paraId="588BF43E" w14:textId="77777777" w:rsidTr="00450053">
        <w:tc>
          <w:tcPr>
            <w:tcW w:w="3541" w:type="dxa"/>
            <w:hideMark/>
          </w:tcPr>
          <w:p w14:paraId="385B36CE"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SLF</w:t>
            </w:r>
          </w:p>
        </w:tc>
        <w:tc>
          <w:tcPr>
            <w:tcW w:w="5475" w:type="dxa"/>
            <w:hideMark/>
          </w:tcPr>
          <w:p w14:paraId="1E525B79" w14:textId="210D8C69" w:rsidR="00CA47B2" w:rsidRPr="003C1D92" w:rsidRDefault="00CA47B2" w:rsidP="00EF0772">
            <w:pPr>
              <w:rPr>
                <w:rFonts w:eastAsia="Times New Roman" w:cs="Times New Roman"/>
                <w:lang w:eastAsia="en-GB"/>
              </w:rPr>
            </w:pPr>
            <w:r w:rsidRPr="003C1D92">
              <w:rPr>
                <w:rFonts w:eastAsia="Times New Roman" w:cs="Times New Roman"/>
                <w:lang w:eastAsia="en-GB"/>
              </w:rPr>
              <w:t>Superior Longitudinal fasciculus FA</w:t>
            </w:r>
          </w:p>
        </w:tc>
      </w:tr>
      <w:tr w:rsidR="00CA47B2" w:rsidRPr="003C1D92" w14:paraId="5763F92D" w14:textId="77777777" w:rsidTr="00450053">
        <w:tc>
          <w:tcPr>
            <w:tcW w:w="3541" w:type="dxa"/>
            <w:hideMark/>
          </w:tcPr>
          <w:p w14:paraId="0C25CCB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SS</w:t>
            </w:r>
          </w:p>
        </w:tc>
        <w:tc>
          <w:tcPr>
            <w:tcW w:w="5475" w:type="dxa"/>
            <w:hideMark/>
          </w:tcPr>
          <w:p w14:paraId="212B21F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 xml:space="preserve">Sagittal Stratum FA </w:t>
            </w:r>
          </w:p>
          <w:p w14:paraId="0EC2848E"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(including parts of the inferior fronto-occipital fasciculus)</w:t>
            </w:r>
          </w:p>
        </w:tc>
      </w:tr>
      <w:tr w:rsidR="00CA47B2" w:rsidRPr="003C1D92" w14:paraId="2553B24A" w14:textId="77777777" w:rsidTr="00450053">
        <w:tc>
          <w:tcPr>
            <w:tcW w:w="3541" w:type="dxa"/>
            <w:hideMark/>
          </w:tcPr>
          <w:p w14:paraId="315B1907"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TP</w:t>
            </w:r>
          </w:p>
        </w:tc>
        <w:tc>
          <w:tcPr>
            <w:tcW w:w="5475" w:type="dxa"/>
            <w:hideMark/>
          </w:tcPr>
          <w:p w14:paraId="0EDBE7AE"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Tapetum FA</w:t>
            </w:r>
          </w:p>
        </w:tc>
      </w:tr>
      <w:tr w:rsidR="00CA47B2" w:rsidRPr="003C1D92" w14:paraId="4213B5A9" w14:textId="77777777" w:rsidTr="00450053">
        <w:tc>
          <w:tcPr>
            <w:tcW w:w="3541" w:type="dxa"/>
          </w:tcPr>
          <w:p w14:paraId="16EB7D94"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UNC</w:t>
            </w:r>
          </w:p>
        </w:tc>
        <w:tc>
          <w:tcPr>
            <w:tcW w:w="5475" w:type="dxa"/>
          </w:tcPr>
          <w:p w14:paraId="633D4F2F"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Uncinate FA</w:t>
            </w:r>
          </w:p>
        </w:tc>
      </w:tr>
      <w:tr w:rsidR="00CA47B2" w:rsidRPr="003C1D92" w14:paraId="3A7463AB" w14:textId="77777777" w:rsidTr="00450053">
        <w:tc>
          <w:tcPr>
            <w:tcW w:w="9016" w:type="dxa"/>
            <w:gridSpan w:val="2"/>
            <w:hideMark/>
          </w:tcPr>
          <w:p w14:paraId="092CEA57" w14:textId="77777777" w:rsidR="00CA47B2" w:rsidRPr="003C1D92" w:rsidRDefault="00CA47B2" w:rsidP="00EF0772">
            <w:pPr>
              <w:ind w:left="720"/>
              <w:rPr>
                <w:rFonts w:eastAsia="Times New Roman" w:cs="Times New Roman"/>
                <w:b/>
                <w:bCs/>
                <w:lang w:eastAsia="en-GB"/>
              </w:rPr>
            </w:pPr>
          </w:p>
          <w:p w14:paraId="1B26CC32" w14:textId="77777777" w:rsidR="00CA47B2" w:rsidRPr="003C1D92" w:rsidRDefault="00CA47B2" w:rsidP="00EF0772">
            <w:pPr>
              <w:rPr>
                <w:rFonts w:eastAsia="Times New Roman" w:cs="Times New Roman"/>
                <w:lang w:eastAsia="en-GB"/>
              </w:rPr>
            </w:pPr>
            <w:r w:rsidRPr="003C1D92">
              <w:rPr>
                <w:rFonts w:eastAsia="Times New Roman" w:cs="Times New Roman"/>
                <w:b/>
                <w:bCs/>
                <w:lang w:eastAsia="en-GB"/>
              </w:rPr>
              <w:t>Biological markers (serum concentrations)</w:t>
            </w:r>
          </w:p>
        </w:tc>
      </w:tr>
      <w:tr w:rsidR="00CA47B2" w:rsidRPr="003C1D92" w14:paraId="72F51C53" w14:textId="77777777" w:rsidTr="00450053">
        <w:tc>
          <w:tcPr>
            <w:tcW w:w="3541" w:type="dxa"/>
            <w:hideMark/>
          </w:tcPr>
          <w:p w14:paraId="5EB1327E"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BDNF</w:t>
            </w:r>
          </w:p>
        </w:tc>
        <w:tc>
          <w:tcPr>
            <w:tcW w:w="5475" w:type="dxa"/>
            <w:hideMark/>
          </w:tcPr>
          <w:p w14:paraId="27BC041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Brain</w:t>
            </w:r>
            <w:r w:rsidRPr="003C1D92">
              <w:rPr>
                <w:rFonts w:eastAsia="Times New Roman" w:cs="Times New Roman"/>
                <w:lang w:eastAsia="en-GB"/>
              </w:rPr>
              <w:noBreakHyphen/>
              <w:t xml:space="preserve">Derived Neurotrophic Factor </w:t>
            </w:r>
          </w:p>
        </w:tc>
      </w:tr>
      <w:tr w:rsidR="00CA47B2" w:rsidRPr="003C1D92" w14:paraId="2768C100" w14:textId="77777777" w:rsidTr="00450053">
        <w:tc>
          <w:tcPr>
            <w:tcW w:w="3541" w:type="dxa"/>
            <w:hideMark/>
          </w:tcPr>
          <w:p w14:paraId="404C8AAC"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CD62E</w:t>
            </w:r>
          </w:p>
        </w:tc>
        <w:tc>
          <w:tcPr>
            <w:tcW w:w="5475" w:type="dxa"/>
            <w:hideMark/>
          </w:tcPr>
          <w:p w14:paraId="5370BF5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E</w:t>
            </w:r>
            <w:r w:rsidRPr="003C1D92">
              <w:rPr>
                <w:rFonts w:eastAsia="Times New Roman" w:cs="Times New Roman"/>
                <w:lang w:eastAsia="en-GB"/>
              </w:rPr>
              <w:noBreakHyphen/>
              <w:t xml:space="preserve">selectin </w:t>
            </w:r>
          </w:p>
        </w:tc>
      </w:tr>
      <w:tr w:rsidR="00CA47B2" w:rsidRPr="003C1D92" w14:paraId="3834B64B" w14:textId="77777777" w:rsidTr="00450053">
        <w:tc>
          <w:tcPr>
            <w:tcW w:w="3541" w:type="dxa"/>
          </w:tcPr>
          <w:p w14:paraId="42E45B9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CRP</w:t>
            </w:r>
          </w:p>
        </w:tc>
        <w:tc>
          <w:tcPr>
            <w:tcW w:w="5475" w:type="dxa"/>
          </w:tcPr>
          <w:p w14:paraId="4D9A6C2C"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C-Reactive Protein</w:t>
            </w:r>
          </w:p>
        </w:tc>
      </w:tr>
      <w:tr w:rsidR="00CA47B2" w:rsidRPr="003C1D92" w14:paraId="3499DFA3" w14:textId="77777777" w:rsidTr="00450053">
        <w:tc>
          <w:tcPr>
            <w:tcW w:w="3541" w:type="dxa"/>
            <w:hideMark/>
          </w:tcPr>
          <w:p w14:paraId="59421AB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EGF</w:t>
            </w:r>
          </w:p>
        </w:tc>
        <w:tc>
          <w:tcPr>
            <w:tcW w:w="5475" w:type="dxa"/>
            <w:hideMark/>
          </w:tcPr>
          <w:p w14:paraId="58078C30"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 xml:space="preserve">Epidermal Growth Factor </w:t>
            </w:r>
          </w:p>
        </w:tc>
      </w:tr>
      <w:tr w:rsidR="00CA47B2" w:rsidRPr="003C1D92" w14:paraId="3CFB434E" w14:textId="77777777" w:rsidTr="00450053">
        <w:tc>
          <w:tcPr>
            <w:tcW w:w="3541" w:type="dxa"/>
            <w:hideMark/>
          </w:tcPr>
          <w:p w14:paraId="0E252DA9"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GM_CSF</w:t>
            </w:r>
          </w:p>
        </w:tc>
        <w:tc>
          <w:tcPr>
            <w:tcW w:w="5475" w:type="dxa"/>
            <w:hideMark/>
          </w:tcPr>
          <w:p w14:paraId="43555DC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Granulocyte–Macrophage Colony</w:t>
            </w:r>
            <w:r w:rsidRPr="003C1D92">
              <w:rPr>
                <w:rFonts w:eastAsia="Times New Roman" w:cs="Times New Roman"/>
                <w:lang w:eastAsia="en-GB"/>
              </w:rPr>
              <w:noBreakHyphen/>
              <w:t xml:space="preserve">Stimulating Factor </w:t>
            </w:r>
          </w:p>
        </w:tc>
      </w:tr>
      <w:tr w:rsidR="00CA47B2" w:rsidRPr="003C1D92" w14:paraId="0C62BE6E" w14:textId="77777777" w:rsidTr="00450053">
        <w:tc>
          <w:tcPr>
            <w:tcW w:w="3541" w:type="dxa"/>
          </w:tcPr>
          <w:p w14:paraId="0E51E107"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GROa</w:t>
            </w:r>
          </w:p>
        </w:tc>
        <w:tc>
          <w:tcPr>
            <w:tcW w:w="5475" w:type="dxa"/>
          </w:tcPr>
          <w:p w14:paraId="76328D4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Growth Regulated Protein-alpha/</w:t>
            </w:r>
            <w:r w:rsidRPr="003C1D92">
              <w:rPr>
                <w:rFonts w:cs="Times New Roman"/>
              </w:rPr>
              <w:t xml:space="preserve"> </w:t>
            </w:r>
            <w:r w:rsidRPr="003C1D92">
              <w:rPr>
                <w:rFonts w:eastAsia="Times New Roman" w:cs="Times New Roman"/>
                <w:lang w:eastAsia="en-GB"/>
              </w:rPr>
              <w:t>CXCL1</w:t>
            </w:r>
          </w:p>
        </w:tc>
      </w:tr>
      <w:tr w:rsidR="00CA47B2" w:rsidRPr="003C1D92" w14:paraId="17965BBF" w14:textId="77777777" w:rsidTr="00450053">
        <w:tc>
          <w:tcPr>
            <w:tcW w:w="3541" w:type="dxa"/>
            <w:hideMark/>
          </w:tcPr>
          <w:p w14:paraId="4330292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IFNa</w:t>
            </w:r>
          </w:p>
        </w:tc>
        <w:tc>
          <w:tcPr>
            <w:tcW w:w="5475" w:type="dxa"/>
            <w:hideMark/>
          </w:tcPr>
          <w:p w14:paraId="29A77092"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Interferon</w:t>
            </w:r>
            <w:r w:rsidRPr="003C1D92">
              <w:rPr>
                <w:rFonts w:eastAsia="Times New Roman" w:cs="Times New Roman"/>
                <w:lang w:eastAsia="en-GB"/>
              </w:rPr>
              <w:noBreakHyphen/>
              <w:t xml:space="preserve">alpha </w:t>
            </w:r>
          </w:p>
        </w:tc>
      </w:tr>
      <w:tr w:rsidR="00CA47B2" w:rsidRPr="003C1D92" w14:paraId="58D8D11C" w14:textId="77777777" w:rsidTr="00450053">
        <w:tc>
          <w:tcPr>
            <w:tcW w:w="3541" w:type="dxa"/>
            <w:hideMark/>
          </w:tcPr>
          <w:p w14:paraId="7E4A6588"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IFNb</w:t>
            </w:r>
          </w:p>
        </w:tc>
        <w:tc>
          <w:tcPr>
            <w:tcW w:w="5475" w:type="dxa"/>
            <w:hideMark/>
          </w:tcPr>
          <w:p w14:paraId="072606A0"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Interferon</w:t>
            </w:r>
            <w:r w:rsidRPr="003C1D92">
              <w:rPr>
                <w:rFonts w:eastAsia="Times New Roman" w:cs="Times New Roman"/>
                <w:lang w:eastAsia="en-GB"/>
              </w:rPr>
              <w:noBreakHyphen/>
              <w:t xml:space="preserve">beta </w:t>
            </w:r>
          </w:p>
        </w:tc>
      </w:tr>
      <w:tr w:rsidR="00CA47B2" w:rsidRPr="003C1D92" w14:paraId="682BF938" w14:textId="77777777" w:rsidTr="00450053">
        <w:tc>
          <w:tcPr>
            <w:tcW w:w="3541" w:type="dxa"/>
            <w:hideMark/>
          </w:tcPr>
          <w:p w14:paraId="10DB06BA"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IFNg</w:t>
            </w:r>
          </w:p>
        </w:tc>
        <w:tc>
          <w:tcPr>
            <w:tcW w:w="5475" w:type="dxa"/>
            <w:hideMark/>
          </w:tcPr>
          <w:p w14:paraId="3D9DC218"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Interferon</w:t>
            </w:r>
            <w:r w:rsidRPr="003C1D92">
              <w:rPr>
                <w:rFonts w:eastAsia="Times New Roman" w:cs="Times New Roman"/>
                <w:lang w:eastAsia="en-GB"/>
              </w:rPr>
              <w:noBreakHyphen/>
              <w:t xml:space="preserve">gamma </w:t>
            </w:r>
          </w:p>
        </w:tc>
      </w:tr>
      <w:tr w:rsidR="00CA47B2" w:rsidRPr="003C1D92" w14:paraId="0B1684AA" w14:textId="77777777" w:rsidTr="00450053">
        <w:tc>
          <w:tcPr>
            <w:tcW w:w="3541" w:type="dxa"/>
            <w:hideMark/>
          </w:tcPr>
          <w:p w14:paraId="7A04C5C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IL10</w:t>
            </w:r>
          </w:p>
        </w:tc>
        <w:tc>
          <w:tcPr>
            <w:tcW w:w="5475" w:type="dxa"/>
            <w:hideMark/>
          </w:tcPr>
          <w:p w14:paraId="2423C3A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10 </w:t>
            </w:r>
          </w:p>
        </w:tc>
      </w:tr>
      <w:tr w:rsidR="00CA47B2" w:rsidRPr="003C1D92" w14:paraId="234F2C64" w14:textId="77777777" w:rsidTr="00450053">
        <w:tc>
          <w:tcPr>
            <w:tcW w:w="3541" w:type="dxa"/>
            <w:hideMark/>
          </w:tcPr>
          <w:p w14:paraId="79EC25C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IL12</w:t>
            </w:r>
          </w:p>
        </w:tc>
        <w:tc>
          <w:tcPr>
            <w:tcW w:w="5475" w:type="dxa"/>
            <w:hideMark/>
          </w:tcPr>
          <w:p w14:paraId="73732494"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12 </w:t>
            </w:r>
          </w:p>
        </w:tc>
      </w:tr>
      <w:tr w:rsidR="00CA47B2" w:rsidRPr="003C1D92" w14:paraId="2A1774F1" w14:textId="77777777" w:rsidTr="00450053">
        <w:tc>
          <w:tcPr>
            <w:tcW w:w="3541" w:type="dxa"/>
            <w:hideMark/>
          </w:tcPr>
          <w:p w14:paraId="2F66BE1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IL17</w:t>
            </w:r>
          </w:p>
        </w:tc>
        <w:tc>
          <w:tcPr>
            <w:tcW w:w="5475" w:type="dxa"/>
            <w:hideMark/>
          </w:tcPr>
          <w:p w14:paraId="13972FF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17a </w:t>
            </w:r>
          </w:p>
        </w:tc>
      </w:tr>
      <w:tr w:rsidR="00CA47B2" w:rsidRPr="003C1D92" w14:paraId="3B100FE3" w14:textId="77777777" w:rsidTr="00450053">
        <w:tc>
          <w:tcPr>
            <w:tcW w:w="3541" w:type="dxa"/>
            <w:hideMark/>
          </w:tcPr>
          <w:p w14:paraId="60EDF819"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IL18</w:t>
            </w:r>
          </w:p>
        </w:tc>
        <w:tc>
          <w:tcPr>
            <w:tcW w:w="5475" w:type="dxa"/>
            <w:hideMark/>
          </w:tcPr>
          <w:p w14:paraId="2453B9EA"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18 </w:t>
            </w:r>
          </w:p>
        </w:tc>
      </w:tr>
      <w:tr w:rsidR="00CA47B2" w:rsidRPr="003C1D92" w14:paraId="43BBA7A6" w14:textId="77777777" w:rsidTr="00450053">
        <w:tc>
          <w:tcPr>
            <w:tcW w:w="3541" w:type="dxa"/>
            <w:hideMark/>
          </w:tcPr>
          <w:p w14:paraId="723E550C"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IL1a</w:t>
            </w:r>
          </w:p>
        </w:tc>
        <w:tc>
          <w:tcPr>
            <w:tcW w:w="5475" w:type="dxa"/>
            <w:hideMark/>
          </w:tcPr>
          <w:p w14:paraId="5C51A88A"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1 alpha </w:t>
            </w:r>
          </w:p>
        </w:tc>
      </w:tr>
      <w:tr w:rsidR="00CA47B2" w:rsidRPr="003C1D92" w14:paraId="19BF938A" w14:textId="77777777" w:rsidTr="00450053">
        <w:tc>
          <w:tcPr>
            <w:tcW w:w="3541" w:type="dxa"/>
            <w:hideMark/>
          </w:tcPr>
          <w:p w14:paraId="111B6C44"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IL1b</w:t>
            </w:r>
          </w:p>
        </w:tc>
        <w:tc>
          <w:tcPr>
            <w:tcW w:w="5475" w:type="dxa"/>
            <w:hideMark/>
          </w:tcPr>
          <w:p w14:paraId="641521D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1 beta </w:t>
            </w:r>
          </w:p>
        </w:tc>
      </w:tr>
      <w:tr w:rsidR="00CA47B2" w:rsidRPr="003C1D92" w14:paraId="5418985F" w14:textId="77777777" w:rsidTr="00450053">
        <w:tc>
          <w:tcPr>
            <w:tcW w:w="3541" w:type="dxa"/>
            <w:hideMark/>
          </w:tcPr>
          <w:p w14:paraId="658BE09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IL2</w:t>
            </w:r>
          </w:p>
        </w:tc>
        <w:tc>
          <w:tcPr>
            <w:tcW w:w="5475" w:type="dxa"/>
            <w:hideMark/>
          </w:tcPr>
          <w:p w14:paraId="4233B0F6"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2 </w:t>
            </w:r>
          </w:p>
        </w:tc>
      </w:tr>
      <w:tr w:rsidR="00CA47B2" w:rsidRPr="003C1D92" w14:paraId="7CF2DF7C" w14:textId="77777777" w:rsidTr="00450053">
        <w:tc>
          <w:tcPr>
            <w:tcW w:w="3541" w:type="dxa"/>
            <w:hideMark/>
          </w:tcPr>
          <w:p w14:paraId="4E9A4788"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IL2R</w:t>
            </w:r>
          </w:p>
        </w:tc>
        <w:tc>
          <w:tcPr>
            <w:tcW w:w="5475" w:type="dxa"/>
            <w:hideMark/>
          </w:tcPr>
          <w:p w14:paraId="0FB71024"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2 receptor </w:t>
            </w:r>
          </w:p>
        </w:tc>
      </w:tr>
      <w:tr w:rsidR="00CA47B2" w:rsidRPr="003C1D92" w14:paraId="5295ADB5" w14:textId="77777777" w:rsidTr="00450053">
        <w:tc>
          <w:tcPr>
            <w:tcW w:w="3541" w:type="dxa"/>
            <w:hideMark/>
          </w:tcPr>
          <w:p w14:paraId="0C7490E9"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IL4</w:t>
            </w:r>
          </w:p>
        </w:tc>
        <w:tc>
          <w:tcPr>
            <w:tcW w:w="5475" w:type="dxa"/>
            <w:hideMark/>
          </w:tcPr>
          <w:p w14:paraId="6EE7EDAB"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4 </w:t>
            </w:r>
          </w:p>
        </w:tc>
      </w:tr>
      <w:tr w:rsidR="00CA47B2" w:rsidRPr="003C1D92" w14:paraId="101722CC" w14:textId="77777777" w:rsidTr="00450053">
        <w:tc>
          <w:tcPr>
            <w:tcW w:w="3541" w:type="dxa"/>
            <w:hideMark/>
          </w:tcPr>
          <w:p w14:paraId="5335EADE"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IL6</w:t>
            </w:r>
          </w:p>
        </w:tc>
        <w:tc>
          <w:tcPr>
            <w:tcW w:w="5475" w:type="dxa"/>
            <w:hideMark/>
          </w:tcPr>
          <w:p w14:paraId="568038FD"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6 </w:t>
            </w:r>
          </w:p>
        </w:tc>
      </w:tr>
      <w:tr w:rsidR="00CA47B2" w:rsidRPr="003C1D92" w14:paraId="49943969" w14:textId="77777777" w:rsidTr="00450053">
        <w:tc>
          <w:tcPr>
            <w:tcW w:w="3541" w:type="dxa"/>
            <w:hideMark/>
          </w:tcPr>
          <w:p w14:paraId="629E9A4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IL8</w:t>
            </w:r>
          </w:p>
        </w:tc>
        <w:tc>
          <w:tcPr>
            <w:tcW w:w="5475" w:type="dxa"/>
            <w:hideMark/>
          </w:tcPr>
          <w:p w14:paraId="7990F858"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Interleukin</w:t>
            </w:r>
            <w:r w:rsidRPr="003C1D92">
              <w:rPr>
                <w:rFonts w:eastAsia="Times New Roman" w:cs="Times New Roman"/>
                <w:lang w:eastAsia="en-GB"/>
              </w:rPr>
              <w:noBreakHyphen/>
              <w:t xml:space="preserve">8 </w:t>
            </w:r>
          </w:p>
        </w:tc>
      </w:tr>
      <w:tr w:rsidR="00CA47B2" w:rsidRPr="003C1D92" w14:paraId="20FF4C84" w14:textId="77777777" w:rsidTr="00450053">
        <w:tc>
          <w:tcPr>
            <w:tcW w:w="3541" w:type="dxa"/>
          </w:tcPr>
          <w:p w14:paraId="566B4B22"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IP10</w:t>
            </w:r>
          </w:p>
        </w:tc>
        <w:tc>
          <w:tcPr>
            <w:tcW w:w="5475" w:type="dxa"/>
          </w:tcPr>
          <w:p w14:paraId="6D2E36F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Interferon gamma inducible protein-10</w:t>
            </w:r>
          </w:p>
        </w:tc>
      </w:tr>
      <w:tr w:rsidR="00CA47B2" w:rsidRPr="003C1D92" w14:paraId="1C1C6002" w14:textId="77777777" w:rsidTr="00450053">
        <w:tc>
          <w:tcPr>
            <w:tcW w:w="3541" w:type="dxa"/>
          </w:tcPr>
          <w:p w14:paraId="7D273300"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LAP</w:t>
            </w:r>
          </w:p>
        </w:tc>
        <w:tc>
          <w:tcPr>
            <w:tcW w:w="5475" w:type="dxa"/>
          </w:tcPr>
          <w:p w14:paraId="63DC790A"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Latency-associated peptide</w:t>
            </w:r>
          </w:p>
        </w:tc>
      </w:tr>
      <w:tr w:rsidR="00CA47B2" w:rsidRPr="003C1D92" w14:paraId="5D859B69" w14:textId="77777777" w:rsidTr="00450053">
        <w:tc>
          <w:tcPr>
            <w:tcW w:w="3541" w:type="dxa"/>
            <w:hideMark/>
          </w:tcPr>
          <w:p w14:paraId="079BEB5F"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lastRenderedPageBreak/>
              <w:t>MCP1</w:t>
            </w:r>
          </w:p>
        </w:tc>
        <w:tc>
          <w:tcPr>
            <w:tcW w:w="5475" w:type="dxa"/>
            <w:hideMark/>
          </w:tcPr>
          <w:p w14:paraId="03A1494C"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Monocyte Chemoattractant Protein</w:t>
            </w:r>
            <w:r w:rsidRPr="003C1D92">
              <w:rPr>
                <w:rFonts w:eastAsia="Times New Roman" w:cs="Times New Roman"/>
                <w:lang w:eastAsia="en-GB"/>
              </w:rPr>
              <w:noBreakHyphen/>
              <w:t xml:space="preserve">1 </w:t>
            </w:r>
          </w:p>
        </w:tc>
      </w:tr>
      <w:tr w:rsidR="00CA47B2" w:rsidRPr="003C1D92" w14:paraId="1C2DA635" w14:textId="77777777" w:rsidTr="00450053">
        <w:tc>
          <w:tcPr>
            <w:tcW w:w="3541" w:type="dxa"/>
            <w:hideMark/>
          </w:tcPr>
          <w:p w14:paraId="69A7EAD3"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MIF</w:t>
            </w:r>
          </w:p>
        </w:tc>
        <w:tc>
          <w:tcPr>
            <w:tcW w:w="5475" w:type="dxa"/>
            <w:hideMark/>
          </w:tcPr>
          <w:p w14:paraId="69E89F21"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 xml:space="preserve">Macrophage Migration Inhibitory Factor </w:t>
            </w:r>
          </w:p>
        </w:tc>
      </w:tr>
      <w:tr w:rsidR="00CA47B2" w:rsidRPr="003C1D92" w14:paraId="28646501" w14:textId="77777777" w:rsidTr="00450053">
        <w:tc>
          <w:tcPr>
            <w:tcW w:w="3541" w:type="dxa"/>
            <w:hideMark/>
          </w:tcPr>
          <w:p w14:paraId="1E4E0457"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TNFa</w:t>
            </w:r>
          </w:p>
        </w:tc>
        <w:tc>
          <w:tcPr>
            <w:tcW w:w="5475" w:type="dxa"/>
            <w:hideMark/>
          </w:tcPr>
          <w:p w14:paraId="32094337"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Tumor Necrosis Factor</w:t>
            </w:r>
            <w:r w:rsidRPr="003C1D92">
              <w:rPr>
                <w:rFonts w:eastAsia="Times New Roman" w:cs="Times New Roman"/>
                <w:lang w:eastAsia="en-GB"/>
              </w:rPr>
              <w:noBreakHyphen/>
              <w:t xml:space="preserve">alpha </w:t>
            </w:r>
          </w:p>
        </w:tc>
      </w:tr>
      <w:tr w:rsidR="00CA47B2" w:rsidRPr="003C1D92" w14:paraId="15C06B24" w14:textId="77777777" w:rsidTr="00450053">
        <w:tc>
          <w:tcPr>
            <w:tcW w:w="3541" w:type="dxa"/>
          </w:tcPr>
          <w:p w14:paraId="2E83B0E7"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VCAM</w:t>
            </w:r>
          </w:p>
        </w:tc>
        <w:tc>
          <w:tcPr>
            <w:tcW w:w="5475" w:type="dxa"/>
          </w:tcPr>
          <w:p w14:paraId="0D266A15" w14:textId="77777777" w:rsidR="00CA47B2" w:rsidRPr="003C1D92" w:rsidRDefault="00CA47B2" w:rsidP="00EF0772">
            <w:pPr>
              <w:rPr>
                <w:rFonts w:eastAsia="Times New Roman" w:cs="Times New Roman"/>
                <w:lang w:eastAsia="en-GB"/>
              </w:rPr>
            </w:pPr>
            <w:r w:rsidRPr="003C1D92">
              <w:rPr>
                <w:rFonts w:eastAsia="Times New Roman" w:cs="Times New Roman"/>
                <w:lang w:eastAsia="en-GB"/>
              </w:rPr>
              <w:t>Vascular cell adhesion molecule 1</w:t>
            </w:r>
          </w:p>
        </w:tc>
      </w:tr>
    </w:tbl>
    <w:p w14:paraId="474E6D95" w14:textId="77777777" w:rsidR="00CD1980" w:rsidRPr="003C1D92" w:rsidRDefault="00CD1980" w:rsidP="00EF0772">
      <w:pPr>
        <w:rPr>
          <w:rFonts w:cs="Times New Roman"/>
          <w:b/>
          <w:bCs/>
          <w:lang w:val="en-US"/>
        </w:rPr>
      </w:pPr>
    </w:p>
    <w:p w14:paraId="30833724" w14:textId="0DDEEBC2" w:rsidR="00D02760" w:rsidRPr="003C1D92" w:rsidRDefault="00D02760" w:rsidP="00EF0772">
      <w:pPr>
        <w:jc w:val="left"/>
        <w:rPr>
          <w:rFonts w:cs="Times New Roman"/>
          <w:b/>
          <w:bCs/>
          <w:lang w:val="en-US"/>
        </w:rPr>
      </w:pPr>
    </w:p>
    <w:p w14:paraId="1A703031" w14:textId="77777777" w:rsidR="00970765" w:rsidRPr="003C1D92" w:rsidRDefault="00970765" w:rsidP="00EF0772">
      <w:pPr>
        <w:jc w:val="left"/>
        <w:rPr>
          <w:rFonts w:cs="Times New Roman"/>
          <w:b/>
          <w:bCs/>
          <w:lang w:val="en-US"/>
        </w:rPr>
      </w:pPr>
      <w:r w:rsidRPr="003C1D92">
        <w:rPr>
          <w:rFonts w:cs="Times New Roman"/>
          <w:b/>
          <w:bCs/>
          <w:lang w:val="en-US"/>
        </w:rPr>
        <w:br w:type="page"/>
      </w:r>
    </w:p>
    <w:p w14:paraId="2070A80A" w14:textId="0DA8BB82" w:rsidR="00A67DFF" w:rsidRPr="003C1D92" w:rsidRDefault="00A67DFF" w:rsidP="00EF0772">
      <w:pPr>
        <w:pStyle w:val="Heading1"/>
        <w:spacing w:line="480" w:lineRule="auto"/>
      </w:pPr>
      <w:bookmarkStart w:id="63" w:name="_Toc229229983"/>
      <w:r w:rsidRPr="003C1D92">
        <w:lastRenderedPageBreak/>
        <w:t>SUPPLEMENTARY FIGURES AND SUPPLEMENTARY FIGURES LEGENDS</w:t>
      </w:r>
      <w:bookmarkEnd w:id="63"/>
    </w:p>
    <w:p w14:paraId="1CEB4E71" w14:textId="77777777" w:rsidR="00A67DFF" w:rsidRPr="003C1D92" w:rsidRDefault="00A67DFF" w:rsidP="00EF0772">
      <w:pPr>
        <w:rPr>
          <w:rFonts w:cs="Times New Roman"/>
          <w:b/>
          <w:bCs/>
          <w:lang w:val="en-US"/>
        </w:rPr>
      </w:pPr>
    </w:p>
    <w:p w14:paraId="1BD80F8E" w14:textId="7B0A39EF" w:rsidR="00EE5469" w:rsidRPr="003C1D92" w:rsidRDefault="006D0702" w:rsidP="00EF0772">
      <w:pPr>
        <w:rPr>
          <w:rFonts w:cs="Times New Roman"/>
          <w:b/>
          <w:bCs/>
          <w:color w:val="000000"/>
          <w:lang w:val="en-US"/>
        </w:rPr>
      </w:pPr>
      <w:r w:rsidRPr="003C1D92">
        <w:rPr>
          <w:rFonts w:cs="Times New Roman"/>
          <w:b/>
          <w:bCs/>
          <w:noProof/>
          <w:color w:val="000000"/>
          <w:lang w:val="en-US"/>
        </w:rPr>
        <w:drawing>
          <wp:inline distT="0" distB="0" distL="0" distR="0" wp14:anchorId="525D8C9F" wp14:editId="01061F6F">
            <wp:extent cx="5731510" cy="3220720"/>
            <wp:effectExtent l="0" t="0" r="0" b="5080"/>
            <wp:docPr id="1181929793" name="Picture 1" descr="A diagram of a nervous system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29793" name="Picture 1" descr="A diagram of a nervous system  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0720"/>
                    </a:xfrm>
                    <a:prstGeom prst="rect">
                      <a:avLst/>
                    </a:prstGeom>
                  </pic:spPr>
                </pic:pic>
              </a:graphicData>
            </a:graphic>
          </wp:inline>
        </w:drawing>
      </w:r>
    </w:p>
    <w:p w14:paraId="74A9C681" w14:textId="1D0CBC4D" w:rsidR="00361D30" w:rsidRPr="003C1D92" w:rsidRDefault="00361D30" w:rsidP="00EF0772">
      <w:pPr>
        <w:rPr>
          <w:rFonts w:eastAsia="Times New Roman" w:cs="Times New Roman"/>
          <w:lang w:eastAsia="en-GB"/>
        </w:rPr>
      </w:pPr>
      <w:r w:rsidRPr="003C1D92">
        <w:rPr>
          <w:rFonts w:cs="Times New Roman"/>
          <w:b/>
          <w:bCs/>
          <w:color w:val="000000"/>
          <w:lang w:val="en-US"/>
        </w:rPr>
        <w:t>Supplementary Figure 1.</w:t>
      </w:r>
      <w:r w:rsidRPr="003C1D92">
        <w:rPr>
          <w:rFonts w:cs="Times New Roman"/>
          <w:lang w:val="en-US"/>
        </w:rPr>
        <w:t xml:space="preserve"> </w:t>
      </w:r>
      <w:r w:rsidRPr="003C1D92">
        <w:rPr>
          <w:rFonts w:eastAsia="Times New Roman" w:cs="Times New Roman"/>
          <w:b/>
          <w:bCs/>
          <w:lang w:eastAsia="en-GB"/>
        </w:rPr>
        <w:t xml:space="preserve">Theoretical framework recapitulating the links between inflammation, stress, emotion regulation networks, and clinical symptoms. </w:t>
      </w:r>
      <w:r w:rsidRPr="003C1D92">
        <w:rPr>
          <w:rFonts w:eastAsia="Times New Roman" w:cs="Times New Roman"/>
          <w:lang w:eastAsia="en-GB"/>
        </w:rPr>
        <w:t>Emotion dysregulation (ED) symptoms may lead to higher chronic stress, which are in turn associated with a proinflammatory state. Neurotoxic effects of inflammation can negatively impact the neural circuits of emotion regulation, exacerbating symptoms. Thus, although the direction of potential causality between these elements remains to be ascertained, it appears likely that a vicious cycle perpetuating inflammation, central nervous system dysfunction, chronic stress, and ED symptoms may exist. Adapted with permission from</w:t>
      </w:r>
      <w:r w:rsidRPr="003C1D92">
        <w:rPr>
          <w:rFonts w:eastAsia="Times New Roman" w:cs="Times New Roman"/>
          <w:lang w:eastAsia="en-GB"/>
        </w:rPr>
        <w:fldChar w:fldCharType="begin"/>
      </w:r>
      <w:r w:rsidR="006E3566" w:rsidRPr="003C1D92">
        <w:rPr>
          <w:rFonts w:eastAsia="Times New Roman" w:cs="Times New Roman"/>
          <w:lang w:eastAsia="en-GB"/>
        </w:rPr>
        <w:instrText xml:space="preserve"> ADDIN ZOTERO_ITEM CSL_CITATION {"citationID":"wC3AQDuT","properties":{"formattedCitation":"(22)","plainCitation":"(22)","noteIndex":0},"citationItems":[{"id":20995,"uris":["http://zotero.org/users/8364405/items/MDKW96HH"],"itemData":{"id":20995,"type":"article-journal","abstract":"Emotion dysregulation (ED) describes a difficulty with the modulation of which emotions are felt, as well as when and how these emotions are experienced or expressed. It is a focal overarching symptom in many severe and prevalent neuropsychiatric diseases, including bipolar disorders (BD), attention deficit/hyperactivity disorder (ADHD), and borderline personality disorder (BPD). In all these disorders, ED can manifest through symptoms of depression, anxiety, or affective lability. Considering the many symptomatic similarities between BD, ADHD, and BPD, a transdiagnostic approach is a promising lens of investigation. Mounting evidence supports the role of peripheral inflammatory markers and stress in the multifactorial aetiology and physiopathology of BD, ADHD, and BPD. Of note, neural circuits that regulate emotions appear particularly vulnerable to inflammatory insults and peripheral inflammation, which can impact the neuroimmune milieu of the central nervous system. Thus far, few studies have examined the link between ED and inflammation in BD, ADHD, and BPD. To our knowledge, no specific work has provided a critical comparison of the results from these disorders. To fill this gap in the literature, we review the known associations and mechanisms linking ED and inflammation in general, and clinically, in BD, ADHD, and BD. Our narrative review begins with an examination of the routes linking ED and inflammation, followed by a discussion of disorder-specific results accounting for methodological limitations and relevant confounding factors. Finally, we critically discuss both correspondences and discrepancies in the results and comment on potential vulnerability markers and promising therapeutic interventions.","container-title":"Neuronal Signaling","DOI":"10.1042/NS20220077","ISSN":"2059-6553","journalAbbreviation":"Neuronal Signaling","page":"NS20220077","source":"Silverchair","title":"Inflammation and emotion regulation: a narrative review of evidence and mechanisms in emotion dysregulation disorders","title-short":"Inflammation and emotion regulation","author":[{"family":"Petruso","given":"Flavia"},{"family":"Giff","given":"Alexis Elena"},{"family":"Milano","given":"Beatrice Annunziata"},{"family":"Menduni De Rossi","given":"Maurilio"},{"family":"Saccaro","given":"Luigi Francesco"}],"issued":{"date-parts":[["2023",10,27]]}}}],"schema":"https://github.com/citation-style-language/schema/raw/master/csl-citation.json"} </w:instrText>
      </w:r>
      <w:r w:rsidRPr="003C1D92">
        <w:rPr>
          <w:rFonts w:eastAsia="Times New Roman" w:cs="Times New Roman"/>
          <w:lang w:eastAsia="en-GB"/>
        </w:rPr>
        <w:fldChar w:fldCharType="separate"/>
      </w:r>
      <w:r w:rsidRPr="003C1D92">
        <w:rPr>
          <w:rFonts w:eastAsia="Times New Roman" w:cs="Times New Roman"/>
          <w:noProof/>
          <w:lang w:eastAsia="en-GB"/>
        </w:rPr>
        <w:t>(22)</w:t>
      </w:r>
      <w:r w:rsidRPr="003C1D92">
        <w:rPr>
          <w:rFonts w:eastAsia="Times New Roman" w:cs="Times New Roman"/>
          <w:lang w:eastAsia="en-GB"/>
        </w:rPr>
        <w:fldChar w:fldCharType="end"/>
      </w:r>
      <w:r w:rsidRPr="003C1D92">
        <w:rPr>
          <w:rFonts w:eastAsia="Times New Roman" w:cs="Times New Roman"/>
          <w:lang w:eastAsia="en-GB"/>
        </w:rPr>
        <w:t>.</w:t>
      </w:r>
    </w:p>
    <w:p w14:paraId="3C768255" w14:textId="77777777" w:rsidR="00361D30" w:rsidRPr="003C1D92" w:rsidRDefault="00361D30" w:rsidP="00EF0772">
      <w:pPr>
        <w:rPr>
          <w:rFonts w:cs="Times New Roman"/>
          <w:b/>
          <w:bCs/>
          <w:lang w:val="en-US"/>
        </w:rPr>
      </w:pPr>
    </w:p>
    <w:p w14:paraId="347EB75D" w14:textId="77777777" w:rsidR="00361D30" w:rsidRPr="003C1D92" w:rsidRDefault="00361D30" w:rsidP="00EF0772">
      <w:pPr>
        <w:rPr>
          <w:rFonts w:cs="Times New Roman"/>
          <w:b/>
          <w:bCs/>
          <w:lang w:val="en-US"/>
        </w:rPr>
      </w:pPr>
    </w:p>
    <w:p w14:paraId="37942ABC" w14:textId="77777777" w:rsidR="00361D30" w:rsidRPr="003C1D92" w:rsidRDefault="00361D30" w:rsidP="00EF0772">
      <w:pPr>
        <w:rPr>
          <w:rFonts w:cs="Times New Roman"/>
          <w:b/>
          <w:bCs/>
          <w:lang w:val="en-US"/>
        </w:rPr>
      </w:pPr>
    </w:p>
    <w:p w14:paraId="0A2D117B" w14:textId="77777777" w:rsidR="00A67DFF" w:rsidRPr="003C1D92" w:rsidRDefault="00A67DFF" w:rsidP="00EF0772">
      <w:pPr>
        <w:rPr>
          <w:rFonts w:cs="Times New Roman"/>
          <w:lang w:val="en-US"/>
        </w:rPr>
      </w:pPr>
      <w:r w:rsidRPr="003C1D92">
        <w:rPr>
          <w:rFonts w:cs="Times New Roman"/>
          <w:noProof/>
          <w:color w:val="000000"/>
          <w:lang w:val="en-US"/>
        </w:rPr>
        <w:lastRenderedPageBreak/>
        <w:drawing>
          <wp:inline distT="0" distB="0" distL="0" distR="0" wp14:anchorId="07F01777" wp14:editId="6C5D30DB">
            <wp:extent cx="5731510" cy="5731510"/>
            <wp:effectExtent l="0" t="0" r="0" b="0"/>
            <wp:docPr id="1765209627" name="Picture 3" descr="A diagram of a brain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09627" name="Picture 3" descr="A diagram of a brain  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E0459A5" w14:textId="322BDA5D" w:rsidR="00970765" w:rsidRPr="003C1D92" w:rsidRDefault="00A67DFF" w:rsidP="00EF0772">
      <w:pPr>
        <w:rPr>
          <w:rFonts w:eastAsia="Times New Roman" w:cs="Times New Roman"/>
          <w:lang w:eastAsia="en-GB"/>
        </w:rPr>
      </w:pPr>
      <w:r w:rsidRPr="003C1D92">
        <w:rPr>
          <w:rFonts w:cs="Times New Roman"/>
          <w:b/>
          <w:bCs/>
          <w:color w:val="000000"/>
          <w:lang w:val="en-US"/>
        </w:rPr>
        <w:t>Supplementary Figure 2.</w:t>
      </w:r>
      <w:r w:rsidRPr="003C1D92">
        <w:rPr>
          <w:rFonts w:cs="Times New Roman"/>
          <w:lang w:val="en-US"/>
        </w:rPr>
        <w:t xml:space="preserve"> </w:t>
      </w:r>
      <w:r w:rsidRPr="003C1D92">
        <w:rPr>
          <w:rFonts w:eastAsia="Times New Roman" w:cs="Times New Roman"/>
          <w:b/>
          <w:bCs/>
          <w:lang w:eastAsia="en-GB"/>
        </w:rPr>
        <w:t>Brain networks and related hippocampus subdivisions.</w:t>
      </w:r>
      <w:r w:rsidRPr="003C1D92">
        <w:rPr>
          <w:rFonts w:eastAsia="Times New Roman" w:cs="Times New Roman"/>
          <w:lang w:eastAsia="en-GB"/>
        </w:rPr>
        <w:t xml:space="preserve"> Micro-coactivation patterns (μCAPs) analysis allowed for the data-driven identification of five brain networks in all individuals, each of which was associated with a distinct subdivision based on hippocampus (HIP) activity. The hippocampus's lateral body, or L-body, was linked to a visual-sensorimotor μCAP (SMN). The hippocampus head was linked to the limbic network μCAP (LN). A default network μCAP (DMN) was linked to the hippocampal medial body (M-body). The lateral tail of the hippocampus was linked to a visual occipital μCAP. Lastly, the </w:t>
      </w:r>
      <w:r w:rsidRPr="003C1D92">
        <w:rPr>
          <w:rFonts w:eastAsia="Times New Roman" w:cs="Times New Roman"/>
          <w:lang w:eastAsia="en-GB"/>
        </w:rPr>
        <w:lastRenderedPageBreak/>
        <w:t xml:space="preserve">hippocampus anterior body (A-body) was linked to a μCAP involving the ventral tegmental region (VTA). Adapted with permission from </w:t>
      </w:r>
      <w:r w:rsidRPr="003C1D92">
        <w:rPr>
          <w:rFonts w:eastAsia="Times New Roman" w:cs="Times New Roman"/>
          <w:lang w:eastAsia="en-GB"/>
        </w:rPr>
        <w:fldChar w:fldCharType="begin"/>
      </w:r>
      <w:r w:rsidRPr="003C1D92">
        <w:rPr>
          <w:rFonts w:eastAsia="Times New Roman" w:cs="Times New Roman"/>
          <w:lang w:eastAsia="en-GB"/>
        </w:rPr>
        <w:instrText xml:space="preserve"> ADDIN ZOTERO_ITEM CSL_CITATION {"citationID":"Agfu8Eso","properties":{"formattedCitation":"(1)","plainCitation":"(1)","noteIndex":0},"citationItems":[{"id":28752,"uris":["http://zotero.org/users/8364405/items/AEAV5VYB"],"itemData":{"id":28752,"type":"article-journal","abstract":"Background\nEmotion dysregulation (ED) is a key transdiagnostic symptom in several psychiatric disorders such as borderline personality disorder (BPD), bipolar disorder (BD), and attention-deficit/hyperactivity disorder (ADHD). These disorders, here defined as ED disorders (EDD), share similarities in symptoms, comorbidity, and heritability, emphasizing the importance of a transdiagnostic approach to identify markers of vulnerability to EDD in high-risk populations, such as EDD patients’ offspring (EDDoff). The hippocampus, central to ED, exhibits alterations across EDD.\nMethods\nWe employed a state-of-the-art approach (micro-co-activation patterns, μCAPs) to study the transdiagnostic dynamic functional connectivity (dFC) of hippocampal subregions from resting-state functional MRI of 201 participants (74 EDD patients, 57 EDDoff, 70 controls). μCAPs provide a data-driven differentiation within the seed region.\nResults\nDFC between the sensorimotor network (SMN) and the hippocampal body was lower in EDD patients (pFDR=0.0002) and EDDoff (pFDR=0.01) compared to controls, with EDDoff displaying an intermediate pattern between EDD patients and controls. dFC between the limbic network (LN) and the hippocampal head was higher in EDD patients than in controls (pFDR=0.01) and in EDDoff (pFDR=0.01). A negative correlation was found between ED and SMN (pFDR=0.01), suggesting increasing ED with decreasing SMN dFC with the hippocampus.\nConclusions\nIncreased dFC between the hippocampal head and the LN, at the expense of the SMN, may represent a marker of disease in EDD patients. Lower dFC between the SMN and the hippocampal body may represent a marker of vulnerability to EDD in EDDoff, correlating with ED. Such a transdiagnostic construct represents a clinically relevant target for early interventions aimed at reducing vulnerability to EDD in high-risk populations.","container-title":"Biological Psychiatry: Cognitive Neuroscience and Neuroimaging","DOI":"10.1016/j.bpsc.2025.03.007","ISSN":"2451-9022","journalAbbreviation":"Biological Psychiatry: Cognitive Neuroscience and Neuroimaging","source":"ScienceDirect","title":"Limbic-Sensorimotor Tug of War for the Hippocampus: Dynamic Functional Connectivity as a Transdiagnostic Vulnerability Marker in Offspring of Emotion Dysregulation Patients","title-short":"Limbic-Sensorimotor Tug of War for the Hippocampus","URL":"https://www.sciencedirect.com/science/article/pii/S245190222500120X","author":[{"family":"Saccaro","given":"Luigi F."},{"family":"Delavari","given":"Farnaz"},{"family":"Meuleman","given":"Ben"},{"family":"Perroud","given":"Nader"},{"family":"Van De Ville","given":"Dimitri"},{"family":"Piguet","given":"Camille"}],"accessed":{"date-parts":[["2025",3,31]]},"issued":{"date-parts":[["2025",3,28]]}}}],"schema":"https://github.com/citation-style-language/schema/raw/master/csl-citation.json"} </w:instrText>
      </w:r>
      <w:r w:rsidRPr="003C1D92">
        <w:rPr>
          <w:rFonts w:eastAsia="Times New Roman" w:cs="Times New Roman"/>
          <w:lang w:eastAsia="en-GB"/>
        </w:rPr>
        <w:fldChar w:fldCharType="separate"/>
      </w:r>
      <w:r w:rsidRPr="003C1D92">
        <w:rPr>
          <w:rFonts w:eastAsia="Times New Roman" w:cs="Times New Roman"/>
          <w:noProof/>
          <w:lang w:eastAsia="en-GB"/>
        </w:rPr>
        <w:t>(1)</w:t>
      </w:r>
      <w:r w:rsidRPr="003C1D92">
        <w:rPr>
          <w:rFonts w:eastAsia="Times New Roman" w:cs="Times New Roman"/>
          <w:lang w:eastAsia="en-GB"/>
        </w:rPr>
        <w:fldChar w:fldCharType="end"/>
      </w:r>
      <w:r w:rsidRPr="003C1D92">
        <w:rPr>
          <w:rFonts w:eastAsia="Times New Roman" w:cs="Times New Roman"/>
          <w:lang w:eastAsia="en-GB"/>
        </w:rPr>
        <w:t>.</w:t>
      </w:r>
    </w:p>
    <w:p w14:paraId="1FDC376B" w14:textId="77777777" w:rsidR="00970765" w:rsidRPr="003C1D92" w:rsidRDefault="00970765" w:rsidP="00EF0772">
      <w:pPr>
        <w:jc w:val="left"/>
        <w:rPr>
          <w:rFonts w:eastAsia="Times New Roman" w:cs="Times New Roman"/>
          <w:lang w:eastAsia="en-GB"/>
        </w:rPr>
      </w:pPr>
      <w:r w:rsidRPr="003C1D92">
        <w:rPr>
          <w:rFonts w:eastAsia="Times New Roman" w:cs="Times New Roman"/>
          <w:lang w:eastAsia="en-GB"/>
        </w:rPr>
        <w:br w:type="page"/>
      </w:r>
    </w:p>
    <w:p w14:paraId="165A16D3" w14:textId="7055B288" w:rsidR="0011688B" w:rsidRPr="003C1D92" w:rsidRDefault="009D054B" w:rsidP="00EF0772">
      <w:pPr>
        <w:pStyle w:val="SezioneBD"/>
        <w:numPr>
          <w:ilvl w:val="0"/>
          <w:numId w:val="0"/>
        </w:numPr>
        <w:ind w:left="714" w:hanging="357"/>
        <w:rPr>
          <w:b w:val="0"/>
          <w:bCs w:val="0"/>
          <w:sz w:val="24"/>
          <w:szCs w:val="24"/>
        </w:rPr>
      </w:pPr>
      <w:r w:rsidRPr="003C1D92">
        <w:rPr>
          <w:b w:val="0"/>
          <w:bCs w:val="0"/>
          <w:noProof/>
          <w:sz w:val="24"/>
          <w:szCs w:val="24"/>
        </w:rPr>
        <w:lastRenderedPageBreak/>
        <w:drawing>
          <wp:inline distT="0" distB="0" distL="0" distR="0" wp14:anchorId="22AF0FBB" wp14:editId="6A781A72">
            <wp:extent cx="5731510" cy="6934247"/>
            <wp:effectExtent l="0" t="0" r="0" b="0"/>
            <wp:docPr id="1428673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73455" name="Picture 1428673455"/>
                    <pic:cNvPicPr/>
                  </pic:nvPicPr>
                  <pic:blipFill rotWithShape="1">
                    <a:blip r:embed="rId12" cstate="print">
                      <a:extLst>
                        <a:ext uri="{28A0092B-C50C-407E-A947-70E740481C1C}">
                          <a14:useLocalDpi xmlns:a14="http://schemas.microsoft.com/office/drawing/2010/main" val="0"/>
                        </a:ext>
                      </a:extLst>
                    </a:blip>
                    <a:srcRect t="3217"/>
                    <a:stretch>
                      <a:fillRect/>
                    </a:stretch>
                  </pic:blipFill>
                  <pic:spPr bwMode="auto">
                    <a:xfrm>
                      <a:off x="0" y="0"/>
                      <a:ext cx="5731510" cy="6934247"/>
                    </a:xfrm>
                    <a:prstGeom prst="rect">
                      <a:avLst/>
                    </a:prstGeom>
                    <a:ln>
                      <a:noFill/>
                    </a:ln>
                    <a:extLst>
                      <a:ext uri="{53640926-AAD7-44D8-BBD7-CCE9431645EC}">
                        <a14:shadowObscured xmlns:a14="http://schemas.microsoft.com/office/drawing/2010/main"/>
                      </a:ext>
                    </a:extLst>
                  </pic:spPr>
                </pic:pic>
              </a:graphicData>
            </a:graphic>
          </wp:inline>
        </w:drawing>
      </w:r>
    </w:p>
    <w:p w14:paraId="5BDB91DC" w14:textId="4ADDC054" w:rsidR="00FA3185" w:rsidRPr="003C1D92" w:rsidRDefault="008D24DD" w:rsidP="00EF0772">
      <w:pPr>
        <w:pStyle w:val="SezioneBD"/>
        <w:numPr>
          <w:ilvl w:val="0"/>
          <w:numId w:val="0"/>
        </w:numPr>
        <w:rPr>
          <w:b w:val="0"/>
          <w:bCs w:val="0"/>
          <w:sz w:val="24"/>
          <w:szCs w:val="24"/>
        </w:rPr>
      </w:pPr>
      <w:r w:rsidRPr="003C1D92">
        <w:rPr>
          <w:rStyle w:val="Strong"/>
          <w:b/>
          <w:bCs/>
          <w:sz w:val="24"/>
          <w:szCs w:val="24"/>
        </w:rPr>
        <w:t xml:space="preserve">Supplementary Figure 3. Variable loadings on the “Elevated ED–SMN Hypoconnectivity–LN Hyperconnectivity” third retained principal component (RC3) from the PCA performed on the full multimodal dataset. </w:t>
      </w:r>
      <w:r w:rsidRPr="003C1D92">
        <w:rPr>
          <w:b w:val="0"/>
          <w:bCs w:val="0"/>
          <w:sz w:val="24"/>
          <w:szCs w:val="24"/>
        </w:rPr>
        <w:t xml:space="preserve">Horizontal bars show each variable’s loading on RC3 (blue), with bars extending to the right indicating positive loadings and those extending to the left indicating negative loadings. Variables are sorted by the absolute </w:t>
      </w:r>
      <w:r w:rsidRPr="003C1D92">
        <w:rPr>
          <w:b w:val="0"/>
          <w:bCs w:val="0"/>
          <w:sz w:val="24"/>
          <w:szCs w:val="24"/>
        </w:rPr>
        <w:lastRenderedPageBreak/>
        <w:t>magnitude of their loading, i.e. how strongly that variable contributes to RC3. Variables with large‐magnitude loadings (whether positive or negative) play a more important role in defining the component, while those with loadings near zero contribute minimally. This component is characterized by high positive loadings in ED symptoms such as non-adaptive emotion regulation strategies (CERQ), trait anxiety (STAI-B), affect lability (ALS), borderline symptoms (BORD) and ADHD hyperactivity (</w:t>
      </w:r>
      <w:proofErr w:type="spellStart"/>
      <w:r w:rsidRPr="003C1D92">
        <w:rPr>
          <w:b w:val="0"/>
          <w:bCs w:val="0"/>
          <w:sz w:val="24"/>
          <w:szCs w:val="24"/>
        </w:rPr>
        <w:t>ASRShi</w:t>
      </w:r>
      <w:proofErr w:type="spellEnd"/>
      <w:r w:rsidRPr="003C1D92">
        <w:rPr>
          <w:b w:val="0"/>
          <w:bCs w:val="0"/>
          <w:sz w:val="24"/>
          <w:szCs w:val="24"/>
        </w:rPr>
        <w:t xml:space="preserve">), high positive loadings in hippocampal connectivity with the limbic network (LN), whereas measures such as sensorimotor network connectivity (SMN) load negatively. Please refer to </w:t>
      </w:r>
      <w:r w:rsidRPr="003C1D92">
        <w:rPr>
          <w:sz w:val="24"/>
          <w:szCs w:val="24"/>
        </w:rPr>
        <w:t>Supplementary Table 1</w:t>
      </w:r>
      <w:r w:rsidRPr="003C1D92">
        <w:rPr>
          <w:b w:val="0"/>
          <w:bCs w:val="0"/>
          <w:sz w:val="24"/>
          <w:szCs w:val="24"/>
        </w:rPr>
        <w:t xml:space="preserve"> for the complete list of all variables and corresponding abbreviations.</w:t>
      </w:r>
    </w:p>
    <w:p w14:paraId="262C9D3D" w14:textId="77777777" w:rsidR="005433E2" w:rsidRPr="003C1D92" w:rsidRDefault="005433E2" w:rsidP="00EF0772">
      <w:pPr>
        <w:pStyle w:val="SezioneBD"/>
        <w:numPr>
          <w:ilvl w:val="0"/>
          <w:numId w:val="0"/>
        </w:numPr>
        <w:ind w:left="714" w:hanging="357"/>
        <w:rPr>
          <w:rStyle w:val="Strong"/>
          <w:sz w:val="24"/>
          <w:szCs w:val="24"/>
        </w:rPr>
      </w:pPr>
    </w:p>
    <w:p w14:paraId="35F65D3A" w14:textId="77777777" w:rsidR="00317E2E" w:rsidRPr="003C1D92" w:rsidRDefault="00317E2E" w:rsidP="00EF0772">
      <w:pPr>
        <w:pStyle w:val="SezioneBD"/>
        <w:numPr>
          <w:ilvl w:val="0"/>
          <w:numId w:val="0"/>
        </w:numPr>
        <w:ind w:left="714" w:hanging="357"/>
        <w:rPr>
          <w:rStyle w:val="Strong"/>
          <w:sz w:val="24"/>
          <w:szCs w:val="24"/>
        </w:rPr>
      </w:pPr>
    </w:p>
    <w:p w14:paraId="5D0CBED9" w14:textId="76D04E6E" w:rsidR="00317E2E" w:rsidRPr="003C1D92" w:rsidRDefault="00317E2E" w:rsidP="00EF0772">
      <w:pPr>
        <w:pStyle w:val="SezioneBD"/>
        <w:numPr>
          <w:ilvl w:val="0"/>
          <w:numId w:val="0"/>
        </w:numPr>
        <w:ind w:left="714" w:hanging="357"/>
        <w:rPr>
          <w:rStyle w:val="Strong"/>
          <w:sz w:val="24"/>
          <w:szCs w:val="24"/>
        </w:rPr>
      </w:pPr>
      <w:r w:rsidRPr="003C1D92">
        <w:rPr>
          <w:b w:val="0"/>
          <w:bCs w:val="0"/>
          <w:noProof/>
          <w:sz w:val="24"/>
          <w:szCs w:val="24"/>
        </w:rPr>
        <w:drawing>
          <wp:inline distT="0" distB="0" distL="0" distR="0" wp14:anchorId="305DC833" wp14:editId="0559BE91">
            <wp:extent cx="5731510" cy="3161411"/>
            <wp:effectExtent l="0" t="0" r="0" b="1270"/>
            <wp:docPr id="1342958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58259" name="Picture 1342958259"/>
                    <pic:cNvPicPr/>
                  </pic:nvPicPr>
                  <pic:blipFill rotWithShape="1">
                    <a:blip r:embed="rId13"/>
                    <a:srcRect t="11743"/>
                    <a:stretch>
                      <a:fillRect/>
                    </a:stretch>
                  </pic:blipFill>
                  <pic:spPr bwMode="auto">
                    <a:xfrm>
                      <a:off x="0" y="0"/>
                      <a:ext cx="5731510" cy="3161411"/>
                    </a:xfrm>
                    <a:prstGeom prst="rect">
                      <a:avLst/>
                    </a:prstGeom>
                    <a:ln>
                      <a:noFill/>
                    </a:ln>
                    <a:extLst>
                      <a:ext uri="{53640926-AAD7-44D8-BBD7-CCE9431645EC}">
                        <a14:shadowObscured xmlns:a14="http://schemas.microsoft.com/office/drawing/2010/main"/>
                      </a:ext>
                    </a:extLst>
                  </pic:spPr>
                </pic:pic>
              </a:graphicData>
            </a:graphic>
          </wp:inline>
        </w:drawing>
      </w:r>
    </w:p>
    <w:p w14:paraId="51704770" w14:textId="7F8C27C6" w:rsidR="00FF3157" w:rsidRPr="003C1D92" w:rsidRDefault="00FF3157" w:rsidP="00B66BC7">
      <w:pPr>
        <w:pStyle w:val="font-claude-response-body"/>
        <w:spacing w:line="360" w:lineRule="auto"/>
        <w:jc w:val="both"/>
      </w:pPr>
      <w:r w:rsidRPr="003C1D92">
        <w:rPr>
          <w:rStyle w:val="Strong"/>
        </w:rPr>
        <w:t>Supplementary Figure 4. Distribution of RC3 scores across diagnostic groups.</w:t>
      </w:r>
      <w:r w:rsidRPr="003C1D92">
        <w:t xml:space="preserve"> Violin plots overlaid with boxplots display the distribution of individual scores on retained rotated component 3 (RC3) of the multimodal PCA, across the seven diagnostic groups. Horizontal lines within boxes indicate the median; boxes span the interquartile range. Group differences were assessed by one-way ANOVA followed by Tukey HSD post-hoc correction, and were </w:t>
      </w:r>
      <w:r w:rsidRPr="003C1D92">
        <w:lastRenderedPageBreak/>
        <w:t xml:space="preserve">coherent with the transdiagnostic findings reported in the main text for all diagnostic groups, as further described in the Supplementary Results. </w:t>
      </w:r>
    </w:p>
    <w:p w14:paraId="3BAC3C59" w14:textId="77777777" w:rsidR="00FF3157" w:rsidRPr="003C1D92" w:rsidRDefault="00FF3157" w:rsidP="00EF0772">
      <w:pPr>
        <w:pStyle w:val="SezioneBD"/>
        <w:numPr>
          <w:ilvl w:val="0"/>
          <w:numId w:val="0"/>
        </w:numPr>
        <w:ind w:left="714" w:hanging="357"/>
        <w:rPr>
          <w:rStyle w:val="Strong"/>
          <w:sz w:val="24"/>
          <w:szCs w:val="24"/>
          <w:lang w:val="en-CH"/>
        </w:rPr>
      </w:pPr>
    </w:p>
    <w:p w14:paraId="5F52A06B" w14:textId="04CF1BCD" w:rsidR="00970765" w:rsidRPr="003C1D92" w:rsidRDefault="00970765" w:rsidP="00EF0772">
      <w:pPr>
        <w:jc w:val="left"/>
        <w:rPr>
          <w:rFonts w:cs="Times New Roman"/>
          <w:b/>
          <w:bCs/>
          <w:lang w:val="en-US"/>
        </w:rPr>
      </w:pPr>
    </w:p>
    <w:p w14:paraId="7A6D8108" w14:textId="77777777" w:rsidR="009B47F6" w:rsidRPr="003C1D92" w:rsidRDefault="009B47F6" w:rsidP="00EF0772">
      <w:pPr>
        <w:pStyle w:val="ListParagraph"/>
        <w:rPr>
          <w:rFonts w:cs="Times New Roman"/>
          <w:b/>
          <w:bCs/>
          <w:lang w:val="en-US"/>
        </w:rPr>
      </w:pPr>
    </w:p>
    <w:p w14:paraId="3F17758B" w14:textId="3C9E6FDC" w:rsidR="009B47F6" w:rsidRPr="003C1D92" w:rsidRDefault="00820A22" w:rsidP="00EF0772">
      <w:pPr>
        <w:pStyle w:val="ListParagraph"/>
        <w:rPr>
          <w:rFonts w:cs="Times New Roman"/>
          <w:b/>
          <w:bCs/>
          <w:lang w:val="en-US"/>
        </w:rPr>
      </w:pPr>
      <w:r w:rsidRPr="003C1D92">
        <w:rPr>
          <w:rFonts w:cs="Times New Roman"/>
          <w:b/>
          <w:bCs/>
          <w:noProof/>
          <w:lang w:val="en-US"/>
        </w:rPr>
        <w:drawing>
          <wp:inline distT="0" distB="0" distL="0" distR="0" wp14:anchorId="25362091" wp14:editId="56790C53">
            <wp:extent cx="5731510" cy="4068492"/>
            <wp:effectExtent l="0" t="0" r="0" b="0"/>
            <wp:docPr id="1131623079" name="Picture 4" descr="A graph with a bar graph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23079" name="Picture 4" descr="A graph with a bar graph  AI-generated content may be incorrect."/>
                    <pic:cNvPicPr/>
                  </pic:nvPicPr>
                  <pic:blipFill rotWithShape="1">
                    <a:blip r:embed="rId14" cstate="print">
                      <a:extLst>
                        <a:ext uri="{28A0092B-C50C-407E-A947-70E740481C1C}">
                          <a14:useLocalDpi xmlns:a14="http://schemas.microsoft.com/office/drawing/2010/main" val="0"/>
                        </a:ext>
                      </a:extLst>
                    </a:blip>
                    <a:srcRect t="5360"/>
                    <a:stretch>
                      <a:fillRect/>
                    </a:stretch>
                  </pic:blipFill>
                  <pic:spPr bwMode="auto">
                    <a:xfrm>
                      <a:off x="0" y="0"/>
                      <a:ext cx="5731510" cy="4068492"/>
                    </a:xfrm>
                    <a:prstGeom prst="rect">
                      <a:avLst/>
                    </a:prstGeom>
                    <a:ln>
                      <a:noFill/>
                    </a:ln>
                    <a:extLst>
                      <a:ext uri="{53640926-AAD7-44D8-BBD7-CCE9431645EC}">
                        <a14:shadowObscured xmlns:a14="http://schemas.microsoft.com/office/drawing/2010/main"/>
                      </a:ext>
                    </a:extLst>
                  </pic:spPr>
                </pic:pic>
              </a:graphicData>
            </a:graphic>
          </wp:inline>
        </w:drawing>
      </w:r>
    </w:p>
    <w:p w14:paraId="22D8D4E7" w14:textId="77777777" w:rsidR="00970765" w:rsidRPr="003C1D92" w:rsidRDefault="00820A22" w:rsidP="00EF0772">
      <w:pPr>
        <w:pStyle w:val="SezioneBD"/>
        <w:numPr>
          <w:ilvl w:val="0"/>
          <w:numId w:val="0"/>
        </w:numPr>
        <w:rPr>
          <w:rStyle w:val="Strong"/>
          <w:b/>
          <w:bCs/>
          <w:sz w:val="24"/>
          <w:szCs w:val="24"/>
        </w:rPr>
      </w:pPr>
      <w:r w:rsidRPr="003C1D92">
        <w:rPr>
          <w:rStyle w:val="Strong"/>
          <w:b/>
          <w:bCs/>
          <w:sz w:val="24"/>
          <w:szCs w:val="24"/>
        </w:rPr>
        <w:t>Supplementary Figure 5. Variable loadings on the third structural connectivity retained component (FA-RC3).</w:t>
      </w:r>
    </w:p>
    <w:p w14:paraId="69D90AB5" w14:textId="6AC4BED6" w:rsidR="00FB79A8" w:rsidRPr="003C1D92" w:rsidRDefault="009B47F6" w:rsidP="00EF0772">
      <w:pPr>
        <w:pStyle w:val="SezioneBD"/>
        <w:numPr>
          <w:ilvl w:val="0"/>
          <w:numId w:val="0"/>
        </w:numPr>
        <w:rPr>
          <w:b w:val="0"/>
          <w:bCs w:val="0"/>
          <w:sz w:val="24"/>
          <w:szCs w:val="24"/>
        </w:rPr>
      </w:pPr>
      <w:r w:rsidRPr="003C1D92">
        <w:rPr>
          <w:b w:val="0"/>
          <w:bCs w:val="0"/>
          <w:sz w:val="24"/>
          <w:szCs w:val="24"/>
        </w:rPr>
        <w:t xml:space="preserve">Horizontal bars show each variable’s standardized loading on FA-RC3, sorted by absolute magnitude. Bars extending to the right indicate positive loadings. Please refer to </w:t>
      </w:r>
      <w:r w:rsidRPr="003C1D92">
        <w:rPr>
          <w:sz w:val="24"/>
          <w:szCs w:val="24"/>
        </w:rPr>
        <w:t>Supplementary Table 1</w:t>
      </w:r>
      <w:r w:rsidRPr="003C1D92">
        <w:rPr>
          <w:b w:val="0"/>
          <w:bCs w:val="0"/>
          <w:sz w:val="24"/>
          <w:szCs w:val="24"/>
        </w:rPr>
        <w:t xml:space="preserve"> for the complete list of all variables and corresponding abbreviations.</w:t>
      </w:r>
    </w:p>
    <w:p w14:paraId="75FA52D1" w14:textId="467CB5F8" w:rsidR="009B47F6" w:rsidRPr="003C1D92" w:rsidRDefault="009B47F6" w:rsidP="00EF0772">
      <w:pPr>
        <w:pStyle w:val="SezioneBD"/>
        <w:numPr>
          <w:ilvl w:val="0"/>
          <w:numId w:val="0"/>
        </w:numPr>
        <w:ind w:left="714" w:hanging="357"/>
        <w:rPr>
          <w:b w:val="0"/>
          <w:bCs w:val="0"/>
          <w:sz w:val="24"/>
          <w:szCs w:val="24"/>
        </w:rPr>
      </w:pPr>
    </w:p>
    <w:p w14:paraId="215869A0" w14:textId="77777777" w:rsidR="009B47F6" w:rsidRPr="003C1D92" w:rsidRDefault="009B47F6" w:rsidP="00EF0772">
      <w:pPr>
        <w:rPr>
          <w:rFonts w:cs="Times New Roman"/>
          <w:b/>
          <w:bCs/>
          <w:lang w:val="en-US"/>
        </w:rPr>
      </w:pPr>
    </w:p>
    <w:p w14:paraId="00DEC01E" w14:textId="7F9FD196" w:rsidR="00C367E1" w:rsidRPr="003C1D92" w:rsidRDefault="00775CB3" w:rsidP="00EF0772">
      <w:pPr>
        <w:pStyle w:val="ListParagraph"/>
        <w:rPr>
          <w:rFonts w:cs="Times New Roman"/>
          <w:b/>
          <w:bCs/>
          <w:lang w:val="en-US"/>
        </w:rPr>
      </w:pPr>
      <w:r w:rsidRPr="003C1D92">
        <w:rPr>
          <w:rFonts w:cs="Times New Roman"/>
          <w:b/>
          <w:bCs/>
          <w:noProof/>
          <w:lang w:val="en-US"/>
        </w:rPr>
        <w:lastRenderedPageBreak/>
        <w:drawing>
          <wp:inline distT="0" distB="0" distL="0" distR="0" wp14:anchorId="31386F1D" wp14:editId="447BBBEC">
            <wp:extent cx="5731201" cy="4074795"/>
            <wp:effectExtent l="0" t="0" r="0" b="0"/>
            <wp:docPr id="121497050" name="Picture 1" descr="A graph with blue and white line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7050" name="Picture 1" descr="A graph with blue and white lines  AI-generated content may be incorrect."/>
                    <pic:cNvPicPr/>
                  </pic:nvPicPr>
                  <pic:blipFill rotWithShape="1">
                    <a:blip r:embed="rId15" cstate="print">
                      <a:extLst>
                        <a:ext uri="{28A0092B-C50C-407E-A947-70E740481C1C}">
                          <a14:useLocalDpi xmlns:a14="http://schemas.microsoft.com/office/drawing/2010/main" val="0"/>
                        </a:ext>
                      </a:extLst>
                    </a:blip>
                    <a:srcRect t="5209"/>
                    <a:stretch>
                      <a:fillRect/>
                    </a:stretch>
                  </pic:blipFill>
                  <pic:spPr bwMode="auto">
                    <a:xfrm>
                      <a:off x="0" y="0"/>
                      <a:ext cx="5731510" cy="4075015"/>
                    </a:xfrm>
                    <a:prstGeom prst="rect">
                      <a:avLst/>
                    </a:prstGeom>
                    <a:ln>
                      <a:noFill/>
                    </a:ln>
                    <a:extLst>
                      <a:ext uri="{53640926-AAD7-44D8-BBD7-CCE9431645EC}">
                        <a14:shadowObscured xmlns:a14="http://schemas.microsoft.com/office/drawing/2010/main"/>
                      </a:ext>
                    </a:extLst>
                  </pic:spPr>
                </pic:pic>
              </a:graphicData>
            </a:graphic>
          </wp:inline>
        </w:drawing>
      </w:r>
    </w:p>
    <w:p w14:paraId="395DBA5E" w14:textId="17642525" w:rsidR="00FB79A8" w:rsidRPr="003C1D92" w:rsidRDefault="00ED1639" w:rsidP="00EF0772">
      <w:pPr>
        <w:pStyle w:val="SezioneBD"/>
        <w:numPr>
          <w:ilvl w:val="0"/>
          <w:numId w:val="0"/>
        </w:numPr>
        <w:rPr>
          <w:b w:val="0"/>
          <w:bCs w:val="0"/>
          <w:sz w:val="24"/>
          <w:szCs w:val="24"/>
        </w:rPr>
      </w:pPr>
      <w:r w:rsidRPr="003C1D92">
        <w:rPr>
          <w:sz w:val="24"/>
          <w:szCs w:val="24"/>
        </w:rPr>
        <w:t xml:space="preserve">Supplementary </w:t>
      </w:r>
      <w:r w:rsidRPr="003C1D92">
        <w:rPr>
          <w:rStyle w:val="Strong"/>
          <w:b/>
          <w:bCs/>
          <w:sz w:val="24"/>
          <w:szCs w:val="24"/>
        </w:rPr>
        <w:t>Figure 6. Variable loadings on the first biological component (BIO-RC1).</w:t>
      </w:r>
      <w:r w:rsidRPr="003C1D92">
        <w:rPr>
          <w:b w:val="0"/>
          <w:bCs w:val="0"/>
          <w:sz w:val="24"/>
          <w:szCs w:val="24"/>
        </w:rPr>
        <w:br/>
        <w:t>Horizontal bars show each variable’s standardized loading on BIO-RC1, sorted by absolute magnitude. Bars extending to the right indicate positive loadings, whereas bars extending to the left reflect negative loading. Please refer to Supplementary Table 1 for the complete list of all variables and corresponding abbreviations.</w:t>
      </w:r>
    </w:p>
    <w:p w14:paraId="5242915D" w14:textId="5BC388BB" w:rsidR="00C75281" w:rsidRPr="003C1D92" w:rsidRDefault="00C75281" w:rsidP="00EF0772">
      <w:pPr>
        <w:pStyle w:val="SezioneBD"/>
        <w:numPr>
          <w:ilvl w:val="0"/>
          <w:numId w:val="0"/>
        </w:numPr>
        <w:ind w:left="714" w:hanging="357"/>
        <w:rPr>
          <w:b w:val="0"/>
          <w:bCs w:val="0"/>
          <w:sz w:val="24"/>
          <w:szCs w:val="24"/>
        </w:rPr>
      </w:pPr>
    </w:p>
    <w:p w14:paraId="6063A92B" w14:textId="77777777" w:rsidR="00124399" w:rsidRPr="003C1D92" w:rsidRDefault="00124399" w:rsidP="00EF0772">
      <w:pPr>
        <w:rPr>
          <w:rFonts w:cs="Times New Roman"/>
          <w:b/>
          <w:bCs/>
          <w:lang w:val="en-US"/>
        </w:rPr>
      </w:pPr>
    </w:p>
    <w:p w14:paraId="767B29A6" w14:textId="57DCA188" w:rsidR="00124399" w:rsidRPr="003C1D92" w:rsidRDefault="003E1D2E" w:rsidP="00EF0772">
      <w:pPr>
        <w:pStyle w:val="ListParagraph"/>
        <w:rPr>
          <w:rFonts w:cs="Times New Roman"/>
          <w:b/>
          <w:bCs/>
          <w:lang w:val="en-US"/>
        </w:rPr>
      </w:pPr>
      <w:r w:rsidRPr="003C1D92">
        <w:rPr>
          <w:rFonts w:cs="Times New Roman"/>
          <w:b/>
          <w:bCs/>
          <w:noProof/>
          <w:lang w:val="en-US"/>
        </w:rPr>
        <w:lastRenderedPageBreak/>
        <w:drawing>
          <wp:inline distT="0" distB="0" distL="0" distR="0" wp14:anchorId="462DBF83" wp14:editId="07A4DB29">
            <wp:extent cx="5731510" cy="4061057"/>
            <wp:effectExtent l="0" t="0" r="0" b="3175"/>
            <wp:docPr id="190816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6331" name="Picture 190816331"/>
                    <pic:cNvPicPr/>
                  </pic:nvPicPr>
                  <pic:blipFill rotWithShape="1">
                    <a:blip r:embed="rId16" cstate="print">
                      <a:extLst>
                        <a:ext uri="{28A0092B-C50C-407E-A947-70E740481C1C}">
                          <a14:useLocalDpi xmlns:a14="http://schemas.microsoft.com/office/drawing/2010/main" val="0"/>
                        </a:ext>
                      </a:extLst>
                    </a:blip>
                    <a:srcRect t="5534"/>
                    <a:stretch>
                      <a:fillRect/>
                    </a:stretch>
                  </pic:blipFill>
                  <pic:spPr bwMode="auto">
                    <a:xfrm>
                      <a:off x="0" y="0"/>
                      <a:ext cx="5731510" cy="4061057"/>
                    </a:xfrm>
                    <a:prstGeom prst="rect">
                      <a:avLst/>
                    </a:prstGeom>
                    <a:ln>
                      <a:noFill/>
                    </a:ln>
                    <a:extLst>
                      <a:ext uri="{53640926-AAD7-44D8-BBD7-CCE9431645EC}">
                        <a14:shadowObscured xmlns:a14="http://schemas.microsoft.com/office/drawing/2010/main"/>
                      </a:ext>
                    </a:extLst>
                  </pic:spPr>
                </pic:pic>
              </a:graphicData>
            </a:graphic>
          </wp:inline>
        </w:drawing>
      </w:r>
    </w:p>
    <w:p w14:paraId="2222E29C" w14:textId="589BC7BB" w:rsidR="003E1D2E" w:rsidRPr="003C1D92" w:rsidRDefault="00ED1639" w:rsidP="00EF0772">
      <w:pPr>
        <w:pStyle w:val="SezioneBD"/>
        <w:numPr>
          <w:ilvl w:val="0"/>
          <w:numId w:val="0"/>
        </w:numPr>
        <w:rPr>
          <w:b w:val="0"/>
          <w:bCs w:val="0"/>
          <w:sz w:val="24"/>
          <w:szCs w:val="24"/>
        </w:rPr>
      </w:pPr>
      <w:bookmarkStart w:id="64" w:name="_Hlk219818915"/>
      <w:r w:rsidRPr="003C1D92">
        <w:rPr>
          <w:sz w:val="24"/>
          <w:szCs w:val="24"/>
        </w:rPr>
        <w:t>Supplementary Figure 7</w:t>
      </w:r>
      <w:bookmarkEnd w:id="64"/>
      <w:r w:rsidRPr="003C1D92">
        <w:rPr>
          <w:sz w:val="24"/>
          <w:szCs w:val="24"/>
        </w:rPr>
        <w:t xml:space="preserve">. </w:t>
      </w:r>
      <w:r w:rsidRPr="003C1D92">
        <w:rPr>
          <w:rStyle w:val="Strong"/>
          <w:b/>
          <w:bCs/>
          <w:sz w:val="24"/>
          <w:szCs w:val="24"/>
        </w:rPr>
        <w:t>Variable loadings on the first clinical component (CL-RC1).</w:t>
      </w:r>
      <w:r w:rsidRPr="003C1D92">
        <w:rPr>
          <w:b w:val="0"/>
          <w:bCs w:val="0"/>
          <w:sz w:val="24"/>
          <w:szCs w:val="24"/>
        </w:rPr>
        <w:br/>
        <w:t>Horizontal bars show each variable’s standardized loading on CL-RC1, sorted by absolute magnitude. Bars extending to the right indicate positive loadings, whereas bars extending to the left reflect negative loading. Please refer to Supplementary Table 1 for the complete list of all variables and corresponding abbreviations.</w:t>
      </w:r>
    </w:p>
    <w:p w14:paraId="2DDFEB96" w14:textId="2F5C51AA" w:rsidR="00F57360" w:rsidRPr="003C1D92" w:rsidRDefault="00F57360" w:rsidP="00EF0772">
      <w:pPr>
        <w:pStyle w:val="ListParagraph"/>
        <w:rPr>
          <w:rFonts w:cs="Times New Roman"/>
          <w:lang w:val="en-US"/>
        </w:rPr>
      </w:pPr>
    </w:p>
    <w:p w14:paraId="5FDBA859" w14:textId="10DCC535" w:rsidR="00F96914" w:rsidRPr="003C1D92" w:rsidRDefault="0063753F" w:rsidP="00EF0772">
      <w:pPr>
        <w:pStyle w:val="ListParagraph"/>
        <w:rPr>
          <w:rFonts w:cs="Times New Roman"/>
        </w:rPr>
      </w:pPr>
      <w:r w:rsidRPr="003C1D92">
        <w:rPr>
          <w:rFonts w:cs="Times New Roman"/>
          <w:noProof/>
          <w:lang w:val="en-US"/>
        </w:rPr>
        <w:lastRenderedPageBreak/>
        <w:drawing>
          <wp:inline distT="0" distB="0" distL="0" distR="0" wp14:anchorId="00862ADF" wp14:editId="36697B1D">
            <wp:extent cx="5731510" cy="4068492"/>
            <wp:effectExtent l="0" t="0" r="0" b="0"/>
            <wp:docPr id="1470491929" name="Picture 7" descr="A graph with blue and white bar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91929" name="Picture 7" descr="A graph with blue and white bars  AI-generated content may be incorrect."/>
                    <pic:cNvPicPr/>
                  </pic:nvPicPr>
                  <pic:blipFill rotWithShape="1">
                    <a:blip r:embed="rId17" cstate="print">
                      <a:extLst>
                        <a:ext uri="{28A0092B-C50C-407E-A947-70E740481C1C}">
                          <a14:useLocalDpi xmlns:a14="http://schemas.microsoft.com/office/drawing/2010/main" val="0"/>
                        </a:ext>
                      </a:extLst>
                    </a:blip>
                    <a:srcRect t="5360"/>
                    <a:stretch>
                      <a:fillRect/>
                    </a:stretch>
                  </pic:blipFill>
                  <pic:spPr bwMode="auto">
                    <a:xfrm>
                      <a:off x="0" y="0"/>
                      <a:ext cx="5731510" cy="4068492"/>
                    </a:xfrm>
                    <a:prstGeom prst="rect">
                      <a:avLst/>
                    </a:prstGeom>
                    <a:ln>
                      <a:noFill/>
                    </a:ln>
                    <a:extLst>
                      <a:ext uri="{53640926-AAD7-44D8-BBD7-CCE9431645EC}">
                        <a14:shadowObscured xmlns:a14="http://schemas.microsoft.com/office/drawing/2010/main"/>
                      </a:ext>
                    </a:extLst>
                  </pic:spPr>
                </pic:pic>
              </a:graphicData>
            </a:graphic>
          </wp:inline>
        </w:drawing>
      </w:r>
    </w:p>
    <w:p w14:paraId="70922BCC" w14:textId="77777777" w:rsidR="0063753F" w:rsidRPr="003C1D92" w:rsidRDefault="0063753F" w:rsidP="00EF0772">
      <w:pPr>
        <w:pStyle w:val="ListParagraph"/>
        <w:rPr>
          <w:rFonts w:cs="Times New Roman"/>
          <w:b/>
          <w:bCs/>
          <w:lang w:val="en-US"/>
        </w:rPr>
      </w:pPr>
    </w:p>
    <w:p w14:paraId="7EB2F8BF" w14:textId="400351DC" w:rsidR="0063753F" w:rsidRPr="003C1D92" w:rsidRDefault="0063753F" w:rsidP="00EF0772">
      <w:pPr>
        <w:pStyle w:val="SezioneBD"/>
        <w:numPr>
          <w:ilvl w:val="0"/>
          <w:numId w:val="0"/>
        </w:numPr>
        <w:rPr>
          <w:b w:val="0"/>
          <w:bCs w:val="0"/>
          <w:sz w:val="24"/>
          <w:szCs w:val="24"/>
        </w:rPr>
      </w:pPr>
      <w:r w:rsidRPr="003C1D92">
        <w:rPr>
          <w:sz w:val="24"/>
          <w:szCs w:val="24"/>
        </w:rPr>
        <w:t xml:space="preserve">Supplementary </w:t>
      </w:r>
      <w:r w:rsidRPr="003C1D92">
        <w:rPr>
          <w:rStyle w:val="Strong"/>
          <w:b/>
          <w:bCs/>
          <w:sz w:val="24"/>
          <w:szCs w:val="24"/>
        </w:rPr>
        <w:t>Figure 8. Variable loadings on the fourth biological component (BIO-RC4).</w:t>
      </w:r>
      <w:r w:rsidRPr="003C1D92">
        <w:rPr>
          <w:b w:val="0"/>
          <w:bCs w:val="0"/>
          <w:sz w:val="24"/>
          <w:szCs w:val="24"/>
        </w:rPr>
        <w:br/>
        <w:t>Horizontal bars show each variable’s standardized loading on BIO-RC4, sorted by absolute magnitude. Bars extending to the right indicate positive loadings, whereas bars extending to the left reflect negative loading. Please refer to Supplementary Table 1 for the complete list of all variables and corresponding abbreviations.</w:t>
      </w:r>
    </w:p>
    <w:p w14:paraId="508C394B" w14:textId="77777777" w:rsidR="0063753F" w:rsidRPr="003C1D92" w:rsidRDefault="0063753F" w:rsidP="00EF0772">
      <w:pPr>
        <w:pStyle w:val="ListParagraph"/>
        <w:rPr>
          <w:rFonts w:cs="Times New Roman"/>
          <w:b/>
          <w:bCs/>
          <w:lang w:val="en-US"/>
        </w:rPr>
      </w:pPr>
    </w:p>
    <w:p w14:paraId="5536ADD2" w14:textId="77E7A707" w:rsidR="0063753F" w:rsidRPr="003C1D92" w:rsidRDefault="002D160E" w:rsidP="00EF0772">
      <w:pPr>
        <w:pStyle w:val="ListParagraph"/>
        <w:rPr>
          <w:rFonts w:cs="Times New Roman"/>
          <w:b/>
          <w:bCs/>
          <w:lang w:val="en-US"/>
        </w:rPr>
      </w:pPr>
      <w:r w:rsidRPr="003C1D92">
        <w:rPr>
          <w:rFonts w:cs="Times New Roman"/>
          <w:b/>
          <w:bCs/>
          <w:noProof/>
          <w:lang w:val="en-US"/>
        </w:rPr>
        <w:lastRenderedPageBreak/>
        <w:drawing>
          <wp:inline distT="0" distB="0" distL="0" distR="0" wp14:anchorId="0CFF9F79" wp14:editId="5E738A0E">
            <wp:extent cx="5486400" cy="4572000"/>
            <wp:effectExtent l="0" t="0" r="0" b="0"/>
            <wp:docPr id="482452900" name="Picture 9" descr="A screenshot of a graph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52900" name="Picture 9" descr="A screenshot of a graph  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a:graphicData>
            </a:graphic>
          </wp:inline>
        </w:drawing>
      </w:r>
    </w:p>
    <w:p w14:paraId="6A489CC4" w14:textId="4B2FB1D7" w:rsidR="0063753F" w:rsidRPr="003C1D92" w:rsidRDefault="00FA1663" w:rsidP="00EF0772">
      <w:pPr>
        <w:pStyle w:val="ListParagraph"/>
        <w:ind w:left="0"/>
        <w:rPr>
          <w:rFonts w:cs="Times New Roman"/>
          <w:b/>
          <w:bCs/>
          <w:lang w:val="en-US"/>
        </w:rPr>
      </w:pPr>
      <w:r w:rsidRPr="003C1D92">
        <w:rPr>
          <w:rFonts w:cs="Times New Roman"/>
          <w:b/>
          <w:bCs/>
        </w:rPr>
        <w:t xml:space="preserve">Supplementary </w:t>
      </w:r>
      <w:r w:rsidRPr="003C1D92">
        <w:rPr>
          <w:rStyle w:val="Strong"/>
          <w:rFonts w:cs="Times New Roman"/>
        </w:rPr>
        <w:t xml:space="preserve">Figure 9. </w:t>
      </w:r>
      <w:r w:rsidRPr="003C1D92">
        <w:rPr>
          <w:rFonts w:cs="Times New Roman"/>
          <w:b/>
          <w:bCs/>
          <w:lang w:val="en-US"/>
        </w:rPr>
        <w:t>Heatmap of the confusion matrix from Random Forest group classification, illustrating prediction accuracy between two participant groups: patients with Emotion Dysregulation Disorders (EDD) or EDD patients’ offspring (</w:t>
      </w:r>
      <w:proofErr w:type="spellStart"/>
      <w:r w:rsidRPr="003C1D92">
        <w:rPr>
          <w:rFonts w:cs="Times New Roman"/>
          <w:b/>
          <w:bCs/>
          <w:lang w:val="en-US"/>
        </w:rPr>
        <w:t>EDDoff</w:t>
      </w:r>
      <w:proofErr w:type="spellEnd"/>
      <w:r w:rsidRPr="003C1D92">
        <w:rPr>
          <w:rFonts w:cs="Times New Roman"/>
          <w:b/>
          <w:bCs/>
          <w:lang w:val="en-US"/>
        </w:rPr>
        <w:t xml:space="preserve">) and healthy controls (HC). </w:t>
      </w:r>
      <w:r w:rsidRPr="003C1D92">
        <w:rPr>
          <w:rFonts w:cs="Times New Roman"/>
          <w:lang w:val="en-US"/>
        </w:rPr>
        <w:t>Values in each cell represent the absolute number of predictions, with percentages indicating the proportion of each actual group's predictions. Color intensity corresponds to prediction frequency (Freq), with darker shades representing higher frequencies.</w:t>
      </w:r>
    </w:p>
    <w:p w14:paraId="4A4FF929" w14:textId="77777777" w:rsidR="00F84216" w:rsidRPr="003C1D92" w:rsidRDefault="00F84216" w:rsidP="00EF0772">
      <w:pPr>
        <w:pStyle w:val="ListParagraph"/>
        <w:rPr>
          <w:rFonts w:cs="Times New Roman"/>
          <w:b/>
          <w:bCs/>
          <w:lang w:val="en-US"/>
        </w:rPr>
      </w:pPr>
    </w:p>
    <w:p w14:paraId="6CEA0A66" w14:textId="77777777" w:rsidR="00F84216" w:rsidRPr="003C1D92" w:rsidRDefault="00F84216" w:rsidP="00EF0772">
      <w:pPr>
        <w:pStyle w:val="ListParagraph"/>
        <w:rPr>
          <w:rFonts w:cs="Times New Roman"/>
          <w:b/>
          <w:bCs/>
          <w:lang w:val="en-US"/>
        </w:rPr>
      </w:pPr>
    </w:p>
    <w:p w14:paraId="677735D4" w14:textId="73615430" w:rsidR="00F84216" w:rsidRPr="003C1D92" w:rsidRDefault="002D160E" w:rsidP="00EF0772">
      <w:pPr>
        <w:pStyle w:val="ListParagraph"/>
        <w:rPr>
          <w:rFonts w:cs="Times New Roman"/>
          <w:b/>
          <w:bCs/>
          <w:lang w:val="en-US"/>
        </w:rPr>
      </w:pPr>
      <w:r w:rsidRPr="003C1D92">
        <w:rPr>
          <w:rFonts w:cs="Times New Roman"/>
          <w:b/>
          <w:bCs/>
          <w:noProof/>
          <w:lang w:val="en-US"/>
        </w:rPr>
        <w:lastRenderedPageBreak/>
        <w:drawing>
          <wp:inline distT="0" distB="0" distL="0" distR="0" wp14:anchorId="63B295D6" wp14:editId="6B36A015">
            <wp:extent cx="5731510" cy="6968762"/>
            <wp:effectExtent l="0" t="0" r="0" b="0"/>
            <wp:docPr id="719196564" name="Picture 8" descr="A graph of a graph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96564" name="Picture 8" descr="A graph of a graph  AI-generated content may be incorrect."/>
                    <pic:cNvPicPr/>
                  </pic:nvPicPr>
                  <pic:blipFill rotWithShape="1">
                    <a:blip r:embed="rId19" cstate="print">
                      <a:extLst>
                        <a:ext uri="{28A0092B-C50C-407E-A947-70E740481C1C}">
                          <a14:useLocalDpi xmlns:a14="http://schemas.microsoft.com/office/drawing/2010/main" val="0"/>
                        </a:ext>
                      </a:extLst>
                    </a:blip>
                    <a:srcRect t="2735"/>
                    <a:stretch>
                      <a:fillRect/>
                    </a:stretch>
                  </pic:blipFill>
                  <pic:spPr bwMode="auto">
                    <a:xfrm>
                      <a:off x="0" y="0"/>
                      <a:ext cx="5731510" cy="6968762"/>
                    </a:xfrm>
                    <a:prstGeom prst="rect">
                      <a:avLst/>
                    </a:prstGeom>
                    <a:ln>
                      <a:noFill/>
                    </a:ln>
                    <a:extLst>
                      <a:ext uri="{53640926-AAD7-44D8-BBD7-CCE9431645EC}">
                        <a14:shadowObscured xmlns:a14="http://schemas.microsoft.com/office/drawing/2010/main"/>
                      </a:ext>
                    </a:extLst>
                  </pic:spPr>
                </pic:pic>
              </a:graphicData>
            </a:graphic>
          </wp:inline>
        </w:drawing>
      </w:r>
    </w:p>
    <w:p w14:paraId="1A8FEB60" w14:textId="67FC7350" w:rsidR="00F57360" w:rsidRPr="003C1D92" w:rsidRDefault="00F57360" w:rsidP="00EF0772">
      <w:pPr>
        <w:pStyle w:val="ListParagraph"/>
        <w:ind w:left="0"/>
        <w:rPr>
          <w:rFonts w:cs="Times New Roman"/>
          <w:b/>
          <w:bCs/>
          <w:lang w:val="en-US"/>
        </w:rPr>
      </w:pPr>
      <w:r w:rsidRPr="003C1D92">
        <w:rPr>
          <w:rFonts w:cs="Times New Roman"/>
          <w:b/>
          <w:bCs/>
          <w:lang w:val="en-US"/>
        </w:rPr>
        <w:t>Supplementary Figure 10. Variable importance in random forest classification model for group prediction.</w:t>
      </w:r>
    </w:p>
    <w:p w14:paraId="56D791F2" w14:textId="2F954387" w:rsidR="00F24170" w:rsidRPr="003C1D92" w:rsidRDefault="000C0517" w:rsidP="00EF0772">
      <w:pPr>
        <w:pStyle w:val="SezioneBD"/>
        <w:numPr>
          <w:ilvl w:val="0"/>
          <w:numId w:val="0"/>
        </w:numPr>
        <w:rPr>
          <w:b w:val="0"/>
          <w:bCs w:val="0"/>
          <w:sz w:val="24"/>
          <w:szCs w:val="24"/>
        </w:rPr>
      </w:pPr>
      <w:r w:rsidRPr="003C1D92">
        <w:rPr>
          <w:b w:val="0"/>
          <w:bCs w:val="0"/>
          <w:sz w:val="24"/>
          <w:szCs w:val="24"/>
        </w:rPr>
        <w:t xml:space="preserve">All variables are ranked by decrease in accuracy. This measure reflects how much the model's performance suffers when a particular feature is not available, indicating their contribution to accurate group classification. Clinical symptom measures of emotion dysregulation (e.g., ALS, </w:t>
      </w:r>
      <w:r w:rsidRPr="003C1D92">
        <w:rPr>
          <w:b w:val="0"/>
          <w:bCs w:val="0"/>
          <w:sz w:val="24"/>
          <w:szCs w:val="24"/>
        </w:rPr>
        <w:lastRenderedPageBreak/>
        <w:t xml:space="preserve">BORD, MADRS, STAI-B) were among the strongest predictors, followed by neuroimaging-derived connectivity metrics. Immune biomarkers (e.g., CRP, IL-2R, MCP-1) showed relatively low importance, suggesting they contributed less to the model’s predictive performance. Please refer to </w:t>
      </w:r>
      <w:r w:rsidRPr="003C1D92">
        <w:rPr>
          <w:sz w:val="24"/>
          <w:szCs w:val="24"/>
        </w:rPr>
        <w:t>Supplementary Table 1</w:t>
      </w:r>
      <w:r w:rsidRPr="003C1D92">
        <w:rPr>
          <w:b w:val="0"/>
          <w:bCs w:val="0"/>
          <w:sz w:val="24"/>
          <w:szCs w:val="24"/>
        </w:rPr>
        <w:t xml:space="preserve"> for the complete list of all variables and corresponding abbreviations.</w:t>
      </w:r>
    </w:p>
    <w:p w14:paraId="238721C3" w14:textId="77777777" w:rsidR="00F24170" w:rsidRPr="003C1D92" w:rsidRDefault="00F24170" w:rsidP="00EF0772">
      <w:pPr>
        <w:jc w:val="left"/>
        <w:rPr>
          <w:rFonts w:cs="Times New Roman"/>
          <w:lang w:val="en-US"/>
        </w:rPr>
      </w:pPr>
      <w:r w:rsidRPr="003C1D92">
        <w:rPr>
          <w:b/>
          <w:bCs/>
        </w:rPr>
        <w:br w:type="page"/>
      </w:r>
    </w:p>
    <w:p w14:paraId="609BE985" w14:textId="77777777" w:rsidR="00EB5E03" w:rsidRPr="003C1D92" w:rsidRDefault="00EB5E03" w:rsidP="00EF0772">
      <w:pPr>
        <w:pStyle w:val="SezioneBD"/>
        <w:numPr>
          <w:ilvl w:val="0"/>
          <w:numId w:val="0"/>
        </w:numPr>
        <w:rPr>
          <w:b w:val="0"/>
          <w:bCs w:val="0"/>
          <w:sz w:val="24"/>
          <w:szCs w:val="24"/>
        </w:rPr>
      </w:pPr>
    </w:p>
    <w:p w14:paraId="24E9A413" w14:textId="77777777" w:rsidR="003D41C5" w:rsidRPr="003C1D92" w:rsidRDefault="003D41C5" w:rsidP="00EF0772">
      <w:pPr>
        <w:pStyle w:val="SezioneBD"/>
        <w:numPr>
          <w:ilvl w:val="0"/>
          <w:numId w:val="0"/>
        </w:numPr>
        <w:ind w:left="714" w:hanging="357"/>
        <w:rPr>
          <w:b w:val="0"/>
          <w:bCs w:val="0"/>
          <w:sz w:val="24"/>
          <w:szCs w:val="24"/>
        </w:rPr>
      </w:pPr>
    </w:p>
    <w:p w14:paraId="144B5833" w14:textId="120F6FA4" w:rsidR="003D41C5" w:rsidRPr="003C1D92" w:rsidRDefault="003D41C5" w:rsidP="00EF0772">
      <w:pPr>
        <w:pStyle w:val="SezioneBD"/>
        <w:numPr>
          <w:ilvl w:val="0"/>
          <w:numId w:val="0"/>
        </w:numPr>
        <w:ind w:left="714" w:hanging="357"/>
        <w:rPr>
          <w:b w:val="0"/>
          <w:bCs w:val="0"/>
          <w:sz w:val="24"/>
          <w:szCs w:val="24"/>
        </w:rPr>
      </w:pPr>
      <w:r w:rsidRPr="003C1D92">
        <w:rPr>
          <w:b w:val="0"/>
          <w:bCs w:val="0"/>
          <w:noProof/>
          <w:sz w:val="24"/>
          <w:szCs w:val="24"/>
        </w:rPr>
        <w:drawing>
          <wp:inline distT="0" distB="0" distL="0" distR="0" wp14:anchorId="753AA7D6" wp14:editId="0266940B">
            <wp:extent cx="5731510" cy="4687807"/>
            <wp:effectExtent l="0" t="0" r="0" b="0"/>
            <wp:docPr id="623661976" name="Picture 10" descr="A graph of different colored dot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61976" name="Picture 10" descr="A graph of different colored dots  AI-generated content may be incorrect."/>
                    <pic:cNvPicPr/>
                  </pic:nvPicPr>
                  <pic:blipFill rotWithShape="1">
                    <a:blip r:embed="rId20" cstate="print">
                      <a:extLst>
                        <a:ext uri="{28A0092B-C50C-407E-A947-70E740481C1C}">
                          <a14:useLocalDpi xmlns:a14="http://schemas.microsoft.com/office/drawing/2010/main" val="0"/>
                        </a:ext>
                      </a:extLst>
                    </a:blip>
                    <a:srcRect t="4584"/>
                    <a:stretch>
                      <a:fillRect/>
                    </a:stretch>
                  </pic:blipFill>
                  <pic:spPr bwMode="auto">
                    <a:xfrm>
                      <a:off x="0" y="0"/>
                      <a:ext cx="5731510" cy="4687807"/>
                    </a:xfrm>
                    <a:prstGeom prst="rect">
                      <a:avLst/>
                    </a:prstGeom>
                    <a:ln>
                      <a:noFill/>
                    </a:ln>
                    <a:extLst>
                      <a:ext uri="{53640926-AAD7-44D8-BBD7-CCE9431645EC}">
                        <a14:shadowObscured xmlns:a14="http://schemas.microsoft.com/office/drawing/2010/main"/>
                      </a:ext>
                    </a:extLst>
                  </pic:spPr>
                </pic:pic>
              </a:graphicData>
            </a:graphic>
          </wp:inline>
        </w:drawing>
      </w:r>
    </w:p>
    <w:p w14:paraId="66B1B5B9" w14:textId="6C0FFC92" w:rsidR="00A654BD" w:rsidRPr="003C1D92" w:rsidRDefault="00A654BD" w:rsidP="00EF0772">
      <w:pPr>
        <w:rPr>
          <w:rFonts w:eastAsia="Times New Roman" w:cs="Times New Roman"/>
          <w:lang w:val="en-GB" w:eastAsia="en-GB"/>
        </w:rPr>
      </w:pPr>
      <w:r w:rsidRPr="003C1D92">
        <w:rPr>
          <w:rFonts w:eastAsia="Times New Roman" w:cs="Times New Roman"/>
          <w:b/>
          <w:bCs/>
          <w:lang w:eastAsia="en-GB"/>
        </w:rPr>
        <w:t xml:space="preserve">Supplementary Figure 11. </w:t>
      </w:r>
      <w:r w:rsidRPr="003C1D92">
        <w:rPr>
          <w:rFonts w:cs="Times New Roman"/>
          <w:b/>
          <w:bCs/>
        </w:rPr>
        <w:t>Correlation between a</w:t>
      </w:r>
      <w:r w:rsidRPr="003C1D92">
        <w:rPr>
          <w:rFonts w:eastAsia="Times New Roman" w:cs="Times New Roman"/>
          <w:b/>
          <w:bCs/>
          <w:lang w:eastAsia="en-GB"/>
        </w:rPr>
        <w:t xml:space="preserve">ctual </w:t>
      </w:r>
      <w:r w:rsidRPr="003C1D92">
        <w:rPr>
          <w:rFonts w:cs="Times New Roman"/>
          <w:b/>
          <w:bCs/>
        </w:rPr>
        <w:t>and</w:t>
      </w:r>
      <w:r w:rsidRPr="003C1D92">
        <w:rPr>
          <w:rFonts w:eastAsia="Times New Roman" w:cs="Times New Roman"/>
          <w:b/>
          <w:bCs/>
          <w:lang w:eastAsia="en-GB"/>
        </w:rPr>
        <w:t xml:space="preserve"> predicted affective lability scale (ALS) scores. </w:t>
      </w:r>
      <w:r w:rsidRPr="003C1D92">
        <w:rPr>
          <w:rFonts w:eastAsia="Times New Roman" w:cs="Times New Roman"/>
          <w:lang w:eastAsia="en-GB"/>
        </w:rPr>
        <w:t>Scatterplot of observed versus RF‐predicted ALS scores in the held</w:t>
      </w:r>
      <w:r w:rsidRPr="003C1D92">
        <w:rPr>
          <w:rFonts w:eastAsia="Times New Roman" w:cs="Times New Roman"/>
          <w:lang w:eastAsia="en-GB"/>
        </w:rPr>
        <w:noBreakHyphen/>
        <w:t xml:space="preserve">out test, from neuroimaging and biological features, with a linear fit overlaid. </w:t>
      </w:r>
      <w:r w:rsidRPr="003C1D92">
        <w:rPr>
          <w:rFonts w:cs="Times New Roman"/>
        </w:rPr>
        <w:t>T</w:t>
      </w:r>
      <w:r w:rsidRPr="003C1D92">
        <w:rPr>
          <w:rFonts w:eastAsia="Times New Roman" w:cs="Times New Roman"/>
          <w:lang w:eastAsia="en-GB"/>
        </w:rPr>
        <w:t>he overall Pearson correlation coefficient (r =.48, p</w:t>
      </w:r>
      <w:r w:rsidRPr="003C1D92">
        <w:rPr>
          <w:bCs/>
          <w:i/>
          <w:iCs/>
          <w:vertAlign w:val="subscript"/>
        </w:rPr>
        <w:t xml:space="preserve">adj </w:t>
      </w:r>
      <w:r w:rsidRPr="003C1D92">
        <w:rPr>
          <w:rFonts w:eastAsia="Times New Roman" w:cs="Times New Roman"/>
          <w:lang w:eastAsia="en-GB"/>
        </w:rPr>
        <w:t>&lt; .00005), indicates robust, transdiagnostic convergence between model prediction and actual affective lability severity.</w:t>
      </w:r>
    </w:p>
    <w:p w14:paraId="5A0702FE" w14:textId="2706DCD0" w:rsidR="00ED1639" w:rsidRPr="003C1D92" w:rsidRDefault="00ED1639" w:rsidP="00EF0772">
      <w:pPr>
        <w:pStyle w:val="ListParagraph"/>
        <w:rPr>
          <w:rFonts w:cs="Times New Roman"/>
          <w:lang w:val="en-GB"/>
        </w:rPr>
      </w:pPr>
    </w:p>
    <w:p w14:paraId="6341FCB3" w14:textId="77777777" w:rsidR="00ED1639" w:rsidRPr="003C1D92" w:rsidRDefault="00ED1639" w:rsidP="00EF0772">
      <w:pPr>
        <w:pStyle w:val="ListParagraph"/>
        <w:rPr>
          <w:rFonts w:cs="Times New Roman"/>
          <w:b/>
          <w:bCs/>
        </w:rPr>
      </w:pPr>
    </w:p>
    <w:p w14:paraId="7829ACE7" w14:textId="25E65363" w:rsidR="00796EBB" w:rsidRPr="003C1D92" w:rsidRDefault="00C9131C" w:rsidP="00EF0772">
      <w:pPr>
        <w:rPr>
          <w:rFonts w:eastAsia="Times New Roman" w:cs="Times New Roman"/>
          <w:lang w:val="en-GB" w:eastAsia="en-GB"/>
        </w:rPr>
      </w:pPr>
      <w:r w:rsidRPr="003C1D92">
        <w:rPr>
          <w:rFonts w:eastAsia="Times New Roman" w:cs="Times New Roman"/>
          <w:b/>
          <w:bCs/>
          <w:noProof/>
          <w:lang w:eastAsia="en-GB"/>
        </w:rPr>
        <w:lastRenderedPageBreak/>
        <w:drawing>
          <wp:inline distT="0" distB="0" distL="0" distR="0" wp14:anchorId="77CBA8F8" wp14:editId="1D6E7BCB">
            <wp:extent cx="5731510" cy="4912995"/>
            <wp:effectExtent l="0" t="0" r="0" b="1905"/>
            <wp:docPr id="1819843990" name="Picture 1" descr="A graph with a line and a lin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43990" name="Picture 1" descr="A graph with a line and a line  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4912995"/>
                    </a:xfrm>
                    <a:prstGeom prst="rect">
                      <a:avLst/>
                    </a:prstGeom>
                  </pic:spPr>
                </pic:pic>
              </a:graphicData>
            </a:graphic>
          </wp:inline>
        </w:drawing>
      </w:r>
      <w:r w:rsidRPr="003C1D92">
        <w:rPr>
          <w:rFonts w:eastAsia="Times New Roman" w:cs="Times New Roman"/>
          <w:b/>
          <w:bCs/>
          <w:lang w:eastAsia="en-GB"/>
        </w:rPr>
        <w:t xml:space="preserve"> Supplementary Figure 12. </w:t>
      </w:r>
      <w:r w:rsidRPr="003C1D92">
        <w:rPr>
          <w:rFonts w:cs="Times New Roman"/>
          <w:b/>
          <w:bCs/>
        </w:rPr>
        <w:t>Correlation between a</w:t>
      </w:r>
      <w:r w:rsidRPr="003C1D92">
        <w:rPr>
          <w:rFonts w:eastAsia="Times New Roman" w:cs="Times New Roman"/>
          <w:b/>
          <w:bCs/>
          <w:lang w:eastAsia="en-GB"/>
        </w:rPr>
        <w:t xml:space="preserve">ctual </w:t>
      </w:r>
      <w:r w:rsidRPr="003C1D92">
        <w:rPr>
          <w:rFonts w:cs="Times New Roman"/>
          <w:b/>
          <w:bCs/>
        </w:rPr>
        <w:t>and</w:t>
      </w:r>
      <w:r w:rsidRPr="003C1D92">
        <w:rPr>
          <w:rFonts w:eastAsia="Times New Roman" w:cs="Times New Roman"/>
          <w:b/>
          <w:bCs/>
          <w:lang w:eastAsia="en-GB"/>
        </w:rPr>
        <w:t xml:space="preserve"> predicted Cognitive Emotion Regulation Questionnaire (CERQ) scores. </w:t>
      </w:r>
      <w:r w:rsidRPr="003C1D92">
        <w:rPr>
          <w:rFonts w:eastAsia="Times New Roman" w:cs="Times New Roman"/>
          <w:lang w:eastAsia="en-GB"/>
        </w:rPr>
        <w:t>Scatterplot of observed versus RF‐predicted CERQ scores in the held</w:t>
      </w:r>
      <w:r w:rsidRPr="003C1D92">
        <w:rPr>
          <w:rFonts w:eastAsia="Times New Roman" w:cs="Times New Roman"/>
          <w:lang w:eastAsia="en-GB"/>
        </w:rPr>
        <w:noBreakHyphen/>
        <w:t xml:space="preserve">out test, with a linear fit overlaid. </w:t>
      </w:r>
      <w:r w:rsidRPr="003C1D92">
        <w:rPr>
          <w:rFonts w:cs="Times New Roman"/>
        </w:rPr>
        <w:t>T</w:t>
      </w:r>
      <w:r w:rsidRPr="003C1D92">
        <w:rPr>
          <w:rFonts w:eastAsia="Times New Roman" w:cs="Times New Roman"/>
          <w:lang w:eastAsia="en-GB"/>
        </w:rPr>
        <w:t>he overall significant positive correlation (</w:t>
      </w:r>
      <w:r w:rsidRPr="003C1D92">
        <w:rPr>
          <w:bCs/>
        </w:rPr>
        <w:t>p</w:t>
      </w:r>
      <w:r w:rsidRPr="003C1D92">
        <w:rPr>
          <w:bCs/>
          <w:i/>
          <w:iCs/>
          <w:vertAlign w:val="subscript"/>
        </w:rPr>
        <w:t>adj</w:t>
      </w:r>
      <w:r w:rsidRPr="003C1D92">
        <w:rPr>
          <w:bCs/>
        </w:rPr>
        <w:t xml:space="preserve"> = .007)</w:t>
      </w:r>
      <w:r w:rsidRPr="003C1D92">
        <w:rPr>
          <w:rFonts w:eastAsia="Times New Roman" w:cs="Times New Roman"/>
          <w:lang w:eastAsia="en-GB"/>
        </w:rPr>
        <w:t xml:space="preserve"> indicat</w:t>
      </w:r>
      <w:r w:rsidRPr="003C1D92">
        <w:rPr>
          <w:rFonts w:cs="Times New Roman"/>
        </w:rPr>
        <w:t>es</w:t>
      </w:r>
      <w:r w:rsidRPr="003C1D92">
        <w:rPr>
          <w:rFonts w:eastAsia="Times New Roman" w:cs="Times New Roman"/>
          <w:lang w:eastAsia="en-GB"/>
        </w:rPr>
        <w:t xml:space="preserve"> transdiagnostic convergence between predicted and actual CERQ scores.</w:t>
      </w:r>
    </w:p>
    <w:p w14:paraId="0ACC61DE" w14:textId="77777777" w:rsidR="0061312E" w:rsidRPr="003C1D92" w:rsidRDefault="0061312E" w:rsidP="00EF0772">
      <w:pPr>
        <w:rPr>
          <w:rFonts w:cs="Times New Roman"/>
          <w:b/>
          <w:bCs/>
          <w:lang w:val="en-GB"/>
        </w:rPr>
      </w:pPr>
    </w:p>
    <w:p w14:paraId="4E14B018" w14:textId="77777777" w:rsidR="00922925" w:rsidRPr="003C1D92" w:rsidRDefault="00922925" w:rsidP="00EF0772">
      <w:pPr>
        <w:pStyle w:val="ListParagraph"/>
        <w:rPr>
          <w:rFonts w:eastAsia="Times New Roman" w:cs="Times New Roman"/>
          <w:b/>
          <w:bCs/>
          <w:lang w:eastAsia="en-GB"/>
        </w:rPr>
      </w:pPr>
    </w:p>
    <w:p w14:paraId="43CBA9EB" w14:textId="77777777" w:rsidR="00922925" w:rsidRPr="003C1D92" w:rsidRDefault="00922925" w:rsidP="00EF0772">
      <w:pPr>
        <w:pStyle w:val="ListParagraph"/>
        <w:rPr>
          <w:rFonts w:eastAsia="Times New Roman" w:cs="Times New Roman"/>
          <w:b/>
          <w:bCs/>
          <w:lang w:eastAsia="en-GB"/>
        </w:rPr>
      </w:pPr>
    </w:p>
    <w:p w14:paraId="6970519C" w14:textId="77777777" w:rsidR="00922925" w:rsidRPr="003C1D92" w:rsidRDefault="00922925" w:rsidP="00EF0772">
      <w:pPr>
        <w:pStyle w:val="ListParagraph"/>
        <w:rPr>
          <w:rFonts w:eastAsia="Times New Roman" w:cs="Times New Roman"/>
          <w:b/>
          <w:bCs/>
          <w:lang w:eastAsia="en-GB"/>
        </w:rPr>
      </w:pPr>
    </w:p>
    <w:p w14:paraId="7E99BEF6" w14:textId="77777777" w:rsidR="00922925" w:rsidRPr="003C1D92" w:rsidRDefault="00922925" w:rsidP="00EF0772">
      <w:pPr>
        <w:pStyle w:val="ListParagraph"/>
        <w:rPr>
          <w:rFonts w:eastAsia="Times New Roman" w:cs="Times New Roman"/>
          <w:b/>
          <w:bCs/>
          <w:lang w:eastAsia="en-GB"/>
        </w:rPr>
      </w:pPr>
    </w:p>
    <w:p w14:paraId="3E239C62" w14:textId="7B5F7EC1" w:rsidR="00C2501D" w:rsidRPr="003C1D92" w:rsidRDefault="00254612" w:rsidP="00EF0772">
      <w:pPr>
        <w:pStyle w:val="ListParagraph"/>
        <w:ind w:left="0"/>
        <w:rPr>
          <w:rFonts w:eastAsia="Times New Roman" w:cs="Times New Roman"/>
          <w:b/>
          <w:bCs/>
          <w:lang w:eastAsia="en-GB"/>
        </w:rPr>
      </w:pPr>
      <w:r w:rsidRPr="003C1D92">
        <w:rPr>
          <w:rFonts w:eastAsia="Times New Roman" w:cs="Times New Roman"/>
          <w:b/>
          <w:bCs/>
          <w:noProof/>
          <w:lang w:val="en-US"/>
        </w:rPr>
        <w:lastRenderedPageBreak/>
        <w:drawing>
          <wp:inline distT="0" distB="0" distL="0" distR="0" wp14:anchorId="198EB5E1" wp14:editId="3B8EABDE">
            <wp:extent cx="5731510" cy="4819015"/>
            <wp:effectExtent l="0" t="0" r="0" b="0"/>
            <wp:docPr id="2692531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53111" name="Picture 269253111"/>
                    <pic:cNvPicPr/>
                  </pic:nvPicPr>
                  <pic:blipFill>
                    <a:blip r:embed="rId22"/>
                    <a:stretch>
                      <a:fillRect/>
                    </a:stretch>
                  </pic:blipFill>
                  <pic:spPr>
                    <a:xfrm>
                      <a:off x="0" y="0"/>
                      <a:ext cx="5731510" cy="4819015"/>
                    </a:xfrm>
                    <a:prstGeom prst="rect">
                      <a:avLst/>
                    </a:prstGeom>
                  </pic:spPr>
                </pic:pic>
              </a:graphicData>
            </a:graphic>
          </wp:inline>
        </w:drawing>
      </w:r>
    </w:p>
    <w:p w14:paraId="3EEC5D98" w14:textId="39195FF6" w:rsidR="002A10B6" w:rsidRPr="003C1D92" w:rsidRDefault="008E44D1" w:rsidP="00EF0772">
      <w:pPr>
        <w:pStyle w:val="SezioneBD"/>
        <w:numPr>
          <w:ilvl w:val="0"/>
          <w:numId w:val="0"/>
        </w:numPr>
        <w:rPr>
          <w:rFonts w:eastAsia="Times New Roman"/>
          <w:sz w:val="24"/>
          <w:szCs w:val="24"/>
          <w:lang w:eastAsia="en-GB"/>
        </w:rPr>
      </w:pPr>
      <w:r w:rsidRPr="003C1D92">
        <w:rPr>
          <w:rFonts w:eastAsia="Times New Roman"/>
          <w:sz w:val="24"/>
          <w:szCs w:val="24"/>
          <w:lang w:eastAsia="en-GB"/>
        </w:rPr>
        <w:t>Supplementary Figure 13. Feature importance for predicting Cognitive Emotion Regulation Questionnaire (CERQ) scores from neuroimaging and biological features.</w:t>
      </w:r>
    </w:p>
    <w:p w14:paraId="488D54D5" w14:textId="0C1CFC74" w:rsidR="007F398E" w:rsidRPr="003C1D92" w:rsidRDefault="002A10B6" w:rsidP="00EF0772">
      <w:pPr>
        <w:pStyle w:val="SezioneBD"/>
        <w:numPr>
          <w:ilvl w:val="0"/>
          <w:numId w:val="0"/>
        </w:numPr>
        <w:rPr>
          <w:rFonts w:eastAsia="Times New Roman"/>
          <w:b w:val="0"/>
          <w:bCs w:val="0"/>
          <w:sz w:val="24"/>
          <w:szCs w:val="24"/>
          <w:lang w:eastAsia="en-GB"/>
        </w:rPr>
      </w:pPr>
      <w:r w:rsidRPr="003C1D92">
        <w:rPr>
          <w:rFonts w:eastAsia="Times New Roman"/>
          <w:b w:val="0"/>
          <w:bCs w:val="0"/>
          <w:sz w:val="24"/>
          <w:szCs w:val="24"/>
          <w:lang w:eastAsia="en-GB"/>
        </w:rPr>
        <w:t>Variables are ranked by importance (measured as percentage of increase in Mean Squared Error with permutation, %</w:t>
      </w:r>
      <w:proofErr w:type="spellStart"/>
      <w:r w:rsidRPr="003C1D92">
        <w:rPr>
          <w:rFonts w:eastAsia="Times New Roman"/>
          <w:b w:val="0"/>
          <w:bCs w:val="0"/>
          <w:sz w:val="24"/>
          <w:szCs w:val="24"/>
          <w:lang w:eastAsia="en-GB"/>
        </w:rPr>
        <w:t>IncMSE</w:t>
      </w:r>
      <w:proofErr w:type="spellEnd"/>
      <w:r w:rsidRPr="003C1D92">
        <w:rPr>
          <w:rFonts w:eastAsia="Times New Roman"/>
          <w:b w:val="0"/>
          <w:bCs w:val="0"/>
          <w:sz w:val="24"/>
          <w:szCs w:val="24"/>
          <w:lang w:eastAsia="en-GB"/>
        </w:rPr>
        <w:t>) from the random forest regression model predicting CERQ scores. Higher %</w:t>
      </w:r>
      <w:proofErr w:type="spellStart"/>
      <w:r w:rsidRPr="003C1D92">
        <w:rPr>
          <w:rFonts w:eastAsia="Times New Roman"/>
          <w:b w:val="0"/>
          <w:bCs w:val="0"/>
          <w:sz w:val="24"/>
          <w:szCs w:val="24"/>
          <w:lang w:eastAsia="en-GB"/>
        </w:rPr>
        <w:t>IncMSE</w:t>
      </w:r>
      <w:proofErr w:type="spellEnd"/>
      <w:r w:rsidRPr="003C1D92">
        <w:rPr>
          <w:rFonts w:eastAsia="Times New Roman"/>
          <w:b w:val="0"/>
          <w:bCs w:val="0"/>
          <w:sz w:val="24"/>
          <w:szCs w:val="24"/>
          <w:lang w:eastAsia="en-GB"/>
        </w:rPr>
        <w:t xml:space="preserve"> values indicate greater predictive contribution. Dot color coding reflects Spearman correlation (ρ) between each feature and CERQ scores, blue for positive and red for negative associations. Please refer to Supplementary Table 1 for the complete list of all variables and corresponding abbreviations.</w:t>
      </w:r>
    </w:p>
    <w:p w14:paraId="1CE50C60" w14:textId="77777777" w:rsidR="00B51A01" w:rsidRPr="003C1D92" w:rsidRDefault="00B51A01" w:rsidP="00EF0772">
      <w:pPr>
        <w:pStyle w:val="SezioneBD"/>
        <w:numPr>
          <w:ilvl w:val="0"/>
          <w:numId w:val="0"/>
        </w:numPr>
        <w:ind w:left="714" w:hanging="357"/>
        <w:rPr>
          <w:rFonts w:eastAsia="Times New Roman"/>
          <w:b w:val="0"/>
          <w:bCs w:val="0"/>
          <w:sz w:val="24"/>
          <w:szCs w:val="24"/>
          <w:lang w:eastAsia="en-GB"/>
        </w:rPr>
      </w:pPr>
    </w:p>
    <w:p w14:paraId="39D5F69D" w14:textId="77777777" w:rsidR="00B51A01" w:rsidRPr="003C1D92" w:rsidRDefault="00B51A01" w:rsidP="00EF0772">
      <w:pPr>
        <w:pStyle w:val="SezioneBD"/>
        <w:numPr>
          <w:ilvl w:val="0"/>
          <w:numId w:val="0"/>
        </w:numPr>
        <w:ind w:left="714" w:hanging="357"/>
        <w:rPr>
          <w:rFonts w:eastAsia="Times New Roman"/>
          <w:b w:val="0"/>
          <w:bCs w:val="0"/>
          <w:sz w:val="24"/>
          <w:szCs w:val="24"/>
          <w:lang w:eastAsia="en-GB"/>
        </w:rPr>
      </w:pPr>
    </w:p>
    <w:p w14:paraId="65909A24" w14:textId="77777777" w:rsidR="00025D29" w:rsidRPr="003C1D92" w:rsidRDefault="00B47E9F" w:rsidP="00EF0772">
      <w:pPr>
        <w:pStyle w:val="SezioneBD"/>
        <w:numPr>
          <w:ilvl w:val="0"/>
          <w:numId w:val="0"/>
        </w:numPr>
        <w:ind w:left="714" w:hanging="357"/>
        <w:rPr>
          <w:b w:val="0"/>
          <w:bCs w:val="0"/>
          <w:sz w:val="24"/>
          <w:szCs w:val="24"/>
        </w:rPr>
      </w:pPr>
      <w:r w:rsidRPr="003C1D92">
        <w:rPr>
          <w:b w:val="0"/>
          <w:bCs w:val="0"/>
          <w:noProof/>
          <w:sz w:val="24"/>
          <w:szCs w:val="24"/>
        </w:rPr>
        <w:lastRenderedPageBreak/>
        <w:drawing>
          <wp:inline distT="0" distB="0" distL="0" distR="0" wp14:anchorId="3C6343B7" wp14:editId="48F09471">
            <wp:extent cx="5730650" cy="4055745"/>
            <wp:effectExtent l="0" t="0" r="0" b="0"/>
            <wp:docPr id="1738242161" name="Picture 1" descr="A graph with blue square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42161" name="Picture 1" descr="A graph with blue squares  AI-generated content may be incorrect."/>
                    <pic:cNvPicPr/>
                  </pic:nvPicPr>
                  <pic:blipFill rotWithShape="1">
                    <a:blip r:embed="rId23" cstate="print">
                      <a:extLst>
                        <a:ext uri="{28A0092B-C50C-407E-A947-70E740481C1C}">
                          <a14:useLocalDpi xmlns:a14="http://schemas.microsoft.com/office/drawing/2010/main" val="0"/>
                        </a:ext>
                      </a:extLst>
                    </a:blip>
                    <a:srcRect t="5643"/>
                    <a:stretch>
                      <a:fillRect/>
                    </a:stretch>
                  </pic:blipFill>
                  <pic:spPr bwMode="auto">
                    <a:xfrm>
                      <a:off x="0" y="0"/>
                      <a:ext cx="5731510" cy="4056354"/>
                    </a:xfrm>
                    <a:prstGeom prst="rect">
                      <a:avLst/>
                    </a:prstGeom>
                    <a:ln>
                      <a:noFill/>
                    </a:ln>
                    <a:extLst>
                      <a:ext uri="{53640926-AAD7-44D8-BBD7-CCE9431645EC}">
                        <a14:shadowObscured xmlns:a14="http://schemas.microsoft.com/office/drawing/2010/main"/>
                      </a:ext>
                    </a:extLst>
                  </pic:spPr>
                </pic:pic>
              </a:graphicData>
            </a:graphic>
          </wp:inline>
        </w:drawing>
      </w:r>
    </w:p>
    <w:p w14:paraId="7BB1DE25" w14:textId="5D90088C" w:rsidR="00025D29" w:rsidRPr="003C1D92" w:rsidRDefault="00025D29" w:rsidP="00EF0772">
      <w:pPr>
        <w:pStyle w:val="NormalWeb"/>
      </w:pPr>
      <w:bookmarkStart w:id="65" w:name="_Hlk219818954"/>
      <w:r w:rsidRPr="003C1D92">
        <w:rPr>
          <w:rStyle w:val="Strong"/>
        </w:rPr>
        <w:t>Supplementary Figure 14</w:t>
      </w:r>
      <w:bookmarkEnd w:id="65"/>
      <w:r w:rsidRPr="003C1D92">
        <w:rPr>
          <w:rStyle w:val="Strong"/>
        </w:rPr>
        <w:t xml:space="preserve">. </w:t>
      </w:r>
      <w:r w:rsidRPr="003C1D92">
        <w:rPr>
          <w:b/>
          <w:bCs/>
        </w:rPr>
        <w:t>Variable loadings for the third retained component from the clinical block (CL-RC3).</w:t>
      </w:r>
      <w:r w:rsidRPr="003C1D92">
        <w:t xml:space="preserve"> CL-RC3 reflects an additional, partially independent clinical pattern, combining mainly age and BMI, along with aspects of mood, anxiety, emotion dysregulation, cognition, and demographic measures. The plot reports rotated loadings for each clinical variable, illustrating which measures contribute most strongly and in which direction to individual CL-RC3 scores.</w:t>
      </w:r>
    </w:p>
    <w:p w14:paraId="470626B3" w14:textId="09A18D2D" w:rsidR="003432ED" w:rsidRPr="003C1D92" w:rsidRDefault="00B47E9F" w:rsidP="00EF0772">
      <w:pPr>
        <w:pStyle w:val="SezioneBD"/>
        <w:numPr>
          <w:ilvl w:val="0"/>
          <w:numId w:val="0"/>
        </w:numPr>
        <w:ind w:left="714" w:hanging="357"/>
        <w:rPr>
          <w:b w:val="0"/>
          <w:bCs w:val="0"/>
          <w:sz w:val="24"/>
          <w:szCs w:val="24"/>
        </w:rPr>
      </w:pPr>
      <w:r w:rsidRPr="003C1D92">
        <w:rPr>
          <w:b w:val="0"/>
          <w:bCs w:val="0"/>
          <w:noProof/>
          <w:sz w:val="24"/>
          <w:szCs w:val="24"/>
        </w:rPr>
        <w:lastRenderedPageBreak/>
        <w:drawing>
          <wp:inline distT="0" distB="0" distL="0" distR="0" wp14:anchorId="0FC7949A" wp14:editId="7462C287">
            <wp:extent cx="5731510" cy="4084346"/>
            <wp:effectExtent l="0" t="0" r="0" b="5080"/>
            <wp:docPr id="435580684" name="Picture 2" descr="A graph with a bar graph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80684" name="Picture 2" descr="A graph with a bar graph  AI-generated content may be incorrect."/>
                    <pic:cNvPicPr/>
                  </pic:nvPicPr>
                  <pic:blipFill rotWithShape="1">
                    <a:blip r:embed="rId24" cstate="print">
                      <a:extLst>
                        <a:ext uri="{28A0092B-C50C-407E-A947-70E740481C1C}">
                          <a14:useLocalDpi xmlns:a14="http://schemas.microsoft.com/office/drawing/2010/main" val="0"/>
                        </a:ext>
                      </a:extLst>
                    </a:blip>
                    <a:srcRect t="4992"/>
                    <a:stretch>
                      <a:fillRect/>
                    </a:stretch>
                  </pic:blipFill>
                  <pic:spPr bwMode="auto">
                    <a:xfrm>
                      <a:off x="0" y="0"/>
                      <a:ext cx="5731510" cy="4084346"/>
                    </a:xfrm>
                    <a:prstGeom prst="rect">
                      <a:avLst/>
                    </a:prstGeom>
                    <a:ln>
                      <a:noFill/>
                    </a:ln>
                    <a:extLst>
                      <a:ext uri="{53640926-AAD7-44D8-BBD7-CCE9431645EC}">
                        <a14:shadowObscured xmlns:a14="http://schemas.microsoft.com/office/drawing/2010/main"/>
                      </a:ext>
                    </a:extLst>
                  </pic:spPr>
                </pic:pic>
              </a:graphicData>
            </a:graphic>
          </wp:inline>
        </w:drawing>
      </w:r>
    </w:p>
    <w:p w14:paraId="6C6BFCA1" w14:textId="683DDE81" w:rsidR="003432ED" w:rsidRPr="003C1D92" w:rsidRDefault="00B7372D" w:rsidP="00EF0772">
      <w:pPr>
        <w:pStyle w:val="SezioneBD"/>
        <w:numPr>
          <w:ilvl w:val="0"/>
          <w:numId w:val="0"/>
        </w:numPr>
        <w:ind w:left="714" w:hanging="357"/>
        <w:rPr>
          <w:rStyle w:val="Strong"/>
          <w:rFonts w:eastAsia="Times New Roman"/>
          <w:b/>
          <w:bCs/>
          <w:sz w:val="24"/>
          <w:szCs w:val="24"/>
        </w:rPr>
      </w:pPr>
      <w:r w:rsidRPr="003C1D92">
        <w:rPr>
          <w:rStyle w:val="Strong"/>
          <w:rFonts w:eastAsia="Times New Roman"/>
          <w:b/>
          <w:bCs/>
          <w:sz w:val="24"/>
          <w:szCs w:val="24"/>
        </w:rPr>
        <w:t xml:space="preserve">Supplementary Figure 15. Variable loadings for the first retained component from the white-matter integrity block (FA-RC1). </w:t>
      </w:r>
      <w:r w:rsidRPr="003C1D92">
        <w:rPr>
          <w:rStyle w:val="Strong"/>
          <w:rFonts w:eastAsia="Times New Roman"/>
          <w:sz w:val="24"/>
          <w:szCs w:val="24"/>
        </w:rPr>
        <w:t>This component describes a pattern of fractional anisotropy variation across major association, projection, and commissural tracts (e.g., corona radiata, internal capsule, …). The bar plot depicts rotated loadings for each tract-specific FA measure, with larger absolute indicating tracts that contribute most prominently to FA-RC1.</w:t>
      </w:r>
    </w:p>
    <w:p w14:paraId="133C5ADB" w14:textId="77777777" w:rsidR="00E82A72" w:rsidRPr="003C1D92" w:rsidRDefault="00E82A72" w:rsidP="00EF0772">
      <w:pPr>
        <w:pStyle w:val="SezioneBD"/>
        <w:numPr>
          <w:ilvl w:val="0"/>
          <w:numId w:val="0"/>
        </w:numPr>
        <w:ind w:left="714" w:hanging="357"/>
        <w:rPr>
          <w:b w:val="0"/>
          <w:bCs w:val="0"/>
          <w:sz w:val="24"/>
          <w:szCs w:val="24"/>
        </w:rPr>
      </w:pPr>
    </w:p>
    <w:p w14:paraId="46F98C48" w14:textId="56F9C4F7" w:rsidR="00B51A01" w:rsidRPr="003C1D92" w:rsidRDefault="00B47E9F" w:rsidP="00EF0772">
      <w:pPr>
        <w:pStyle w:val="SezioneBD"/>
        <w:numPr>
          <w:ilvl w:val="0"/>
          <w:numId w:val="0"/>
        </w:numPr>
        <w:ind w:left="714" w:hanging="357"/>
        <w:rPr>
          <w:b w:val="0"/>
          <w:bCs w:val="0"/>
          <w:sz w:val="24"/>
          <w:szCs w:val="24"/>
        </w:rPr>
      </w:pPr>
      <w:r w:rsidRPr="003C1D92">
        <w:rPr>
          <w:b w:val="0"/>
          <w:bCs w:val="0"/>
          <w:noProof/>
          <w:sz w:val="24"/>
          <w:szCs w:val="24"/>
        </w:rPr>
        <w:lastRenderedPageBreak/>
        <w:drawing>
          <wp:inline distT="0" distB="0" distL="0" distR="0" wp14:anchorId="1D1E58E8" wp14:editId="0022972F">
            <wp:extent cx="5731510" cy="4511779"/>
            <wp:effectExtent l="0" t="0" r="0" b="0"/>
            <wp:docPr id="724397116" name="Picture 3" descr="A graph of a number of dot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97116" name="Picture 3" descr="A graph of a number of dots  AI-generated content may be incorrect."/>
                    <pic:cNvPicPr/>
                  </pic:nvPicPr>
                  <pic:blipFill rotWithShape="1">
                    <a:blip r:embed="rId25" cstate="print">
                      <a:extLst>
                        <a:ext uri="{28A0092B-C50C-407E-A947-70E740481C1C}">
                          <a14:useLocalDpi xmlns:a14="http://schemas.microsoft.com/office/drawing/2010/main" val="0"/>
                        </a:ext>
                      </a:extLst>
                    </a:blip>
                    <a:srcRect t="8166"/>
                    <a:stretch>
                      <a:fillRect/>
                    </a:stretch>
                  </pic:blipFill>
                  <pic:spPr bwMode="auto">
                    <a:xfrm>
                      <a:off x="0" y="0"/>
                      <a:ext cx="5731510" cy="4511779"/>
                    </a:xfrm>
                    <a:prstGeom prst="rect">
                      <a:avLst/>
                    </a:prstGeom>
                    <a:ln>
                      <a:noFill/>
                    </a:ln>
                    <a:extLst>
                      <a:ext uri="{53640926-AAD7-44D8-BBD7-CCE9431645EC}">
                        <a14:shadowObscured xmlns:a14="http://schemas.microsoft.com/office/drawing/2010/main"/>
                      </a:ext>
                    </a:extLst>
                  </pic:spPr>
                </pic:pic>
              </a:graphicData>
            </a:graphic>
          </wp:inline>
        </w:drawing>
      </w:r>
    </w:p>
    <w:p w14:paraId="464370FE" w14:textId="4C22DA0C" w:rsidR="003432ED" w:rsidRPr="003C1D92" w:rsidRDefault="003432ED" w:rsidP="00EF0772">
      <w:pPr>
        <w:pStyle w:val="NormalWeb"/>
      </w:pPr>
      <w:bookmarkStart w:id="66" w:name="_Hlk215826976"/>
      <w:r w:rsidRPr="003C1D92">
        <w:rPr>
          <w:rStyle w:val="Strong"/>
        </w:rPr>
        <w:t xml:space="preserve">Supplementary </w:t>
      </w:r>
      <w:bookmarkEnd w:id="66"/>
      <w:r w:rsidRPr="003C1D92">
        <w:rPr>
          <w:rStyle w:val="Strong"/>
        </w:rPr>
        <w:t xml:space="preserve">Figure 16. Scatter plot showing the relationship between CL-RC3 (Clinical–Retained Component 3) and FA-RC1 (Fractional Anisotropy Retained Component 1) across groups (EDD, </w:t>
      </w:r>
      <w:proofErr w:type="spellStart"/>
      <w:r w:rsidRPr="003C1D92">
        <w:rPr>
          <w:rStyle w:val="Strong"/>
        </w:rPr>
        <w:t>EDDoff</w:t>
      </w:r>
      <w:proofErr w:type="spellEnd"/>
      <w:r w:rsidRPr="003C1D92">
        <w:rPr>
          <w:rStyle w:val="Strong"/>
        </w:rPr>
        <w:t xml:space="preserve">, HC). </w:t>
      </w:r>
      <w:r w:rsidRPr="003C1D92">
        <w:t>A transdiagnostic, significant negative correlation was observed between the age-driven clinical component (CL-RC3) and the structural connectivity component FA-RC1, indicating that some variability in lower white matter integrity across widespread tracts may be associated with higher age.</w:t>
      </w:r>
    </w:p>
    <w:p w14:paraId="1C76387A" w14:textId="77777777" w:rsidR="00CD0EA9" w:rsidRPr="003C1D92" w:rsidRDefault="00CD0EA9" w:rsidP="00EF0772">
      <w:pPr>
        <w:jc w:val="left"/>
        <w:rPr>
          <w:rFonts w:cs="Times New Roman"/>
          <w:b/>
          <w:bCs/>
        </w:rPr>
      </w:pPr>
    </w:p>
    <w:p w14:paraId="77F51DFA" w14:textId="77777777" w:rsidR="00CD0EA9" w:rsidRPr="003C1D92" w:rsidRDefault="00CD0EA9" w:rsidP="00EF0772">
      <w:pPr>
        <w:jc w:val="left"/>
        <w:rPr>
          <w:rFonts w:cs="Times New Roman"/>
          <w:b/>
          <w:bCs/>
        </w:rPr>
      </w:pPr>
    </w:p>
    <w:p w14:paraId="1BB97A4F" w14:textId="5B036218" w:rsidR="00CD0EA9" w:rsidRPr="003C1D92" w:rsidRDefault="00CD0EA9" w:rsidP="00EF0772">
      <w:pPr>
        <w:jc w:val="left"/>
        <w:rPr>
          <w:rFonts w:cs="Times New Roman"/>
          <w:b/>
          <w:bCs/>
        </w:rPr>
      </w:pPr>
      <w:r w:rsidRPr="003C1D92">
        <w:rPr>
          <w:rFonts w:cs="Times New Roman"/>
          <w:b/>
          <w:bCs/>
          <w:noProof/>
        </w:rPr>
        <w:lastRenderedPageBreak/>
        <w:drawing>
          <wp:inline distT="0" distB="0" distL="0" distR="0" wp14:anchorId="1B322676" wp14:editId="2D44C2EB">
            <wp:extent cx="5731510" cy="4089723"/>
            <wp:effectExtent l="0" t="0" r="0" b="0"/>
            <wp:docPr id="9868245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24524" name="Picture 986824524"/>
                    <pic:cNvPicPr/>
                  </pic:nvPicPr>
                  <pic:blipFill rotWithShape="1">
                    <a:blip r:embed="rId26" cstate="print">
                      <a:extLst>
                        <a:ext uri="{28A0092B-C50C-407E-A947-70E740481C1C}">
                          <a14:useLocalDpi xmlns:a14="http://schemas.microsoft.com/office/drawing/2010/main" val="0"/>
                        </a:ext>
                      </a:extLst>
                    </a:blip>
                    <a:srcRect t="4867"/>
                    <a:stretch>
                      <a:fillRect/>
                    </a:stretch>
                  </pic:blipFill>
                  <pic:spPr bwMode="auto">
                    <a:xfrm>
                      <a:off x="0" y="0"/>
                      <a:ext cx="5731510" cy="4089723"/>
                    </a:xfrm>
                    <a:prstGeom prst="rect">
                      <a:avLst/>
                    </a:prstGeom>
                    <a:ln>
                      <a:noFill/>
                    </a:ln>
                    <a:extLst>
                      <a:ext uri="{53640926-AAD7-44D8-BBD7-CCE9431645EC}">
                        <a14:shadowObscured xmlns:a14="http://schemas.microsoft.com/office/drawing/2010/main"/>
                      </a:ext>
                    </a:extLst>
                  </pic:spPr>
                </pic:pic>
              </a:graphicData>
            </a:graphic>
          </wp:inline>
        </w:drawing>
      </w:r>
    </w:p>
    <w:p w14:paraId="540F3AC8" w14:textId="77777777" w:rsidR="00CD0EA9" w:rsidRPr="003C1D92" w:rsidRDefault="00CD0EA9" w:rsidP="00EF0772">
      <w:pPr>
        <w:jc w:val="left"/>
        <w:rPr>
          <w:rFonts w:cs="Times New Roman"/>
          <w:b/>
          <w:bCs/>
        </w:rPr>
      </w:pPr>
    </w:p>
    <w:p w14:paraId="6F5FB4B2" w14:textId="4FAFC8EF" w:rsidR="00CD0EA9" w:rsidRPr="003C1D92" w:rsidRDefault="00CD0EA9"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t>Supplementary Figure 17.</w:t>
      </w:r>
      <w:r w:rsidRPr="003C1D92">
        <w:rPr>
          <w:rFonts w:eastAsia="Times New Roman" w:cs="Times New Roman"/>
          <w:lang w:eastAsia="en-GB"/>
        </w:rPr>
        <w:t xml:space="preserve"> </w:t>
      </w:r>
      <w:r w:rsidRPr="003C1D92">
        <w:rPr>
          <w:rFonts w:eastAsia="Times New Roman" w:cs="Times New Roman"/>
          <w:b/>
          <w:bCs/>
          <w:lang w:eastAsia="en-GB"/>
        </w:rPr>
        <w:t>Variable loadings for the first and only principal component from the hippocampal micro-co-activation pattern block (dFC-RC1).</w:t>
      </w:r>
      <w:r w:rsidRPr="003C1D92">
        <w:rPr>
          <w:rFonts w:eastAsia="Times New Roman" w:cs="Times New Roman"/>
          <w:lang w:eastAsia="en-GB"/>
        </w:rPr>
        <w:t xml:space="preserve"> The bar plot shows the rotated loadings of each </w:t>
      </w:r>
      <w:r w:rsidRPr="003C1D92">
        <w:t xml:space="preserve">μCAP </w:t>
      </w:r>
      <w:r w:rsidRPr="003C1D92">
        <w:rPr>
          <w:rFonts w:eastAsia="Times New Roman" w:cs="Times New Roman"/>
          <w:lang w:eastAsia="en-GB"/>
        </w:rPr>
        <w:t xml:space="preserve">state (SMN, VTA, DMN, VN, LN) on </w:t>
      </w:r>
      <w:r w:rsidR="00EB3AF3">
        <w:rPr>
          <w:rFonts w:eastAsia="Times New Roman" w:cs="Times New Roman"/>
          <w:lang w:eastAsia="en-GB"/>
        </w:rPr>
        <w:t>dFC</w:t>
      </w:r>
      <w:r w:rsidRPr="003C1D92">
        <w:rPr>
          <w:rFonts w:eastAsia="Times New Roman" w:cs="Times New Roman"/>
          <w:lang w:eastAsia="en-GB"/>
        </w:rPr>
        <w:t xml:space="preserve">-RC1. Higher absolute loadings indicate a stronger contribution of that </w:t>
      </w:r>
      <w:r w:rsidRPr="003C1D92">
        <w:t xml:space="preserve">μCAP </w:t>
      </w:r>
      <w:r w:rsidRPr="003C1D92">
        <w:rPr>
          <w:rFonts w:eastAsia="Times New Roman" w:cs="Times New Roman"/>
          <w:lang w:eastAsia="en-GB"/>
        </w:rPr>
        <w:t xml:space="preserve">state to the component score, with positive and negative (e.g. SMN) bars reflecting </w:t>
      </w:r>
      <w:r w:rsidRPr="003C1D92">
        <w:t xml:space="preserve">μCAP </w:t>
      </w:r>
      <w:r w:rsidRPr="003C1D92">
        <w:rPr>
          <w:rFonts w:eastAsia="Times New Roman" w:cs="Times New Roman"/>
          <w:lang w:eastAsia="en-GB"/>
        </w:rPr>
        <w:t>states that vary in opposite directions along this functional connectivity dimension.</w:t>
      </w:r>
    </w:p>
    <w:p w14:paraId="5AD13497" w14:textId="77777777" w:rsidR="00CD0EA9" w:rsidRPr="003C1D92" w:rsidRDefault="00CD0EA9" w:rsidP="00EF0772">
      <w:pPr>
        <w:jc w:val="left"/>
        <w:rPr>
          <w:rFonts w:cs="Times New Roman"/>
          <w:b/>
          <w:bCs/>
        </w:rPr>
      </w:pPr>
    </w:p>
    <w:p w14:paraId="6F684C73" w14:textId="77777777" w:rsidR="00CD0EA9" w:rsidRPr="003C1D92" w:rsidRDefault="00CD0EA9" w:rsidP="00EF0772">
      <w:pPr>
        <w:jc w:val="left"/>
        <w:rPr>
          <w:rFonts w:cs="Times New Roman"/>
          <w:b/>
          <w:bCs/>
        </w:rPr>
      </w:pPr>
    </w:p>
    <w:p w14:paraId="36FFDE97" w14:textId="77777777" w:rsidR="00603E00" w:rsidRPr="003C1D92" w:rsidRDefault="00CD0EA9" w:rsidP="00EF0772">
      <w:pPr>
        <w:jc w:val="left"/>
        <w:rPr>
          <w:rFonts w:cs="Times New Roman"/>
          <w:b/>
          <w:bCs/>
        </w:rPr>
      </w:pPr>
      <w:r w:rsidRPr="003C1D92">
        <w:rPr>
          <w:rFonts w:cs="Times New Roman"/>
          <w:b/>
          <w:bCs/>
          <w:noProof/>
        </w:rPr>
        <w:lastRenderedPageBreak/>
        <w:drawing>
          <wp:inline distT="0" distB="0" distL="0" distR="0" wp14:anchorId="17F5EF3A" wp14:editId="0E74AE06">
            <wp:extent cx="5731510" cy="4074225"/>
            <wp:effectExtent l="0" t="0" r="0" b="2540"/>
            <wp:docPr id="51395696" name="Picture 20" descr="A graph with blue and white square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5696" name="Picture 20" descr="A graph with blue and white squares  AI-generated content may be incorrect."/>
                    <pic:cNvPicPr/>
                  </pic:nvPicPr>
                  <pic:blipFill rotWithShape="1">
                    <a:blip r:embed="rId27" cstate="print">
                      <a:extLst>
                        <a:ext uri="{28A0092B-C50C-407E-A947-70E740481C1C}">
                          <a14:useLocalDpi xmlns:a14="http://schemas.microsoft.com/office/drawing/2010/main" val="0"/>
                        </a:ext>
                      </a:extLst>
                    </a:blip>
                    <a:srcRect t="5228"/>
                    <a:stretch>
                      <a:fillRect/>
                    </a:stretch>
                  </pic:blipFill>
                  <pic:spPr bwMode="auto">
                    <a:xfrm>
                      <a:off x="0" y="0"/>
                      <a:ext cx="5731510" cy="4074225"/>
                    </a:xfrm>
                    <a:prstGeom prst="rect">
                      <a:avLst/>
                    </a:prstGeom>
                    <a:ln>
                      <a:noFill/>
                    </a:ln>
                    <a:extLst>
                      <a:ext uri="{53640926-AAD7-44D8-BBD7-CCE9431645EC}">
                        <a14:shadowObscured xmlns:a14="http://schemas.microsoft.com/office/drawing/2010/main"/>
                      </a:ext>
                    </a:extLst>
                  </pic:spPr>
                </pic:pic>
              </a:graphicData>
            </a:graphic>
          </wp:inline>
        </w:drawing>
      </w:r>
    </w:p>
    <w:p w14:paraId="6EC4CE71" w14:textId="77777777" w:rsidR="00603E00" w:rsidRPr="003C1D92" w:rsidRDefault="00603E00" w:rsidP="00EF0772">
      <w:pPr>
        <w:jc w:val="left"/>
        <w:rPr>
          <w:rFonts w:cs="Times New Roman"/>
          <w:b/>
          <w:bCs/>
        </w:rPr>
      </w:pPr>
    </w:p>
    <w:p w14:paraId="176F11B2" w14:textId="77777777" w:rsidR="00197860" w:rsidRPr="003C1D92" w:rsidRDefault="00197860"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t>Supplementary Figure 18.</w:t>
      </w:r>
      <w:r w:rsidRPr="003C1D92">
        <w:rPr>
          <w:rFonts w:eastAsia="Times New Roman" w:cs="Times New Roman"/>
          <w:lang w:eastAsia="en-GB"/>
        </w:rPr>
        <w:t xml:space="preserve"> </w:t>
      </w:r>
      <w:r w:rsidRPr="003C1D92">
        <w:rPr>
          <w:rFonts w:eastAsia="Times New Roman" w:cs="Times New Roman"/>
          <w:b/>
          <w:bCs/>
          <w:lang w:eastAsia="en-GB"/>
        </w:rPr>
        <w:t>Variable loadings for the second retained component from the clinical block (CL-RC2).</w:t>
      </w:r>
      <w:r w:rsidRPr="003C1D92">
        <w:rPr>
          <w:rFonts w:eastAsia="Times New Roman" w:cs="Times New Roman"/>
          <w:lang w:eastAsia="en-GB"/>
        </w:rPr>
        <w:t xml:space="preserve"> This component captures a distinct clinical dimension summarizing shared variance across affective symptoms, emotion regulation indices, trauma exposure, neurocognitive measures, and BMI. Bars represent rotated factor loadings for each clinical variable; higher absolute values indicate stronger contribution to CL-RC2, with opposite signs marking variables that load in contrasting directions on this dimension.</w:t>
      </w:r>
    </w:p>
    <w:p w14:paraId="7555227C" w14:textId="77777777" w:rsidR="00603E00" w:rsidRPr="003C1D92" w:rsidRDefault="00603E00" w:rsidP="00EF0772">
      <w:pPr>
        <w:jc w:val="left"/>
        <w:rPr>
          <w:rFonts w:cs="Times New Roman"/>
          <w:b/>
          <w:bCs/>
        </w:rPr>
      </w:pPr>
    </w:p>
    <w:p w14:paraId="7DCA70E8" w14:textId="77777777" w:rsidR="00603E00" w:rsidRPr="003C1D92" w:rsidRDefault="00603E00" w:rsidP="00EF0772">
      <w:pPr>
        <w:jc w:val="left"/>
        <w:rPr>
          <w:rFonts w:cs="Times New Roman"/>
          <w:b/>
          <w:bCs/>
        </w:rPr>
      </w:pPr>
    </w:p>
    <w:p w14:paraId="5AF72D6F" w14:textId="77777777" w:rsidR="00603E00" w:rsidRPr="003C1D92" w:rsidRDefault="00603E00" w:rsidP="00EF0772">
      <w:pPr>
        <w:jc w:val="left"/>
        <w:rPr>
          <w:rFonts w:cs="Times New Roman"/>
          <w:b/>
          <w:bCs/>
        </w:rPr>
      </w:pPr>
    </w:p>
    <w:p w14:paraId="51E3CDC3" w14:textId="77777777" w:rsidR="00603E00" w:rsidRPr="003C1D92" w:rsidRDefault="00603E00" w:rsidP="00EF0772">
      <w:pPr>
        <w:jc w:val="left"/>
        <w:rPr>
          <w:rFonts w:cs="Times New Roman"/>
          <w:b/>
          <w:bCs/>
        </w:rPr>
      </w:pPr>
    </w:p>
    <w:p w14:paraId="7CA1723A" w14:textId="2FC31942" w:rsidR="00264164" w:rsidRPr="003C1D92" w:rsidRDefault="00CD0EA9" w:rsidP="00EF0772">
      <w:pPr>
        <w:jc w:val="left"/>
        <w:rPr>
          <w:rFonts w:cs="Times New Roman"/>
          <w:b/>
          <w:bCs/>
        </w:rPr>
      </w:pPr>
      <w:r w:rsidRPr="003C1D92">
        <w:rPr>
          <w:rFonts w:cs="Times New Roman"/>
          <w:b/>
          <w:bCs/>
          <w:noProof/>
        </w:rPr>
        <w:lastRenderedPageBreak/>
        <w:drawing>
          <wp:inline distT="0" distB="0" distL="0" distR="0" wp14:anchorId="7D986FD1" wp14:editId="76CF6C25">
            <wp:extent cx="5730705" cy="4065905"/>
            <wp:effectExtent l="0" t="0" r="0" b="0"/>
            <wp:docPr id="298606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0695" name="Picture 29860695"/>
                    <pic:cNvPicPr/>
                  </pic:nvPicPr>
                  <pic:blipFill rotWithShape="1">
                    <a:blip r:embed="rId28" cstate="print">
                      <a:extLst>
                        <a:ext uri="{28A0092B-C50C-407E-A947-70E740481C1C}">
                          <a14:useLocalDpi xmlns:a14="http://schemas.microsoft.com/office/drawing/2010/main" val="0"/>
                        </a:ext>
                      </a:extLst>
                    </a:blip>
                    <a:srcRect t="5407"/>
                    <a:stretch>
                      <a:fillRect/>
                    </a:stretch>
                  </pic:blipFill>
                  <pic:spPr bwMode="auto">
                    <a:xfrm>
                      <a:off x="0" y="0"/>
                      <a:ext cx="5731510" cy="4066476"/>
                    </a:xfrm>
                    <a:prstGeom prst="rect">
                      <a:avLst/>
                    </a:prstGeom>
                    <a:ln>
                      <a:noFill/>
                    </a:ln>
                    <a:extLst>
                      <a:ext uri="{53640926-AAD7-44D8-BBD7-CCE9431645EC}">
                        <a14:shadowObscured xmlns:a14="http://schemas.microsoft.com/office/drawing/2010/main"/>
                      </a:ext>
                    </a:extLst>
                  </pic:spPr>
                </pic:pic>
              </a:graphicData>
            </a:graphic>
          </wp:inline>
        </w:drawing>
      </w:r>
    </w:p>
    <w:p w14:paraId="41B2BAA1" w14:textId="77777777" w:rsidR="00264164" w:rsidRPr="003C1D92" w:rsidRDefault="00264164" w:rsidP="00EF0772">
      <w:pPr>
        <w:jc w:val="left"/>
        <w:rPr>
          <w:rFonts w:cs="Times New Roman"/>
          <w:b/>
          <w:bCs/>
        </w:rPr>
      </w:pPr>
    </w:p>
    <w:p w14:paraId="4F8A56DD" w14:textId="230C5891" w:rsidR="00EB6696" w:rsidRPr="003C1D92" w:rsidRDefault="00264164"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t xml:space="preserve">Supplementary Figure 19. Variable loadings for the third retained component from the clinical block (CL-RC3). </w:t>
      </w:r>
      <w:r w:rsidRPr="003C1D92">
        <w:rPr>
          <w:rFonts w:eastAsia="Times New Roman" w:cs="Times New Roman"/>
          <w:lang w:eastAsia="en-GB"/>
        </w:rPr>
        <w:t>CL-RC3 reflects an additional, partially independent clinical pattern, combining mainly age and BMI, along with aspects of mood, anxiety, emotion dysregulation, cognition, and demographic measures. The plot reports rotated loadings for each clinical variable, illustrating which measures contribute most strongly and in which direction to individual CL-RC3 scores.</w:t>
      </w:r>
    </w:p>
    <w:p w14:paraId="274D6432" w14:textId="77777777" w:rsidR="00721CD4" w:rsidRPr="003C1D92" w:rsidRDefault="00721CD4" w:rsidP="00EF0772">
      <w:pPr>
        <w:spacing w:before="100" w:beforeAutospacing="1" w:after="100" w:afterAutospacing="1"/>
        <w:jc w:val="left"/>
        <w:rPr>
          <w:rFonts w:eastAsia="Times New Roman" w:cs="Times New Roman"/>
          <w:lang w:eastAsia="en-GB"/>
        </w:rPr>
      </w:pPr>
    </w:p>
    <w:p w14:paraId="0B506D04" w14:textId="77777777" w:rsidR="00083DBA" w:rsidRPr="003C1D92" w:rsidRDefault="00CD0EA9" w:rsidP="00EF0772">
      <w:pPr>
        <w:jc w:val="left"/>
        <w:rPr>
          <w:rFonts w:cs="Times New Roman"/>
          <w:b/>
          <w:bCs/>
        </w:rPr>
      </w:pPr>
      <w:r w:rsidRPr="003C1D92">
        <w:rPr>
          <w:rFonts w:cs="Times New Roman"/>
          <w:b/>
          <w:bCs/>
          <w:noProof/>
        </w:rPr>
        <w:lastRenderedPageBreak/>
        <w:drawing>
          <wp:inline distT="0" distB="0" distL="0" distR="0" wp14:anchorId="59823BFE" wp14:editId="7CC6EF18">
            <wp:extent cx="5731510" cy="4066476"/>
            <wp:effectExtent l="0" t="0" r="0" b="0"/>
            <wp:docPr id="16779903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90362" name="Picture 1677990362"/>
                    <pic:cNvPicPr/>
                  </pic:nvPicPr>
                  <pic:blipFill rotWithShape="1">
                    <a:blip r:embed="rId29" cstate="print">
                      <a:extLst>
                        <a:ext uri="{28A0092B-C50C-407E-A947-70E740481C1C}">
                          <a14:useLocalDpi xmlns:a14="http://schemas.microsoft.com/office/drawing/2010/main" val="0"/>
                        </a:ext>
                      </a:extLst>
                    </a:blip>
                    <a:srcRect t="5407"/>
                    <a:stretch>
                      <a:fillRect/>
                    </a:stretch>
                  </pic:blipFill>
                  <pic:spPr bwMode="auto">
                    <a:xfrm>
                      <a:off x="0" y="0"/>
                      <a:ext cx="5731510" cy="4066476"/>
                    </a:xfrm>
                    <a:prstGeom prst="rect">
                      <a:avLst/>
                    </a:prstGeom>
                    <a:ln>
                      <a:noFill/>
                    </a:ln>
                    <a:extLst>
                      <a:ext uri="{53640926-AAD7-44D8-BBD7-CCE9431645EC}">
                        <a14:shadowObscured xmlns:a14="http://schemas.microsoft.com/office/drawing/2010/main"/>
                      </a:ext>
                    </a:extLst>
                  </pic:spPr>
                </pic:pic>
              </a:graphicData>
            </a:graphic>
          </wp:inline>
        </w:drawing>
      </w:r>
    </w:p>
    <w:p w14:paraId="15C6819F" w14:textId="477A1C30" w:rsidR="0005052A" w:rsidRPr="003C1D92" w:rsidRDefault="0005052A" w:rsidP="00EF0772">
      <w:pPr>
        <w:jc w:val="left"/>
      </w:pPr>
      <w:r w:rsidRPr="003C1D92">
        <w:rPr>
          <w:rStyle w:val="Strong"/>
        </w:rPr>
        <w:t>Supplementary Figure 20.</w:t>
      </w:r>
      <w:r w:rsidRPr="003C1D92">
        <w:t xml:space="preserve"> </w:t>
      </w:r>
      <w:r w:rsidRPr="003C1D92">
        <w:rPr>
          <w:b/>
          <w:bCs/>
        </w:rPr>
        <w:t>Variable loadings for the first retained component from the white-matter integrity block (FA-RC1).</w:t>
      </w:r>
      <w:r w:rsidRPr="003C1D92">
        <w:t xml:space="preserve"> This component describes a pattern of fractional anisotropy variation across major association, projection, and commissural tracts (e.g., corona radiata, internal capsule, …). The bar plot depicts rotated loadings for each tract-specific FA measure, with larger absolute indicating tracts that contribute most prominently to FA-RC1.</w:t>
      </w:r>
    </w:p>
    <w:p w14:paraId="049DB759" w14:textId="77777777" w:rsidR="0042406E" w:rsidRPr="003C1D92" w:rsidRDefault="0042406E" w:rsidP="00EF0772">
      <w:pPr>
        <w:jc w:val="left"/>
        <w:rPr>
          <w:rFonts w:cs="Times New Roman"/>
          <w:b/>
          <w:bCs/>
          <w:lang w:val="en-US"/>
        </w:rPr>
      </w:pPr>
    </w:p>
    <w:p w14:paraId="7ECEC2EA" w14:textId="77777777" w:rsidR="00083DBA" w:rsidRPr="003C1D92" w:rsidRDefault="00083DBA" w:rsidP="00EF0772">
      <w:pPr>
        <w:jc w:val="left"/>
        <w:rPr>
          <w:rFonts w:cs="Times New Roman"/>
          <w:b/>
          <w:bCs/>
        </w:rPr>
      </w:pPr>
    </w:p>
    <w:p w14:paraId="4A27D8DB" w14:textId="77777777" w:rsidR="00083DBA" w:rsidRPr="003C1D92" w:rsidRDefault="00083DBA" w:rsidP="00EF0772">
      <w:pPr>
        <w:jc w:val="left"/>
        <w:rPr>
          <w:rFonts w:cs="Times New Roman"/>
          <w:b/>
          <w:bCs/>
        </w:rPr>
      </w:pPr>
    </w:p>
    <w:p w14:paraId="50E83FF3" w14:textId="77777777" w:rsidR="00083DBA" w:rsidRPr="003C1D92" w:rsidRDefault="00083DBA" w:rsidP="00EF0772">
      <w:pPr>
        <w:jc w:val="left"/>
        <w:rPr>
          <w:rFonts w:cs="Times New Roman"/>
          <w:b/>
          <w:bCs/>
        </w:rPr>
      </w:pPr>
    </w:p>
    <w:p w14:paraId="4BA5FC4A" w14:textId="77777777" w:rsidR="0076218C" w:rsidRPr="003C1D92" w:rsidRDefault="00CD0EA9" w:rsidP="00EF0772">
      <w:pPr>
        <w:jc w:val="left"/>
        <w:rPr>
          <w:rFonts w:cs="Times New Roman"/>
          <w:b/>
          <w:bCs/>
        </w:rPr>
      </w:pPr>
      <w:r w:rsidRPr="003C1D92">
        <w:rPr>
          <w:rFonts w:cs="Times New Roman"/>
          <w:b/>
          <w:bCs/>
          <w:noProof/>
        </w:rPr>
        <w:lastRenderedPageBreak/>
        <w:drawing>
          <wp:inline distT="0" distB="0" distL="0" distR="0" wp14:anchorId="4110EE5D" wp14:editId="22CBBAB8">
            <wp:extent cx="5731510" cy="4058726"/>
            <wp:effectExtent l="0" t="0" r="0" b="5715"/>
            <wp:docPr id="139573654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36545" name="Picture 1395736545"/>
                    <pic:cNvPicPr/>
                  </pic:nvPicPr>
                  <pic:blipFill rotWithShape="1">
                    <a:blip r:embed="rId30" cstate="print">
                      <a:extLst>
                        <a:ext uri="{28A0092B-C50C-407E-A947-70E740481C1C}">
                          <a14:useLocalDpi xmlns:a14="http://schemas.microsoft.com/office/drawing/2010/main" val="0"/>
                        </a:ext>
                      </a:extLst>
                    </a:blip>
                    <a:srcRect t="5588"/>
                    <a:stretch>
                      <a:fillRect/>
                    </a:stretch>
                  </pic:blipFill>
                  <pic:spPr bwMode="auto">
                    <a:xfrm>
                      <a:off x="0" y="0"/>
                      <a:ext cx="5731510" cy="4058726"/>
                    </a:xfrm>
                    <a:prstGeom prst="rect">
                      <a:avLst/>
                    </a:prstGeom>
                    <a:ln>
                      <a:noFill/>
                    </a:ln>
                    <a:extLst>
                      <a:ext uri="{53640926-AAD7-44D8-BBD7-CCE9431645EC}">
                        <a14:shadowObscured xmlns:a14="http://schemas.microsoft.com/office/drawing/2010/main"/>
                      </a:ext>
                    </a:extLst>
                  </pic:spPr>
                </pic:pic>
              </a:graphicData>
            </a:graphic>
          </wp:inline>
        </w:drawing>
      </w:r>
    </w:p>
    <w:p w14:paraId="74C577C8" w14:textId="77777777" w:rsidR="0076218C" w:rsidRPr="003C1D92" w:rsidRDefault="0076218C" w:rsidP="00EF0772">
      <w:pPr>
        <w:jc w:val="left"/>
        <w:rPr>
          <w:rFonts w:cs="Times New Roman"/>
          <w:b/>
          <w:bCs/>
        </w:rPr>
      </w:pPr>
    </w:p>
    <w:p w14:paraId="4BAA1AEC" w14:textId="294EF731" w:rsidR="0076218C" w:rsidRPr="003C1D92" w:rsidRDefault="0076218C" w:rsidP="00EF0772">
      <w:pPr>
        <w:jc w:val="left"/>
        <w:rPr>
          <w:rFonts w:cs="Times New Roman"/>
          <w:b/>
          <w:bCs/>
        </w:rPr>
      </w:pPr>
      <w:r w:rsidRPr="003C1D92">
        <w:rPr>
          <w:rStyle w:val="Strong"/>
        </w:rPr>
        <w:t>Supplementary Figure 21.</w:t>
      </w:r>
      <w:r w:rsidRPr="003C1D92">
        <w:t xml:space="preserve"> </w:t>
      </w:r>
      <w:r w:rsidRPr="003C1D92">
        <w:rPr>
          <w:b/>
          <w:bCs/>
        </w:rPr>
        <w:t>Variable loadings for the second retained component from the white-matter integrity block (FA-RC2).</w:t>
      </w:r>
      <w:r w:rsidRPr="003C1D92">
        <w:t xml:space="preserve"> This component describes a secondary pattern of fractional anisotropy variation across major association, projection, and commissural tracts (e.g., corpus callosum segments, internal capsule, corona radiata…). The bar plot depicts rotated loadings for each tract-specific FA measure, with larger absolute indicating tracts that contribute most prominently to FA-RC2.</w:t>
      </w:r>
    </w:p>
    <w:p w14:paraId="2DEE66F4" w14:textId="77777777" w:rsidR="0076218C" w:rsidRPr="003C1D92" w:rsidRDefault="0076218C" w:rsidP="00EF0772">
      <w:pPr>
        <w:jc w:val="left"/>
        <w:rPr>
          <w:rFonts w:cs="Times New Roman"/>
          <w:b/>
          <w:bCs/>
        </w:rPr>
      </w:pPr>
    </w:p>
    <w:p w14:paraId="79F51EC3" w14:textId="77777777" w:rsidR="0076218C" w:rsidRPr="003C1D92" w:rsidRDefault="0076218C" w:rsidP="00EF0772">
      <w:pPr>
        <w:jc w:val="left"/>
        <w:rPr>
          <w:rFonts w:cs="Times New Roman"/>
          <w:b/>
          <w:bCs/>
        </w:rPr>
      </w:pPr>
    </w:p>
    <w:p w14:paraId="1A0101CC" w14:textId="77777777" w:rsidR="0076218C" w:rsidRPr="003C1D92" w:rsidRDefault="0076218C" w:rsidP="00EF0772">
      <w:pPr>
        <w:jc w:val="left"/>
        <w:rPr>
          <w:rFonts w:cs="Times New Roman"/>
          <w:b/>
          <w:bCs/>
        </w:rPr>
      </w:pPr>
    </w:p>
    <w:p w14:paraId="4F3573EE" w14:textId="77777777" w:rsidR="0076218C" w:rsidRPr="003C1D92" w:rsidRDefault="00CD0EA9" w:rsidP="00EF0772">
      <w:pPr>
        <w:jc w:val="left"/>
        <w:rPr>
          <w:rFonts w:cs="Times New Roman"/>
          <w:b/>
          <w:bCs/>
        </w:rPr>
      </w:pPr>
      <w:r w:rsidRPr="003C1D92">
        <w:rPr>
          <w:rFonts w:cs="Times New Roman"/>
          <w:b/>
          <w:bCs/>
          <w:noProof/>
        </w:rPr>
        <w:lastRenderedPageBreak/>
        <w:drawing>
          <wp:inline distT="0" distB="0" distL="0" distR="0" wp14:anchorId="620C4023" wp14:editId="315847EA">
            <wp:extent cx="5731510" cy="4074225"/>
            <wp:effectExtent l="0" t="0" r="0" b="2540"/>
            <wp:docPr id="9900249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24934" name="Picture 990024934"/>
                    <pic:cNvPicPr/>
                  </pic:nvPicPr>
                  <pic:blipFill rotWithShape="1">
                    <a:blip r:embed="rId31" cstate="print">
                      <a:extLst>
                        <a:ext uri="{28A0092B-C50C-407E-A947-70E740481C1C}">
                          <a14:useLocalDpi xmlns:a14="http://schemas.microsoft.com/office/drawing/2010/main" val="0"/>
                        </a:ext>
                      </a:extLst>
                    </a:blip>
                    <a:srcRect t="5228"/>
                    <a:stretch>
                      <a:fillRect/>
                    </a:stretch>
                  </pic:blipFill>
                  <pic:spPr bwMode="auto">
                    <a:xfrm>
                      <a:off x="0" y="0"/>
                      <a:ext cx="5731510" cy="4074225"/>
                    </a:xfrm>
                    <a:prstGeom prst="rect">
                      <a:avLst/>
                    </a:prstGeom>
                    <a:ln>
                      <a:noFill/>
                    </a:ln>
                    <a:extLst>
                      <a:ext uri="{53640926-AAD7-44D8-BBD7-CCE9431645EC}">
                        <a14:shadowObscured xmlns:a14="http://schemas.microsoft.com/office/drawing/2010/main"/>
                      </a:ext>
                    </a:extLst>
                  </pic:spPr>
                </pic:pic>
              </a:graphicData>
            </a:graphic>
          </wp:inline>
        </w:drawing>
      </w:r>
    </w:p>
    <w:p w14:paraId="43CAFA69" w14:textId="7486A7F9" w:rsidR="00451B17" w:rsidRPr="003C1D92" w:rsidRDefault="00451B17"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t>Supplementary Figure 22.</w:t>
      </w:r>
      <w:r w:rsidRPr="003C1D92">
        <w:rPr>
          <w:rFonts w:eastAsia="Times New Roman" w:cs="Times New Roman"/>
          <w:lang w:eastAsia="en-GB"/>
        </w:rPr>
        <w:t xml:space="preserve"> </w:t>
      </w:r>
      <w:r w:rsidRPr="003C1D92">
        <w:rPr>
          <w:rFonts w:eastAsia="Times New Roman" w:cs="Times New Roman"/>
          <w:b/>
          <w:bCs/>
          <w:lang w:eastAsia="en-GB"/>
        </w:rPr>
        <w:t xml:space="preserve">Variable loadings for the second retained component from the immunobiological block based on raw serum markers (BIO-RC2). </w:t>
      </w:r>
      <w:r w:rsidRPr="003C1D92">
        <w:rPr>
          <w:rFonts w:eastAsia="Times New Roman" w:cs="Times New Roman"/>
          <w:lang w:eastAsia="en-GB"/>
        </w:rPr>
        <w:t>This component summarizes shared variance across subsets of cytokines, chemokines, growth factors, and adhesion molecules (e.g., interleukins, TNFα, CRP, VCAM). Rotated loadings are shown for each biomarker, highlighting those that contribute most to BIO-RC2 and the direction of their association with the component scores.</w:t>
      </w:r>
    </w:p>
    <w:p w14:paraId="2245C51F" w14:textId="77777777" w:rsidR="0076218C" w:rsidRPr="003C1D92" w:rsidRDefault="0076218C" w:rsidP="00EF0772">
      <w:pPr>
        <w:jc w:val="left"/>
        <w:rPr>
          <w:rFonts w:cs="Times New Roman"/>
          <w:b/>
          <w:bCs/>
        </w:rPr>
      </w:pPr>
    </w:p>
    <w:p w14:paraId="6DB57BAD" w14:textId="77777777" w:rsidR="0076218C" w:rsidRPr="003C1D92" w:rsidRDefault="0076218C" w:rsidP="00EF0772">
      <w:pPr>
        <w:jc w:val="left"/>
        <w:rPr>
          <w:rFonts w:cs="Times New Roman"/>
          <w:b/>
          <w:bCs/>
        </w:rPr>
      </w:pPr>
    </w:p>
    <w:p w14:paraId="24120BDF" w14:textId="77777777" w:rsidR="0076218C" w:rsidRPr="003C1D92" w:rsidRDefault="0076218C" w:rsidP="00EF0772">
      <w:pPr>
        <w:jc w:val="left"/>
        <w:rPr>
          <w:rFonts w:cs="Times New Roman"/>
          <w:b/>
          <w:bCs/>
        </w:rPr>
      </w:pPr>
    </w:p>
    <w:p w14:paraId="05ABC16F" w14:textId="77777777" w:rsidR="004E54CD" w:rsidRPr="003C1D92" w:rsidRDefault="00CD0EA9" w:rsidP="00EF0772">
      <w:pPr>
        <w:jc w:val="left"/>
        <w:rPr>
          <w:rFonts w:cs="Times New Roman"/>
          <w:b/>
          <w:bCs/>
        </w:rPr>
      </w:pPr>
      <w:r w:rsidRPr="003C1D92">
        <w:rPr>
          <w:rFonts w:cs="Times New Roman"/>
          <w:b/>
          <w:bCs/>
          <w:noProof/>
        </w:rPr>
        <w:lastRenderedPageBreak/>
        <w:drawing>
          <wp:inline distT="0" distB="0" distL="0" distR="0" wp14:anchorId="298B1800" wp14:editId="426B819D">
            <wp:extent cx="5731510" cy="4066339"/>
            <wp:effectExtent l="0" t="0" r="0" b="0"/>
            <wp:docPr id="1215038835" name="Picture 25" descr="A graph with blue and white bar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38835" name="Picture 25" descr="A graph with blue and white bars  AI-generated content may be incorrect."/>
                    <pic:cNvPicPr/>
                  </pic:nvPicPr>
                  <pic:blipFill rotWithShape="1">
                    <a:blip r:embed="rId32" cstate="print">
                      <a:extLst>
                        <a:ext uri="{28A0092B-C50C-407E-A947-70E740481C1C}">
                          <a14:useLocalDpi xmlns:a14="http://schemas.microsoft.com/office/drawing/2010/main" val="0"/>
                        </a:ext>
                      </a:extLst>
                    </a:blip>
                    <a:srcRect t="5411"/>
                    <a:stretch>
                      <a:fillRect/>
                    </a:stretch>
                  </pic:blipFill>
                  <pic:spPr bwMode="auto">
                    <a:xfrm>
                      <a:off x="0" y="0"/>
                      <a:ext cx="5731510" cy="4066339"/>
                    </a:xfrm>
                    <a:prstGeom prst="rect">
                      <a:avLst/>
                    </a:prstGeom>
                    <a:ln>
                      <a:noFill/>
                    </a:ln>
                    <a:extLst>
                      <a:ext uri="{53640926-AAD7-44D8-BBD7-CCE9431645EC}">
                        <a14:shadowObscured xmlns:a14="http://schemas.microsoft.com/office/drawing/2010/main"/>
                      </a:ext>
                    </a:extLst>
                  </pic:spPr>
                </pic:pic>
              </a:graphicData>
            </a:graphic>
          </wp:inline>
        </w:drawing>
      </w:r>
    </w:p>
    <w:p w14:paraId="121079E5" w14:textId="77777777" w:rsidR="004E54CD" w:rsidRPr="003C1D92" w:rsidRDefault="004E54CD" w:rsidP="00EF0772">
      <w:pPr>
        <w:jc w:val="left"/>
        <w:rPr>
          <w:rFonts w:cs="Times New Roman"/>
          <w:b/>
          <w:bCs/>
        </w:rPr>
      </w:pPr>
    </w:p>
    <w:p w14:paraId="1570EFF4" w14:textId="576366F5" w:rsidR="00A10FEA" w:rsidRPr="003C1D92" w:rsidRDefault="00A10FEA"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t>Supplementary Figure 23.</w:t>
      </w:r>
      <w:r w:rsidRPr="003C1D92">
        <w:rPr>
          <w:rFonts w:eastAsia="Times New Roman" w:cs="Times New Roman"/>
          <w:lang w:eastAsia="en-GB"/>
        </w:rPr>
        <w:t xml:space="preserve"> </w:t>
      </w:r>
      <w:r w:rsidRPr="003C1D92">
        <w:rPr>
          <w:rFonts w:eastAsia="Times New Roman" w:cs="Times New Roman"/>
          <w:b/>
          <w:bCs/>
          <w:lang w:eastAsia="en-GB"/>
        </w:rPr>
        <w:t>Variable loadings for the third retained component from the immunobiological block based on raw serum markers (BIO-RC3).</w:t>
      </w:r>
      <w:r w:rsidRPr="003C1D92">
        <w:rPr>
          <w:rFonts w:eastAsia="Times New Roman" w:cs="Times New Roman"/>
          <w:lang w:eastAsia="en-GB"/>
        </w:rPr>
        <w:t xml:space="preserve"> BIO-RC3 represents an additional, independent axis of immune variation across the measured neurogenesis (i.e. BDNF) and immune markers. The bar plot shows rotated loadings for each biomarker, indicating which analytes co-vary along this component and distinguishing markers with positive versus negative contributions.</w:t>
      </w:r>
    </w:p>
    <w:p w14:paraId="16223AC5" w14:textId="77777777" w:rsidR="004E54CD" w:rsidRPr="003C1D92" w:rsidRDefault="004E54CD" w:rsidP="00EF0772">
      <w:pPr>
        <w:jc w:val="left"/>
        <w:rPr>
          <w:rFonts w:cs="Times New Roman"/>
          <w:b/>
          <w:bCs/>
        </w:rPr>
      </w:pPr>
    </w:p>
    <w:p w14:paraId="4D8968F4" w14:textId="77777777" w:rsidR="004C202C" w:rsidRPr="003C1D92" w:rsidRDefault="004C202C" w:rsidP="00EF0772">
      <w:pPr>
        <w:jc w:val="left"/>
        <w:rPr>
          <w:rFonts w:cs="Times New Roman"/>
          <w:b/>
          <w:bCs/>
        </w:rPr>
      </w:pPr>
    </w:p>
    <w:p w14:paraId="3F33EAEE" w14:textId="77777777" w:rsidR="004C202C" w:rsidRPr="003C1D92" w:rsidRDefault="004C202C" w:rsidP="00EF0772">
      <w:pPr>
        <w:jc w:val="left"/>
        <w:rPr>
          <w:rFonts w:cs="Times New Roman"/>
          <w:b/>
          <w:bCs/>
        </w:rPr>
      </w:pPr>
    </w:p>
    <w:p w14:paraId="382B7147" w14:textId="77777777" w:rsidR="004C202C" w:rsidRPr="003C1D92" w:rsidRDefault="004C202C" w:rsidP="00EF0772">
      <w:pPr>
        <w:jc w:val="left"/>
        <w:rPr>
          <w:rFonts w:cs="Times New Roman"/>
          <w:b/>
          <w:bCs/>
        </w:rPr>
      </w:pPr>
    </w:p>
    <w:p w14:paraId="046A6B1D" w14:textId="6D726C51" w:rsidR="004C202C" w:rsidRPr="003C1D92" w:rsidRDefault="004C202C" w:rsidP="00EF0772">
      <w:pPr>
        <w:spacing w:before="100" w:beforeAutospacing="1" w:after="100" w:afterAutospacing="1"/>
        <w:jc w:val="left"/>
        <w:rPr>
          <w:rFonts w:eastAsia="Times New Roman" w:cs="Times New Roman"/>
          <w:lang w:eastAsia="en-GB"/>
        </w:rPr>
      </w:pPr>
    </w:p>
    <w:p w14:paraId="527912A7" w14:textId="77777777" w:rsidR="004C202C" w:rsidRPr="003C1D92" w:rsidRDefault="00CD0EA9" w:rsidP="00EF0772">
      <w:pPr>
        <w:jc w:val="left"/>
        <w:rPr>
          <w:rFonts w:cs="Times New Roman"/>
          <w:b/>
          <w:bCs/>
        </w:rPr>
      </w:pPr>
      <w:r w:rsidRPr="003C1D92">
        <w:rPr>
          <w:rFonts w:cs="Times New Roman"/>
          <w:b/>
          <w:bCs/>
          <w:noProof/>
        </w:rPr>
        <w:lastRenderedPageBreak/>
        <w:drawing>
          <wp:inline distT="0" distB="0" distL="0" distR="0" wp14:anchorId="3DD850DC" wp14:editId="6C423155">
            <wp:extent cx="5731510" cy="6932094"/>
            <wp:effectExtent l="0" t="0" r="0" b="2540"/>
            <wp:docPr id="535320780" name="Picture 26" descr="A graph with blue line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20780" name="Picture 26" descr="A graph with blue lines  AI-generated content may be incorrect."/>
                    <pic:cNvPicPr/>
                  </pic:nvPicPr>
                  <pic:blipFill rotWithShape="1">
                    <a:blip r:embed="rId33" cstate="print">
                      <a:extLst>
                        <a:ext uri="{28A0092B-C50C-407E-A947-70E740481C1C}">
                          <a14:useLocalDpi xmlns:a14="http://schemas.microsoft.com/office/drawing/2010/main" val="0"/>
                        </a:ext>
                      </a:extLst>
                    </a:blip>
                    <a:srcRect t="3247"/>
                    <a:stretch>
                      <a:fillRect/>
                    </a:stretch>
                  </pic:blipFill>
                  <pic:spPr bwMode="auto">
                    <a:xfrm>
                      <a:off x="0" y="0"/>
                      <a:ext cx="5731510" cy="6932094"/>
                    </a:xfrm>
                    <a:prstGeom prst="rect">
                      <a:avLst/>
                    </a:prstGeom>
                    <a:ln>
                      <a:noFill/>
                    </a:ln>
                    <a:extLst>
                      <a:ext uri="{53640926-AAD7-44D8-BBD7-CCE9431645EC}">
                        <a14:shadowObscured xmlns:a14="http://schemas.microsoft.com/office/drawing/2010/main"/>
                      </a:ext>
                    </a:extLst>
                  </pic:spPr>
                </pic:pic>
              </a:graphicData>
            </a:graphic>
          </wp:inline>
        </w:drawing>
      </w:r>
    </w:p>
    <w:p w14:paraId="2AF43273" w14:textId="77777777" w:rsidR="004C202C" w:rsidRPr="003C1D92" w:rsidRDefault="004C202C" w:rsidP="00EF0772">
      <w:pPr>
        <w:jc w:val="left"/>
        <w:rPr>
          <w:rFonts w:cs="Times New Roman"/>
          <w:b/>
          <w:bCs/>
        </w:rPr>
      </w:pPr>
    </w:p>
    <w:p w14:paraId="3A5BA603" w14:textId="77777777" w:rsidR="004C202C" w:rsidRPr="003C1D92" w:rsidRDefault="004C202C"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t>Supplementary Figure 24.</w:t>
      </w:r>
      <w:r w:rsidRPr="003C1D92">
        <w:rPr>
          <w:rFonts w:eastAsia="Times New Roman" w:cs="Times New Roman"/>
          <w:lang w:eastAsia="en-GB"/>
        </w:rPr>
        <w:t xml:space="preserve"> </w:t>
      </w:r>
      <w:r w:rsidRPr="003C1D92">
        <w:rPr>
          <w:rFonts w:eastAsia="Times New Roman" w:cs="Times New Roman"/>
          <w:b/>
          <w:bCs/>
          <w:lang w:eastAsia="en-GB"/>
        </w:rPr>
        <w:t>Variable loadings for the first retained component from the full multimodal PCA (RC1-FullPCA).</w:t>
      </w:r>
      <w:r w:rsidRPr="003C1D92">
        <w:rPr>
          <w:rFonts w:eastAsia="Times New Roman" w:cs="Times New Roman"/>
          <w:lang w:eastAsia="en-GB"/>
        </w:rPr>
        <w:t xml:space="preserve"> This component captures a global pattern of shared variance spanning clinical, white-matter, functional connectivity, and immunobiological </w:t>
      </w:r>
      <w:r w:rsidRPr="003C1D92">
        <w:rPr>
          <w:rFonts w:eastAsia="Times New Roman" w:cs="Times New Roman"/>
          <w:lang w:eastAsia="en-GB"/>
        </w:rPr>
        <w:lastRenderedPageBreak/>
        <w:t>measures. Loadings are plotted for all variables included in the multimodal analysis, grouped by modality, illustrating which features contribute most strongly (in absolute value) to this overarching multimodal dimension.</w:t>
      </w:r>
    </w:p>
    <w:p w14:paraId="3920CCC0" w14:textId="77777777" w:rsidR="004C202C" w:rsidRPr="003C1D92" w:rsidRDefault="004C202C" w:rsidP="00EF0772">
      <w:pPr>
        <w:jc w:val="left"/>
        <w:rPr>
          <w:rFonts w:cs="Times New Roman"/>
          <w:b/>
          <w:bCs/>
        </w:rPr>
      </w:pPr>
    </w:p>
    <w:p w14:paraId="0358ED82" w14:textId="77777777" w:rsidR="004C202C" w:rsidRPr="003C1D92" w:rsidRDefault="00CD0EA9" w:rsidP="00EF0772">
      <w:pPr>
        <w:jc w:val="left"/>
        <w:rPr>
          <w:rFonts w:cs="Times New Roman"/>
          <w:b/>
          <w:bCs/>
        </w:rPr>
      </w:pPr>
      <w:r w:rsidRPr="003C1D92">
        <w:rPr>
          <w:rFonts w:cs="Times New Roman"/>
          <w:b/>
          <w:bCs/>
          <w:noProof/>
        </w:rPr>
        <w:drawing>
          <wp:inline distT="0" distB="0" distL="0" distR="0" wp14:anchorId="26FC4152" wp14:editId="4B8C9BCF">
            <wp:extent cx="5731510" cy="6932095"/>
            <wp:effectExtent l="0" t="0" r="0" b="2540"/>
            <wp:docPr id="7044484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4846" name="Picture 70444846"/>
                    <pic:cNvPicPr/>
                  </pic:nvPicPr>
                  <pic:blipFill rotWithShape="1">
                    <a:blip r:embed="rId34" cstate="print">
                      <a:extLst>
                        <a:ext uri="{28A0092B-C50C-407E-A947-70E740481C1C}">
                          <a14:useLocalDpi xmlns:a14="http://schemas.microsoft.com/office/drawing/2010/main" val="0"/>
                        </a:ext>
                      </a:extLst>
                    </a:blip>
                    <a:srcRect t="3247"/>
                    <a:stretch>
                      <a:fillRect/>
                    </a:stretch>
                  </pic:blipFill>
                  <pic:spPr bwMode="auto">
                    <a:xfrm>
                      <a:off x="0" y="0"/>
                      <a:ext cx="5731510" cy="6932095"/>
                    </a:xfrm>
                    <a:prstGeom prst="rect">
                      <a:avLst/>
                    </a:prstGeom>
                    <a:ln>
                      <a:noFill/>
                    </a:ln>
                    <a:extLst>
                      <a:ext uri="{53640926-AAD7-44D8-BBD7-CCE9431645EC}">
                        <a14:shadowObscured xmlns:a14="http://schemas.microsoft.com/office/drawing/2010/main"/>
                      </a:ext>
                    </a:extLst>
                  </pic:spPr>
                </pic:pic>
              </a:graphicData>
            </a:graphic>
          </wp:inline>
        </w:drawing>
      </w:r>
    </w:p>
    <w:p w14:paraId="3AF8C17B" w14:textId="09871945" w:rsidR="004C202C" w:rsidRPr="003C1D92" w:rsidRDefault="004C202C"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lastRenderedPageBreak/>
        <w:t>Supplementary Figure 25.</w:t>
      </w:r>
      <w:r w:rsidRPr="003C1D92">
        <w:rPr>
          <w:rFonts w:eastAsia="Times New Roman" w:cs="Times New Roman"/>
          <w:lang w:eastAsia="en-GB"/>
        </w:rPr>
        <w:t xml:space="preserve"> </w:t>
      </w:r>
      <w:r w:rsidRPr="003C1D92">
        <w:rPr>
          <w:rFonts w:eastAsia="Times New Roman" w:cs="Times New Roman"/>
          <w:b/>
          <w:bCs/>
          <w:lang w:eastAsia="en-GB"/>
        </w:rPr>
        <w:t>Variable loadings for the second retained component from the full multimodal PCA (RC2-FullPCA).</w:t>
      </w:r>
      <w:r w:rsidRPr="003C1D92">
        <w:rPr>
          <w:rFonts w:eastAsia="Times New Roman" w:cs="Times New Roman"/>
          <w:lang w:eastAsia="en-GB"/>
        </w:rPr>
        <w:t xml:space="preserve"> RC2-FullPCA reflects a second, independent multimodal pattern that differentiates subsets of clinical, imaging, and biological variables. The bar plot displays rotated loadings for each variable, allowing visual inspection of modality-specific and cross-modal contributions to this component.</w:t>
      </w:r>
    </w:p>
    <w:p w14:paraId="013D0962" w14:textId="77777777" w:rsidR="004C202C" w:rsidRPr="003C1D92" w:rsidRDefault="004C202C" w:rsidP="00EF0772">
      <w:pPr>
        <w:jc w:val="left"/>
        <w:rPr>
          <w:rFonts w:cs="Times New Roman"/>
          <w:b/>
          <w:bCs/>
        </w:rPr>
      </w:pPr>
    </w:p>
    <w:p w14:paraId="434EA410" w14:textId="77777777" w:rsidR="004C202C" w:rsidRPr="003C1D92" w:rsidRDefault="004C202C" w:rsidP="00EF0772">
      <w:pPr>
        <w:jc w:val="left"/>
        <w:rPr>
          <w:rFonts w:cs="Times New Roman"/>
          <w:b/>
          <w:bCs/>
        </w:rPr>
      </w:pPr>
    </w:p>
    <w:p w14:paraId="5B4FB23C" w14:textId="77777777" w:rsidR="001C6E86" w:rsidRPr="003C1D92" w:rsidRDefault="00CD0EA9" w:rsidP="00EF0772">
      <w:pPr>
        <w:jc w:val="left"/>
        <w:rPr>
          <w:rFonts w:cs="Times New Roman"/>
          <w:b/>
          <w:bCs/>
        </w:rPr>
      </w:pPr>
      <w:r w:rsidRPr="003C1D92">
        <w:rPr>
          <w:rFonts w:cs="Times New Roman"/>
          <w:b/>
          <w:bCs/>
          <w:noProof/>
        </w:rPr>
        <w:lastRenderedPageBreak/>
        <w:drawing>
          <wp:inline distT="0" distB="0" distL="0" distR="0" wp14:anchorId="1238FC21" wp14:editId="1BC0B92C">
            <wp:extent cx="5731510" cy="6940115"/>
            <wp:effectExtent l="0" t="0" r="0" b="0"/>
            <wp:docPr id="10452735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73584" name="Picture 1045273584"/>
                    <pic:cNvPicPr/>
                  </pic:nvPicPr>
                  <pic:blipFill rotWithShape="1">
                    <a:blip r:embed="rId35" cstate="print">
                      <a:extLst>
                        <a:ext uri="{28A0092B-C50C-407E-A947-70E740481C1C}">
                          <a14:useLocalDpi xmlns:a14="http://schemas.microsoft.com/office/drawing/2010/main" val="0"/>
                        </a:ext>
                      </a:extLst>
                    </a:blip>
                    <a:srcRect t="3135"/>
                    <a:stretch>
                      <a:fillRect/>
                    </a:stretch>
                  </pic:blipFill>
                  <pic:spPr bwMode="auto">
                    <a:xfrm>
                      <a:off x="0" y="0"/>
                      <a:ext cx="5731510" cy="6940115"/>
                    </a:xfrm>
                    <a:prstGeom prst="rect">
                      <a:avLst/>
                    </a:prstGeom>
                    <a:ln>
                      <a:noFill/>
                    </a:ln>
                    <a:extLst>
                      <a:ext uri="{53640926-AAD7-44D8-BBD7-CCE9431645EC}">
                        <a14:shadowObscured xmlns:a14="http://schemas.microsoft.com/office/drawing/2010/main"/>
                      </a:ext>
                    </a:extLst>
                  </pic:spPr>
                </pic:pic>
              </a:graphicData>
            </a:graphic>
          </wp:inline>
        </w:drawing>
      </w:r>
    </w:p>
    <w:p w14:paraId="67F07F76" w14:textId="4066A7EE" w:rsidR="001C6E86" w:rsidRPr="003C1D92" w:rsidRDefault="001C6E86"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t>Supplementary Figure 26.</w:t>
      </w:r>
      <w:r w:rsidRPr="003C1D92">
        <w:rPr>
          <w:rFonts w:eastAsia="Times New Roman" w:cs="Times New Roman"/>
          <w:lang w:eastAsia="en-GB"/>
        </w:rPr>
        <w:t xml:space="preserve"> </w:t>
      </w:r>
      <w:r w:rsidRPr="003C1D92">
        <w:rPr>
          <w:rFonts w:eastAsia="Times New Roman" w:cs="Times New Roman"/>
          <w:b/>
          <w:bCs/>
          <w:lang w:eastAsia="en-GB"/>
        </w:rPr>
        <w:t>Variable loadings for the fourth retained component from the full multimodal PCA (RC4-FullPCA).</w:t>
      </w:r>
      <w:r w:rsidRPr="003C1D92">
        <w:rPr>
          <w:rFonts w:eastAsia="Times New Roman" w:cs="Times New Roman"/>
          <w:lang w:eastAsia="en-GB"/>
        </w:rPr>
        <w:t xml:space="preserve"> This figure shows the rotated factor loadings of all clinical, FA, CAP, and biological variables on RC4-FullPCA, highlighting a more specific </w:t>
      </w:r>
      <w:r w:rsidRPr="003C1D92">
        <w:rPr>
          <w:rFonts w:eastAsia="Times New Roman" w:cs="Times New Roman"/>
          <w:lang w:eastAsia="en-GB"/>
        </w:rPr>
        <w:lastRenderedPageBreak/>
        <w:t>cross-domain pattern that explains additional variance beyond the first three multimodal components.</w:t>
      </w:r>
    </w:p>
    <w:p w14:paraId="5884C701" w14:textId="0D14FA90" w:rsidR="001C6E86" w:rsidRPr="003C1D92" w:rsidRDefault="001C6E86" w:rsidP="00EF0772">
      <w:pPr>
        <w:jc w:val="left"/>
        <w:rPr>
          <w:rFonts w:cs="Times New Roman"/>
          <w:b/>
          <w:bCs/>
        </w:rPr>
      </w:pPr>
    </w:p>
    <w:p w14:paraId="065437E2" w14:textId="77777777" w:rsidR="001C6E86" w:rsidRPr="003C1D92" w:rsidRDefault="001C6E86" w:rsidP="00EF0772">
      <w:pPr>
        <w:jc w:val="left"/>
        <w:rPr>
          <w:rFonts w:cs="Times New Roman"/>
          <w:b/>
          <w:bCs/>
        </w:rPr>
      </w:pPr>
    </w:p>
    <w:p w14:paraId="1DFA128C" w14:textId="77777777" w:rsidR="001C6E86" w:rsidRPr="003C1D92" w:rsidRDefault="00CD0EA9" w:rsidP="00EF0772">
      <w:pPr>
        <w:jc w:val="left"/>
        <w:rPr>
          <w:rFonts w:cs="Times New Roman"/>
          <w:b/>
          <w:bCs/>
        </w:rPr>
      </w:pPr>
      <w:r w:rsidRPr="003C1D92">
        <w:rPr>
          <w:rFonts w:cs="Times New Roman"/>
          <w:b/>
          <w:bCs/>
          <w:noProof/>
        </w:rPr>
        <w:drawing>
          <wp:inline distT="0" distB="0" distL="0" distR="0" wp14:anchorId="6D9F15B2" wp14:editId="146C59E1">
            <wp:extent cx="5731510" cy="6940116"/>
            <wp:effectExtent l="0" t="0" r="0" b="0"/>
            <wp:docPr id="4949819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81938" name="Picture 494981938"/>
                    <pic:cNvPicPr/>
                  </pic:nvPicPr>
                  <pic:blipFill rotWithShape="1">
                    <a:blip r:embed="rId36" cstate="print">
                      <a:extLst>
                        <a:ext uri="{28A0092B-C50C-407E-A947-70E740481C1C}">
                          <a14:useLocalDpi xmlns:a14="http://schemas.microsoft.com/office/drawing/2010/main" val="0"/>
                        </a:ext>
                      </a:extLst>
                    </a:blip>
                    <a:srcRect t="3135"/>
                    <a:stretch>
                      <a:fillRect/>
                    </a:stretch>
                  </pic:blipFill>
                  <pic:spPr bwMode="auto">
                    <a:xfrm>
                      <a:off x="0" y="0"/>
                      <a:ext cx="5731510" cy="6940116"/>
                    </a:xfrm>
                    <a:prstGeom prst="rect">
                      <a:avLst/>
                    </a:prstGeom>
                    <a:ln>
                      <a:noFill/>
                    </a:ln>
                    <a:extLst>
                      <a:ext uri="{53640926-AAD7-44D8-BBD7-CCE9431645EC}">
                        <a14:shadowObscured xmlns:a14="http://schemas.microsoft.com/office/drawing/2010/main"/>
                      </a:ext>
                    </a:extLst>
                  </pic:spPr>
                </pic:pic>
              </a:graphicData>
            </a:graphic>
          </wp:inline>
        </w:drawing>
      </w:r>
    </w:p>
    <w:p w14:paraId="1021C682" w14:textId="77777777" w:rsidR="001C6E86" w:rsidRPr="003C1D92" w:rsidRDefault="001C6E86" w:rsidP="00EF0772">
      <w:pPr>
        <w:jc w:val="left"/>
        <w:rPr>
          <w:rFonts w:cs="Times New Roman"/>
          <w:b/>
          <w:bCs/>
        </w:rPr>
      </w:pPr>
    </w:p>
    <w:p w14:paraId="24DBC069" w14:textId="2464F56E" w:rsidR="001C6E86" w:rsidRPr="003C1D92" w:rsidRDefault="001C6E86"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t>Supplementary Figure 27.</w:t>
      </w:r>
      <w:r w:rsidRPr="003C1D92">
        <w:rPr>
          <w:rFonts w:eastAsia="Times New Roman" w:cs="Times New Roman"/>
          <w:lang w:eastAsia="en-GB"/>
        </w:rPr>
        <w:t xml:space="preserve"> </w:t>
      </w:r>
      <w:r w:rsidRPr="003C1D92">
        <w:rPr>
          <w:rFonts w:eastAsia="Times New Roman" w:cs="Times New Roman"/>
          <w:b/>
          <w:bCs/>
          <w:lang w:eastAsia="en-GB"/>
        </w:rPr>
        <w:t xml:space="preserve">Variable loadings for the sixth retained component from the full multimodal PCA (RC6-FullPCA). </w:t>
      </w:r>
      <w:r w:rsidRPr="003C1D92">
        <w:rPr>
          <w:rFonts w:eastAsia="Times New Roman" w:cs="Times New Roman"/>
          <w:lang w:eastAsia="en-GB"/>
        </w:rPr>
        <w:t>RC6-FullPCA represents a higher-order multimodal dimension capturing relatively subtle but distinct co-variation among a subset of clinical, neuroimaging, and immune features. Bars indicate the size and sign of the rotated loadings for each variable.</w:t>
      </w:r>
    </w:p>
    <w:p w14:paraId="00B7C3B6" w14:textId="77777777" w:rsidR="001C6E86" w:rsidRPr="003C1D92" w:rsidRDefault="001C6E86" w:rsidP="00EF0772">
      <w:pPr>
        <w:jc w:val="left"/>
        <w:rPr>
          <w:rFonts w:cs="Times New Roman"/>
          <w:b/>
          <w:bCs/>
        </w:rPr>
      </w:pPr>
    </w:p>
    <w:p w14:paraId="5272B210" w14:textId="77777777" w:rsidR="001C6E86" w:rsidRPr="003C1D92" w:rsidRDefault="00CD0EA9" w:rsidP="00EF0772">
      <w:pPr>
        <w:jc w:val="left"/>
        <w:rPr>
          <w:rFonts w:cs="Times New Roman"/>
          <w:b/>
          <w:bCs/>
        </w:rPr>
      </w:pPr>
      <w:r w:rsidRPr="003C1D92">
        <w:rPr>
          <w:rFonts w:cs="Times New Roman"/>
          <w:b/>
          <w:bCs/>
          <w:noProof/>
        </w:rPr>
        <w:lastRenderedPageBreak/>
        <w:drawing>
          <wp:inline distT="0" distB="0" distL="0" distR="0" wp14:anchorId="5BF70AFB" wp14:editId="1C4B6B9E">
            <wp:extent cx="5731510" cy="6940115"/>
            <wp:effectExtent l="0" t="0" r="0" b="0"/>
            <wp:docPr id="116315560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55601" name="Picture 1163155601"/>
                    <pic:cNvPicPr/>
                  </pic:nvPicPr>
                  <pic:blipFill rotWithShape="1">
                    <a:blip r:embed="rId37" cstate="print">
                      <a:extLst>
                        <a:ext uri="{28A0092B-C50C-407E-A947-70E740481C1C}">
                          <a14:useLocalDpi xmlns:a14="http://schemas.microsoft.com/office/drawing/2010/main" val="0"/>
                        </a:ext>
                      </a:extLst>
                    </a:blip>
                    <a:srcRect t="3135"/>
                    <a:stretch>
                      <a:fillRect/>
                    </a:stretch>
                  </pic:blipFill>
                  <pic:spPr bwMode="auto">
                    <a:xfrm>
                      <a:off x="0" y="0"/>
                      <a:ext cx="5731510" cy="6940115"/>
                    </a:xfrm>
                    <a:prstGeom prst="rect">
                      <a:avLst/>
                    </a:prstGeom>
                    <a:ln>
                      <a:noFill/>
                    </a:ln>
                    <a:extLst>
                      <a:ext uri="{53640926-AAD7-44D8-BBD7-CCE9431645EC}">
                        <a14:shadowObscured xmlns:a14="http://schemas.microsoft.com/office/drawing/2010/main"/>
                      </a:ext>
                    </a:extLst>
                  </pic:spPr>
                </pic:pic>
              </a:graphicData>
            </a:graphic>
          </wp:inline>
        </w:drawing>
      </w:r>
    </w:p>
    <w:p w14:paraId="6AF1984B" w14:textId="77777777" w:rsidR="001C6E86" w:rsidRPr="003C1D92" w:rsidRDefault="001C6E86" w:rsidP="00EF0772">
      <w:pPr>
        <w:jc w:val="left"/>
        <w:rPr>
          <w:rFonts w:cs="Times New Roman"/>
          <w:b/>
          <w:bCs/>
        </w:rPr>
      </w:pPr>
    </w:p>
    <w:p w14:paraId="516C6DBB" w14:textId="311367A5" w:rsidR="001C6E86" w:rsidRPr="003C1D92" w:rsidRDefault="001C6E86" w:rsidP="00EF0772">
      <w:pPr>
        <w:spacing w:before="100" w:beforeAutospacing="1" w:after="100" w:afterAutospacing="1"/>
        <w:jc w:val="left"/>
        <w:rPr>
          <w:rFonts w:eastAsia="Times New Roman" w:cs="Times New Roman"/>
          <w:lang w:eastAsia="en-GB"/>
        </w:rPr>
      </w:pPr>
      <w:r w:rsidRPr="003C1D92">
        <w:rPr>
          <w:rFonts w:eastAsia="Times New Roman" w:cs="Times New Roman"/>
          <w:b/>
          <w:bCs/>
          <w:lang w:eastAsia="en-GB"/>
        </w:rPr>
        <w:t>Supplementary Figure 28.</w:t>
      </w:r>
      <w:r w:rsidRPr="003C1D92">
        <w:rPr>
          <w:rFonts w:eastAsia="Times New Roman" w:cs="Times New Roman"/>
          <w:lang w:eastAsia="en-GB"/>
        </w:rPr>
        <w:t xml:space="preserve"> </w:t>
      </w:r>
      <w:r w:rsidRPr="003C1D92">
        <w:rPr>
          <w:rFonts w:eastAsia="Times New Roman" w:cs="Times New Roman"/>
          <w:b/>
          <w:bCs/>
          <w:lang w:eastAsia="en-GB"/>
        </w:rPr>
        <w:t>Variable loadings for the seventh retained component from the full multimodal PCA (RC7-FullPCA).</w:t>
      </w:r>
      <w:r w:rsidRPr="003C1D92">
        <w:rPr>
          <w:rFonts w:eastAsia="Times New Roman" w:cs="Times New Roman"/>
          <w:lang w:eastAsia="en-GB"/>
        </w:rPr>
        <w:t xml:space="preserve"> This component accounts for additional residual multimodal variance, with contributions from selected clinical, white-matter, functional, and </w:t>
      </w:r>
      <w:r w:rsidRPr="003C1D92">
        <w:rPr>
          <w:rFonts w:eastAsia="Times New Roman" w:cs="Times New Roman"/>
          <w:lang w:eastAsia="en-GB"/>
        </w:rPr>
        <w:lastRenderedPageBreak/>
        <w:t>serum markers. The loading plot illustrates which variables define RC7-FullPCA and whether they load positively or negatively on this dimension.</w:t>
      </w:r>
    </w:p>
    <w:p w14:paraId="0A6A36F7" w14:textId="39B50D95" w:rsidR="00487AB8" w:rsidRPr="003C1D92" w:rsidRDefault="00CD0EA9" w:rsidP="00EF0772">
      <w:pPr>
        <w:jc w:val="left"/>
        <w:rPr>
          <w:rFonts w:cs="Times New Roman"/>
          <w:b/>
          <w:bCs/>
        </w:rPr>
      </w:pPr>
      <w:r w:rsidRPr="003C1D92">
        <w:rPr>
          <w:rFonts w:cs="Times New Roman"/>
          <w:b/>
          <w:bCs/>
          <w:noProof/>
        </w:rPr>
        <w:drawing>
          <wp:inline distT="0" distB="0" distL="0" distR="0" wp14:anchorId="5A63838B" wp14:editId="28749A2D">
            <wp:extent cx="5731510" cy="6924073"/>
            <wp:effectExtent l="0" t="0" r="0" b="0"/>
            <wp:docPr id="2055326102" name="Picture 31" descr="A graph with blue square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26102" name="Picture 31" descr="A graph with blue squares  AI-generated content may be incorrect."/>
                    <pic:cNvPicPr/>
                  </pic:nvPicPr>
                  <pic:blipFill rotWithShape="1">
                    <a:blip r:embed="rId38" cstate="print">
                      <a:extLst>
                        <a:ext uri="{28A0092B-C50C-407E-A947-70E740481C1C}">
                          <a14:useLocalDpi xmlns:a14="http://schemas.microsoft.com/office/drawing/2010/main" val="0"/>
                        </a:ext>
                      </a:extLst>
                    </a:blip>
                    <a:srcRect t="3359"/>
                    <a:stretch>
                      <a:fillRect/>
                    </a:stretch>
                  </pic:blipFill>
                  <pic:spPr bwMode="auto">
                    <a:xfrm>
                      <a:off x="0" y="0"/>
                      <a:ext cx="5731510" cy="6924073"/>
                    </a:xfrm>
                    <a:prstGeom prst="rect">
                      <a:avLst/>
                    </a:prstGeom>
                    <a:ln>
                      <a:noFill/>
                    </a:ln>
                    <a:extLst>
                      <a:ext uri="{53640926-AAD7-44D8-BBD7-CCE9431645EC}">
                        <a14:shadowObscured xmlns:a14="http://schemas.microsoft.com/office/drawing/2010/main"/>
                      </a:ext>
                    </a:extLst>
                  </pic:spPr>
                </pic:pic>
              </a:graphicData>
            </a:graphic>
          </wp:inline>
        </w:drawing>
      </w:r>
    </w:p>
    <w:p w14:paraId="3EF25F87" w14:textId="77777777" w:rsidR="00487AB8" w:rsidRPr="003C1D92" w:rsidRDefault="00487AB8" w:rsidP="00EF0772">
      <w:pPr>
        <w:jc w:val="left"/>
        <w:rPr>
          <w:rFonts w:cs="Times New Roman"/>
          <w:b/>
          <w:bCs/>
        </w:rPr>
      </w:pPr>
    </w:p>
    <w:p w14:paraId="0D496099" w14:textId="721DE203" w:rsidR="001C6E86" w:rsidRPr="003C1D92" w:rsidRDefault="001C6E86" w:rsidP="00EF0772">
      <w:pPr>
        <w:jc w:val="left"/>
        <w:rPr>
          <w:rFonts w:cs="Times New Roman"/>
          <w:b/>
          <w:bCs/>
        </w:rPr>
      </w:pPr>
      <w:bookmarkStart w:id="67" w:name="_Hlk217047760"/>
      <w:r w:rsidRPr="003C1D92">
        <w:rPr>
          <w:rFonts w:eastAsia="Times New Roman" w:cs="Times New Roman"/>
          <w:b/>
          <w:bCs/>
          <w:lang w:eastAsia="en-GB"/>
        </w:rPr>
        <w:t>Supplementary Figure 29.</w:t>
      </w:r>
      <w:r w:rsidRPr="003C1D92">
        <w:rPr>
          <w:rFonts w:eastAsia="Times New Roman" w:cs="Times New Roman"/>
          <w:lang w:eastAsia="en-GB"/>
        </w:rPr>
        <w:t xml:space="preserve"> </w:t>
      </w:r>
      <w:bookmarkEnd w:id="67"/>
      <w:r w:rsidRPr="003C1D92">
        <w:rPr>
          <w:rFonts w:eastAsia="Times New Roman" w:cs="Times New Roman"/>
          <w:b/>
          <w:bCs/>
          <w:lang w:eastAsia="en-GB"/>
        </w:rPr>
        <w:t>Variable loadings for the eighth retained component from the full multimodal PCA (RC8-FullPCA).</w:t>
      </w:r>
      <w:r w:rsidRPr="003C1D92">
        <w:rPr>
          <w:rFonts w:eastAsia="Times New Roman" w:cs="Times New Roman"/>
          <w:lang w:eastAsia="en-GB"/>
        </w:rPr>
        <w:t xml:space="preserve"> RC8-FullPCA captures a further, relatively low-</w:t>
      </w:r>
      <w:r w:rsidRPr="003C1D92">
        <w:rPr>
          <w:rFonts w:eastAsia="Times New Roman" w:cs="Times New Roman"/>
          <w:lang w:eastAsia="en-GB"/>
        </w:rPr>
        <w:lastRenderedPageBreak/>
        <w:t>variance multimodal pattern. The figure presents the rotated loadings for all included variables, provided for completeness to document the structure of all retained components in the multimodal PCA.</w:t>
      </w:r>
    </w:p>
    <w:p w14:paraId="1E88F488" w14:textId="77777777" w:rsidR="00487AB8" w:rsidRPr="003C1D92" w:rsidRDefault="00487AB8" w:rsidP="00EF0772">
      <w:pPr>
        <w:jc w:val="left"/>
        <w:rPr>
          <w:rFonts w:cs="Times New Roman"/>
          <w:b/>
          <w:bCs/>
        </w:rPr>
      </w:pPr>
    </w:p>
    <w:p w14:paraId="624C95D8" w14:textId="77777777" w:rsidR="0063446E" w:rsidRPr="003C1D92" w:rsidRDefault="0063446E" w:rsidP="00EF0772">
      <w:pPr>
        <w:pStyle w:val="NormalWeb"/>
      </w:pPr>
    </w:p>
    <w:p w14:paraId="2F1D7A34" w14:textId="77777777" w:rsidR="0063446E" w:rsidRPr="003C1D92" w:rsidRDefault="0063446E" w:rsidP="00EF0772">
      <w:pPr>
        <w:pStyle w:val="NormalWeb"/>
      </w:pPr>
      <w:r w:rsidRPr="003C1D92">
        <w:rPr>
          <w:noProof/>
        </w:rPr>
        <w:drawing>
          <wp:inline distT="0" distB="0" distL="0" distR="0" wp14:anchorId="4C4C4B13" wp14:editId="25E8F21E">
            <wp:extent cx="5731510" cy="5279390"/>
            <wp:effectExtent l="0" t="0" r="0" b="3810"/>
            <wp:docPr id="1929089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89560" name="Picture 1929089560"/>
                    <pic:cNvPicPr/>
                  </pic:nvPicPr>
                  <pic:blipFill>
                    <a:blip r:embed="rId39"/>
                    <a:stretch>
                      <a:fillRect/>
                    </a:stretch>
                  </pic:blipFill>
                  <pic:spPr>
                    <a:xfrm>
                      <a:off x="0" y="0"/>
                      <a:ext cx="5731510" cy="5279390"/>
                    </a:xfrm>
                    <a:prstGeom prst="rect">
                      <a:avLst/>
                    </a:prstGeom>
                  </pic:spPr>
                </pic:pic>
              </a:graphicData>
            </a:graphic>
          </wp:inline>
        </w:drawing>
      </w:r>
    </w:p>
    <w:p w14:paraId="18E5E49A" w14:textId="43BF8C99" w:rsidR="0063446E" w:rsidRPr="003C1D92" w:rsidRDefault="0063446E" w:rsidP="00EF0772">
      <w:pPr>
        <w:pStyle w:val="NormalWeb"/>
        <w:rPr>
          <w:i/>
          <w:iCs/>
        </w:rPr>
      </w:pPr>
      <w:r w:rsidRPr="003C1D92">
        <w:rPr>
          <w:rStyle w:val="Strong"/>
        </w:rPr>
        <w:t>Supplementary Figure 30</w:t>
      </w:r>
      <w:r w:rsidRPr="003C1D92">
        <w:rPr>
          <w:rStyle w:val="Strong"/>
          <w:b w:val="0"/>
          <w:bCs w:val="0"/>
        </w:rPr>
        <w:t>.</w:t>
      </w:r>
      <w:r w:rsidRPr="003C1D92">
        <w:rPr>
          <w:b/>
          <w:bCs/>
        </w:rPr>
        <w:t xml:space="preserve"> Illustration of the main JHU ROIs relevant to the analysis.</w:t>
      </w:r>
      <w:r w:rsidRPr="003C1D92">
        <w:t xml:space="preserve"> Locations of the ROIs from the JHU ICBM-DTI-81 white matter labels atlas are shown in the glass brain for each broad group: (A) projection, (B) association, and (C) commissural fibers. </w:t>
      </w:r>
      <w:r w:rsidRPr="003C1D92">
        <w:lastRenderedPageBreak/>
        <w:t xml:space="preserve">See </w:t>
      </w:r>
      <w:r w:rsidRPr="003C1D92">
        <w:rPr>
          <w:rStyle w:val="Strong"/>
        </w:rPr>
        <w:t xml:space="preserve">Supplementary </w:t>
      </w:r>
      <w:r w:rsidRPr="003C1D92">
        <w:rPr>
          <w:b/>
          <w:bCs/>
        </w:rPr>
        <w:t>Table</w:t>
      </w:r>
      <w:r w:rsidRPr="003C1D92">
        <w:t xml:space="preserve"> </w:t>
      </w:r>
      <w:r w:rsidRPr="003C1D92">
        <w:rPr>
          <w:b/>
          <w:bCs/>
        </w:rPr>
        <w:t>1</w:t>
      </w:r>
      <w:r w:rsidRPr="003C1D92">
        <w:t xml:space="preserve"> for the full ROI names corresponding to the abbreviations in the figure. </w:t>
      </w:r>
      <w:r w:rsidRPr="003C1D92">
        <w:rPr>
          <w:rStyle w:val="Emphasis"/>
          <w:i w:val="0"/>
          <w:iCs w:val="0"/>
        </w:rPr>
        <w:t>Figure adapted with written permission from Tsuchida et al. (2021)</w:t>
      </w:r>
      <w:r w:rsidRPr="003C1D92">
        <w:rPr>
          <w:rStyle w:val="Emphasis"/>
          <w:i w:val="0"/>
          <w:iCs w:val="0"/>
        </w:rPr>
        <w:fldChar w:fldCharType="begin"/>
      </w:r>
      <w:r w:rsidRPr="003C1D92">
        <w:rPr>
          <w:rStyle w:val="Emphasis"/>
          <w:i w:val="0"/>
          <w:iCs w:val="0"/>
        </w:rPr>
        <w:instrText xml:space="preserve"> ADDIN ZOTERO_ITEM CSL_CITATION {"citationID":"xSliIKYV","properties":{"formattedCitation":"(87)","plainCitation":"(87)","noteIndex":0},"citationItems":[{"id":35970,"uris":["http://zotero.org/users/8364405/items/IB3YP2D7"],"itemData":{"id":35970,"type":"article-journal","abstract":"Human brain white matter undergoes a protracted maturation that continues well into adulthood. Recent advances in diffusion-weighted imaging (DWI) methods allow detailed characterisations of the microstructural architecture of white matter, and they are increasingly utilised to study white matter changes during development and ageing. However, relatively little is known about the late maturational changes in the microstructural architecture of white matter during post-adolescence. Here we report on regional changes in white matter volume and microstructure in young adults undergoing university-level education. As part of the MRi-Share multi-modal brain MRI database, multi-shell, high angular resolution DWI data were acquired in a unique sample of 1,713 university students aged 18 to 26. We assessed the age and sex dependence of diffusion metrics derived from diffusion tensor imaging (DTI) and neurite orientation dispersion and density imaging (NODDI) in the white matter regions as defined in the John Hopkins University (JHU) white matter labels atlas. We demonstrate that while regional white matter volume is relatively stable over the age range of our sample, the white matter microstructural properties show clear age-related variations. Globally, it is characterised by a robust increase in neurite density index (NDI), and to a lesser extent, orientation dispersion index (ODI). These changes are accompanied by a decrease in diffusivity. In contrast, there is minimal age-related variation in fractional anisotropy. There are regional variations in these microstructural changes: some tracts, most notably cingulum bundles, show a strong age-related increase in NDI coupled with decreases in radial and mean diffusivity, while others, mainly cortico-spinal projection tracts, primarily show an ODI increase and axial diffusivity decrease. These age-related variations are not different between males and females, but males show higher NDI and ODI and lower diffusivity than females across many tracts. These findings emphasise the complexity of changes in white matter structure occurring in this critical period of late maturation in early adulthood.","container-title":"Frontiers in Systems Neuroscience","DOI":"10.3389/fnsys.2021.692152","ISSN":"1662-5137","journalAbbreviation":"Front. Syst. Neurosci.","language":"English","note":"publisher: Frontiers","source":"Frontiers","title":"Age-Related Variations in Regional White Matter Volumetry and Microstructure During the Post-adolescence Period: A Cross-Sectional Study of a Cohort of 1,713 University Students","title-short":"Age-Related Variations in Regional White Matter Volumetry and Microstructure During the Post-adolescence Period","URL":"https://www.frontiersin.org/journals/systems-neuroscience/articles/10.3389/fnsys.2021.692152/full","volume":"15","author":[{"family":"Tsuchida","given":"Ami"},{"family":"Laurent","given":"Alexandre"},{"family":"Crivello","given":"Fabrice"},{"family":"Petit","given":"Laurent"},{"family":"Pepe","given":"Antonietta"},{"family":"Beguedou","given":"Naka"},{"family":"Debette","given":"Stephanie"},{"family":"Tzourio","given":"Christophe"},{"family":"Mazoyer","given":"Bernard"}],"accessed":{"date-parts":[["2025",12,5]]},"issued":{"date-parts":[["2021",8,3]]}}}],"schema":"https://github.com/citation-style-language/schema/raw/master/csl-citation.json"} </w:instrText>
      </w:r>
      <w:r w:rsidRPr="003C1D92">
        <w:rPr>
          <w:rStyle w:val="Emphasis"/>
          <w:i w:val="0"/>
          <w:iCs w:val="0"/>
        </w:rPr>
        <w:fldChar w:fldCharType="separate"/>
      </w:r>
      <w:r w:rsidRPr="003C1D92">
        <w:rPr>
          <w:rStyle w:val="Emphasis"/>
          <w:i w:val="0"/>
          <w:iCs w:val="0"/>
          <w:noProof/>
        </w:rPr>
        <w:t>(87)</w:t>
      </w:r>
      <w:r w:rsidRPr="003C1D92">
        <w:rPr>
          <w:rStyle w:val="Emphasis"/>
          <w:i w:val="0"/>
          <w:iCs w:val="0"/>
        </w:rPr>
        <w:fldChar w:fldCharType="end"/>
      </w:r>
      <w:r w:rsidRPr="003C1D92">
        <w:rPr>
          <w:rStyle w:val="Emphasis"/>
          <w:i w:val="0"/>
          <w:iCs w:val="0"/>
        </w:rPr>
        <w:t>, licensed under CC BY 4.0.</w:t>
      </w:r>
    </w:p>
    <w:p w14:paraId="467F94E7" w14:textId="77777777" w:rsidR="0063446E" w:rsidRPr="003C1D92" w:rsidRDefault="0063446E" w:rsidP="00EF0772">
      <w:pPr>
        <w:pStyle w:val="ListParagraph"/>
        <w:rPr>
          <w:rFonts w:cs="Times New Roman"/>
          <w:b/>
          <w:bCs/>
          <w:lang w:val="en-US"/>
        </w:rPr>
      </w:pPr>
    </w:p>
    <w:p w14:paraId="27803B29" w14:textId="77777777" w:rsidR="0063446E" w:rsidRPr="003C1D92" w:rsidRDefault="0063446E" w:rsidP="00EF0772">
      <w:pPr>
        <w:pStyle w:val="ListParagraph"/>
        <w:rPr>
          <w:rFonts w:cs="Times New Roman"/>
          <w:b/>
          <w:bCs/>
          <w:lang w:val="en-US"/>
        </w:rPr>
      </w:pPr>
      <w:r w:rsidRPr="003C1D92">
        <w:rPr>
          <w:rFonts w:cs="Times New Roman"/>
          <w:b/>
          <w:bCs/>
          <w:noProof/>
          <w:lang w:val="en-US"/>
        </w:rPr>
        <w:drawing>
          <wp:inline distT="0" distB="0" distL="0" distR="0" wp14:anchorId="749D370C" wp14:editId="40EEE92F">
            <wp:extent cx="5731510" cy="4395764"/>
            <wp:effectExtent l="0" t="0" r="0" b="0"/>
            <wp:docPr id="1653786069" name="Picture 4" descr="A red and white square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86069" name="Picture 4" descr="A red and white squares  AI-generated content may be incorrect."/>
                    <pic:cNvPicPr/>
                  </pic:nvPicPr>
                  <pic:blipFill rotWithShape="1">
                    <a:blip r:embed="rId40" cstate="print">
                      <a:extLst>
                        <a:ext uri="{28A0092B-C50C-407E-A947-70E740481C1C}">
                          <a14:useLocalDpi xmlns:a14="http://schemas.microsoft.com/office/drawing/2010/main" val="0"/>
                        </a:ext>
                      </a:extLst>
                    </a:blip>
                    <a:srcRect t="4134"/>
                    <a:stretch>
                      <a:fillRect/>
                    </a:stretch>
                  </pic:blipFill>
                  <pic:spPr bwMode="auto">
                    <a:xfrm>
                      <a:off x="0" y="0"/>
                      <a:ext cx="5731510" cy="4395764"/>
                    </a:xfrm>
                    <a:prstGeom prst="rect">
                      <a:avLst/>
                    </a:prstGeom>
                    <a:ln>
                      <a:noFill/>
                    </a:ln>
                    <a:extLst>
                      <a:ext uri="{53640926-AAD7-44D8-BBD7-CCE9431645EC}">
                        <a14:shadowObscured xmlns:a14="http://schemas.microsoft.com/office/drawing/2010/main"/>
                      </a:ext>
                    </a:extLst>
                  </pic:spPr>
                </pic:pic>
              </a:graphicData>
            </a:graphic>
          </wp:inline>
        </w:drawing>
      </w:r>
    </w:p>
    <w:p w14:paraId="5B7AEF70" w14:textId="3FE624D9" w:rsidR="00F24170" w:rsidRPr="003C1D92" w:rsidRDefault="0063446E" w:rsidP="003E3097">
      <w:pPr>
        <w:spacing w:before="100" w:beforeAutospacing="1" w:after="100" w:afterAutospacing="1"/>
        <w:jc w:val="left"/>
        <w:rPr>
          <w:rFonts w:cs="Times New Roman"/>
          <w:b/>
          <w:bCs/>
          <w:lang w:val="en-US"/>
        </w:rPr>
      </w:pPr>
      <w:r w:rsidRPr="003C1D92">
        <w:rPr>
          <w:rFonts w:eastAsia="Times New Roman" w:cs="Times New Roman"/>
          <w:b/>
          <w:bCs/>
          <w:lang w:eastAsia="en-GB"/>
        </w:rPr>
        <w:t xml:space="preserve">Supplementary Figure </w:t>
      </w:r>
      <w:r w:rsidRPr="003C1D92">
        <w:rPr>
          <w:rFonts w:eastAsia="Times New Roman" w:cs="Times New Roman"/>
          <w:lang w:eastAsia="en-GB"/>
        </w:rPr>
        <w:t>31</w:t>
      </w:r>
      <w:r w:rsidRPr="003C1D92">
        <w:rPr>
          <w:rFonts w:eastAsia="Times New Roman" w:cs="Times New Roman"/>
          <w:b/>
          <w:bCs/>
          <w:lang w:eastAsia="en-GB"/>
        </w:rPr>
        <w:t>.</w:t>
      </w:r>
      <w:r w:rsidRPr="003C1D92">
        <w:rPr>
          <w:rFonts w:eastAsia="Times New Roman" w:cs="Times New Roman"/>
          <w:lang w:eastAsia="en-GB"/>
        </w:rPr>
        <w:t xml:space="preserve"> </w:t>
      </w:r>
      <w:bookmarkStart w:id="68" w:name="_Hlk215842596"/>
      <w:r w:rsidRPr="003C1D92">
        <w:rPr>
          <w:rFonts w:eastAsia="Times New Roman" w:cs="Times New Roman"/>
          <w:b/>
          <w:bCs/>
          <w:lang w:eastAsia="en-GB"/>
        </w:rPr>
        <w:t xml:space="preserve">Heatmap </w:t>
      </w:r>
      <w:bookmarkEnd w:id="68"/>
      <w:r w:rsidRPr="003C1D92">
        <w:rPr>
          <w:rFonts w:eastAsia="Times New Roman" w:cs="Times New Roman"/>
          <w:b/>
          <w:bCs/>
          <w:lang w:eastAsia="en-GB"/>
        </w:rPr>
        <w:t>of Pearson correlations between retained principal components (RCs) derived from the block-wise PCA of each modality</w:t>
      </w:r>
      <w:r w:rsidRPr="003C1D92">
        <w:rPr>
          <w:rFonts w:eastAsia="Times New Roman" w:cs="Times New Roman"/>
          <w:lang w:eastAsia="en-GB"/>
        </w:rPr>
        <w:t xml:space="preserve">. Clinical/behavioral (CL), hippocampal dynamic functional connectivity measured with </w:t>
      </w:r>
      <w:r w:rsidRPr="003C1D92">
        <w:t xml:space="preserve">micro-coactivation patterns, μCAPs </w:t>
      </w:r>
      <w:r w:rsidRPr="003C1D92">
        <w:rPr>
          <w:rFonts w:eastAsia="Times New Roman" w:cs="Times New Roman"/>
          <w:lang w:eastAsia="en-GB"/>
        </w:rPr>
        <w:t xml:space="preserve">(CAP), white-matter microstructure (FA), and biological markers (BIO). Rows and columns correspond to RCs from the different blocks; warmer colors indicate stronger positive correlations and cooler colors indicate stronger negative correlations (values close to zero are near-neutral). </w:t>
      </w:r>
      <w:r w:rsidR="00F24170" w:rsidRPr="003C1D92">
        <w:rPr>
          <w:rFonts w:cs="Times New Roman"/>
          <w:b/>
          <w:bCs/>
          <w:lang w:val="en-US"/>
        </w:rPr>
        <w:br w:type="page"/>
      </w:r>
    </w:p>
    <w:p w14:paraId="6BEC9E05" w14:textId="4D9EADB6" w:rsidR="00557BAC" w:rsidRPr="003C1D92" w:rsidRDefault="00557BAC" w:rsidP="00EF0772">
      <w:pPr>
        <w:pStyle w:val="Heading1"/>
        <w:spacing w:line="480" w:lineRule="auto"/>
        <w:rPr>
          <w:lang w:val="en-US"/>
        </w:rPr>
      </w:pPr>
      <w:bookmarkStart w:id="69" w:name="_Toc229229984"/>
      <w:r w:rsidRPr="003C1D92">
        <w:rPr>
          <w:lang w:val="en-US"/>
        </w:rPr>
        <w:lastRenderedPageBreak/>
        <w:t>SUPPLEMENTARY REFERENCES</w:t>
      </w:r>
      <w:bookmarkEnd w:id="69"/>
    </w:p>
    <w:p w14:paraId="09AA228A" w14:textId="77777777" w:rsidR="006E3566" w:rsidRPr="003C1D92" w:rsidRDefault="00083478" w:rsidP="006E3566">
      <w:pPr>
        <w:pStyle w:val="Bibliography"/>
        <w:rPr>
          <w:lang w:val="en-GB"/>
        </w:rPr>
      </w:pPr>
      <w:r w:rsidRPr="003C1D92">
        <w:rPr>
          <w:lang w:val="en-GB"/>
        </w:rPr>
        <w:t xml:space="preserve"> </w:t>
      </w:r>
      <w:r w:rsidR="00B66BC7" w:rsidRPr="003C1D92">
        <w:rPr>
          <w:lang w:val="en-GB"/>
        </w:rPr>
        <w:fldChar w:fldCharType="begin"/>
      </w:r>
      <w:r w:rsidR="006E3566" w:rsidRPr="003C1D92">
        <w:rPr>
          <w:lang w:val="en-GB"/>
        </w:rPr>
        <w:instrText xml:space="preserve"> ADDIN ZOTERO_BIBL {"uncited":[],"omitted":[],"custom":[]} CSL_BIBLIOGRAPHY </w:instrText>
      </w:r>
      <w:r w:rsidR="00B66BC7" w:rsidRPr="003C1D92">
        <w:rPr>
          <w:lang w:val="en-GB"/>
        </w:rPr>
        <w:fldChar w:fldCharType="separate"/>
      </w:r>
      <w:r w:rsidR="006E3566" w:rsidRPr="003C1D92">
        <w:rPr>
          <w:lang w:val="en-GB"/>
        </w:rPr>
        <w:t xml:space="preserve">1. Saccaro LF, Delavari F, Meuleman B, Perroud N, Van De Ville D, Piguet C (2025): Limbic-Sensorimotor Tug of War for the Hippocampus: Dynamic Functional Connectivity as a Transdiagnostic Vulnerability Marker in Offspring of Emotion Dysregulation Patients. </w:t>
      </w:r>
      <w:r w:rsidR="006E3566" w:rsidRPr="003C1D92">
        <w:rPr>
          <w:i/>
          <w:iCs/>
          <w:lang w:val="en-GB"/>
        </w:rPr>
        <w:t>Biol Psychiatry Cogn Neurosci Neuroimaging</w:t>
      </w:r>
      <w:r w:rsidR="006E3566" w:rsidRPr="003C1D92">
        <w:rPr>
          <w:lang w:val="en-GB"/>
        </w:rPr>
        <w:t>. https://doi.org/10.1016/j.bpsc.2025.03.007</w:t>
      </w:r>
    </w:p>
    <w:p w14:paraId="5EFBB71C" w14:textId="77777777" w:rsidR="006E3566" w:rsidRPr="003C1D92" w:rsidRDefault="006E3566" w:rsidP="006E3566">
      <w:pPr>
        <w:pStyle w:val="Bibliography"/>
        <w:rPr>
          <w:lang w:val="en-GB"/>
        </w:rPr>
      </w:pPr>
      <w:r w:rsidRPr="003C1D92">
        <w:rPr>
          <w:lang w:val="en-GB"/>
        </w:rPr>
        <w:t xml:space="preserve">2. Ellison WD, Rosenstein LK, Morgan TA, Zimmerman M (2018): Community and Clinical Epidemiology of Borderline Personality Disorder. </w:t>
      </w:r>
      <w:r w:rsidRPr="003C1D92">
        <w:rPr>
          <w:i/>
          <w:iCs/>
          <w:lang w:val="en-GB"/>
        </w:rPr>
        <w:t>Psychiatr Clin North Am</w:t>
      </w:r>
      <w:r w:rsidRPr="003C1D92">
        <w:rPr>
          <w:lang w:val="en-GB"/>
        </w:rPr>
        <w:t xml:space="preserve"> 41: 561–573.</w:t>
      </w:r>
    </w:p>
    <w:p w14:paraId="79ACA91A" w14:textId="77777777" w:rsidR="006E3566" w:rsidRPr="003C1D92" w:rsidRDefault="006E3566" w:rsidP="006E3566">
      <w:pPr>
        <w:pStyle w:val="Bibliography"/>
        <w:rPr>
          <w:lang w:val="en-GB"/>
        </w:rPr>
      </w:pPr>
      <w:r w:rsidRPr="003C1D92">
        <w:rPr>
          <w:lang w:val="en-GB"/>
        </w:rPr>
        <w:t xml:space="preserve">3. Collaborators GBD 2019 MD (2019): Global , regional , and national burden of 12 mental disorders in 204 countries and territories , 1990 – 2019 : a systematic analysis from the Global Burden of Disease Study 2019 Accepted for publication at The Lancet Psychiatry. </w:t>
      </w:r>
      <w:r w:rsidRPr="003C1D92">
        <w:rPr>
          <w:i/>
          <w:iCs/>
          <w:lang w:val="en-GB"/>
        </w:rPr>
        <w:t>Lancet Psychiatry</w:t>
      </w:r>
      <w:r w:rsidRPr="003C1D92">
        <w:rPr>
          <w:lang w:val="en-GB"/>
        </w:rPr>
        <w:t xml:space="preserve"> 0366: 1–43.</w:t>
      </w:r>
    </w:p>
    <w:p w14:paraId="6FE034EA" w14:textId="77777777" w:rsidR="006E3566" w:rsidRPr="003C1D92" w:rsidRDefault="006E3566" w:rsidP="006E3566">
      <w:pPr>
        <w:pStyle w:val="Bibliography"/>
        <w:rPr>
          <w:lang w:val="en-GB"/>
        </w:rPr>
      </w:pPr>
      <w:r w:rsidRPr="003C1D92">
        <w:rPr>
          <w:lang w:val="en-GB"/>
        </w:rPr>
        <w:t xml:space="preserve">4. Skoglund C, Tiger A, Rück C, Petrovic P, Asherson P, Hellner C, </w:t>
      </w:r>
      <w:r w:rsidRPr="003C1D92">
        <w:rPr>
          <w:i/>
          <w:iCs/>
          <w:lang w:val="en-GB"/>
        </w:rPr>
        <w:t>et al.</w:t>
      </w:r>
      <w:r w:rsidRPr="003C1D92">
        <w:rPr>
          <w:lang w:val="en-GB"/>
        </w:rPr>
        <w:t xml:space="preserve"> (2021): Familial risk and heritability of diagnosed borderline personality disorder: a register study of the Swedish population. </w:t>
      </w:r>
      <w:r w:rsidRPr="003C1D92">
        <w:rPr>
          <w:i/>
          <w:iCs/>
          <w:lang w:val="en-GB"/>
        </w:rPr>
        <w:t>Mol Psychiatry</w:t>
      </w:r>
      <w:r w:rsidRPr="003C1D92">
        <w:rPr>
          <w:lang w:val="en-GB"/>
        </w:rPr>
        <w:t xml:space="preserve"> 26: 999–1008.</w:t>
      </w:r>
    </w:p>
    <w:p w14:paraId="075AF98F" w14:textId="77777777" w:rsidR="006E3566" w:rsidRPr="003C1D92" w:rsidRDefault="006E3566" w:rsidP="006E3566">
      <w:pPr>
        <w:pStyle w:val="Bibliography"/>
        <w:rPr>
          <w:lang w:val="en-GB"/>
        </w:rPr>
      </w:pPr>
      <w:r w:rsidRPr="003C1D92">
        <w:rPr>
          <w:lang w:val="en-GB"/>
        </w:rPr>
        <w:t xml:space="preserve">5. Stahl EA, Breen G, Forstner AJ, McQuillin A, Ripke S, Trubetskoy V, </w:t>
      </w:r>
      <w:r w:rsidRPr="003C1D92">
        <w:rPr>
          <w:i/>
          <w:iCs/>
          <w:lang w:val="en-GB"/>
        </w:rPr>
        <w:t>et al.</w:t>
      </w:r>
      <w:r w:rsidRPr="003C1D92">
        <w:rPr>
          <w:lang w:val="en-GB"/>
        </w:rPr>
        <w:t xml:space="preserve"> (2019): Genome-wide association study identifies 30 loci associated with bipolar disorder. </w:t>
      </w:r>
      <w:r w:rsidRPr="003C1D92">
        <w:rPr>
          <w:i/>
          <w:iCs/>
          <w:lang w:val="en-GB"/>
        </w:rPr>
        <w:t>Nat Genet</w:t>
      </w:r>
      <w:r w:rsidRPr="003C1D92">
        <w:rPr>
          <w:lang w:val="en-GB"/>
        </w:rPr>
        <w:t xml:space="preserve"> 51: 793–803.</w:t>
      </w:r>
    </w:p>
    <w:p w14:paraId="4824A2DD" w14:textId="77777777" w:rsidR="006E3566" w:rsidRPr="003C1D92" w:rsidRDefault="006E3566" w:rsidP="006E3566">
      <w:pPr>
        <w:pStyle w:val="Bibliography"/>
        <w:rPr>
          <w:lang w:val="en-GB"/>
        </w:rPr>
      </w:pPr>
      <w:r w:rsidRPr="003C1D92">
        <w:rPr>
          <w:lang w:val="en-GB"/>
        </w:rPr>
        <w:t xml:space="preserve">6. Lener MS (2016): Genome-wide analyses of borderline personality features. </w:t>
      </w:r>
      <w:r w:rsidRPr="003C1D92">
        <w:rPr>
          <w:i/>
          <w:iCs/>
          <w:lang w:val="en-GB"/>
        </w:rPr>
        <w:t>Physiol Behav</w:t>
      </w:r>
      <w:r w:rsidRPr="003C1D92">
        <w:rPr>
          <w:lang w:val="en-GB"/>
        </w:rPr>
        <w:t xml:space="preserve"> 176: 139–148.</w:t>
      </w:r>
    </w:p>
    <w:p w14:paraId="4088CFCD" w14:textId="77777777" w:rsidR="006E3566" w:rsidRPr="003C1D92" w:rsidRDefault="006E3566" w:rsidP="006E3566">
      <w:pPr>
        <w:pStyle w:val="Bibliography"/>
        <w:rPr>
          <w:lang w:val="de-CH"/>
        </w:rPr>
      </w:pPr>
      <w:r w:rsidRPr="003C1D92">
        <w:rPr>
          <w:lang w:val="en-GB"/>
        </w:rPr>
        <w:t xml:space="preserve">7. Ohi K, Nishizawa D, Shimada T, Kataoka Y, Hasegawa J, Shioiri T, </w:t>
      </w:r>
      <w:r w:rsidRPr="003C1D92">
        <w:rPr>
          <w:i/>
          <w:iCs/>
          <w:lang w:val="en-GB"/>
        </w:rPr>
        <w:t>et al.</w:t>
      </w:r>
      <w:r w:rsidRPr="003C1D92">
        <w:rPr>
          <w:lang w:val="en-GB"/>
        </w:rPr>
        <w:t xml:space="preserve"> (2020): Polygenetic risk scores for major psychiatric disorders among schizophrenia patients, their first-degree relatives, and healthy participants. </w:t>
      </w:r>
      <w:r w:rsidRPr="003C1D92">
        <w:rPr>
          <w:i/>
          <w:iCs/>
          <w:lang w:val="de-CH"/>
        </w:rPr>
        <w:t>Int J Neuropsychopharmacol</w:t>
      </w:r>
      <w:r w:rsidRPr="003C1D92">
        <w:rPr>
          <w:lang w:val="de-CH"/>
        </w:rPr>
        <w:t xml:space="preserve"> 23: 157–164.</w:t>
      </w:r>
    </w:p>
    <w:p w14:paraId="5B98CB4E" w14:textId="77777777" w:rsidR="006E3566" w:rsidRPr="003C1D92" w:rsidRDefault="006E3566" w:rsidP="006E3566">
      <w:pPr>
        <w:pStyle w:val="Bibliography"/>
        <w:rPr>
          <w:lang w:val="en-GB"/>
        </w:rPr>
      </w:pPr>
      <w:r w:rsidRPr="003C1D92">
        <w:rPr>
          <w:lang w:val="de-CH"/>
        </w:rPr>
        <w:lastRenderedPageBreak/>
        <w:t xml:space="preserve">8. Demontis D, Walters RK, Martin J, Mattheisen M, Als TD, Agerbo E, </w:t>
      </w:r>
      <w:r w:rsidRPr="003C1D92">
        <w:rPr>
          <w:i/>
          <w:iCs/>
          <w:lang w:val="de-CH"/>
        </w:rPr>
        <w:t>et al.</w:t>
      </w:r>
      <w:r w:rsidRPr="003C1D92">
        <w:rPr>
          <w:lang w:val="de-CH"/>
        </w:rPr>
        <w:t xml:space="preserve"> </w:t>
      </w:r>
      <w:r w:rsidRPr="003C1D92">
        <w:rPr>
          <w:lang w:val="en-GB"/>
        </w:rPr>
        <w:t xml:space="preserve">(2019): Discovery of the first genome-wide significant risk loci for attention deficit/hyperactivity disorder. </w:t>
      </w:r>
      <w:r w:rsidRPr="003C1D92">
        <w:rPr>
          <w:i/>
          <w:iCs/>
          <w:lang w:val="en-GB"/>
        </w:rPr>
        <w:t>Nat Genet</w:t>
      </w:r>
      <w:r w:rsidRPr="003C1D92">
        <w:rPr>
          <w:lang w:val="en-GB"/>
        </w:rPr>
        <w:t xml:space="preserve"> 51: 63–75.</w:t>
      </w:r>
    </w:p>
    <w:p w14:paraId="0FBC5564" w14:textId="77777777" w:rsidR="006E3566" w:rsidRPr="003C1D92" w:rsidRDefault="006E3566" w:rsidP="006E3566">
      <w:pPr>
        <w:pStyle w:val="Bibliography"/>
        <w:rPr>
          <w:lang w:val="en-GB"/>
        </w:rPr>
      </w:pPr>
      <w:r w:rsidRPr="003C1D92">
        <w:rPr>
          <w:lang w:val="en-GB"/>
        </w:rPr>
        <w:t xml:space="preserve">9. Katzman MA, Bilkey TS, Chokka PR, Fallu A, Klassen LJ (2017): Adult ADHD and comorbid disorders: Clinical implications of a dimensional approach. </w:t>
      </w:r>
      <w:r w:rsidRPr="003C1D92">
        <w:rPr>
          <w:i/>
          <w:iCs/>
          <w:lang w:val="en-GB"/>
        </w:rPr>
        <w:t>BMC Psychiatry</w:t>
      </w:r>
      <w:r w:rsidRPr="003C1D92">
        <w:rPr>
          <w:lang w:val="en-GB"/>
        </w:rPr>
        <w:t xml:space="preserve"> 17: 1–15.</w:t>
      </w:r>
    </w:p>
    <w:p w14:paraId="47249FF0" w14:textId="77777777" w:rsidR="006E3566" w:rsidRPr="003C1D92" w:rsidRDefault="006E3566" w:rsidP="006E3566">
      <w:pPr>
        <w:pStyle w:val="Bibliography"/>
        <w:rPr>
          <w:lang w:val="en-GB"/>
        </w:rPr>
      </w:pPr>
      <w:r w:rsidRPr="003C1D92">
        <w:rPr>
          <w:lang w:val="en-GB"/>
        </w:rPr>
        <w:t xml:space="preserve">10. Weiner L, Perroud N, Weibel S (2019): Attention Deficit Hyperactivity Disorder And Borderline Personality Disorder In Adults: A Review Of Their Links And Risks. </w:t>
      </w:r>
      <w:r w:rsidRPr="003C1D92">
        <w:rPr>
          <w:i/>
          <w:iCs/>
          <w:lang w:val="en-GB"/>
        </w:rPr>
        <w:t>Neuropsychiatr Dis Treat</w:t>
      </w:r>
      <w:r w:rsidRPr="003C1D92">
        <w:rPr>
          <w:lang w:val="en-GB"/>
        </w:rPr>
        <w:t xml:space="preserve"> 15: 3115–3129.</w:t>
      </w:r>
    </w:p>
    <w:p w14:paraId="6318A662" w14:textId="77777777" w:rsidR="006E3566" w:rsidRPr="003C1D92" w:rsidRDefault="006E3566" w:rsidP="006E3566">
      <w:pPr>
        <w:pStyle w:val="Bibliography"/>
        <w:rPr>
          <w:lang w:val="fr-CH"/>
        </w:rPr>
      </w:pPr>
      <w:r w:rsidRPr="003C1D92">
        <w:rPr>
          <w:lang w:val="en-GB"/>
        </w:rPr>
        <w:t xml:space="preserve">11. Zimmerman M, Morgan TA (2013): The relationship between borderline personality disorder and bipolar disorder. </w:t>
      </w:r>
      <w:r w:rsidRPr="003C1D92">
        <w:rPr>
          <w:i/>
          <w:iCs/>
          <w:lang w:val="fr-CH"/>
        </w:rPr>
        <w:t>Dialogues Clin Neurosci</w:t>
      </w:r>
      <w:r w:rsidRPr="003C1D92">
        <w:rPr>
          <w:lang w:val="fr-CH"/>
        </w:rPr>
        <w:t xml:space="preserve"> 15: 155.</w:t>
      </w:r>
    </w:p>
    <w:p w14:paraId="43B3E288" w14:textId="77777777" w:rsidR="006E3566" w:rsidRPr="003C1D92" w:rsidRDefault="006E3566" w:rsidP="006E3566">
      <w:pPr>
        <w:pStyle w:val="Bibliography"/>
        <w:rPr>
          <w:lang w:val="en-GB"/>
        </w:rPr>
      </w:pPr>
      <w:r w:rsidRPr="003C1D92">
        <w:rPr>
          <w:lang w:val="fr-CH"/>
        </w:rPr>
        <w:t xml:space="preserve">12. Perroud N, Cordera P, Zimmermann J, Michalopoulos G, Bancila V, Prada P, </w:t>
      </w:r>
      <w:r w:rsidRPr="003C1D92">
        <w:rPr>
          <w:i/>
          <w:iCs/>
          <w:lang w:val="fr-CH"/>
        </w:rPr>
        <w:t>et al.</w:t>
      </w:r>
      <w:r w:rsidRPr="003C1D92">
        <w:rPr>
          <w:lang w:val="fr-CH"/>
        </w:rPr>
        <w:t xml:space="preserve"> </w:t>
      </w:r>
      <w:r w:rsidRPr="003C1D92">
        <w:rPr>
          <w:lang w:val="en-GB"/>
        </w:rPr>
        <w:t xml:space="preserve">(2014): Comorbidity between attention deficit hyperactivity disorder (ADHD) and bipolar disorder in a specialized mood disorders outpatient clinic. </w:t>
      </w:r>
      <w:r w:rsidRPr="003C1D92">
        <w:rPr>
          <w:i/>
          <w:iCs/>
          <w:lang w:val="en-GB"/>
        </w:rPr>
        <w:t>J Affect Disord</w:t>
      </w:r>
      <w:r w:rsidRPr="003C1D92">
        <w:rPr>
          <w:lang w:val="en-GB"/>
        </w:rPr>
        <w:t xml:space="preserve"> 168: 161–166.</w:t>
      </w:r>
    </w:p>
    <w:p w14:paraId="67064895" w14:textId="77777777" w:rsidR="006E3566" w:rsidRPr="003C1D92" w:rsidRDefault="006E3566" w:rsidP="006E3566">
      <w:pPr>
        <w:pStyle w:val="Bibliography"/>
        <w:rPr>
          <w:lang w:val="en-GB"/>
        </w:rPr>
      </w:pPr>
      <w:r w:rsidRPr="003C1D92">
        <w:rPr>
          <w:lang w:val="en-GB"/>
        </w:rPr>
        <w:t xml:space="preserve">13. Townsend JD, Sugar CA, Walshaw PD, Vasquez RE, Foland-Ross LC, Moody TD, </w:t>
      </w:r>
      <w:r w:rsidRPr="003C1D92">
        <w:rPr>
          <w:i/>
          <w:iCs/>
          <w:lang w:val="en-GB"/>
        </w:rPr>
        <w:t>et al.</w:t>
      </w:r>
      <w:r w:rsidRPr="003C1D92">
        <w:rPr>
          <w:lang w:val="en-GB"/>
        </w:rPr>
        <w:t xml:space="preserve"> (2013): Frontostriatal neuroimaging findings differ in patients with bipolar disorder who have or do not have ADHD comorbidity. </w:t>
      </w:r>
      <w:r w:rsidRPr="003C1D92">
        <w:rPr>
          <w:i/>
          <w:iCs/>
          <w:lang w:val="en-GB"/>
        </w:rPr>
        <w:t>J Affect Disord</w:t>
      </w:r>
      <w:r w:rsidRPr="003C1D92">
        <w:rPr>
          <w:lang w:val="en-GB"/>
        </w:rPr>
        <w:t xml:space="preserve"> 147: 389–396.</w:t>
      </w:r>
    </w:p>
    <w:p w14:paraId="771B5969" w14:textId="77777777" w:rsidR="006E3566" w:rsidRPr="003C1D92" w:rsidRDefault="006E3566" w:rsidP="006E3566">
      <w:pPr>
        <w:pStyle w:val="Bibliography"/>
        <w:rPr>
          <w:lang w:val="en-GB"/>
        </w:rPr>
      </w:pPr>
      <w:r w:rsidRPr="003C1D92">
        <w:rPr>
          <w:lang w:val="en-GB"/>
        </w:rPr>
        <w:t xml:space="preserve">14. Asherson P, Young AH, Eich-Höchli D, Moran P, Porsdal V, Deberdt W (2014): Differential diagnosis, comorbidity, and treatment of attention-deficit/hyperactivity disorder in relation to bipolar disorder or borderline personality disorder in adults. </w:t>
      </w:r>
      <w:r w:rsidRPr="003C1D92">
        <w:rPr>
          <w:i/>
          <w:iCs/>
          <w:lang w:val="en-GB"/>
        </w:rPr>
        <w:t>Curr Med Res Opin</w:t>
      </w:r>
      <w:r w:rsidRPr="003C1D92">
        <w:rPr>
          <w:lang w:val="en-GB"/>
        </w:rPr>
        <w:t xml:space="preserve"> 30: 1657–1672.</w:t>
      </w:r>
    </w:p>
    <w:p w14:paraId="6F4216D0" w14:textId="77777777" w:rsidR="006E3566" w:rsidRPr="003C1D92" w:rsidRDefault="006E3566" w:rsidP="006E3566">
      <w:pPr>
        <w:pStyle w:val="Bibliography"/>
        <w:rPr>
          <w:lang w:val="en-GB"/>
        </w:rPr>
      </w:pPr>
      <w:r w:rsidRPr="003C1D92">
        <w:rPr>
          <w:lang w:val="en-GB"/>
        </w:rPr>
        <w:t xml:space="preserve">15. Richard-Lepouriel H, Etain B, Hasler R, Bellivier F, Gard S, Kahn J-P, </w:t>
      </w:r>
      <w:r w:rsidRPr="003C1D92">
        <w:rPr>
          <w:i/>
          <w:iCs/>
          <w:lang w:val="en-GB"/>
        </w:rPr>
        <w:t>et al.</w:t>
      </w:r>
      <w:r w:rsidRPr="003C1D92">
        <w:rPr>
          <w:lang w:val="en-GB"/>
        </w:rPr>
        <w:t xml:space="preserve"> (2016): Similarities between emotional dysregulation in adults suffering from ADHD and bipolar patients. </w:t>
      </w:r>
      <w:r w:rsidRPr="003C1D92">
        <w:rPr>
          <w:i/>
          <w:iCs/>
          <w:lang w:val="en-GB"/>
        </w:rPr>
        <w:t>J Affect Disord</w:t>
      </w:r>
      <w:r w:rsidRPr="003C1D92">
        <w:rPr>
          <w:lang w:val="en-GB"/>
        </w:rPr>
        <w:t xml:space="preserve"> 198: 230–236.</w:t>
      </w:r>
    </w:p>
    <w:p w14:paraId="55722B90" w14:textId="77777777" w:rsidR="006E3566" w:rsidRPr="003C1D92" w:rsidRDefault="006E3566" w:rsidP="006E3566">
      <w:pPr>
        <w:pStyle w:val="Bibliography"/>
        <w:rPr>
          <w:lang w:val="en-GB"/>
        </w:rPr>
      </w:pPr>
      <w:r w:rsidRPr="003C1D92">
        <w:rPr>
          <w:lang w:val="en-GB"/>
        </w:rPr>
        <w:lastRenderedPageBreak/>
        <w:t xml:space="preserve">16. Arnold LE, Mount K, Frazier T, Demeter C, Youngstrom EA, Fristad MA, </w:t>
      </w:r>
      <w:r w:rsidRPr="003C1D92">
        <w:rPr>
          <w:i/>
          <w:iCs/>
          <w:lang w:val="en-GB"/>
        </w:rPr>
        <w:t>et al.</w:t>
      </w:r>
      <w:r w:rsidRPr="003C1D92">
        <w:rPr>
          <w:lang w:val="en-GB"/>
        </w:rPr>
        <w:t xml:space="preserve"> (2012): Pediatric bipolar disorder and ADHD: family history comparison in the LAMS clinical sample. </w:t>
      </w:r>
      <w:r w:rsidRPr="003C1D92">
        <w:rPr>
          <w:i/>
          <w:iCs/>
          <w:lang w:val="en-GB"/>
        </w:rPr>
        <w:t>J Affect Disord</w:t>
      </w:r>
      <w:r w:rsidRPr="003C1D92">
        <w:rPr>
          <w:lang w:val="en-GB"/>
        </w:rPr>
        <w:t xml:space="preserve"> 141: 382–389.</w:t>
      </w:r>
    </w:p>
    <w:p w14:paraId="17FE12D9" w14:textId="77777777" w:rsidR="006E3566" w:rsidRPr="003C1D92" w:rsidRDefault="006E3566" w:rsidP="006E3566">
      <w:pPr>
        <w:pStyle w:val="Bibliography"/>
        <w:rPr>
          <w:lang w:val="en-GB"/>
        </w:rPr>
      </w:pPr>
      <w:r w:rsidRPr="003C1D92">
        <w:rPr>
          <w:lang w:val="en-GB"/>
        </w:rPr>
        <w:t xml:space="preserve">17. Linhartová P, Látalová A, Barteček R, ŠirÅček J, Theiner P, Ejova A, </w:t>
      </w:r>
      <w:r w:rsidRPr="003C1D92">
        <w:rPr>
          <w:i/>
          <w:iCs/>
          <w:lang w:val="en-GB"/>
        </w:rPr>
        <w:t>et al.</w:t>
      </w:r>
      <w:r w:rsidRPr="003C1D92">
        <w:rPr>
          <w:lang w:val="en-GB"/>
        </w:rPr>
        <w:t xml:space="preserve"> (2019): Impulsivity in patients with borderline personality disorder: A comprehensive profile compared with healthy people and patients with ADHD. </w:t>
      </w:r>
      <w:r w:rsidRPr="003C1D92">
        <w:rPr>
          <w:i/>
          <w:iCs/>
          <w:lang w:val="en-GB"/>
        </w:rPr>
        <w:t>Psychol Med</w:t>
      </w:r>
      <w:r w:rsidRPr="003C1D92">
        <w:rPr>
          <w:lang w:val="en-GB"/>
        </w:rPr>
        <w:t>. https://doi.org/10.1017/S0033291719001892</w:t>
      </w:r>
    </w:p>
    <w:p w14:paraId="0925D904" w14:textId="77777777" w:rsidR="006E3566" w:rsidRPr="003C1D92" w:rsidRDefault="006E3566" w:rsidP="006E3566">
      <w:pPr>
        <w:pStyle w:val="Bibliography"/>
        <w:rPr>
          <w:lang w:val="en-GB"/>
        </w:rPr>
      </w:pPr>
      <w:r w:rsidRPr="003C1D92">
        <w:rPr>
          <w:lang w:val="en-GB"/>
        </w:rPr>
        <w:t xml:space="preserve">18. Casey BJ, Heller AS, Gee DG, Cohen AO (2019): Development of the emotional brain. </w:t>
      </w:r>
      <w:r w:rsidRPr="003C1D92">
        <w:rPr>
          <w:i/>
          <w:iCs/>
          <w:lang w:val="en-GB"/>
        </w:rPr>
        <w:t>Neurosci Lett</w:t>
      </w:r>
      <w:r w:rsidRPr="003C1D92">
        <w:rPr>
          <w:lang w:val="en-GB"/>
        </w:rPr>
        <w:t xml:space="preserve"> 693: 29–34.</w:t>
      </w:r>
    </w:p>
    <w:p w14:paraId="0C031B30" w14:textId="77777777" w:rsidR="006E3566" w:rsidRPr="003C1D92" w:rsidRDefault="006E3566" w:rsidP="006E3566">
      <w:pPr>
        <w:pStyle w:val="Bibliography"/>
        <w:rPr>
          <w:lang w:val="en-GB"/>
        </w:rPr>
      </w:pPr>
      <w:r w:rsidRPr="003C1D92">
        <w:rPr>
          <w:lang w:val="en-GB"/>
        </w:rPr>
        <w:t xml:space="preserve">19. Sanchis-Sanchis A, Grau MD, Moliner A-R, Morales-Murillo CP (2020): Effects of Age and Gender in Emotion Regulation of Children and Adolescents. </w:t>
      </w:r>
      <w:r w:rsidRPr="003C1D92">
        <w:rPr>
          <w:i/>
          <w:iCs/>
          <w:lang w:val="en-GB"/>
        </w:rPr>
        <w:t>Front Psychol</w:t>
      </w:r>
      <w:r w:rsidRPr="003C1D92">
        <w:rPr>
          <w:lang w:val="en-GB"/>
        </w:rPr>
        <w:t xml:space="preserve"> 11: 946.</w:t>
      </w:r>
    </w:p>
    <w:p w14:paraId="6E36C4C5" w14:textId="77777777" w:rsidR="006E3566" w:rsidRPr="003C1D92" w:rsidRDefault="006E3566" w:rsidP="006E3566">
      <w:pPr>
        <w:pStyle w:val="Bibliography"/>
        <w:rPr>
          <w:lang w:val="en-GB"/>
        </w:rPr>
      </w:pPr>
      <w:r w:rsidRPr="003C1D92">
        <w:rPr>
          <w:lang w:val="en-GB"/>
        </w:rPr>
        <w:t xml:space="preserve">20. Childress AC, Stark JG (2018): Diagnosis and treatment of attention-deficit/hyperactivity disorder in preschool-aged children. </w:t>
      </w:r>
      <w:r w:rsidRPr="003C1D92">
        <w:rPr>
          <w:i/>
          <w:iCs/>
          <w:lang w:val="en-GB"/>
        </w:rPr>
        <w:t>J Child Adolesc Psychopharmacol</w:t>
      </w:r>
      <w:r w:rsidRPr="003C1D92">
        <w:rPr>
          <w:lang w:val="en-GB"/>
        </w:rPr>
        <w:t xml:space="preserve"> 28: 606–614.</w:t>
      </w:r>
    </w:p>
    <w:p w14:paraId="4627AC95" w14:textId="77777777" w:rsidR="006E3566" w:rsidRPr="003C1D92" w:rsidRDefault="006E3566" w:rsidP="006E3566">
      <w:pPr>
        <w:pStyle w:val="Bibliography"/>
        <w:rPr>
          <w:lang w:val="en-GB"/>
        </w:rPr>
      </w:pPr>
      <w:r w:rsidRPr="003C1D92">
        <w:rPr>
          <w:lang w:val="en-GB"/>
        </w:rPr>
        <w:t xml:space="preserve">21. Saccaro LF, Giff A, De Rossi MM, Piguet C (2024): Interventions targeting emotion regulation: A systematic umbrella review. </w:t>
      </w:r>
      <w:r w:rsidRPr="003C1D92">
        <w:rPr>
          <w:i/>
          <w:iCs/>
          <w:lang w:val="en-GB"/>
        </w:rPr>
        <w:t>J Psychiatr Res</w:t>
      </w:r>
      <w:r w:rsidRPr="003C1D92">
        <w:rPr>
          <w:lang w:val="en-GB"/>
        </w:rPr>
        <w:t xml:space="preserve"> 174: 263–274.</w:t>
      </w:r>
    </w:p>
    <w:p w14:paraId="7B14A312" w14:textId="77777777" w:rsidR="006E3566" w:rsidRPr="003C1D92" w:rsidRDefault="006E3566" w:rsidP="006E3566">
      <w:pPr>
        <w:pStyle w:val="Bibliography"/>
        <w:rPr>
          <w:lang w:val="fr-CH"/>
        </w:rPr>
      </w:pPr>
      <w:r w:rsidRPr="003C1D92">
        <w:rPr>
          <w:lang w:val="en-GB"/>
        </w:rPr>
        <w:t xml:space="preserve">22. Petruso F, Giff AE, Milano BA, Menduni De Rossi M, Saccaro LF (2023): Inflammation and emotion regulation: a narrative review of evidence and mechanisms in emotion dysregulation disorders. </w:t>
      </w:r>
      <w:r w:rsidRPr="003C1D92">
        <w:rPr>
          <w:i/>
          <w:iCs/>
          <w:lang w:val="fr-CH"/>
        </w:rPr>
        <w:t>Neuronal Signal</w:t>
      </w:r>
      <w:r w:rsidRPr="003C1D92">
        <w:rPr>
          <w:lang w:val="fr-CH"/>
        </w:rPr>
        <w:t xml:space="preserve"> NS20220077.</w:t>
      </w:r>
    </w:p>
    <w:p w14:paraId="61C0ECA9" w14:textId="77777777" w:rsidR="006E3566" w:rsidRPr="003C1D92" w:rsidRDefault="006E3566" w:rsidP="006E3566">
      <w:pPr>
        <w:pStyle w:val="Bibliography"/>
        <w:rPr>
          <w:lang w:val="en-GB"/>
        </w:rPr>
      </w:pPr>
      <w:r w:rsidRPr="003C1D92">
        <w:rPr>
          <w:lang w:val="fr-CH"/>
        </w:rPr>
        <w:t xml:space="preserve">23. Faraone SV, Banaschewski T, Coghill D, Zheng Y, Biederman J, Bellgrove MA, </w:t>
      </w:r>
      <w:r w:rsidRPr="003C1D92">
        <w:rPr>
          <w:i/>
          <w:iCs/>
          <w:lang w:val="fr-CH"/>
        </w:rPr>
        <w:t>et al.</w:t>
      </w:r>
      <w:r w:rsidRPr="003C1D92">
        <w:rPr>
          <w:lang w:val="fr-CH"/>
        </w:rPr>
        <w:t xml:space="preserve"> </w:t>
      </w:r>
      <w:r w:rsidRPr="003C1D92">
        <w:rPr>
          <w:lang w:val="en-GB"/>
        </w:rPr>
        <w:t xml:space="preserve">(2021): The World Federation of ADHD International Consensus Statement: 208 Evidence-based conclusions about the disorder. </w:t>
      </w:r>
      <w:r w:rsidRPr="003C1D92">
        <w:rPr>
          <w:i/>
          <w:iCs/>
          <w:lang w:val="en-GB"/>
        </w:rPr>
        <w:t>Neurosci Biobehav Rev</w:t>
      </w:r>
      <w:r w:rsidRPr="003C1D92">
        <w:rPr>
          <w:lang w:val="en-GB"/>
        </w:rPr>
        <w:t xml:space="preserve"> 128: 789–818.</w:t>
      </w:r>
    </w:p>
    <w:p w14:paraId="41440AA7" w14:textId="77777777" w:rsidR="006E3566" w:rsidRPr="003C1D92" w:rsidRDefault="006E3566" w:rsidP="006E3566">
      <w:pPr>
        <w:pStyle w:val="Bibliography"/>
        <w:rPr>
          <w:lang w:val="en-GB"/>
        </w:rPr>
      </w:pPr>
      <w:r w:rsidRPr="003C1D92">
        <w:rPr>
          <w:lang w:val="en-GB"/>
        </w:rPr>
        <w:t xml:space="preserve">24. Merikangas KR, Jin R, He JP, Kessler RC, Lee S, Sampson NA, </w:t>
      </w:r>
      <w:r w:rsidRPr="003C1D92">
        <w:rPr>
          <w:i/>
          <w:iCs/>
          <w:lang w:val="en-GB"/>
        </w:rPr>
        <w:t>et al.</w:t>
      </w:r>
      <w:r w:rsidRPr="003C1D92">
        <w:rPr>
          <w:lang w:val="en-GB"/>
        </w:rPr>
        <w:t xml:space="preserve"> (2011): Prevalence and correlates of bipolar spectrum disorder in the World Mental Health Survey Initiative. </w:t>
      </w:r>
      <w:r w:rsidRPr="003C1D92">
        <w:rPr>
          <w:i/>
          <w:iCs/>
          <w:lang w:val="en-GB"/>
        </w:rPr>
        <w:t>Arch Gen Psychiatry</w:t>
      </w:r>
      <w:r w:rsidRPr="003C1D92">
        <w:rPr>
          <w:lang w:val="en-GB"/>
        </w:rPr>
        <w:t xml:space="preserve"> 68: 241–251.</w:t>
      </w:r>
    </w:p>
    <w:p w14:paraId="6A597ACA" w14:textId="77777777" w:rsidR="006E3566" w:rsidRPr="003C1D92" w:rsidRDefault="006E3566" w:rsidP="006E3566">
      <w:pPr>
        <w:pStyle w:val="Bibliography"/>
        <w:rPr>
          <w:lang w:val="en-GB"/>
        </w:rPr>
      </w:pPr>
      <w:r w:rsidRPr="003C1D92">
        <w:rPr>
          <w:lang w:val="en-GB"/>
        </w:rPr>
        <w:lastRenderedPageBreak/>
        <w:t xml:space="preserve">25. Grant BF, Chou SP, Goldstein RB, Huang B, Stinson FS, Saha TD, </w:t>
      </w:r>
      <w:r w:rsidRPr="003C1D92">
        <w:rPr>
          <w:i/>
          <w:iCs/>
          <w:lang w:val="en-GB"/>
        </w:rPr>
        <w:t>et al.</w:t>
      </w:r>
      <w:r w:rsidRPr="003C1D92">
        <w:rPr>
          <w:lang w:val="en-GB"/>
        </w:rPr>
        <w:t xml:space="preserve"> (2008): Prevalence, correlates, disability, and comorbidity of DSM-IV borderline personality disorder: results from the Wave 2 National Epidemiologic Survey on Alcohol and Related Conditions. </w:t>
      </w:r>
      <w:r w:rsidRPr="003C1D92">
        <w:rPr>
          <w:i/>
          <w:iCs/>
          <w:lang w:val="en-GB"/>
        </w:rPr>
        <w:t>J Clin Psychiatry</w:t>
      </w:r>
      <w:r w:rsidRPr="003C1D92">
        <w:rPr>
          <w:lang w:val="en-GB"/>
        </w:rPr>
        <w:t xml:space="preserve"> 69: 533–545.</w:t>
      </w:r>
    </w:p>
    <w:p w14:paraId="05C87439" w14:textId="77777777" w:rsidR="006E3566" w:rsidRPr="003C1D92" w:rsidRDefault="006E3566" w:rsidP="006E3566">
      <w:pPr>
        <w:pStyle w:val="Bibliography"/>
        <w:rPr>
          <w:lang w:val="fr-CH"/>
        </w:rPr>
      </w:pPr>
      <w:r w:rsidRPr="003C1D92">
        <w:rPr>
          <w:lang w:val="en-GB"/>
        </w:rPr>
        <w:t xml:space="preserve">26. Eich D, Gamma A, Malti T, Vogt Wehrli M, Liebrenz M, Seifritz E, Modestin J (2014): Temperamental differences between bipolar disorder, borderline personality disorder, and attention deficit/hyperactivity disorder: some implications for their diagnostic validity. </w:t>
      </w:r>
      <w:r w:rsidRPr="003C1D92">
        <w:rPr>
          <w:i/>
          <w:iCs/>
          <w:lang w:val="fr-CH"/>
        </w:rPr>
        <w:t>J Affect Disord</w:t>
      </w:r>
      <w:r w:rsidRPr="003C1D92">
        <w:rPr>
          <w:lang w:val="fr-CH"/>
        </w:rPr>
        <w:t xml:space="preserve"> 169: 101–104.</w:t>
      </w:r>
    </w:p>
    <w:p w14:paraId="761F6434" w14:textId="77777777" w:rsidR="006E3566" w:rsidRPr="003C1D92" w:rsidRDefault="006E3566" w:rsidP="006E3566">
      <w:pPr>
        <w:pStyle w:val="Bibliography"/>
        <w:rPr>
          <w:lang w:val="en-GB"/>
        </w:rPr>
      </w:pPr>
      <w:r w:rsidRPr="003C1D92">
        <w:rPr>
          <w:lang w:val="fr-CH"/>
        </w:rPr>
        <w:t xml:space="preserve">27. Kebets V, Favre P, Houenou J, Polosan M, Perroud N, Aubry JM, </w:t>
      </w:r>
      <w:r w:rsidRPr="003C1D92">
        <w:rPr>
          <w:i/>
          <w:iCs/>
          <w:lang w:val="fr-CH"/>
        </w:rPr>
        <w:t>et al.</w:t>
      </w:r>
      <w:r w:rsidRPr="003C1D92">
        <w:rPr>
          <w:lang w:val="fr-CH"/>
        </w:rPr>
        <w:t xml:space="preserve"> </w:t>
      </w:r>
      <w:r w:rsidRPr="003C1D92">
        <w:rPr>
          <w:lang w:val="en-GB"/>
        </w:rPr>
        <w:t xml:space="preserve">(2021): Fronto-limbic neural variability as a transdiagnostic correlate of emotion dysregulation. </w:t>
      </w:r>
      <w:r w:rsidRPr="003C1D92">
        <w:rPr>
          <w:i/>
          <w:iCs/>
          <w:lang w:val="en-GB"/>
        </w:rPr>
        <w:t>Transl Psychiatry</w:t>
      </w:r>
      <w:r w:rsidRPr="003C1D92">
        <w:rPr>
          <w:lang w:val="en-GB"/>
        </w:rPr>
        <w:t xml:space="preserve"> 11: 1–8.</w:t>
      </w:r>
    </w:p>
    <w:p w14:paraId="2D541341" w14:textId="77777777" w:rsidR="006E3566" w:rsidRPr="003C1D92" w:rsidRDefault="006E3566" w:rsidP="006E3566">
      <w:pPr>
        <w:pStyle w:val="Bibliography"/>
        <w:rPr>
          <w:lang w:val="en-GB"/>
        </w:rPr>
      </w:pPr>
      <w:r w:rsidRPr="003C1D92">
        <w:rPr>
          <w:lang w:val="en-GB"/>
        </w:rPr>
        <w:t xml:space="preserve">28. Bayas M, Kockler TD, Ramos-Quiroga JA, Caller SM, Fadeuilhe C, de Girolamo G, </w:t>
      </w:r>
      <w:r w:rsidRPr="003C1D92">
        <w:rPr>
          <w:i/>
          <w:iCs/>
          <w:lang w:val="en-GB"/>
        </w:rPr>
        <w:t>et al.</w:t>
      </w:r>
      <w:r w:rsidRPr="003C1D92">
        <w:rPr>
          <w:lang w:val="en-GB"/>
        </w:rPr>
        <w:t xml:space="preserve"> (2024): Dynamics of affect modulation in neurodevelopmental disorders (DynAMoND) – study design of a prospective cohort study. </w:t>
      </w:r>
      <w:r w:rsidRPr="003C1D92">
        <w:rPr>
          <w:i/>
          <w:iCs/>
          <w:lang w:val="en-GB"/>
        </w:rPr>
        <w:t>Int J Bipolar Disord</w:t>
      </w:r>
      <w:r w:rsidRPr="003C1D92">
        <w:rPr>
          <w:lang w:val="en-GB"/>
        </w:rPr>
        <w:t xml:space="preserve"> 12: 44.</w:t>
      </w:r>
    </w:p>
    <w:p w14:paraId="0D7381E7" w14:textId="77777777" w:rsidR="006E3566" w:rsidRPr="003C1D92" w:rsidRDefault="006E3566" w:rsidP="006E3566">
      <w:pPr>
        <w:pStyle w:val="Bibliography"/>
        <w:rPr>
          <w:lang w:val="en-GB"/>
        </w:rPr>
      </w:pPr>
      <w:r w:rsidRPr="003C1D92">
        <w:rPr>
          <w:lang w:val="en-GB"/>
        </w:rPr>
        <w:t xml:space="preserve">29. Durpoix A, Lachaux E, Weiner L, Weibel S (2023): Transdiagnostic skills training group of dialectical behavior therapy: a long-term naturalistic study. </w:t>
      </w:r>
      <w:r w:rsidRPr="003C1D92">
        <w:rPr>
          <w:i/>
          <w:iCs/>
          <w:lang w:val="en-GB"/>
        </w:rPr>
        <w:t>Borderline Personal Disord Emot Dysregulation</w:t>
      </w:r>
      <w:r w:rsidRPr="003C1D92">
        <w:rPr>
          <w:lang w:val="en-GB"/>
        </w:rPr>
        <w:t xml:space="preserve"> 10: 37.</w:t>
      </w:r>
    </w:p>
    <w:p w14:paraId="234B33DE" w14:textId="77777777" w:rsidR="006E3566" w:rsidRPr="003C1D92" w:rsidRDefault="006E3566" w:rsidP="006E3566">
      <w:pPr>
        <w:pStyle w:val="Bibliography"/>
        <w:rPr>
          <w:lang w:val="en-GB"/>
        </w:rPr>
      </w:pPr>
      <w:r w:rsidRPr="003C1D92">
        <w:rPr>
          <w:lang w:val="en-GB"/>
        </w:rPr>
        <w:t xml:space="preserve">30. Phillips ML, Swartz HA (2014): A critical appraisal of neuroimaging studies of bipolar disorder: Toward a new conceptualization of underlying neural circuitry and a road map for future research. </w:t>
      </w:r>
      <w:r w:rsidRPr="003C1D92">
        <w:rPr>
          <w:i/>
          <w:iCs/>
          <w:lang w:val="en-GB"/>
        </w:rPr>
        <w:t>Am J Psychiatry</w:t>
      </w:r>
      <w:r w:rsidRPr="003C1D92">
        <w:rPr>
          <w:lang w:val="en-GB"/>
        </w:rPr>
        <w:t xml:space="preserve"> 171: 829–843.</w:t>
      </w:r>
    </w:p>
    <w:p w14:paraId="171180ED" w14:textId="77777777" w:rsidR="006E3566" w:rsidRPr="003C1D92" w:rsidRDefault="006E3566" w:rsidP="006E3566">
      <w:pPr>
        <w:pStyle w:val="Bibliography"/>
        <w:rPr>
          <w:lang w:val="en-GB"/>
        </w:rPr>
      </w:pPr>
      <w:r w:rsidRPr="003C1D92">
        <w:rPr>
          <w:lang w:val="en-GB"/>
        </w:rPr>
        <w:t xml:space="preserve">31. Engen HG, Anderson MC (2018): Memory Control: A Fundamental Mechanism of Emotion Regulation. </w:t>
      </w:r>
      <w:r w:rsidRPr="003C1D92">
        <w:rPr>
          <w:i/>
          <w:iCs/>
          <w:lang w:val="en-GB"/>
        </w:rPr>
        <w:t>Trends Cogn Sci</w:t>
      </w:r>
      <w:r w:rsidRPr="003C1D92">
        <w:rPr>
          <w:lang w:val="en-GB"/>
        </w:rPr>
        <w:t xml:space="preserve"> 22: 982–995.</w:t>
      </w:r>
    </w:p>
    <w:p w14:paraId="158BBD32" w14:textId="77777777" w:rsidR="006E3566" w:rsidRPr="003C1D92" w:rsidRDefault="006E3566" w:rsidP="006E3566">
      <w:pPr>
        <w:pStyle w:val="Bibliography"/>
        <w:rPr>
          <w:lang w:val="en-GB"/>
        </w:rPr>
      </w:pPr>
      <w:r w:rsidRPr="003C1D92">
        <w:rPr>
          <w:lang w:val="en-GB"/>
        </w:rPr>
        <w:t xml:space="preserve">32. Genon S, Bernhardt BC, Joie RL, Amunts K, Eickhoff SB (2021): The many dimensions of human hippocampal organization and (dys)function. </w:t>
      </w:r>
      <w:r w:rsidRPr="003C1D92">
        <w:rPr>
          <w:i/>
          <w:iCs/>
          <w:lang w:val="en-GB"/>
        </w:rPr>
        <w:t>Trends Neurosci</w:t>
      </w:r>
      <w:r w:rsidRPr="003C1D92">
        <w:rPr>
          <w:lang w:val="en-GB"/>
        </w:rPr>
        <w:t xml:space="preserve"> 44: 977–989.</w:t>
      </w:r>
    </w:p>
    <w:p w14:paraId="2CE5EA60" w14:textId="77777777" w:rsidR="006E3566" w:rsidRPr="003C1D92" w:rsidRDefault="006E3566" w:rsidP="006E3566">
      <w:pPr>
        <w:pStyle w:val="Bibliography"/>
        <w:rPr>
          <w:lang w:val="en-GB"/>
        </w:rPr>
      </w:pPr>
      <w:r w:rsidRPr="003C1D92">
        <w:rPr>
          <w:lang w:val="en-GB"/>
        </w:rPr>
        <w:lastRenderedPageBreak/>
        <w:t xml:space="preserve">33. Plachti A, Eickhoff SB, Hoffstaedter F, Patil KR, Laird AR, Fox PT, </w:t>
      </w:r>
      <w:r w:rsidRPr="003C1D92">
        <w:rPr>
          <w:i/>
          <w:iCs/>
          <w:lang w:val="en-GB"/>
        </w:rPr>
        <w:t>et al.</w:t>
      </w:r>
      <w:r w:rsidRPr="003C1D92">
        <w:rPr>
          <w:lang w:val="en-GB"/>
        </w:rPr>
        <w:t xml:space="preserve"> (2019): Multimodal Parcellations and Extensive Behavioral Profiling Tackling the Hippocampus Gradient. </w:t>
      </w:r>
      <w:r w:rsidRPr="003C1D92">
        <w:rPr>
          <w:i/>
          <w:iCs/>
          <w:lang w:val="en-GB"/>
        </w:rPr>
        <w:t>Cereb Cortex</w:t>
      </w:r>
      <w:r w:rsidRPr="003C1D92">
        <w:rPr>
          <w:lang w:val="en-GB"/>
        </w:rPr>
        <w:t xml:space="preserve"> 29: 4595–4612.</w:t>
      </w:r>
    </w:p>
    <w:p w14:paraId="0B5D3C18" w14:textId="77777777" w:rsidR="006E3566" w:rsidRPr="003C1D92" w:rsidRDefault="006E3566" w:rsidP="006E3566">
      <w:pPr>
        <w:pStyle w:val="Bibliography"/>
        <w:rPr>
          <w:lang w:val="en-GB"/>
        </w:rPr>
      </w:pPr>
      <w:r w:rsidRPr="003C1D92">
        <w:rPr>
          <w:lang w:val="en-GB"/>
        </w:rPr>
        <w:t xml:space="preserve">34. Ezama L, Hernández-Cabrera JA, Seoane S, Pereda E, Janssen N (2021): Functional connectivity of the hippocampus and its subfields in resting-state networks. </w:t>
      </w:r>
      <w:r w:rsidRPr="003C1D92">
        <w:rPr>
          <w:i/>
          <w:iCs/>
          <w:lang w:val="en-GB"/>
        </w:rPr>
        <w:t>Eur J Neurosci</w:t>
      </w:r>
      <w:r w:rsidRPr="003C1D92">
        <w:rPr>
          <w:lang w:val="en-GB"/>
        </w:rPr>
        <w:t xml:space="preserve"> 53: 3378–3393.</w:t>
      </w:r>
    </w:p>
    <w:p w14:paraId="12D728AF" w14:textId="77777777" w:rsidR="006E3566" w:rsidRPr="003C1D92" w:rsidRDefault="006E3566" w:rsidP="006E3566">
      <w:pPr>
        <w:pStyle w:val="Bibliography"/>
        <w:rPr>
          <w:lang w:val="en-GB"/>
        </w:rPr>
      </w:pPr>
      <w:r w:rsidRPr="003C1D92">
        <w:rPr>
          <w:lang w:val="en-GB"/>
        </w:rPr>
        <w:t xml:space="preserve">35. Sala M, Perez J, Soloff P, Nemi SU di, Caverzasi E, Soares JC, Brambilla P (2004): Stress and hippocampal abnormalities in psychiatric disorders. </w:t>
      </w:r>
      <w:r w:rsidRPr="003C1D92">
        <w:rPr>
          <w:i/>
          <w:iCs/>
          <w:lang w:val="en-GB"/>
        </w:rPr>
        <w:t>Eur Neuropsychopharmacol</w:t>
      </w:r>
      <w:r w:rsidRPr="003C1D92">
        <w:rPr>
          <w:lang w:val="en-GB"/>
        </w:rPr>
        <w:t xml:space="preserve"> 14: 393–405.</w:t>
      </w:r>
    </w:p>
    <w:p w14:paraId="63406B62" w14:textId="77777777" w:rsidR="006E3566" w:rsidRPr="003C1D92" w:rsidRDefault="006E3566" w:rsidP="006E3566">
      <w:pPr>
        <w:pStyle w:val="Bibliography"/>
        <w:rPr>
          <w:lang w:val="en-GB"/>
        </w:rPr>
      </w:pPr>
      <w:r w:rsidRPr="003C1D92">
        <w:rPr>
          <w:lang w:val="en-GB"/>
        </w:rPr>
        <w:t xml:space="preserve">36. Baumann PS, Griffa A, Ferrari C, Alameda L, Thiran J-P, Do KQ, </w:t>
      </w:r>
      <w:r w:rsidRPr="003C1D92">
        <w:rPr>
          <w:i/>
          <w:iCs/>
          <w:lang w:val="en-GB"/>
        </w:rPr>
        <w:t>et al.</w:t>
      </w:r>
      <w:r w:rsidRPr="003C1D92">
        <w:rPr>
          <w:lang w:val="en-GB"/>
        </w:rPr>
        <w:t xml:space="preserve"> (2014): Integrity of the fornix and hippocampus and relationship with peripheral oxidative stress markers in early phase psychosis. </w:t>
      </w:r>
      <w:r w:rsidRPr="003C1D92">
        <w:rPr>
          <w:i/>
          <w:iCs/>
          <w:lang w:val="en-GB"/>
        </w:rPr>
        <w:t>Biol Psychiatry</w:t>
      </w:r>
      <w:r w:rsidRPr="003C1D92">
        <w:rPr>
          <w:lang w:val="en-GB"/>
        </w:rPr>
        <w:t xml:space="preserve"> 75: 109S.</w:t>
      </w:r>
    </w:p>
    <w:p w14:paraId="39647614" w14:textId="77777777" w:rsidR="006E3566" w:rsidRPr="003C1D92" w:rsidRDefault="006E3566" w:rsidP="006E3566">
      <w:pPr>
        <w:pStyle w:val="Bibliography"/>
        <w:rPr>
          <w:lang w:val="en-GB"/>
        </w:rPr>
      </w:pPr>
      <w:r w:rsidRPr="003C1D92">
        <w:rPr>
          <w:lang w:val="en-GB"/>
        </w:rPr>
        <w:t xml:space="preserve">37. Chesnokova V, Pechnick RN, Wawrowsky K (2016): Chronic peripheral inflammation, hippocampal neurogenesis, and behavior. </w:t>
      </w:r>
      <w:r w:rsidRPr="003C1D92">
        <w:rPr>
          <w:i/>
          <w:iCs/>
          <w:lang w:val="en-GB"/>
        </w:rPr>
        <w:t>Brain Behav Immun</w:t>
      </w:r>
      <w:r w:rsidRPr="003C1D92">
        <w:rPr>
          <w:lang w:val="en-GB"/>
        </w:rPr>
        <w:t xml:space="preserve"> 58: 1–8.</w:t>
      </w:r>
    </w:p>
    <w:p w14:paraId="5E12B12F" w14:textId="77777777" w:rsidR="006E3566" w:rsidRPr="003C1D92" w:rsidRDefault="006E3566" w:rsidP="006E3566">
      <w:pPr>
        <w:pStyle w:val="Bibliography"/>
        <w:rPr>
          <w:lang w:val="en-GB"/>
        </w:rPr>
      </w:pPr>
      <w:r w:rsidRPr="003C1D92">
        <w:rPr>
          <w:lang w:val="en-GB"/>
        </w:rPr>
        <w:t xml:space="preserve">38. Zonis S, Pechnick RN, Ljubimov VA, Mahgerefteh M, Wawrowsky K, Michelsen KS, Chesnokova V (2015): Chronic intestinal inflammation alters hippocampal neurogenesis. </w:t>
      </w:r>
      <w:r w:rsidRPr="003C1D92">
        <w:rPr>
          <w:i/>
          <w:iCs/>
          <w:lang w:val="en-GB"/>
        </w:rPr>
        <w:t>J Neuroinflammation</w:t>
      </w:r>
      <w:r w:rsidRPr="003C1D92">
        <w:rPr>
          <w:lang w:val="en-GB"/>
        </w:rPr>
        <w:t xml:space="preserve"> 12: 1–12.</w:t>
      </w:r>
    </w:p>
    <w:p w14:paraId="0E2442B3" w14:textId="77777777" w:rsidR="006E3566" w:rsidRPr="003C1D92" w:rsidRDefault="006E3566" w:rsidP="006E3566">
      <w:pPr>
        <w:pStyle w:val="Bibliography"/>
        <w:rPr>
          <w:lang w:val="en-GB"/>
        </w:rPr>
      </w:pPr>
      <w:r w:rsidRPr="003C1D92">
        <w:rPr>
          <w:lang w:val="en-GB"/>
        </w:rPr>
        <w:t xml:space="preserve">39. Kraus KL, Chordia AP, Drake AW, Herman JP, Danzer SC (2022): Hippocampal interneurons are direct targets for circulating glucocorticoids. </w:t>
      </w:r>
      <w:r w:rsidRPr="003C1D92">
        <w:rPr>
          <w:i/>
          <w:iCs/>
          <w:lang w:val="en-GB"/>
        </w:rPr>
        <w:t>J Comp Neurol</w:t>
      </w:r>
      <w:r w:rsidRPr="003C1D92">
        <w:rPr>
          <w:lang w:val="en-GB"/>
        </w:rPr>
        <w:t>.</w:t>
      </w:r>
    </w:p>
    <w:p w14:paraId="201F92B7" w14:textId="77777777" w:rsidR="006E3566" w:rsidRPr="003C1D92" w:rsidRDefault="006E3566" w:rsidP="006E3566">
      <w:pPr>
        <w:pStyle w:val="Bibliography"/>
        <w:rPr>
          <w:lang w:val="en-GB"/>
        </w:rPr>
      </w:pPr>
      <w:r w:rsidRPr="003C1D92">
        <w:rPr>
          <w:lang w:val="en-GB"/>
        </w:rPr>
        <w:t xml:space="preserve">40. Dedovic K, Duchesne A, Andrews J, Engert V, Pruessner JC (2009): The brain and the stress axis: The neural correlates of cortisol regulation in response to stress. </w:t>
      </w:r>
      <w:r w:rsidRPr="003C1D92">
        <w:rPr>
          <w:i/>
          <w:iCs/>
          <w:lang w:val="en-GB"/>
        </w:rPr>
        <w:t>NeuroImage</w:t>
      </w:r>
      <w:r w:rsidRPr="003C1D92">
        <w:rPr>
          <w:lang w:val="en-GB"/>
        </w:rPr>
        <w:t xml:space="preserve"> 47: 864–871.</w:t>
      </w:r>
    </w:p>
    <w:p w14:paraId="764C271B" w14:textId="77777777" w:rsidR="006E3566" w:rsidRPr="003C1D92" w:rsidRDefault="006E3566" w:rsidP="006E3566">
      <w:pPr>
        <w:pStyle w:val="Bibliography"/>
        <w:rPr>
          <w:lang w:val="en-GB"/>
        </w:rPr>
      </w:pPr>
      <w:r w:rsidRPr="003C1D92">
        <w:rPr>
          <w:lang w:val="en-GB"/>
        </w:rPr>
        <w:t xml:space="preserve">41. Gee DG, Gabard-Durnam LJ, Flannery J, Goff B, Humphreys KL, Telzer EH, </w:t>
      </w:r>
      <w:r w:rsidRPr="003C1D92">
        <w:rPr>
          <w:i/>
          <w:iCs/>
          <w:lang w:val="en-GB"/>
        </w:rPr>
        <w:t>et al.</w:t>
      </w:r>
      <w:r w:rsidRPr="003C1D92">
        <w:rPr>
          <w:lang w:val="en-GB"/>
        </w:rPr>
        <w:t xml:space="preserve"> (2013): Early developmental emergence of human amygdala-prefrontal connectivity after maternal deprivation. </w:t>
      </w:r>
      <w:r w:rsidRPr="003C1D92">
        <w:rPr>
          <w:i/>
          <w:iCs/>
          <w:lang w:val="en-GB"/>
        </w:rPr>
        <w:t>Proc Natl Acad Sci U S A</w:t>
      </w:r>
      <w:r w:rsidRPr="003C1D92">
        <w:rPr>
          <w:lang w:val="en-GB"/>
        </w:rPr>
        <w:t xml:space="preserve"> 110: 15638–15643.</w:t>
      </w:r>
    </w:p>
    <w:p w14:paraId="62853297" w14:textId="77777777" w:rsidR="006E3566" w:rsidRPr="003C1D92" w:rsidRDefault="006E3566" w:rsidP="006E3566">
      <w:pPr>
        <w:pStyle w:val="Bibliography"/>
        <w:rPr>
          <w:lang w:val="en-GB"/>
        </w:rPr>
      </w:pPr>
      <w:r w:rsidRPr="003C1D92">
        <w:rPr>
          <w:lang w:val="en-GB"/>
        </w:rPr>
        <w:lastRenderedPageBreak/>
        <w:t xml:space="preserve">42. Yuan JP, Ho TC, Coury SM, Chahal R, Colich NL, Gotlib IH (2022): Early life stress, systemic inflammation, and neural correlates of implicit emotion regulation in adolescents. </w:t>
      </w:r>
      <w:r w:rsidRPr="003C1D92">
        <w:rPr>
          <w:i/>
          <w:iCs/>
          <w:lang w:val="en-GB"/>
        </w:rPr>
        <w:t>Brain Behav Immun</w:t>
      </w:r>
      <w:r w:rsidRPr="003C1D92">
        <w:rPr>
          <w:lang w:val="en-GB"/>
        </w:rPr>
        <w:t xml:space="preserve"> 105: 169–179.</w:t>
      </w:r>
    </w:p>
    <w:p w14:paraId="2AF2A765" w14:textId="77777777" w:rsidR="006E3566" w:rsidRPr="003C1D92" w:rsidRDefault="006E3566" w:rsidP="006E3566">
      <w:pPr>
        <w:pStyle w:val="Bibliography"/>
        <w:rPr>
          <w:lang w:val="en-GB"/>
        </w:rPr>
      </w:pPr>
      <w:r w:rsidRPr="003C1D92">
        <w:rPr>
          <w:lang w:val="en-GB"/>
        </w:rPr>
        <w:t xml:space="preserve">43. Mathur A, Li JC, Lipitz SR, Graham-Engeland JE (2022): Emotion Regulation as a Pathway Connecting Early Life Adversity and Inflammation in Adulthood: a Conceptual Framework. </w:t>
      </w:r>
      <w:r w:rsidRPr="003C1D92">
        <w:rPr>
          <w:i/>
          <w:iCs/>
          <w:lang w:val="en-GB"/>
        </w:rPr>
        <w:t>Advers Resil Sci</w:t>
      </w:r>
      <w:r w:rsidRPr="003C1D92">
        <w:rPr>
          <w:lang w:val="en-GB"/>
        </w:rPr>
        <w:t xml:space="preserve"> 3: 1–19.</w:t>
      </w:r>
    </w:p>
    <w:p w14:paraId="3A0C8DAE" w14:textId="77777777" w:rsidR="006E3566" w:rsidRPr="003C1D92" w:rsidRDefault="006E3566" w:rsidP="006E3566">
      <w:pPr>
        <w:pStyle w:val="Bibliography"/>
        <w:rPr>
          <w:lang w:val="en-GB"/>
        </w:rPr>
      </w:pPr>
      <w:r w:rsidRPr="003C1D92">
        <w:rPr>
          <w:lang w:val="en-GB"/>
        </w:rPr>
        <w:t xml:space="preserve">44. Caruso D, Palagini L, Miniati M, Massa L, Marazziti D, Geoffroy PA, Etain B (2021): Early Life Stress and Chronobiological Rhythms Desynchronization: Possible Impact on Mood Symptoms and Suicidal Ideation in Bipolar Disorder. </w:t>
      </w:r>
      <w:r w:rsidRPr="003C1D92">
        <w:rPr>
          <w:i/>
          <w:iCs/>
          <w:lang w:val="en-GB"/>
        </w:rPr>
        <w:t>J Nerv Ment Dis</w:t>
      </w:r>
      <w:r w:rsidRPr="003C1D92">
        <w:rPr>
          <w:lang w:val="en-GB"/>
        </w:rPr>
        <w:t xml:space="preserve"> 209. Retrieved from https://journals.lww.com/jonmd/Fulltext/2021/07000/Early_Life_Stress_and_Chronobiological_Rhythms.10.aspx</w:t>
      </w:r>
    </w:p>
    <w:p w14:paraId="0EA42AB3" w14:textId="77777777" w:rsidR="006E3566" w:rsidRPr="003C1D92" w:rsidRDefault="006E3566" w:rsidP="006E3566">
      <w:pPr>
        <w:pStyle w:val="Bibliography"/>
        <w:rPr>
          <w:lang w:val="en-GB"/>
        </w:rPr>
      </w:pPr>
      <w:r w:rsidRPr="003C1D92">
        <w:rPr>
          <w:lang w:val="en-GB"/>
        </w:rPr>
        <w:t xml:space="preserve">45. Saccaro LF, Schilliger Z, Perroud N, Piguet C (2021): Inflammation, Anxiety, and Stress in Attention-Deficit/Hyperactivity Disorder. </w:t>
      </w:r>
      <w:r w:rsidRPr="003C1D92">
        <w:rPr>
          <w:i/>
          <w:iCs/>
          <w:lang w:val="en-GB"/>
        </w:rPr>
        <w:t>Biomedicines</w:t>
      </w:r>
      <w:r w:rsidRPr="003C1D92">
        <w:rPr>
          <w:lang w:val="en-GB"/>
        </w:rPr>
        <w:t xml:space="preserve"> 9: 1313.</w:t>
      </w:r>
    </w:p>
    <w:p w14:paraId="4B06CA60" w14:textId="77777777" w:rsidR="006E3566" w:rsidRPr="003C1D92" w:rsidRDefault="006E3566" w:rsidP="006E3566">
      <w:pPr>
        <w:pStyle w:val="Bibliography"/>
        <w:rPr>
          <w:lang w:val="en-GB"/>
        </w:rPr>
      </w:pPr>
      <w:r w:rsidRPr="003C1D92">
        <w:rPr>
          <w:lang w:val="en-GB"/>
        </w:rPr>
        <w:t xml:space="preserve">46. Saccaro LF, Schilliger Z, Dayer A, Perroud N, Piguet C (2021): Inflammation, anxiety, and stress in bipolar disorder and borderline personality disorder: A narrative review. </w:t>
      </w:r>
      <w:r w:rsidRPr="003C1D92">
        <w:rPr>
          <w:i/>
          <w:iCs/>
          <w:lang w:val="en-GB"/>
        </w:rPr>
        <w:t>Neurosci Biobehav Rev</w:t>
      </w:r>
      <w:r w:rsidRPr="003C1D92">
        <w:rPr>
          <w:lang w:val="en-GB"/>
        </w:rPr>
        <w:t xml:space="preserve"> 127: 184–192.</w:t>
      </w:r>
    </w:p>
    <w:p w14:paraId="5E8EAB4D" w14:textId="77777777" w:rsidR="006E3566" w:rsidRPr="003C1D92" w:rsidRDefault="006E3566" w:rsidP="006E3566">
      <w:pPr>
        <w:pStyle w:val="Bibliography"/>
        <w:rPr>
          <w:lang w:val="en-GB"/>
        </w:rPr>
      </w:pPr>
      <w:r w:rsidRPr="003C1D92">
        <w:rPr>
          <w:lang w:val="en-GB"/>
        </w:rPr>
        <w:t xml:space="preserve">47. Iob E, Kirschbaum C, Steptoe A (2020): Persistent depressive symptoms, HPA-axis hyperactivity, and inflammation: the role of cognitive-affective and somatic symptoms. </w:t>
      </w:r>
      <w:r w:rsidRPr="003C1D92">
        <w:rPr>
          <w:i/>
          <w:iCs/>
          <w:lang w:val="en-GB"/>
        </w:rPr>
        <w:t>Mol Psychiatry</w:t>
      </w:r>
      <w:r w:rsidRPr="003C1D92">
        <w:rPr>
          <w:lang w:val="en-GB"/>
        </w:rPr>
        <w:t xml:space="preserve"> 25: 1130–1140.</w:t>
      </w:r>
    </w:p>
    <w:p w14:paraId="224E8E6D" w14:textId="77777777" w:rsidR="006E3566" w:rsidRPr="003C1D92" w:rsidRDefault="006E3566" w:rsidP="006E3566">
      <w:pPr>
        <w:pStyle w:val="Bibliography"/>
        <w:rPr>
          <w:lang w:val="en-GB"/>
        </w:rPr>
      </w:pPr>
      <w:r w:rsidRPr="003C1D92">
        <w:rPr>
          <w:lang w:val="en-GB"/>
        </w:rPr>
        <w:t xml:space="preserve">48. Chen X, Gianferante D, Hanlin L, Fiksdal A, Breines JG, Thoma MV, Rohleder N (2017): HPA-axis and inflammatory reactivity to acute stress is related with basal HPA-axis activity. </w:t>
      </w:r>
      <w:r w:rsidRPr="003C1D92">
        <w:rPr>
          <w:i/>
          <w:iCs/>
          <w:lang w:val="en-GB"/>
        </w:rPr>
        <w:t>Psychoneuroendocrinology</w:t>
      </w:r>
      <w:r w:rsidRPr="003C1D92">
        <w:rPr>
          <w:lang w:val="en-GB"/>
        </w:rPr>
        <w:t xml:space="preserve"> 78: 168–176.</w:t>
      </w:r>
    </w:p>
    <w:p w14:paraId="3ABAC331" w14:textId="77777777" w:rsidR="006E3566" w:rsidRPr="003C1D92" w:rsidRDefault="006E3566" w:rsidP="006E3566">
      <w:pPr>
        <w:pStyle w:val="Bibliography"/>
        <w:rPr>
          <w:lang w:val="en-GB"/>
        </w:rPr>
      </w:pPr>
      <w:r w:rsidRPr="003C1D92">
        <w:rPr>
          <w:lang w:val="en-GB"/>
        </w:rPr>
        <w:lastRenderedPageBreak/>
        <w:t xml:space="preserve">49. Tseng HH, Chang HH, Wei SY, Lu TH, Hsieh YT, Yang YK, Chen PS (2021): Peripheral inflammation is associated with dysfunctional corticostriatal circuitry and executive dysfunction in bipolar disorder patients. </w:t>
      </w:r>
      <w:r w:rsidRPr="003C1D92">
        <w:rPr>
          <w:i/>
          <w:iCs/>
          <w:lang w:val="en-GB"/>
        </w:rPr>
        <w:t>Brain Behav Immun</w:t>
      </w:r>
      <w:r w:rsidRPr="003C1D92">
        <w:rPr>
          <w:lang w:val="en-GB"/>
        </w:rPr>
        <w:t xml:space="preserve"> 91: 695–702.</w:t>
      </w:r>
    </w:p>
    <w:p w14:paraId="29DEEF3E" w14:textId="77777777" w:rsidR="006E3566" w:rsidRPr="003C1D92" w:rsidRDefault="006E3566" w:rsidP="006E3566">
      <w:pPr>
        <w:pStyle w:val="Bibliography"/>
        <w:rPr>
          <w:lang w:val="en-GB"/>
        </w:rPr>
      </w:pPr>
      <w:r w:rsidRPr="003C1D92">
        <w:rPr>
          <w:lang w:val="en-GB"/>
        </w:rPr>
        <w:t xml:space="preserve">50. Tsai SY, Gildengers AG, Hsu JL, Chung KH, Chen PH, Huang YJ (2019): Inflammation associated with volume reduction in the gray matter and hippocampus of older patients with bipolar disorder. </w:t>
      </w:r>
      <w:r w:rsidRPr="003C1D92">
        <w:rPr>
          <w:i/>
          <w:iCs/>
          <w:lang w:val="en-GB"/>
        </w:rPr>
        <w:t>J Affect Disord</w:t>
      </w:r>
      <w:r w:rsidRPr="003C1D92">
        <w:rPr>
          <w:lang w:val="en-GB"/>
        </w:rPr>
        <w:t xml:space="preserve"> 244: 60–66.</w:t>
      </w:r>
    </w:p>
    <w:p w14:paraId="688CD917" w14:textId="77777777" w:rsidR="006E3566" w:rsidRPr="003C1D92" w:rsidRDefault="006E3566" w:rsidP="006E3566">
      <w:pPr>
        <w:pStyle w:val="Bibliography"/>
        <w:rPr>
          <w:lang w:val="en-GB"/>
        </w:rPr>
      </w:pPr>
      <w:r w:rsidRPr="003C1D92">
        <w:rPr>
          <w:lang w:val="en-GB"/>
        </w:rPr>
        <w:t xml:space="preserve">51. Saccaro LF, Gaviria J, Ville DVD, Piguet C (2023): Dynamic functional hippocampal markers of residual depressive symptoms in euthymic bipolar disorder. </w:t>
      </w:r>
      <w:r w:rsidRPr="003C1D92">
        <w:rPr>
          <w:i/>
          <w:iCs/>
          <w:lang w:val="en-GB"/>
        </w:rPr>
        <w:t>Brain Behav</w:t>
      </w:r>
      <w:r w:rsidRPr="003C1D92">
        <w:rPr>
          <w:lang w:val="en-GB"/>
        </w:rPr>
        <w:t xml:space="preserve"> 13: e3010.</w:t>
      </w:r>
    </w:p>
    <w:p w14:paraId="7E7130B3" w14:textId="77777777" w:rsidR="006E3566" w:rsidRPr="003C1D92" w:rsidRDefault="006E3566" w:rsidP="006E3566">
      <w:pPr>
        <w:pStyle w:val="Bibliography"/>
        <w:rPr>
          <w:lang w:val="en-GB"/>
        </w:rPr>
      </w:pPr>
      <w:r w:rsidRPr="003C1D92">
        <w:rPr>
          <w:lang w:val="en-GB"/>
        </w:rPr>
        <w:t xml:space="preserve">52. Saccaro LF, Delavari F, Van De Ville D, Piguet C (2024): Hippocampal temporal dynamics and spatial heterogeneity unveil vulnerability markers in the offspring of bipolar patients. </w:t>
      </w:r>
      <w:r w:rsidRPr="003C1D92">
        <w:rPr>
          <w:i/>
          <w:iCs/>
          <w:lang w:val="en-GB"/>
        </w:rPr>
        <w:t>Bipolar Disord</w:t>
      </w:r>
      <w:r w:rsidRPr="003C1D92">
        <w:rPr>
          <w:lang w:val="en-GB"/>
        </w:rPr>
        <w:t>. https://doi.org/10.1111/bdi.13487</w:t>
      </w:r>
    </w:p>
    <w:p w14:paraId="57665210" w14:textId="77777777" w:rsidR="006E3566" w:rsidRPr="003C1D92" w:rsidRDefault="006E3566" w:rsidP="006E3566">
      <w:pPr>
        <w:pStyle w:val="Bibliography"/>
        <w:rPr>
          <w:lang w:val="en-GB"/>
        </w:rPr>
      </w:pPr>
      <w:r w:rsidRPr="003C1D92">
        <w:rPr>
          <w:lang w:val="en-GB"/>
        </w:rPr>
        <w:t xml:space="preserve">53. Zhong S, Chen P, Lai S, Zhang Y, Chen G, He J, </w:t>
      </w:r>
      <w:r w:rsidRPr="003C1D92">
        <w:rPr>
          <w:i/>
          <w:iCs/>
          <w:lang w:val="en-GB"/>
        </w:rPr>
        <w:t>et al.</w:t>
      </w:r>
      <w:r w:rsidRPr="003C1D92">
        <w:rPr>
          <w:lang w:val="en-GB"/>
        </w:rPr>
        <w:t xml:space="preserve"> (2024): Hippocampal Dynamic Functional Connectivity, HPA Axis Activity, and Personality Trait in Bipolar Disorder with Suicidal Attempt. </w:t>
      </w:r>
      <w:r w:rsidRPr="003C1D92">
        <w:rPr>
          <w:i/>
          <w:iCs/>
          <w:lang w:val="en-GB"/>
        </w:rPr>
        <w:t>Neuroendocrinology</w:t>
      </w:r>
      <w:r w:rsidRPr="003C1D92">
        <w:rPr>
          <w:lang w:val="en-GB"/>
        </w:rPr>
        <w:t xml:space="preserve"> 114: 179–191.</w:t>
      </w:r>
    </w:p>
    <w:p w14:paraId="0B672694" w14:textId="77777777" w:rsidR="006E3566" w:rsidRPr="003C1D92" w:rsidRDefault="006E3566" w:rsidP="006E3566">
      <w:pPr>
        <w:pStyle w:val="Bibliography"/>
        <w:rPr>
          <w:lang w:val="en-GB"/>
        </w:rPr>
      </w:pPr>
      <w:r w:rsidRPr="003C1D92">
        <w:rPr>
          <w:lang w:val="en-GB"/>
        </w:rPr>
        <w:t xml:space="preserve">54. Nurnberger JI, Blehar MC, Kaufmann CA, York-Cooler C, Simpson SG, Harkavy-Friedman J, </w:t>
      </w:r>
      <w:r w:rsidRPr="003C1D92">
        <w:rPr>
          <w:i/>
          <w:iCs/>
          <w:lang w:val="en-GB"/>
        </w:rPr>
        <w:t>et al.</w:t>
      </w:r>
      <w:r w:rsidRPr="003C1D92">
        <w:rPr>
          <w:lang w:val="en-GB"/>
        </w:rPr>
        <w:t xml:space="preserve"> (1994): Diagnostic interview for genetic studies. Rationale, unique features, and training. NIMH Genetics Initiative. </w:t>
      </w:r>
      <w:r w:rsidRPr="003C1D92">
        <w:rPr>
          <w:i/>
          <w:iCs/>
          <w:lang w:val="en-GB"/>
        </w:rPr>
        <w:t>Arch Gen Psychiatry</w:t>
      </w:r>
      <w:r w:rsidRPr="003C1D92">
        <w:rPr>
          <w:lang w:val="en-GB"/>
        </w:rPr>
        <w:t xml:space="preserve"> 51: 849–859; discussion 863-864.</w:t>
      </w:r>
    </w:p>
    <w:p w14:paraId="0F3FAB6C" w14:textId="77777777" w:rsidR="006E3566" w:rsidRPr="003C1D92" w:rsidRDefault="006E3566" w:rsidP="006E3566">
      <w:pPr>
        <w:pStyle w:val="Bibliography"/>
        <w:rPr>
          <w:lang w:val="en-GB"/>
        </w:rPr>
      </w:pPr>
      <w:r w:rsidRPr="003C1D92">
        <w:rPr>
          <w:lang w:val="en-GB"/>
        </w:rPr>
        <w:t xml:space="preserve">55. Garnefski N, Kraaij V, Spinhoven P (2001): Negative life events, cognitive emotion regulation and emotional problems. </w:t>
      </w:r>
      <w:r w:rsidRPr="003C1D92">
        <w:rPr>
          <w:i/>
          <w:iCs/>
          <w:lang w:val="en-GB"/>
        </w:rPr>
        <w:t>Personal Individ Differ</w:t>
      </w:r>
      <w:r w:rsidRPr="003C1D92">
        <w:rPr>
          <w:lang w:val="en-GB"/>
        </w:rPr>
        <w:t xml:space="preserve"> 30: 1311–1327.</w:t>
      </w:r>
    </w:p>
    <w:p w14:paraId="18A015CB" w14:textId="77777777" w:rsidR="006E3566" w:rsidRPr="003C1D92" w:rsidRDefault="006E3566" w:rsidP="006E3566">
      <w:pPr>
        <w:pStyle w:val="Bibliography"/>
        <w:rPr>
          <w:lang w:val="en-GB"/>
        </w:rPr>
      </w:pPr>
      <w:r w:rsidRPr="003C1D92">
        <w:rPr>
          <w:lang w:val="en-GB"/>
        </w:rPr>
        <w:t xml:space="preserve">56. Gadassi-Polack R, Paganini G, Zhang AK, Dworschak C, Silk JS, Kober H, Joormann J (2024): It’s a balancing act: The ratio of maladaptive (vs. All) emotion regulation strategies is associated with depression. </w:t>
      </w:r>
      <w:r w:rsidRPr="003C1D92">
        <w:rPr>
          <w:i/>
          <w:iCs/>
          <w:lang w:val="en-GB"/>
        </w:rPr>
        <w:t>Behav Res Ther</w:t>
      </w:r>
      <w:r w:rsidRPr="003C1D92">
        <w:rPr>
          <w:lang w:val="en-GB"/>
        </w:rPr>
        <w:t xml:space="preserve"> 180: 104600.</w:t>
      </w:r>
    </w:p>
    <w:p w14:paraId="5070D221" w14:textId="77777777" w:rsidR="006E3566" w:rsidRPr="003C1D92" w:rsidRDefault="006E3566" w:rsidP="006E3566">
      <w:pPr>
        <w:pStyle w:val="Bibliography"/>
        <w:rPr>
          <w:lang w:val="en-GB"/>
        </w:rPr>
      </w:pPr>
      <w:r w:rsidRPr="003C1D92">
        <w:rPr>
          <w:lang w:val="en-GB"/>
        </w:rPr>
        <w:lastRenderedPageBreak/>
        <w:t xml:space="preserve">57. Harvey PD, Greenberg BR, Serper MR (1989): The affective lability scales: Development, reliability, and validity. </w:t>
      </w:r>
      <w:r w:rsidRPr="003C1D92">
        <w:rPr>
          <w:i/>
          <w:iCs/>
          <w:lang w:val="en-GB"/>
        </w:rPr>
        <w:t>J Clin Psychol</w:t>
      </w:r>
      <w:r w:rsidRPr="003C1D92">
        <w:rPr>
          <w:lang w:val="en-GB"/>
        </w:rPr>
        <w:t xml:space="preserve"> 45: 786–793.</w:t>
      </w:r>
    </w:p>
    <w:p w14:paraId="133A1D79" w14:textId="77777777" w:rsidR="006E3566" w:rsidRPr="003C1D92" w:rsidRDefault="006E3566" w:rsidP="006E3566">
      <w:pPr>
        <w:pStyle w:val="Bibliography"/>
        <w:rPr>
          <w:lang w:val="en-GB"/>
        </w:rPr>
      </w:pPr>
      <w:r w:rsidRPr="003C1D92">
        <w:rPr>
          <w:lang w:val="en-GB"/>
        </w:rPr>
        <w:t xml:space="preserve">58. Thornton OR, Li W, Cole H, Cólon I (2023): The Role of the Hippocampus in Borderline Personality Disorder: Structural and Functional Abnormalities. </w:t>
      </w:r>
      <w:r w:rsidRPr="003C1D92">
        <w:rPr>
          <w:i/>
          <w:iCs/>
          <w:lang w:val="en-GB"/>
        </w:rPr>
        <w:t>Int Neuropsychiatr Dis J</w:t>
      </w:r>
      <w:r w:rsidRPr="003C1D92">
        <w:rPr>
          <w:lang w:val="en-GB"/>
        </w:rPr>
        <w:t xml:space="preserve"> 19: 28–38.</w:t>
      </w:r>
    </w:p>
    <w:p w14:paraId="37896A7F" w14:textId="77777777" w:rsidR="006E3566" w:rsidRPr="003C1D92" w:rsidRDefault="006E3566" w:rsidP="006E3566">
      <w:pPr>
        <w:pStyle w:val="Bibliography"/>
        <w:rPr>
          <w:lang w:val="en-GB"/>
        </w:rPr>
      </w:pPr>
      <w:r w:rsidRPr="003C1D92">
        <w:rPr>
          <w:lang w:val="en-GB"/>
        </w:rPr>
        <w:t xml:space="preserve">59. Zöller D, Schaer M, Scariati E, Padula MC, Eliez S, Ville DVD (2017): Disentangling resting-state BOLD variability and PCC functional connectivity in 22q11.2 deletion syndrome. </w:t>
      </w:r>
      <w:r w:rsidRPr="003C1D92">
        <w:rPr>
          <w:i/>
          <w:iCs/>
          <w:lang w:val="en-GB"/>
        </w:rPr>
        <w:t>NeuroImage</w:t>
      </w:r>
      <w:r w:rsidRPr="003C1D92">
        <w:rPr>
          <w:lang w:val="en-GB"/>
        </w:rPr>
        <w:t xml:space="preserve"> 149: 85–97.</w:t>
      </w:r>
    </w:p>
    <w:p w14:paraId="2DC7652D" w14:textId="77777777" w:rsidR="006E3566" w:rsidRPr="003C1D92" w:rsidRDefault="006E3566" w:rsidP="006E3566">
      <w:pPr>
        <w:pStyle w:val="Bibliography"/>
        <w:rPr>
          <w:lang w:val="en-GB"/>
        </w:rPr>
      </w:pPr>
      <w:r w:rsidRPr="003C1D92">
        <w:rPr>
          <w:lang w:val="en-GB"/>
        </w:rPr>
        <w:t xml:space="preserve">60. Ashburner J, Friston KJ (2005): Unified segmentation. </w:t>
      </w:r>
      <w:r w:rsidRPr="003C1D92">
        <w:rPr>
          <w:i/>
          <w:iCs/>
          <w:lang w:val="en-GB"/>
        </w:rPr>
        <w:t>NeuroImage</w:t>
      </w:r>
      <w:r w:rsidRPr="003C1D92">
        <w:rPr>
          <w:lang w:val="en-GB"/>
        </w:rPr>
        <w:t xml:space="preserve"> 26: 839–851.</w:t>
      </w:r>
    </w:p>
    <w:p w14:paraId="55813D6C" w14:textId="77777777" w:rsidR="006E3566" w:rsidRPr="003C1D92" w:rsidRDefault="006E3566" w:rsidP="006E3566">
      <w:pPr>
        <w:pStyle w:val="Bibliography"/>
        <w:rPr>
          <w:lang w:val="en-GB"/>
        </w:rPr>
      </w:pPr>
      <w:r w:rsidRPr="003C1D92">
        <w:rPr>
          <w:lang w:val="en-GB"/>
        </w:rPr>
        <w:t xml:space="preserve">61. Ashburner J (2007): A fast diffeomorphic image registration algorithm. </w:t>
      </w:r>
      <w:r w:rsidRPr="003C1D92">
        <w:rPr>
          <w:i/>
          <w:iCs/>
          <w:lang w:val="en-GB"/>
        </w:rPr>
        <w:t>NeuroImage</w:t>
      </w:r>
      <w:r w:rsidRPr="003C1D92">
        <w:rPr>
          <w:lang w:val="en-GB"/>
        </w:rPr>
        <w:t xml:space="preserve"> 38: 95–113.</w:t>
      </w:r>
    </w:p>
    <w:p w14:paraId="5A1E3C6A" w14:textId="77777777" w:rsidR="006E3566" w:rsidRPr="003C1D92" w:rsidRDefault="006E3566" w:rsidP="006E3566">
      <w:pPr>
        <w:pStyle w:val="Bibliography"/>
        <w:rPr>
          <w:lang w:val="en-GB"/>
        </w:rPr>
      </w:pPr>
      <w:r w:rsidRPr="003C1D92">
        <w:rPr>
          <w:lang w:val="en-GB"/>
        </w:rPr>
        <w:t xml:space="preserve">62. Chao-Gan Y, Yu-Feng Z (2010): DPARSF: A MATLAB toolbox for “pipeline” data analysis of resting-state fMRI. </w:t>
      </w:r>
      <w:r w:rsidRPr="003C1D92">
        <w:rPr>
          <w:i/>
          <w:iCs/>
          <w:lang w:val="en-GB"/>
        </w:rPr>
        <w:t>Front Syst Neurosci</w:t>
      </w:r>
      <w:r w:rsidRPr="003C1D92">
        <w:rPr>
          <w:lang w:val="en-GB"/>
        </w:rPr>
        <w:t xml:space="preserve"> 4. https://doi.org/10.3389/fnsys.2010.00013</w:t>
      </w:r>
    </w:p>
    <w:p w14:paraId="550082BA" w14:textId="77777777" w:rsidR="006E3566" w:rsidRPr="003C1D92" w:rsidRDefault="006E3566" w:rsidP="006E3566">
      <w:pPr>
        <w:pStyle w:val="Bibliography"/>
        <w:rPr>
          <w:lang w:val="en-GB"/>
        </w:rPr>
      </w:pPr>
      <w:r w:rsidRPr="003C1D92">
        <w:rPr>
          <w:lang w:val="en-GB"/>
        </w:rPr>
        <w:t xml:space="preserve">63. Power JD, Barnes KA, Snyder AZ, Schlaggar BL, Petersen SE (2012): Spurious but systematic correlations in functional connectivity MRI networks arise from subject motion. </w:t>
      </w:r>
      <w:r w:rsidRPr="003C1D92">
        <w:rPr>
          <w:i/>
          <w:iCs/>
          <w:lang w:val="en-GB"/>
        </w:rPr>
        <w:t>NeuroImage</w:t>
      </w:r>
      <w:r w:rsidRPr="003C1D92">
        <w:rPr>
          <w:lang w:val="en-GB"/>
        </w:rPr>
        <w:t xml:space="preserve"> 59: 2142–2154.</w:t>
      </w:r>
    </w:p>
    <w:p w14:paraId="0FA3F9B5" w14:textId="77777777" w:rsidR="006E3566" w:rsidRPr="003C1D92" w:rsidRDefault="006E3566" w:rsidP="006E3566">
      <w:pPr>
        <w:pStyle w:val="Bibliography"/>
        <w:rPr>
          <w:lang w:val="en-GB"/>
        </w:rPr>
      </w:pPr>
      <w:r w:rsidRPr="003C1D92">
        <w:rPr>
          <w:lang w:val="en-GB"/>
        </w:rPr>
        <w:t xml:space="preserve">64. Robinson JL, Barron DS, Kirby LAJ, Bottenhorn KL, Hill AC, Murphy JE, </w:t>
      </w:r>
      <w:r w:rsidRPr="003C1D92">
        <w:rPr>
          <w:i/>
          <w:iCs/>
          <w:lang w:val="en-GB"/>
        </w:rPr>
        <w:t>et al.</w:t>
      </w:r>
      <w:r w:rsidRPr="003C1D92">
        <w:rPr>
          <w:lang w:val="en-GB"/>
        </w:rPr>
        <w:t xml:space="preserve"> (2015): Neurofunctional topography of the human hippocampus. </w:t>
      </w:r>
      <w:r w:rsidRPr="003C1D92">
        <w:rPr>
          <w:i/>
          <w:iCs/>
          <w:lang w:val="en-GB"/>
        </w:rPr>
        <w:t>Hum Brain Mapp</w:t>
      </w:r>
      <w:r w:rsidRPr="003C1D92">
        <w:rPr>
          <w:lang w:val="en-GB"/>
        </w:rPr>
        <w:t xml:space="preserve"> 36: 5018–5037.</w:t>
      </w:r>
    </w:p>
    <w:p w14:paraId="20AF49F5" w14:textId="77777777" w:rsidR="006E3566" w:rsidRPr="003C1D92" w:rsidRDefault="006E3566" w:rsidP="006E3566">
      <w:pPr>
        <w:pStyle w:val="Bibliography"/>
        <w:rPr>
          <w:lang w:val="en-GB"/>
        </w:rPr>
      </w:pPr>
      <w:r w:rsidRPr="003C1D92">
        <w:rPr>
          <w:lang w:val="en-GB"/>
        </w:rPr>
        <w:t xml:space="preserve">65. Bolton TAW, Tuleasca C, Wotruba D, Rey G, Dhanis H, Gauthier B, </w:t>
      </w:r>
      <w:r w:rsidRPr="003C1D92">
        <w:rPr>
          <w:i/>
          <w:iCs/>
          <w:lang w:val="en-GB"/>
        </w:rPr>
        <w:t>et al.</w:t>
      </w:r>
      <w:r w:rsidRPr="003C1D92">
        <w:rPr>
          <w:lang w:val="en-GB"/>
        </w:rPr>
        <w:t xml:space="preserve"> (2020): TbCAPs: A toolbox for co-activation pattern analysis. </w:t>
      </w:r>
      <w:r w:rsidRPr="003C1D92">
        <w:rPr>
          <w:i/>
          <w:iCs/>
          <w:lang w:val="en-GB"/>
        </w:rPr>
        <w:t>NeuroImage</w:t>
      </w:r>
      <w:r w:rsidRPr="003C1D92">
        <w:rPr>
          <w:lang w:val="en-GB"/>
        </w:rPr>
        <w:t xml:space="preserve"> 211: 116621.</w:t>
      </w:r>
    </w:p>
    <w:p w14:paraId="7FB4EE21" w14:textId="77777777" w:rsidR="006E3566" w:rsidRPr="003C1D92" w:rsidRDefault="006E3566" w:rsidP="006E3566">
      <w:pPr>
        <w:pStyle w:val="Bibliography"/>
        <w:rPr>
          <w:lang w:val="en-GB"/>
        </w:rPr>
      </w:pPr>
      <w:r w:rsidRPr="003C1D92">
        <w:rPr>
          <w:lang w:val="en-GB"/>
        </w:rPr>
        <w:t>66. Delavari F, Sandini C, Kojovic N, Saccaro LF, Eliez S, Van De Ville D, Bolton TAW (2024): Thalamic contributions to psychosis susceptibility: Evidence from co-</w:t>
      </w:r>
      <w:r w:rsidRPr="003C1D92">
        <w:rPr>
          <w:lang w:val="en-GB"/>
        </w:rPr>
        <w:lastRenderedPageBreak/>
        <w:t xml:space="preserve">activation patterns accounting for intra-seed spatial variability (μCAPs). </w:t>
      </w:r>
      <w:r w:rsidRPr="003C1D92">
        <w:rPr>
          <w:i/>
          <w:iCs/>
          <w:lang w:val="en-GB"/>
        </w:rPr>
        <w:t>Hum Brain Mapp</w:t>
      </w:r>
      <w:r w:rsidRPr="003C1D92">
        <w:rPr>
          <w:lang w:val="en-GB"/>
        </w:rPr>
        <w:t xml:space="preserve"> 45: e26649.</w:t>
      </w:r>
    </w:p>
    <w:p w14:paraId="5B2055AF" w14:textId="77777777" w:rsidR="006E3566" w:rsidRPr="003C1D92" w:rsidRDefault="006E3566" w:rsidP="006E3566">
      <w:pPr>
        <w:pStyle w:val="Bibliography"/>
        <w:rPr>
          <w:lang w:val="en-GB"/>
        </w:rPr>
      </w:pPr>
      <w:r w:rsidRPr="003C1D92">
        <w:rPr>
          <w:lang w:val="en-GB"/>
        </w:rPr>
        <w:t xml:space="preserve">67. Liu X, Zhang N, Chang C, Duyn JH (2018): Co-activation patterns in resting-state fMRI signals. </w:t>
      </w:r>
      <w:r w:rsidRPr="003C1D92">
        <w:rPr>
          <w:i/>
          <w:iCs/>
          <w:lang w:val="en-GB"/>
        </w:rPr>
        <w:t>NeuroImage</w:t>
      </w:r>
      <w:r w:rsidRPr="003C1D92">
        <w:rPr>
          <w:lang w:val="en-GB"/>
        </w:rPr>
        <w:t xml:space="preserve"> 180: 485–494.</w:t>
      </w:r>
    </w:p>
    <w:p w14:paraId="0283F16C" w14:textId="77777777" w:rsidR="006E3566" w:rsidRPr="003C1D92" w:rsidRDefault="006E3566" w:rsidP="006E3566">
      <w:pPr>
        <w:pStyle w:val="Bibliography"/>
        <w:rPr>
          <w:lang w:val="en-GB"/>
        </w:rPr>
      </w:pPr>
      <w:r w:rsidRPr="003C1D92">
        <w:rPr>
          <w:lang w:val="en-GB"/>
        </w:rPr>
        <w:t xml:space="preserve">68. Vidaurre D, Smith SM, Woolrich MW (2017): Brain network dynamics are hierarchically organized in time. </w:t>
      </w:r>
      <w:r w:rsidRPr="003C1D92">
        <w:rPr>
          <w:i/>
          <w:iCs/>
          <w:lang w:val="en-GB"/>
        </w:rPr>
        <w:t>Proc Natl Acad Sci</w:t>
      </w:r>
      <w:r w:rsidRPr="003C1D92">
        <w:rPr>
          <w:lang w:val="en-GB"/>
        </w:rPr>
        <w:t xml:space="preserve"> 114: 12827–12832.</w:t>
      </w:r>
    </w:p>
    <w:p w14:paraId="1AD15D5B" w14:textId="77777777" w:rsidR="006E3566" w:rsidRPr="003C1D92" w:rsidRDefault="006E3566" w:rsidP="006E3566">
      <w:pPr>
        <w:pStyle w:val="Bibliography"/>
        <w:rPr>
          <w:lang w:val="en-GB"/>
        </w:rPr>
      </w:pPr>
      <w:r w:rsidRPr="003C1D92">
        <w:rPr>
          <w:lang w:val="en-GB"/>
        </w:rPr>
        <w:t xml:space="preserve">69. Rey G, Bolton TAW, Gaviria J, Piguet C, Preti MG, Favre S, </w:t>
      </w:r>
      <w:r w:rsidRPr="003C1D92">
        <w:rPr>
          <w:i/>
          <w:iCs/>
          <w:lang w:val="en-GB"/>
        </w:rPr>
        <w:t>et al.</w:t>
      </w:r>
      <w:r w:rsidRPr="003C1D92">
        <w:rPr>
          <w:lang w:val="en-GB"/>
        </w:rPr>
        <w:t xml:space="preserve"> (2021): Dynamics of amygdala connectivity in bipolar disorders: A longitudinal study across mood states. </w:t>
      </w:r>
      <w:r w:rsidRPr="003C1D92">
        <w:rPr>
          <w:i/>
          <w:iCs/>
          <w:lang w:val="en-GB"/>
        </w:rPr>
        <w:t>medRxiv</w:t>
      </w:r>
      <w:r w:rsidRPr="003C1D92">
        <w:rPr>
          <w:lang w:val="en-GB"/>
        </w:rPr>
        <w:t xml:space="preserve"> 2021.03.30.21254608.</w:t>
      </w:r>
    </w:p>
    <w:p w14:paraId="6CF72A79" w14:textId="77777777" w:rsidR="006E3566" w:rsidRPr="003C1D92" w:rsidRDefault="006E3566" w:rsidP="006E3566">
      <w:pPr>
        <w:pStyle w:val="Bibliography"/>
        <w:rPr>
          <w:lang w:val="en-GB"/>
        </w:rPr>
      </w:pPr>
      <w:r w:rsidRPr="003C1D92">
        <w:rPr>
          <w:lang w:val="en-GB"/>
        </w:rPr>
        <w:t xml:space="preserve">70. Bolton TAW, Wotruba D, Buechler R, Theodoridou A, Michels L, Kollias S, </w:t>
      </w:r>
      <w:r w:rsidRPr="003C1D92">
        <w:rPr>
          <w:i/>
          <w:iCs/>
          <w:lang w:val="en-GB"/>
        </w:rPr>
        <w:t>et al.</w:t>
      </w:r>
      <w:r w:rsidRPr="003C1D92">
        <w:rPr>
          <w:lang w:val="en-GB"/>
        </w:rPr>
        <w:t xml:space="preserve"> (2020): Triple Network Model Dynamically Revisited: Lower Salience Network State Switching in Pre-psychosis. </w:t>
      </w:r>
      <w:r w:rsidRPr="003C1D92">
        <w:rPr>
          <w:i/>
          <w:iCs/>
          <w:lang w:val="en-GB"/>
        </w:rPr>
        <w:t>Front Physiol</w:t>
      </w:r>
      <w:r w:rsidRPr="003C1D92">
        <w:rPr>
          <w:lang w:val="en-GB"/>
        </w:rPr>
        <w:t xml:space="preserve"> 11: 1–10.</w:t>
      </w:r>
    </w:p>
    <w:p w14:paraId="61256090" w14:textId="77777777" w:rsidR="006E3566" w:rsidRPr="003C1D92" w:rsidRDefault="006E3566" w:rsidP="006E3566">
      <w:pPr>
        <w:pStyle w:val="Bibliography"/>
        <w:rPr>
          <w:lang w:val="en-GB"/>
        </w:rPr>
      </w:pPr>
      <w:r w:rsidRPr="003C1D92">
        <w:rPr>
          <w:lang w:val="en-GB"/>
        </w:rPr>
        <w:t>71. Delavari F, Sandini C, Kojovic N, Saccaro LF, Eliez S, Ville DVD, Bolton TAW (n.d.): Thalamic contributions to psychosis susceptibility: Evidence from co-activation patterns accounting for intra-seed spatial variability (µCAPs). https://doi.org/10.1101/2023.05.23.541896</w:t>
      </w:r>
    </w:p>
    <w:p w14:paraId="71F650D9" w14:textId="77777777" w:rsidR="006E3566" w:rsidRPr="003C1D92" w:rsidRDefault="006E3566" w:rsidP="006E3566">
      <w:pPr>
        <w:pStyle w:val="Bibliography"/>
        <w:rPr>
          <w:lang w:val="en-GB"/>
        </w:rPr>
      </w:pPr>
      <w:r w:rsidRPr="003C1D92">
        <w:rPr>
          <w:lang w:val="en-GB"/>
        </w:rPr>
        <w:t xml:space="preserve">72. Gaviria J, Rey G, Bolton T, Ville DVD, Vuilleumier P (2021): Dynamic functional brain networks underlying the temporal inertia of negative emotions. </w:t>
      </w:r>
      <w:r w:rsidRPr="003C1D92">
        <w:rPr>
          <w:i/>
          <w:iCs/>
          <w:lang w:val="en-GB"/>
        </w:rPr>
        <w:t>NeuroImage</w:t>
      </w:r>
      <w:r w:rsidRPr="003C1D92">
        <w:rPr>
          <w:lang w:val="en-GB"/>
        </w:rPr>
        <w:t xml:space="preserve"> 240. https://doi.org/10.1016/j.neuroimage.2021.118377</w:t>
      </w:r>
    </w:p>
    <w:p w14:paraId="11887B30" w14:textId="77777777" w:rsidR="006E3566" w:rsidRPr="003C1D92" w:rsidRDefault="006E3566" w:rsidP="006E3566">
      <w:pPr>
        <w:pStyle w:val="Bibliography"/>
        <w:rPr>
          <w:lang w:val="en-GB"/>
        </w:rPr>
      </w:pPr>
      <w:r w:rsidRPr="003C1D92">
        <w:rPr>
          <w:lang w:val="en-GB"/>
        </w:rPr>
        <w:t xml:space="preserve">73. Kuhn HW (1956): Variants of the hungarian method for assignment problems. </w:t>
      </w:r>
      <w:r w:rsidRPr="003C1D92">
        <w:rPr>
          <w:i/>
          <w:iCs/>
          <w:lang w:val="en-GB"/>
        </w:rPr>
        <w:t>Nav Res Logist Q</w:t>
      </w:r>
      <w:r w:rsidRPr="003C1D92">
        <w:rPr>
          <w:lang w:val="en-GB"/>
        </w:rPr>
        <w:t xml:space="preserve"> 3: 253–258.</w:t>
      </w:r>
    </w:p>
    <w:p w14:paraId="3BEA988F" w14:textId="77777777" w:rsidR="006E3566" w:rsidRPr="003C1D92" w:rsidRDefault="006E3566" w:rsidP="006E3566">
      <w:pPr>
        <w:pStyle w:val="Bibliography"/>
        <w:rPr>
          <w:lang w:val="en-GB"/>
        </w:rPr>
      </w:pPr>
      <w:r w:rsidRPr="003C1D92">
        <w:rPr>
          <w:lang w:val="en-GB"/>
        </w:rPr>
        <w:t xml:space="preserve">74. Smith S, Jenkinson M, Johansen-Berg H, Rueckert D, Nichols T, Mackay C, </w:t>
      </w:r>
      <w:r w:rsidRPr="003C1D92">
        <w:rPr>
          <w:i/>
          <w:iCs/>
          <w:lang w:val="en-GB"/>
        </w:rPr>
        <w:t>et al.</w:t>
      </w:r>
      <w:r w:rsidRPr="003C1D92">
        <w:rPr>
          <w:lang w:val="en-GB"/>
        </w:rPr>
        <w:t xml:space="preserve"> (2006): Tract-based spatial statistics: Voxelwise analysis of multi-subject diffusion data. </w:t>
      </w:r>
      <w:r w:rsidRPr="003C1D92">
        <w:rPr>
          <w:i/>
          <w:iCs/>
          <w:lang w:val="en-GB"/>
        </w:rPr>
        <w:t>NEUROIMAGE</w:t>
      </w:r>
      <w:r w:rsidRPr="003C1D92">
        <w:rPr>
          <w:lang w:val="en-GB"/>
        </w:rPr>
        <w:t xml:space="preserve"> 31: 1487–1505.</w:t>
      </w:r>
    </w:p>
    <w:p w14:paraId="31EB81AA" w14:textId="77777777" w:rsidR="006E3566" w:rsidRPr="003C1D92" w:rsidRDefault="006E3566" w:rsidP="006E3566">
      <w:pPr>
        <w:pStyle w:val="Bibliography"/>
        <w:rPr>
          <w:lang w:val="en-GB"/>
        </w:rPr>
      </w:pPr>
      <w:r w:rsidRPr="003C1D92">
        <w:rPr>
          <w:lang w:val="en-GB"/>
        </w:rPr>
        <w:lastRenderedPageBreak/>
        <w:t xml:space="preserve">75. Buuren S van (2018): </w:t>
      </w:r>
      <w:r w:rsidRPr="003C1D92">
        <w:rPr>
          <w:i/>
          <w:iCs/>
          <w:lang w:val="en-GB"/>
        </w:rPr>
        <w:t>Flexible Imputation of Missing Data, Second Edition</w:t>
      </w:r>
      <w:r w:rsidRPr="003C1D92">
        <w:rPr>
          <w:lang w:val="en-GB"/>
        </w:rPr>
        <w:t>, 2nd ed. New York: Chapman and Hall/CRC. https://doi.org/10.1201/9780429492259</w:t>
      </w:r>
    </w:p>
    <w:p w14:paraId="32DA16D3" w14:textId="77777777" w:rsidR="006E3566" w:rsidRPr="003C1D92" w:rsidRDefault="006E3566" w:rsidP="006E3566">
      <w:pPr>
        <w:pStyle w:val="Bibliography"/>
        <w:rPr>
          <w:lang w:val="en-GB"/>
        </w:rPr>
      </w:pPr>
      <w:r w:rsidRPr="003C1D92">
        <w:rPr>
          <w:lang w:val="en-GB"/>
        </w:rPr>
        <w:t xml:space="preserve">76. Hastie T, Tibshirani R, Friedman J (2009): Random Forests. In: Hastie T, Tibshirani R, Friedman J, editors. </w:t>
      </w:r>
      <w:r w:rsidRPr="003C1D92">
        <w:rPr>
          <w:i/>
          <w:iCs/>
          <w:lang w:val="en-GB"/>
        </w:rPr>
        <w:t>The Elements of Statistical Learning: Data Mining, Inference, and Prediction</w:t>
      </w:r>
      <w:r w:rsidRPr="003C1D92">
        <w:rPr>
          <w:lang w:val="en-GB"/>
        </w:rPr>
        <w:t>. New York, NY: Springer, pp 587–604.</w:t>
      </w:r>
    </w:p>
    <w:p w14:paraId="73AA5BBD" w14:textId="77777777" w:rsidR="006E3566" w:rsidRPr="003C1D92" w:rsidRDefault="006E3566" w:rsidP="006E3566">
      <w:pPr>
        <w:pStyle w:val="Bibliography"/>
        <w:rPr>
          <w:lang w:val="en-GB"/>
        </w:rPr>
      </w:pPr>
      <w:r w:rsidRPr="003C1D92">
        <w:rPr>
          <w:lang w:val="en-GB"/>
        </w:rPr>
        <w:t xml:space="preserve">77. Díaz-Uriarte R, Alvarez de Andrés S (2006): Gene selection and classification of microarray data using random forest. </w:t>
      </w:r>
      <w:r w:rsidRPr="003C1D92">
        <w:rPr>
          <w:i/>
          <w:iCs/>
          <w:lang w:val="en-GB"/>
        </w:rPr>
        <w:t>BMC Bioinformatics</w:t>
      </w:r>
      <w:r w:rsidRPr="003C1D92">
        <w:rPr>
          <w:lang w:val="en-GB"/>
        </w:rPr>
        <w:t xml:space="preserve"> 7: 3.</w:t>
      </w:r>
    </w:p>
    <w:p w14:paraId="698E5F9D" w14:textId="77777777" w:rsidR="006E3566" w:rsidRPr="003C1D92" w:rsidRDefault="006E3566" w:rsidP="006E3566">
      <w:pPr>
        <w:pStyle w:val="Bibliography"/>
        <w:rPr>
          <w:lang w:val="en-GB"/>
        </w:rPr>
      </w:pPr>
      <w:r w:rsidRPr="003C1D92">
        <w:rPr>
          <w:lang w:val="en-GB"/>
        </w:rPr>
        <w:t xml:space="preserve">78. Breiman L (2001): Random Forests. </w:t>
      </w:r>
      <w:r w:rsidRPr="003C1D92">
        <w:rPr>
          <w:i/>
          <w:iCs/>
          <w:lang w:val="en-GB"/>
        </w:rPr>
        <w:t>Mach Learn</w:t>
      </w:r>
      <w:r w:rsidRPr="003C1D92">
        <w:rPr>
          <w:lang w:val="en-GB"/>
        </w:rPr>
        <w:t xml:space="preserve"> 45: 5–32.</w:t>
      </w:r>
    </w:p>
    <w:p w14:paraId="15F6F0EA" w14:textId="77777777" w:rsidR="006E3566" w:rsidRPr="003C1D92" w:rsidRDefault="006E3566" w:rsidP="006E3566">
      <w:pPr>
        <w:pStyle w:val="Bibliography"/>
        <w:rPr>
          <w:lang w:val="en-GB"/>
        </w:rPr>
      </w:pPr>
      <w:r w:rsidRPr="003C1D92">
        <w:rPr>
          <w:lang w:val="en-GB"/>
        </w:rPr>
        <w:t xml:space="preserve">79. Biau G (2010): Analysis of a Random Forests Model. </w:t>
      </w:r>
      <w:r w:rsidRPr="003C1D92">
        <w:rPr>
          <w:i/>
          <w:iCs/>
          <w:lang w:val="en-GB"/>
        </w:rPr>
        <w:t>J Mach Learn Res</w:t>
      </w:r>
      <w:r w:rsidRPr="003C1D92">
        <w:rPr>
          <w:lang w:val="en-GB"/>
        </w:rPr>
        <w:t xml:space="preserve"> 13.</w:t>
      </w:r>
    </w:p>
    <w:p w14:paraId="3D85038B" w14:textId="77777777" w:rsidR="006E3566" w:rsidRPr="003C1D92" w:rsidRDefault="006E3566" w:rsidP="006E3566">
      <w:pPr>
        <w:pStyle w:val="Bibliography"/>
        <w:rPr>
          <w:lang w:val="en-GB"/>
        </w:rPr>
      </w:pPr>
      <w:r w:rsidRPr="003C1D92">
        <w:rPr>
          <w:lang w:val="en-GB"/>
        </w:rPr>
        <w:t>80. Liaw, A. and Wiener, M. (2002) Classification and Regression by Randomforest. R News, 2, 18-22. - References - Scientific Research Publishing (n.d.): Retrieved December 16, 2025, from https://www.scirp.org/reference/referencespapers?referenceid=2107686</w:t>
      </w:r>
    </w:p>
    <w:p w14:paraId="32E5D0BA" w14:textId="77777777" w:rsidR="006E3566" w:rsidRPr="003C1D92" w:rsidRDefault="006E3566" w:rsidP="006E3566">
      <w:pPr>
        <w:pStyle w:val="Bibliography"/>
        <w:rPr>
          <w:lang w:val="en-GB"/>
        </w:rPr>
      </w:pPr>
      <w:r w:rsidRPr="003C1D92">
        <w:rPr>
          <w:lang w:val="en-GB"/>
        </w:rPr>
        <w:t>81. Hyperparameters and tuning strategies for random forest - Probst - 2019 - WIREs Data Mining and Knowledge Discovery - Wiley Online Library (n.d.): Retrieved April 24, 2025, from https://wires.onlinelibrary.wiley.com/doi/10.1002/widm.1301</w:t>
      </w:r>
    </w:p>
    <w:p w14:paraId="35853242" w14:textId="77777777" w:rsidR="006E3566" w:rsidRPr="003C1D92" w:rsidRDefault="006E3566" w:rsidP="006E3566">
      <w:pPr>
        <w:pStyle w:val="Bibliography"/>
        <w:rPr>
          <w:lang w:val="en-GB"/>
        </w:rPr>
      </w:pPr>
      <w:r w:rsidRPr="003C1D92">
        <w:rPr>
          <w:lang w:val="en-GB"/>
        </w:rPr>
        <w:t xml:space="preserve">82. Uddin LQ, Yeo BTT, Spreng RN (2019): Towards a Universal Taxonomy of Macro-scale Functional Human Brain Networks. </w:t>
      </w:r>
      <w:r w:rsidRPr="003C1D92">
        <w:rPr>
          <w:i/>
          <w:iCs/>
          <w:lang w:val="en-GB"/>
        </w:rPr>
        <w:t>Brain Topogr</w:t>
      </w:r>
      <w:r w:rsidRPr="003C1D92">
        <w:rPr>
          <w:lang w:val="en-GB"/>
        </w:rPr>
        <w:t xml:space="preserve"> 32: 926–942.</w:t>
      </w:r>
    </w:p>
    <w:p w14:paraId="51E5DAC7" w14:textId="77777777" w:rsidR="006E3566" w:rsidRPr="003C1D92" w:rsidRDefault="006E3566" w:rsidP="006E3566">
      <w:pPr>
        <w:pStyle w:val="Bibliography"/>
        <w:rPr>
          <w:lang w:val="en-GB"/>
        </w:rPr>
      </w:pPr>
      <w:r w:rsidRPr="003C1D92">
        <w:rPr>
          <w:lang w:val="en-GB"/>
        </w:rPr>
        <w:t xml:space="preserve">83. Gao W, Biswal B, Chen S, Wu X, Yuan J (2021): Functional coupling of the orbitofrontal cortex and the basolateral amygdala mediates the association between spontaneous reappraisal and emotional response. </w:t>
      </w:r>
      <w:r w:rsidRPr="003C1D92">
        <w:rPr>
          <w:i/>
          <w:iCs/>
          <w:lang w:val="en-GB"/>
        </w:rPr>
        <w:t>NeuroImage</w:t>
      </w:r>
      <w:r w:rsidRPr="003C1D92">
        <w:rPr>
          <w:lang w:val="en-GB"/>
        </w:rPr>
        <w:t xml:space="preserve"> 232: 117918.</w:t>
      </w:r>
    </w:p>
    <w:p w14:paraId="7A06E519" w14:textId="77777777" w:rsidR="006E3566" w:rsidRPr="003C1D92" w:rsidRDefault="006E3566" w:rsidP="006E3566">
      <w:pPr>
        <w:pStyle w:val="Bibliography"/>
        <w:rPr>
          <w:lang w:val="en-GB"/>
        </w:rPr>
      </w:pPr>
      <w:r w:rsidRPr="003C1D92">
        <w:rPr>
          <w:lang w:val="en-GB"/>
        </w:rPr>
        <w:t xml:space="preserve">84. Han Z, Liu T, Shi Z, Zhang J, Suo D, Wang L, </w:t>
      </w:r>
      <w:r w:rsidRPr="003C1D92">
        <w:rPr>
          <w:i/>
          <w:iCs/>
          <w:lang w:val="en-GB"/>
        </w:rPr>
        <w:t>et al.</w:t>
      </w:r>
      <w:r w:rsidRPr="003C1D92">
        <w:rPr>
          <w:lang w:val="en-GB"/>
        </w:rPr>
        <w:t xml:space="preserve"> (2023): Investigating the heterogeneity within the somatosensory-motor network and its relationship with the attention and default systems. </w:t>
      </w:r>
      <w:r w:rsidRPr="003C1D92">
        <w:rPr>
          <w:i/>
          <w:iCs/>
          <w:lang w:val="en-GB"/>
        </w:rPr>
        <w:t>PNAS Nexus</w:t>
      </w:r>
      <w:r w:rsidRPr="003C1D92">
        <w:rPr>
          <w:lang w:val="en-GB"/>
        </w:rPr>
        <w:t xml:space="preserve"> 2: pgad276.</w:t>
      </w:r>
    </w:p>
    <w:p w14:paraId="758FE3FE" w14:textId="77777777" w:rsidR="006E3566" w:rsidRPr="003C1D92" w:rsidRDefault="006E3566" w:rsidP="006E3566">
      <w:pPr>
        <w:pStyle w:val="Bibliography"/>
        <w:rPr>
          <w:lang w:val="en-GB"/>
        </w:rPr>
      </w:pPr>
      <w:r w:rsidRPr="003C1D92">
        <w:rPr>
          <w:lang w:val="en-GB"/>
        </w:rPr>
        <w:lastRenderedPageBreak/>
        <w:t xml:space="preserve">85. Grieve SM, Williams LM, Paul RH, Clark CR, Gordon E (2007): Cognitive Aging, Executive Function, and Fractional Anisotropy: A Diffusion Tensor MR Imaging Study. </w:t>
      </w:r>
      <w:r w:rsidRPr="003C1D92">
        <w:rPr>
          <w:i/>
          <w:iCs/>
          <w:lang w:val="en-GB"/>
        </w:rPr>
        <w:t>AJNR Am J Neuroradiol</w:t>
      </w:r>
      <w:r w:rsidRPr="003C1D92">
        <w:rPr>
          <w:lang w:val="en-GB"/>
        </w:rPr>
        <w:t xml:space="preserve"> 28: 226–235.</w:t>
      </w:r>
    </w:p>
    <w:p w14:paraId="2C2A877A" w14:textId="77777777" w:rsidR="006E3566" w:rsidRPr="003C1D92" w:rsidRDefault="006E3566" w:rsidP="006E3566">
      <w:pPr>
        <w:pStyle w:val="Bibliography"/>
        <w:rPr>
          <w:lang w:val="en-GB"/>
        </w:rPr>
      </w:pPr>
      <w:r w:rsidRPr="003C1D92">
        <w:rPr>
          <w:lang w:val="en-GB"/>
        </w:rPr>
        <w:t xml:space="preserve">86. McHugh ML (2012): Interrater reliability: the kappa statistic. </w:t>
      </w:r>
      <w:r w:rsidRPr="003C1D92">
        <w:rPr>
          <w:i/>
          <w:iCs/>
          <w:lang w:val="en-GB"/>
        </w:rPr>
        <w:t>Biochem Medica</w:t>
      </w:r>
      <w:r w:rsidRPr="003C1D92">
        <w:rPr>
          <w:lang w:val="en-GB"/>
        </w:rPr>
        <w:t xml:space="preserve"> 22: 276–282.</w:t>
      </w:r>
    </w:p>
    <w:p w14:paraId="769C2510" w14:textId="77777777" w:rsidR="006E3566" w:rsidRPr="003C1D92" w:rsidRDefault="006E3566" w:rsidP="006E3566">
      <w:pPr>
        <w:pStyle w:val="Bibliography"/>
        <w:rPr>
          <w:lang w:val="en-GB"/>
        </w:rPr>
      </w:pPr>
      <w:r w:rsidRPr="003C1D92">
        <w:rPr>
          <w:lang w:val="en-GB"/>
        </w:rPr>
        <w:t xml:space="preserve">87. Tsuchida A, Laurent A, Crivello F, Petit L, Pepe A, Beguedou N, </w:t>
      </w:r>
      <w:r w:rsidRPr="003C1D92">
        <w:rPr>
          <w:i/>
          <w:iCs/>
          <w:lang w:val="en-GB"/>
        </w:rPr>
        <w:t>et al.</w:t>
      </w:r>
      <w:r w:rsidRPr="003C1D92">
        <w:rPr>
          <w:lang w:val="en-GB"/>
        </w:rPr>
        <w:t xml:space="preserve"> (2021): Age-Related Variations in Regional White Matter Volumetry and Microstructure During the Post-adolescence Period: A Cross-Sectional Study of a Cohort of 1,713 University Students. </w:t>
      </w:r>
      <w:r w:rsidRPr="003C1D92">
        <w:rPr>
          <w:i/>
          <w:iCs/>
          <w:lang w:val="en-GB"/>
        </w:rPr>
        <w:t>Front Syst Neurosci</w:t>
      </w:r>
      <w:r w:rsidRPr="003C1D92">
        <w:rPr>
          <w:lang w:val="en-GB"/>
        </w:rPr>
        <w:t xml:space="preserve"> 15. https://doi.org/10.3389/fnsys.2021.692152</w:t>
      </w:r>
    </w:p>
    <w:p w14:paraId="0527AB96" w14:textId="32BA213F" w:rsidR="00B079C3" w:rsidRPr="00DD08AA" w:rsidRDefault="00B66BC7" w:rsidP="00EF0772">
      <w:pPr>
        <w:rPr>
          <w:rFonts w:cs="Times New Roman"/>
          <w:lang w:val="en-US"/>
        </w:rPr>
      </w:pPr>
      <w:r w:rsidRPr="003C1D92">
        <w:rPr>
          <w:rFonts w:cs="Times New Roman"/>
          <w:lang w:val="en-GB"/>
        </w:rPr>
        <w:fldChar w:fldCharType="end"/>
      </w:r>
    </w:p>
    <w:p w14:paraId="6F7722CB" w14:textId="2BDA8E43" w:rsidR="00557BAC" w:rsidRPr="00DD08AA" w:rsidRDefault="00E0258A" w:rsidP="00EF0772">
      <w:pPr>
        <w:rPr>
          <w:rFonts w:cs="Times New Roman"/>
          <w:lang w:val="en-US"/>
        </w:rPr>
      </w:pPr>
      <w:r>
        <w:rPr>
          <w:lang w:val="en-GB"/>
        </w:rPr>
        <w:t xml:space="preserve"> </w:t>
      </w:r>
    </w:p>
    <w:sectPr w:rsidR="00557BAC" w:rsidRPr="00DD08AA">
      <w:footerReference w:type="even" r:id="rId41"/>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D99FCD" w14:textId="77777777" w:rsidR="00AB22A3" w:rsidRDefault="00AB22A3" w:rsidP="00F80AB5">
      <w:r>
        <w:separator/>
      </w:r>
    </w:p>
  </w:endnote>
  <w:endnote w:type="continuationSeparator" w:id="0">
    <w:p w14:paraId="26C9F44E" w14:textId="77777777" w:rsidR="00AB22A3" w:rsidRDefault="00AB22A3" w:rsidP="00F80AB5">
      <w:r>
        <w:continuationSeparator/>
      </w:r>
    </w:p>
  </w:endnote>
  <w:endnote w:type="continuationNotice" w:id="1">
    <w:p w14:paraId="2BAAE585" w14:textId="77777777" w:rsidR="00AB22A3" w:rsidRDefault="00AB2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11115338"/>
      <w:docPartObj>
        <w:docPartGallery w:val="Page Numbers (Bottom of Page)"/>
        <w:docPartUnique/>
      </w:docPartObj>
    </w:sdtPr>
    <w:sdtEndPr>
      <w:rPr>
        <w:rStyle w:val="PageNumber"/>
      </w:rPr>
    </w:sdtEndPr>
    <w:sdtContent>
      <w:p w14:paraId="435F1978" w14:textId="48681484" w:rsidR="00E92A6F" w:rsidRDefault="00E92A6F" w:rsidP="00E92A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575B87" w14:textId="77777777" w:rsidR="00E92A6F" w:rsidRDefault="00E92A6F" w:rsidP="00F80A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16879163"/>
      <w:docPartObj>
        <w:docPartGallery w:val="Page Numbers (Bottom of Page)"/>
        <w:docPartUnique/>
      </w:docPartObj>
    </w:sdtPr>
    <w:sdtEndPr>
      <w:rPr>
        <w:rStyle w:val="PageNumber"/>
      </w:rPr>
    </w:sdtEndPr>
    <w:sdtContent>
      <w:p w14:paraId="1E50D882" w14:textId="4EC83380" w:rsidR="00E92A6F" w:rsidRDefault="00E92A6F" w:rsidP="00E92A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91B6C">
          <w:rPr>
            <w:rStyle w:val="PageNumber"/>
            <w:noProof/>
          </w:rPr>
          <w:t>50</w:t>
        </w:r>
        <w:r>
          <w:rPr>
            <w:rStyle w:val="PageNumber"/>
          </w:rPr>
          <w:fldChar w:fldCharType="end"/>
        </w:r>
      </w:p>
    </w:sdtContent>
  </w:sdt>
  <w:p w14:paraId="756AD3EB" w14:textId="77777777" w:rsidR="00E92A6F" w:rsidRDefault="00E92A6F" w:rsidP="00F80A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DBB6B7" w14:textId="77777777" w:rsidR="00AB22A3" w:rsidRDefault="00AB22A3" w:rsidP="00F80AB5">
      <w:r>
        <w:separator/>
      </w:r>
    </w:p>
  </w:footnote>
  <w:footnote w:type="continuationSeparator" w:id="0">
    <w:p w14:paraId="143F876E" w14:textId="77777777" w:rsidR="00AB22A3" w:rsidRDefault="00AB22A3" w:rsidP="00F80AB5">
      <w:r>
        <w:continuationSeparator/>
      </w:r>
    </w:p>
  </w:footnote>
  <w:footnote w:type="continuationNotice" w:id="1">
    <w:p w14:paraId="5020C224" w14:textId="77777777" w:rsidR="00AB22A3" w:rsidRDefault="00AB22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D76CA"/>
    <w:multiLevelType w:val="multilevel"/>
    <w:tmpl w:val="EE3AC9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EA6855"/>
    <w:multiLevelType w:val="multilevel"/>
    <w:tmpl w:val="7BEA2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44116A"/>
    <w:multiLevelType w:val="multilevel"/>
    <w:tmpl w:val="6EB46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196FEF"/>
    <w:multiLevelType w:val="hybridMultilevel"/>
    <w:tmpl w:val="4CEA3184"/>
    <w:lvl w:ilvl="0" w:tplc="353A7E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B437E"/>
    <w:multiLevelType w:val="multilevel"/>
    <w:tmpl w:val="7FBCB62A"/>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b w:val="0"/>
        <w:bCs w:val="0"/>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AD4569"/>
    <w:multiLevelType w:val="multilevel"/>
    <w:tmpl w:val="7BEA2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111E5A"/>
    <w:multiLevelType w:val="multilevel"/>
    <w:tmpl w:val="7BEA2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BFE4B64"/>
    <w:multiLevelType w:val="multilevel"/>
    <w:tmpl w:val="7BEA2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35307E9"/>
    <w:multiLevelType w:val="hybridMultilevel"/>
    <w:tmpl w:val="4210EC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913EE5"/>
    <w:multiLevelType w:val="multilevel"/>
    <w:tmpl w:val="7BEA2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C145E39"/>
    <w:multiLevelType w:val="hybridMultilevel"/>
    <w:tmpl w:val="15804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5A0F47"/>
    <w:multiLevelType w:val="multilevel"/>
    <w:tmpl w:val="256AB41E"/>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b/>
        <w:bCs/>
      </w:rPr>
    </w:lvl>
    <w:lvl w:ilvl="2">
      <w:start w:val="1"/>
      <w:numFmt w:val="decimal"/>
      <w:isLgl/>
      <w:lvlText w:val="%1.%2.%3."/>
      <w:lvlJc w:val="left"/>
      <w:pPr>
        <w:ind w:left="1080" w:hanging="720"/>
      </w:pPr>
      <w:rPr>
        <w:rFonts w:hint="default"/>
        <w:b w:val="0"/>
        <w:bCs w:val="0"/>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D485E65"/>
    <w:multiLevelType w:val="multilevel"/>
    <w:tmpl w:val="7FBCB62A"/>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b w:val="0"/>
        <w:bCs w:val="0"/>
        <w:i/>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0D21945"/>
    <w:multiLevelType w:val="hybridMultilevel"/>
    <w:tmpl w:val="035C3560"/>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6D2B44"/>
    <w:multiLevelType w:val="multilevel"/>
    <w:tmpl w:val="7BEA2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FD5C0C"/>
    <w:multiLevelType w:val="multilevel"/>
    <w:tmpl w:val="7BEA2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B5147B9"/>
    <w:multiLevelType w:val="multilevel"/>
    <w:tmpl w:val="0302B67A"/>
    <w:lvl w:ilvl="0">
      <w:start w:val="1"/>
      <w:numFmt w:val="decimal"/>
      <w:pStyle w:val="SezioneBD"/>
      <w:lvlText w:val="%1."/>
      <w:lvlJc w:val="left"/>
      <w:pPr>
        <w:ind w:left="720" w:hanging="360"/>
      </w:pPr>
      <w:rPr>
        <w:rFonts w:hint="default"/>
      </w:rPr>
    </w:lvl>
    <w:lvl w:ilvl="1">
      <w:start w:val="1"/>
      <w:numFmt w:val="decimal"/>
      <w:pStyle w:val="sottosezionebd"/>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17172711">
    <w:abstractNumId w:val="3"/>
  </w:num>
  <w:num w:numId="2" w16cid:durableId="1331634825">
    <w:abstractNumId w:val="16"/>
  </w:num>
  <w:num w:numId="3" w16cid:durableId="569076130">
    <w:abstractNumId w:val="9"/>
  </w:num>
  <w:num w:numId="4" w16cid:durableId="1209029500">
    <w:abstractNumId w:val="14"/>
  </w:num>
  <w:num w:numId="5" w16cid:durableId="2136828269">
    <w:abstractNumId w:val="6"/>
  </w:num>
  <w:num w:numId="6" w16cid:durableId="1094667312">
    <w:abstractNumId w:val="10"/>
  </w:num>
  <w:num w:numId="7" w16cid:durableId="1456603546">
    <w:abstractNumId w:val="5"/>
  </w:num>
  <w:num w:numId="8" w16cid:durableId="2032534016">
    <w:abstractNumId w:val="7"/>
  </w:num>
  <w:num w:numId="9" w16cid:durableId="2052849812">
    <w:abstractNumId w:val="15"/>
  </w:num>
  <w:num w:numId="10" w16cid:durableId="896668828">
    <w:abstractNumId w:val="1"/>
  </w:num>
  <w:num w:numId="11" w16cid:durableId="1542940033">
    <w:abstractNumId w:val="12"/>
  </w:num>
  <w:num w:numId="12" w16cid:durableId="438261378">
    <w:abstractNumId w:val="2"/>
  </w:num>
  <w:num w:numId="13" w16cid:durableId="1846749740">
    <w:abstractNumId w:val="11"/>
  </w:num>
  <w:num w:numId="14" w16cid:durableId="757596814">
    <w:abstractNumId w:val="8"/>
  </w:num>
  <w:num w:numId="15" w16cid:durableId="3928985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0303300">
    <w:abstractNumId w:val="4"/>
  </w:num>
  <w:num w:numId="17" w16cid:durableId="888884171">
    <w:abstractNumId w:val="13"/>
  </w:num>
  <w:num w:numId="18" w16cid:durableId="15749752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oNotDisplayPageBoundarie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2MTQzsTQyMLMwNTFU0lEKTi0uzszPAykwrAUAZFfbFSwAAAA="/>
    <w:docVar w:name="paperpile-doc-id" w:val="S851F218V698S322"/>
    <w:docVar w:name="paperpile-doc-name" w:val="Supporting_Information_track_changes_15.docx"/>
  </w:docVars>
  <w:rsids>
    <w:rsidRoot w:val="00EF3B6C"/>
    <w:rsid w:val="000003CC"/>
    <w:rsid w:val="00000444"/>
    <w:rsid w:val="00000E3E"/>
    <w:rsid w:val="000015EA"/>
    <w:rsid w:val="00001974"/>
    <w:rsid w:val="000020A0"/>
    <w:rsid w:val="00003C86"/>
    <w:rsid w:val="00004129"/>
    <w:rsid w:val="0000584D"/>
    <w:rsid w:val="00005B6D"/>
    <w:rsid w:val="00006146"/>
    <w:rsid w:val="0000704A"/>
    <w:rsid w:val="0001098C"/>
    <w:rsid w:val="000115DC"/>
    <w:rsid w:val="000116C6"/>
    <w:rsid w:val="00012B77"/>
    <w:rsid w:val="00013DE2"/>
    <w:rsid w:val="0001510D"/>
    <w:rsid w:val="000151DE"/>
    <w:rsid w:val="00015FDD"/>
    <w:rsid w:val="00016050"/>
    <w:rsid w:val="0001633D"/>
    <w:rsid w:val="00016F22"/>
    <w:rsid w:val="00017387"/>
    <w:rsid w:val="00017820"/>
    <w:rsid w:val="00020C7A"/>
    <w:rsid w:val="000217DB"/>
    <w:rsid w:val="00022BDE"/>
    <w:rsid w:val="00024B4D"/>
    <w:rsid w:val="00024FD4"/>
    <w:rsid w:val="0002517E"/>
    <w:rsid w:val="00025D29"/>
    <w:rsid w:val="00025E99"/>
    <w:rsid w:val="000262B4"/>
    <w:rsid w:val="0002658A"/>
    <w:rsid w:val="00027BEB"/>
    <w:rsid w:val="00030485"/>
    <w:rsid w:val="00031BD0"/>
    <w:rsid w:val="00031C28"/>
    <w:rsid w:val="00031E7F"/>
    <w:rsid w:val="0003465D"/>
    <w:rsid w:val="00035629"/>
    <w:rsid w:val="0003588E"/>
    <w:rsid w:val="0003631A"/>
    <w:rsid w:val="00041193"/>
    <w:rsid w:val="00041554"/>
    <w:rsid w:val="000434B0"/>
    <w:rsid w:val="00043F27"/>
    <w:rsid w:val="0004416D"/>
    <w:rsid w:val="00044569"/>
    <w:rsid w:val="000446E6"/>
    <w:rsid w:val="00044C24"/>
    <w:rsid w:val="00046156"/>
    <w:rsid w:val="00046529"/>
    <w:rsid w:val="0005052A"/>
    <w:rsid w:val="00050E52"/>
    <w:rsid w:val="0005102B"/>
    <w:rsid w:val="0005167A"/>
    <w:rsid w:val="00052EF5"/>
    <w:rsid w:val="00053B1E"/>
    <w:rsid w:val="0005432A"/>
    <w:rsid w:val="00055301"/>
    <w:rsid w:val="00056F5D"/>
    <w:rsid w:val="0006280C"/>
    <w:rsid w:val="00064F8B"/>
    <w:rsid w:val="00065B0C"/>
    <w:rsid w:val="000663D6"/>
    <w:rsid w:val="0006759E"/>
    <w:rsid w:val="0007082A"/>
    <w:rsid w:val="0007093E"/>
    <w:rsid w:val="00070D27"/>
    <w:rsid w:val="00070E62"/>
    <w:rsid w:val="00071F9B"/>
    <w:rsid w:val="00072B02"/>
    <w:rsid w:val="000730AD"/>
    <w:rsid w:val="0007469E"/>
    <w:rsid w:val="00074D8C"/>
    <w:rsid w:val="000771BE"/>
    <w:rsid w:val="0007734F"/>
    <w:rsid w:val="000778F0"/>
    <w:rsid w:val="00077BF8"/>
    <w:rsid w:val="0008000E"/>
    <w:rsid w:val="000809C1"/>
    <w:rsid w:val="00080BAD"/>
    <w:rsid w:val="0008171E"/>
    <w:rsid w:val="000820F4"/>
    <w:rsid w:val="0008238D"/>
    <w:rsid w:val="00082C6D"/>
    <w:rsid w:val="000831A5"/>
    <w:rsid w:val="00083478"/>
    <w:rsid w:val="00083DBA"/>
    <w:rsid w:val="00086C51"/>
    <w:rsid w:val="00090204"/>
    <w:rsid w:val="00091A51"/>
    <w:rsid w:val="000921B9"/>
    <w:rsid w:val="0009324C"/>
    <w:rsid w:val="000937D3"/>
    <w:rsid w:val="00093EAF"/>
    <w:rsid w:val="00096133"/>
    <w:rsid w:val="0009732E"/>
    <w:rsid w:val="00097DEC"/>
    <w:rsid w:val="000A02DF"/>
    <w:rsid w:val="000A08A1"/>
    <w:rsid w:val="000A0E45"/>
    <w:rsid w:val="000A0ED4"/>
    <w:rsid w:val="000A1B02"/>
    <w:rsid w:val="000A2B50"/>
    <w:rsid w:val="000A3000"/>
    <w:rsid w:val="000A35AB"/>
    <w:rsid w:val="000A38EC"/>
    <w:rsid w:val="000A4A9F"/>
    <w:rsid w:val="000A4E20"/>
    <w:rsid w:val="000A566C"/>
    <w:rsid w:val="000A5C65"/>
    <w:rsid w:val="000A6D34"/>
    <w:rsid w:val="000B0406"/>
    <w:rsid w:val="000B18C2"/>
    <w:rsid w:val="000B2A05"/>
    <w:rsid w:val="000B309B"/>
    <w:rsid w:val="000B31DF"/>
    <w:rsid w:val="000B3DF2"/>
    <w:rsid w:val="000B3E53"/>
    <w:rsid w:val="000B4F3D"/>
    <w:rsid w:val="000B527F"/>
    <w:rsid w:val="000B6339"/>
    <w:rsid w:val="000B6611"/>
    <w:rsid w:val="000B7982"/>
    <w:rsid w:val="000C0517"/>
    <w:rsid w:val="000C0FB5"/>
    <w:rsid w:val="000C445A"/>
    <w:rsid w:val="000C4C8F"/>
    <w:rsid w:val="000D4A48"/>
    <w:rsid w:val="000D55AF"/>
    <w:rsid w:val="000D5D8D"/>
    <w:rsid w:val="000D60C3"/>
    <w:rsid w:val="000D619D"/>
    <w:rsid w:val="000D6CBB"/>
    <w:rsid w:val="000D7BD3"/>
    <w:rsid w:val="000D7EA4"/>
    <w:rsid w:val="000E08BA"/>
    <w:rsid w:val="000E0A7C"/>
    <w:rsid w:val="000E0B03"/>
    <w:rsid w:val="000E3147"/>
    <w:rsid w:val="000E35D5"/>
    <w:rsid w:val="000E5A74"/>
    <w:rsid w:val="000E5CA0"/>
    <w:rsid w:val="000E6540"/>
    <w:rsid w:val="000E7AC3"/>
    <w:rsid w:val="000F0B02"/>
    <w:rsid w:val="000F1CE2"/>
    <w:rsid w:val="000F2F80"/>
    <w:rsid w:val="000F55B9"/>
    <w:rsid w:val="000F69C3"/>
    <w:rsid w:val="000F6B12"/>
    <w:rsid w:val="000F745C"/>
    <w:rsid w:val="00100E2F"/>
    <w:rsid w:val="0010113B"/>
    <w:rsid w:val="001021C0"/>
    <w:rsid w:val="001030B4"/>
    <w:rsid w:val="0010352C"/>
    <w:rsid w:val="0010395C"/>
    <w:rsid w:val="00106CE1"/>
    <w:rsid w:val="00106F11"/>
    <w:rsid w:val="00106F2B"/>
    <w:rsid w:val="00107A2F"/>
    <w:rsid w:val="00110A1E"/>
    <w:rsid w:val="00110D3F"/>
    <w:rsid w:val="0011149E"/>
    <w:rsid w:val="00111EF8"/>
    <w:rsid w:val="001133E1"/>
    <w:rsid w:val="001153BF"/>
    <w:rsid w:val="00115AB4"/>
    <w:rsid w:val="001162BF"/>
    <w:rsid w:val="001166B8"/>
    <w:rsid w:val="0011688B"/>
    <w:rsid w:val="00116DA2"/>
    <w:rsid w:val="0011740D"/>
    <w:rsid w:val="00117C96"/>
    <w:rsid w:val="0012054D"/>
    <w:rsid w:val="001217B3"/>
    <w:rsid w:val="00122BED"/>
    <w:rsid w:val="001233B9"/>
    <w:rsid w:val="00124399"/>
    <w:rsid w:val="00124640"/>
    <w:rsid w:val="00125543"/>
    <w:rsid w:val="00125FEE"/>
    <w:rsid w:val="00126065"/>
    <w:rsid w:val="0012733B"/>
    <w:rsid w:val="0013088B"/>
    <w:rsid w:val="00130BE0"/>
    <w:rsid w:val="00130C73"/>
    <w:rsid w:val="00131319"/>
    <w:rsid w:val="001316FD"/>
    <w:rsid w:val="001322BC"/>
    <w:rsid w:val="00133EFC"/>
    <w:rsid w:val="00134B81"/>
    <w:rsid w:val="00134C03"/>
    <w:rsid w:val="001357D7"/>
    <w:rsid w:val="00136821"/>
    <w:rsid w:val="00140699"/>
    <w:rsid w:val="001416C9"/>
    <w:rsid w:val="00142020"/>
    <w:rsid w:val="00142309"/>
    <w:rsid w:val="00142470"/>
    <w:rsid w:val="00143488"/>
    <w:rsid w:val="001470B8"/>
    <w:rsid w:val="001470C8"/>
    <w:rsid w:val="00147150"/>
    <w:rsid w:val="00147CD6"/>
    <w:rsid w:val="00150522"/>
    <w:rsid w:val="00152245"/>
    <w:rsid w:val="0015279D"/>
    <w:rsid w:val="00152C10"/>
    <w:rsid w:val="0015360C"/>
    <w:rsid w:val="00154C8D"/>
    <w:rsid w:val="001551CC"/>
    <w:rsid w:val="00155B01"/>
    <w:rsid w:val="00155B45"/>
    <w:rsid w:val="0015664E"/>
    <w:rsid w:val="00156F6B"/>
    <w:rsid w:val="00161F14"/>
    <w:rsid w:val="00162190"/>
    <w:rsid w:val="00162542"/>
    <w:rsid w:val="001625AF"/>
    <w:rsid w:val="00162679"/>
    <w:rsid w:val="001637F1"/>
    <w:rsid w:val="00163BF7"/>
    <w:rsid w:val="00163D0C"/>
    <w:rsid w:val="00163E10"/>
    <w:rsid w:val="00164057"/>
    <w:rsid w:val="001640F1"/>
    <w:rsid w:val="00165395"/>
    <w:rsid w:val="001664A1"/>
    <w:rsid w:val="00167004"/>
    <w:rsid w:val="00167B2D"/>
    <w:rsid w:val="00171B73"/>
    <w:rsid w:val="00171BFE"/>
    <w:rsid w:val="00174691"/>
    <w:rsid w:val="00175C74"/>
    <w:rsid w:val="00175CC1"/>
    <w:rsid w:val="001765CC"/>
    <w:rsid w:val="00176BD8"/>
    <w:rsid w:val="001820C6"/>
    <w:rsid w:val="001823B6"/>
    <w:rsid w:val="0018363E"/>
    <w:rsid w:val="001841A0"/>
    <w:rsid w:val="00187289"/>
    <w:rsid w:val="001903AA"/>
    <w:rsid w:val="0019067E"/>
    <w:rsid w:val="00191598"/>
    <w:rsid w:val="00191B6C"/>
    <w:rsid w:val="001922F2"/>
    <w:rsid w:val="001926B7"/>
    <w:rsid w:val="00192C19"/>
    <w:rsid w:val="00192F2A"/>
    <w:rsid w:val="00194F39"/>
    <w:rsid w:val="00195520"/>
    <w:rsid w:val="0019557C"/>
    <w:rsid w:val="00195B77"/>
    <w:rsid w:val="00196F26"/>
    <w:rsid w:val="001970FA"/>
    <w:rsid w:val="0019772E"/>
    <w:rsid w:val="00197860"/>
    <w:rsid w:val="0019799F"/>
    <w:rsid w:val="001A0344"/>
    <w:rsid w:val="001A0990"/>
    <w:rsid w:val="001A0A49"/>
    <w:rsid w:val="001A15E3"/>
    <w:rsid w:val="001A180D"/>
    <w:rsid w:val="001A26F8"/>
    <w:rsid w:val="001A5D88"/>
    <w:rsid w:val="001A630E"/>
    <w:rsid w:val="001A74CD"/>
    <w:rsid w:val="001B0C07"/>
    <w:rsid w:val="001B1CFB"/>
    <w:rsid w:val="001B3D9D"/>
    <w:rsid w:val="001B5090"/>
    <w:rsid w:val="001B7021"/>
    <w:rsid w:val="001B759D"/>
    <w:rsid w:val="001B75B0"/>
    <w:rsid w:val="001C02F5"/>
    <w:rsid w:val="001C11E2"/>
    <w:rsid w:val="001C14BD"/>
    <w:rsid w:val="001C26E2"/>
    <w:rsid w:val="001C3DFC"/>
    <w:rsid w:val="001C421D"/>
    <w:rsid w:val="001C5010"/>
    <w:rsid w:val="001C65F8"/>
    <w:rsid w:val="001C6E86"/>
    <w:rsid w:val="001C7861"/>
    <w:rsid w:val="001C7EAE"/>
    <w:rsid w:val="001D1539"/>
    <w:rsid w:val="001D1757"/>
    <w:rsid w:val="001D17EC"/>
    <w:rsid w:val="001D2087"/>
    <w:rsid w:val="001D2E90"/>
    <w:rsid w:val="001D68EE"/>
    <w:rsid w:val="001D7B97"/>
    <w:rsid w:val="001E0162"/>
    <w:rsid w:val="001E0905"/>
    <w:rsid w:val="001E1071"/>
    <w:rsid w:val="001E1314"/>
    <w:rsid w:val="001E1C1A"/>
    <w:rsid w:val="001E1F80"/>
    <w:rsid w:val="001E393C"/>
    <w:rsid w:val="001E5D83"/>
    <w:rsid w:val="001E630C"/>
    <w:rsid w:val="001E7428"/>
    <w:rsid w:val="001F06B1"/>
    <w:rsid w:val="001F1014"/>
    <w:rsid w:val="001F11BD"/>
    <w:rsid w:val="001F1B01"/>
    <w:rsid w:val="001F26FB"/>
    <w:rsid w:val="001F3591"/>
    <w:rsid w:val="001F36C8"/>
    <w:rsid w:val="001F38B2"/>
    <w:rsid w:val="001F3E38"/>
    <w:rsid w:val="001F4A3C"/>
    <w:rsid w:val="001F4E3C"/>
    <w:rsid w:val="001F52DE"/>
    <w:rsid w:val="001F546F"/>
    <w:rsid w:val="001F5E88"/>
    <w:rsid w:val="001F6114"/>
    <w:rsid w:val="001F6292"/>
    <w:rsid w:val="001F7D48"/>
    <w:rsid w:val="001F7E4E"/>
    <w:rsid w:val="00201006"/>
    <w:rsid w:val="00201E27"/>
    <w:rsid w:val="002020C7"/>
    <w:rsid w:val="002034C1"/>
    <w:rsid w:val="002038E3"/>
    <w:rsid w:val="00203D51"/>
    <w:rsid w:val="00204337"/>
    <w:rsid w:val="00204D9C"/>
    <w:rsid w:val="00205228"/>
    <w:rsid w:val="002054F2"/>
    <w:rsid w:val="00207E31"/>
    <w:rsid w:val="00210837"/>
    <w:rsid w:val="00212E3A"/>
    <w:rsid w:val="00213158"/>
    <w:rsid w:val="00215866"/>
    <w:rsid w:val="002166D9"/>
    <w:rsid w:val="00217038"/>
    <w:rsid w:val="00217C45"/>
    <w:rsid w:val="00217CA2"/>
    <w:rsid w:val="00220B8B"/>
    <w:rsid w:val="0022141D"/>
    <w:rsid w:val="00222FCF"/>
    <w:rsid w:val="00225BF9"/>
    <w:rsid w:val="00225D0E"/>
    <w:rsid w:val="00225E78"/>
    <w:rsid w:val="00226D8C"/>
    <w:rsid w:val="0022792D"/>
    <w:rsid w:val="0023005D"/>
    <w:rsid w:val="0023119A"/>
    <w:rsid w:val="0023151B"/>
    <w:rsid w:val="002316FC"/>
    <w:rsid w:val="0023185F"/>
    <w:rsid w:val="00231AE7"/>
    <w:rsid w:val="00231FE2"/>
    <w:rsid w:val="002329AE"/>
    <w:rsid w:val="00232D3F"/>
    <w:rsid w:val="002339A4"/>
    <w:rsid w:val="002364E0"/>
    <w:rsid w:val="00236D68"/>
    <w:rsid w:val="00236E00"/>
    <w:rsid w:val="0023727C"/>
    <w:rsid w:val="00237ABB"/>
    <w:rsid w:val="0024043A"/>
    <w:rsid w:val="00240A95"/>
    <w:rsid w:val="00240D87"/>
    <w:rsid w:val="0024311C"/>
    <w:rsid w:val="0025122E"/>
    <w:rsid w:val="002512F2"/>
    <w:rsid w:val="00253561"/>
    <w:rsid w:val="0025375C"/>
    <w:rsid w:val="00254612"/>
    <w:rsid w:val="0025546E"/>
    <w:rsid w:val="002557F7"/>
    <w:rsid w:val="00256AD3"/>
    <w:rsid w:val="00256F39"/>
    <w:rsid w:val="002605B7"/>
    <w:rsid w:val="002607D2"/>
    <w:rsid w:val="00261C74"/>
    <w:rsid w:val="00261DFE"/>
    <w:rsid w:val="002635FA"/>
    <w:rsid w:val="00264164"/>
    <w:rsid w:val="0026442E"/>
    <w:rsid w:val="00266DA1"/>
    <w:rsid w:val="002674C7"/>
    <w:rsid w:val="00270EC7"/>
    <w:rsid w:val="00271C3B"/>
    <w:rsid w:val="002723E3"/>
    <w:rsid w:val="0027383A"/>
    <w:rsid w:val="00273901"/>
    <w:rsid w:val="002745EB"/>
    <w:rsid w:val="00274F1D"/>
    <w:rsid w:val="00275487"/>
    <w:rsid w:val="00275C57"/>
    <w:rsid w:val="002769DA"/>
    <w:rsid w:val="00276BAA"/>
    <w:rsid w:val="00276CF8"/>
    <w:rsid w:val="002774EA"/>
    <w:rsid w:val="0027779C"/>
    <w:rsid w:val="00277D4E"/>
    <w:rsid w:val="00280244"/>
    <w:rsid w:val="00280369"/>
    <w:rsid w:val="002807C3"/>
    <w:rsid w:val="002849FB"/>
    <w:rsid w:val="0028700C"/>
    <w:rsid w:val="00287879"/>
    <w:rsid w:val="00291990"/>
    <w:rsid w:val="002929B2"/>
    <w:rsid w:val="00295047"/>
    <w:rsid w:val="002952BB"/>
    <w:rsid w:val="002956E5"/>
    <w:rsid w:val="00295FA1"/>
    <w:rsid w:val="002961B3"/>
    <w:rsid w:val="00297CBF"/>
    <w:rsid w:val="002A10B6"/>
    <w:rsid w:val="002A301F"/>
    <w:rsid w:val="002A369E"/>
    <w:rsid w:val="002A45D3"/>
    <w:rsid w:val="002A4F73"/>
    <w:rsid w:val="002A5DB0"/>
    <w:rsid w:val="002A5EE6"/>
    <w:rsid w:val="002A7F0E"/>
    <w:rsid w:val="002B0774"/>
    <w:rsid w:val="002B2EA3"/>
    <w:rsid w:val="002B3D9C"/>
    <w:rsid w:val="002B4218"/>
    <w:rsid w:val="002B4801"/>
    <w:rsid w:val="002B6BE9"/>
    <w:rsid w:val="002C0F9E"/>
    <w:rsid w:val="002C146A"/>
    <w:rsid w:val="002C1CF7"/>
    <w:rsid w:val="002C2B60"/>
    <w:rsid w:val="002C2C89"/>
    <w:rsid w:val="002C35C2"/>
    <w:rsid w:val="002C4ECB"/>
    <w:rsid w:val="002C6285"/>
    <w:rsid w:val="002C663A"/>
    <w:rsid w:val="002D054F"/>
    <w:rsid w:val="002D0EF2"/>
    <w:rsid w:val="002D1223"/>
    <w:rsid w:val="002D160E"/>
    <w:rsid w:val="002D2100"/>
    <w:rsid w:val="002D266E"/>
    <w:rsid w:val="002D3953"/>
    <w:rsid w:val="002D6E92"/>
    <w:rsid w:val="002D723C"/>
    <w:rsid w:val="002D7C80"/>
    <w:rsid w:val="002E04C1"/>
    <w:rsid w:val="002E1087"/>
    <w:rsid w:val="002E240B"/>
    <w:rsid w:val="002E3B85"/>
    <w:rsid w:val="002E45F6"/>
    <w:rsid w:val="002E6AA9"/>
    <w:rsid w:val="002E7CBD"/>
    <w:rsid w:val="002F04FC"/>
    <w:rsid w:val="002F088B"/>
    <w:rsid w:val="002F169D"/>
    <w:rsid w:val="002F3AC0"/>
    <w:rsid w:val="002F4370"/>
    <w:rsid w:val="002F45F6"/>
    <w:rsid w:val="002F4F71"/>
    <w:rsid w:val="002F52F1"/>
    <w:rsid w:val="002F53DA"/>
    <w:rsid w:val="002F5B18"/>
    <w:rsid w:val="002F6546"/>
    <w:rsid w:val="002F68C4"/>
    <w:rsid w:val="002F7AC2"/>
    <w:rsid w:val="00300188"/>
    <w:rsid w:val="00301BEE"/>
    <w:rsid w:val="00301D38"/>
    <w:rsid w:val="003023D0"/>
    <w:rsid w:val="00302C9C"/>
    <w:rsid w:val="00303D3F"/>
    <w:rsid w:val="00303E24"/>
    <w:rsid w:val="00303ECF"/>
    <w:rsid w:val="00304FC6"/>
    <w:rsid w:val="00306089"/>
    <w:rsid w:val="00307D72"/>
    <w:rsid w:val="003104B2"/>
    <w:rsid w:val="0031077A"/>
    <w:rsid w:val="00312CDE"/>
    <w:rsid w:val="00313687"/>
    <w:rsid w:val="00313B60"/>
    <w:rsid w:val="00313BBD"/>
    <w:rsid w:val="0031451D"/>
    <w:rsid w:val="00315A4E"/>
    <w:rsid w:val="00315F04"/>
    <w:rsid w:val="0031635F"/>
    <w:rsid w:val="003168FD"/>
    <w:rsid w:val="00316A3B"/>
    <w:rsid w:val="00317E2E"/>
    <w:rsid w:val="00321342"/>
    <w:rsid w:val="00322B28"/>
    <w:rsid w:val="00323475"/>
    <w:rsid w:val="00323DE0"/>
    <w:rsid w:val="00323E68"/>
    <w:rsid w:val="00324C27"/>
    <w:rsid w:val="00326030"/>
    <w:rsid w:val="00326297"/>
    <w:rsid w:val="00326C4E"/>
    <w:rsid w:val="0032754E"/>
    <w:rsid w:val="00327C14"/>
    <w:rsid w:val="00327C86"/>
    <w:rsid w:val="003301C4"/>
    <w:rsid w:val="00330AD4"/>
    <w:rsid w:val="00331204"/>
    <w:rsid w:val="00332BA6"/>
    <w:rsid w:val="00332C0E"/>
    <w:rsid w:val="0033356A"/>
    <w:rsid w:val="00334D13"/>
    <w:rsid w:val="003351D8"/>
    <w:rsid w:val="00337420"/>
    <w:rsid w:val="00337956"/>
    <w:rsid w:val="003432ED"/>
    <w:rsid w:val="0034376A"/>
    <w:rsid w:val="00343DCC"/>
    <w:rsid w:val="003446F6"/>
    <w:rsid w:val="003456AC"/>
    <w:rsid w:val="003466ED"/>
    <w:rsid w:val="00347760"/>
    <w:rsid w:val="003523A2"/>
    <w:rsid w:val="00355A5D"/>
    <w:rsid w:val="0035619A"/>
    <w:rsid w:val="00356227"/>
    <w:rsid w:val="003576C0"/>
    <w:rsid w:val="0036000C"/>
    <w:rsid w:val="00360484"/>
    <w:rsid w:val="00360554"/>
    <w:rsid w:val="003605CB"/>
    <w:rsid w:val="00360ACE"/>
    <w:rsid w:val="003616E9"/>
    <w:rsid w:val="00361D30"/>
    <w:rsid w:val="00361F6F"/>
    <w:rsid w:val="00362214"/>
    <w:rsid w:val="0036323D"/>
    <w:rsid w:val="00364493"/>
    <w:rsid w:val="00365B68"/>
    <w:rsid w:val="00365DB6"/>
    <w:rsid w:val="00366001"/>
    <w:rsid w:val="0036770E"/>
    <w:rsid w:val="00367E75"/>
    <w:rsid w:val="003727A3"/>
    <w:rsid w:val="00372ADE"/>
    <w:rsid w:val="00374EDF"/>
    <w:rsid w:val="0037594E"/>
    <w:rsid w:val="00375B3D"/>
    <w:rsid w:val="00376849"/>
    <w:rsid w:val="0037721F"/>
    <w:rsid w:val="0037726D"/>
    <w:rsid w:val="00381163"/>
    <w:rsid w:val="0038158E"/>
    <w:rsid w:val="003819E5"/>
    <w:rsid w:val="0038243C"/>
    <w:rsid w:val="00382462"/>
    <w:rsid w:val="003836F9"/>
    <w:rsid w:val="00385617"/>
    <w:rsid w:val="00386603"/>
    <w:rsid w:val="003901C0"/>
    <w:rsid w:val="003907F9"/>
    <w:rsid w:val="00391936"/>
    <w:rsid w:val="003920D9"/>
    <w:rsid w:val="00392748"/>
    <w:rsid w:val="00392A7F"/>
    <w:rsid w:val="00393CB3"/>
    <w:rsid w:val="00395271"/>
    <w:rsid w:val="003965C3"/>
    <w:rsid w:val="003967D9"/>
    <w:rsid w:val="003968B9"/>
    <w:rsid w:val="00396B95"/>
    <w:rsid w:val="0039753F"/>
    <w:rsid w:val="003A107C"/>
    <w:rsid w:val="003A15B6"/>
    <w:rsid w:val="003A1B26"/>
    <w:rsid w:val="003A1D56"/>
    <w:rsid w:val="003A2B7A"/>
    <w:rsid w:val="003A2D24"/>
    <w:rsid w:val="003A2DFB"/>
    <w:rsid w:val="003A2F3B"/>
    <w:rsid w:val="003A52BD"/>
    <w:rsid w:val="003A6E43"/>
    <w:rsid w:val="003A7112"/>
    <w:rsid w:val="003B33FB"/>
    <w:rsid w:val="003B394E"/>
    <w:rsid w:val="003B50A3"/>
    <w:rsid w:val="003B52A2"/>
    <w:rsid w:val="003B5DDF"/>
    <w:rsid w:val="003C090E"/>
    <w:rsid w:val="003C1225"/>
    <w:rsid w:val="003C1D92"/>
    <w:rsid w:val="003C2329"/>
    <w:rsid w:val="003C2786"/>
    <w:rsid w:val="003C27EB"/>
    <w:rsid w:val="003C4F60"/>
    <w:rsid w:val="003C5083"/>
    <w:rsid w:val="003C5F82"/>
    <w:rsid w:val="003C6E45"/>
    <w:rsid w:val="003D086D"/>
    <w:rsid w:val="003D0E41"/>
    <w:rsid w:val="003D17A9"/>
    <w:rsid w:val="003D1997"/>
    <w:rsid w:val="003D34D3"/>
    <w:rsid w:val="003D360F"/>
    <w:rsid w:val="003D3988"/>
    <w:rsid w:val="003D3F14"/>
    <w:rsid w:val="003D41C5"/>
    <w:rsid w:val="003D4B14"/>
    <w:rsid w:val="003D58A5"/>
    <w:rsid w:val="003E1D2E"/>
    <w:rsid w:val="003E1DB7"/>
    <w:rsid w:val="003E2179"/>
    <w:rsid w:val="003E2E08"/>
    <w:rsid w:val="003E3097"/>
    <w:rsid w:val="003E5845"/>
    <w:rsid w:val="003E6B15"/>
    <w:rsid w:val="003E717A"/>
    <w:rsid w:val="003E7225"/>
    <w:rsid w:val="003E78E8"/>
    <w:rsid w:val="003F2B28"/>
    <w:rsid w:val="003F403A"/>
    <w:rsid w:val="003F49D8"/>
    <w:rsid w:val="003F601B"/>
    <w:rsid w:val="003F6159"/>
    <w:rsid w:val="003F764F"/>
    <w:rsid w:val="00403370"/>
    <w:rsid w:val="0040343E"/>
    <w:rsid w:val="00403A1D"/>
    <w:rsid w:val="00405A19"/>
    <w:rsid w:val="00405CEB"/>
    <w:rsid w:val="0040742F"/>
    <w:rsid w:val="00410AD1"/>
    <w:rsid w:val="00411B41"/>
    <w:rsid w:val="00413B26"/>
    <w:rsid w:val="00413E7D"/>
    <w:rsid w:val="0041418B"/>
    <w:rsid w:val="0041471F"/>
    <w:rsid w:val="004151C2"/>
    <w:rsid w:val="004166BF"/>
    <w:rsid w:val="00416785"/>
    <w:rsid w:val="004171A0"/>
    <w:rsid w:val="004172A5"/>
    <w:rsid w:val="004206D6"/>
    <w:rsid w:val="00423347"/>
    <w:rsid w:val="00423A3A"/>
    <w:rsid w:val="0042406E"/>
    <w:rsid w:val="00424101"/>
    <w:rsid w:val="00425FB8"/>
    <w:rsid w:val="0043001A"/>
    <w:rsid w:val="004311C3"/>
    <w:rsid w:val="004319D5"/>
    <w:rsid w:val="00432964"/>
    <w:rsid w:val="004333F5"/>
    <w:rsid w:val="004348BB"/>
    <w:rsid w:val="00434900"/>
    <w:rsid w:val="00435D11"/>
    <w:rsid w:val="004365A3"/>
    <w:rsid w:val="00436C13"/>
    <w:rsid w:val="0043795C"/>
    <w:rsid w:val="0044008F"/>
    <w:rsid w:val="004406D1"/>
    <w:rsid w:val="00442D97"/>
    <w:rsid w:val="004439B7"/>
    <w:rsid w:val="00443ACA"/>
    <w:rsid w:val="00444C40"/>
    <w:rsid w:val="00444E11"/>
    <w:rsid w:val="004450F3"/>
    <w:rsid w:val="004452B3"/>
    <w:rsid w:val="00445599"/>
    <w:rsid w:val="00445685"/>
    <w:rsid w:val="004461AB"/>
    <w:rsid w:val="0044671A"/>
    <w:rsid w:val="00446EAB"/>
    <w:rsid w:val="00450053"/>
    <w:rsid w:val="00450171"/>
    <w:rsid w:val="00450FA0"/>
    <w:rsid w:val="00451700"/>
    <w:rsid w:val="004517F1"/>
    <w:rsid w:val="00451B17"/>
    <w:rsid w:val="00451E05"/>
    <w:rsid w:val="0045374C"/>
    <w:rsid w:val="00455CCF"/>
    <w:rsid w:val="004563D0"/>
    <w:rsid w:val="004570F8"/>
    <w:rsid w:val="00461AC2"/>
    <w:rsid w:val="00461FF5"/>
    <w:rsid w:val="00462296"/>
    <w:rsid w:val="004643ED"/>
    <w:rsid w:val="00465297"/>
    <w:rsid w:val="00465DDC"/>
    <w:rsid w:val="00466FCB"/>
    <w:rsid w:val="004675EE"/>
    <w:rsid w:val="00470229"/>
    <w:rsid w:val="00472020"/>
    <w:rsid w:val="00473AB3"/>
    <w:rsid w:val="00474B7B"/>
    <w:rsid w:val="00475FD8"/>
    <w:rsid w:val="004760C6"/>
    <w:rsid w:val="00480482"/>
    <w:rsid w:val="004808B3"/>
    <w:rsid w:val="00480B12"/>
    <w:rsid w:val="00480C2C"/>
    <w:rsid w:val="00481FF7"/>
    <w:rsid w:val="0048250C"/>
    <w:rsid w:val="0048330D"/>
    <w:rsid w:val="004843EF"/>
    <w:rsid w:val="00484922"/>
    <w:rsid w:val="00484FD1"/>
    <w:rsid w:val="00487519"/>
    <w:rsid w:val="00487AB8"/>
    <w:rsid w:val="0049126E"/>
    <w:rsid w:val="004915BC"/>
    <w:rsid w:val="00493FEE"/>
    <w:rsid w:val="00494469"/>
    <w:rsid w:val="0049479C"/>
    <w:rsid w:val="004951B8"/>
    <w:rsid w:val="00495828"/>
    <w:rsid w:val="00495CBA"/>
    <w:rsid w:val="00497289"/>
    <w:rsid w:val="00497E18"/>
    <w:rsid w:val="004A01F9"/>
    <w:rsid w:val="004A0225"/>
    <w:rsid w:val="004A063A"/>
    <w:rsid w:val="004A0C11"/>
    <w:rsid w:val="004A11D3"/>
    <w:rsid w:val="004A21FA"/>
    <w:rsid w:val="004A26B2"/>
    <w:rsid w:val="004A341D"/>
    <w:rsid w:val="004A3AC3"/>
    <w:rsid w:val="004A7E1C"/>
    <w:rsid w:val="004B0357"/>
    <w:rsid w:val="004B0A82"/>
    <w:rsid w:val="004B0F50"/>
    <w:rsid w:val="004B2831"/>
    <w:rsid w:val="004B2D41"/>
    <w:rsid w:val="004B3CC8"/>
    <w:rsid w:val="004B4DC0"/>
    <w:rsid w:val="004B6B59"/>
    <w:rsid w:val="004B7EE4"/>
    <w:rsid w:val="004C0379"/>
    <w:rsid w:val="004C03A8"/>
    <w:rsid w:val="004C202C"/>
    <w:rsid w:val="004C3927"/>
    <w:rsid w:val="004C5395"/>
    <w:rsid w:val="004C615C"/>
    <w:rsid w:val="004C6E5C"/>
    <w:rsid w:val="004C6FE7"/>
    <w:rsid w:val="004D1244"/>
    <w:rsid w:val="004D1862"/>
    <w:rsid w:val="004D1B44"/>
    <w:rsid w:val="004D3C58"/>
    <w:rsid w:val="004D3CF1"/>
    <w:rsid w:val="004D3F07"/>
    <w:rsid w:val="004D47E6"/>
    <w:rsid w:val="004D4D62"/>
    <w:rsid w:val="004D5726"/>
    <w:rsid w:val="004E01F1"/>
    <w:rsid w:val="004E0D5E"/>
    <w:rsid w:val="004E1DDB"/>
    <w:rsid w:val="004E36F7"/>
    <w:rsid w:val="004E54CD"/>
    <w:rsid w:val="004E75C4"/>
    <w:rsid w:val="004E7E48"/>
    <w:rsid w:val="004F07AF"/>
    <w:rsid w:val="004F0CE3"/>
    <w:rsid w:val="004F1343"/>
    <w:rsid w:val="004F1EC7"/>
    <w:rsid w:val="004F2531"/>
    <w:rsid w:val="004F2BF6"/>
    <w:rsid w:val="004F2CBD"/>
    <w:rsid w:val="004F316F"/>
    <w:rsid w:val="004F3184"/>
    <w:rsid w:val="004F4445"/>
    <w:rsid w:val="004F587E"/>
    <w:rsid w:val="004F58CD"/>
    <w:rsid w:val="004F5B1B"/>
    <w:rsid w:val="004F5DC3"/>
    <w:rsid w:val="004F62E4"/>
    <w:rsid w:val="004F7FD7"/>
    <w:rsid w:val="00500400"/>
    <w:rsid w:val="005004AF"/>
    <w:rsid w:val="0050094B"/>
    <w:rsid w:val="00502795"/>
    <w:rsid w:val="00502898"/>
    <w:rsid w:val="0050582D"/>
    <w:rsid w:val="00505F61"/>
    <w:rsid w:val="0050665C"/>
    <w:rsid w:val="00506B06"/>
    <w:rsid w:val="00507811"/>
    <w:rsid w:val="00507C30"/>
    <w:rsid w:val="0051140F"/>
    <w:rsid w:val="0051176D"/>
    <w:rsid w:val="005129D3"/>
    <w:rsid w:val="00512F9B"/>
    <w:rsid w:val="00513B76"/>
    <w:rsid w:val="00515A13"/>
    <w:rsid w:val="00515B16"/>
    <w:rsid w:val="00516186"/>
    <w:rsid w:val="00516A4F"/>
    <w:rsid w:val="00517239"/>
    <w:rsid w:val="00517CFF"/>
    <w:rsid w:val="00520AF4"/>
    <w:rsid w:val="005216D8"/>
    <w:rsid w:val="00522611"/>
    <w:rsid w:val="00524210"/>
    <w:rsid w:val="00525D29"/>
    <w:rsid w:val="00525E97"/>
    <w:rsid w:val="00526038"/>
    <w:rsid w:val="005262FD"/>
    <w:rsid w:val="0052786D"/>
    <w:rsid w:val="005330CF"/>
    <w:rsid w:val="005335B5"/>
    <w:rsid w:val="005349C3"/>
    <w:rsid w:val="00534F7F"/>
    <w:rsid w:val="005367F9"/>
    <w:rsid w:val="00536BEA"/>
    <w:rsid w:val="00537138"/>
    <w:rsid w:val="00537345"/>
    <w:rsid w:val="00537A11"/>
    <w:rsid w:val="00537C35"/>
    <w:rsid w:val="00541CD1"/>
    <w:rsid w:val="00541DAB"/>
    <w:rsid w:val="00541F3F"/>
    <w:rsid w:val="00542FCC"/>
    <w:rsid w:val="00543040"/>
    <w:rsid w:val="005433CF"/>
    <w:rsid w:val="005433E2"/>
    <w:rsid w:val="005434B1"/>
    <w:rsid w:val="005440B4"/>
    <w:rsid w:val="00544404"/>
    <w:rsid w:val="00544549"/>
    <w:rsid w:val="00544A8C"/>
    <w:rsid w:val="005452F6"/>
    <w:rsid w:val="00546F38"/>
    <w:rsid w:val="005500B7"/>
    <w:rsid w:val="00550BBC"/>
    <w:rsid w:val="0055175F"/>
    <w:rsid w:val="00551B53"/>
    <w:rsid w:val="00552010"/>
    <w:rsid w:val="00553A52"/>
    <w:rsid w:val="005549B3"/>
    <w:rsid w:val="00555A01"/>
    <w:rsid w:val="00555E37"/>
    <w:rsid w:val="00557BAC"/>
    <w:rsid w:val="00560558"/>
    <w:rsid w:val="005632DD"/>
    <w:rsid w:val="00565726"/>
    <w:rsid w:val="00565B0C"/>
    <w:rsid w:val="005660DF"/>
    <w:rsid w:val="00567163"/>
    <w:rsid w:val="00567307"/>
    <w:rsid w:val="00570008"/>
    <w:rsid w:val="005706FB"/>
    <w:rsid w:val="00573217"/>
    <w:rsid w:val="0057384A"/>
    <w:rsid w:val="00573A79"/>
    <w:rsid w:val="005744EF"/>
    <w:rsid w:val="005749F6"/>
    <w:rsid w:val="00576D56"/>
    <w:rsid w:val="00577998"/>
    <w:rsid w:val="00577C0A"/>
    <w:rsid w:val="00577CBC"/>
    <w:rsid w:val="00577CE7"/>
    <w:rsid w:val="00580164"/>
    <w:rsid w:val="00580FB9"/>
    <w:rsid w:val="005814C7"/>
    <w:rsid w:val="00581614"/>
    <w:rsid w:val="0058292F"/>
    <w:rsid w:val="00583706"/>
    <w:rsid w:val="005837A4"/>
    <w:rsid w:val="0058393C"/>
    <w:rsid w:val="00583FCC"/>
    <w:rsid w:val="0058432F"/>
    <w:rsid w:val="0058646F"/>
    <w:rsid w:val="00586FB8"/>
    <w:rsid w:val="005871D5"/>
    <w:rsid w:val="005873CB"/>
    <w:rsid w:val="0058752F"/>
    <w:rsid w:val="00587583"/>
    <w:rsid w:val="00587807"/>
    <w:rsid w:val="00591D3B"/>
    <w:rsid w:val="00592950"/>
    <w:rsid w:val="00593462"/>
    <w:rsid w:val="005938D1"/>
    <w:rsid w:val="00593EA1"/>
    <w:rsid w:val="00593FBF"/>
    <w:rsid w:val="00594522"/>
    <w:rsid w:val="00595510"/>
    <w:rsid w:val="00596142"/>
    <w:rsid w:val="005971D6"/>
    <w:rsid w:val="005973E8"/>
    <w:rsid w:val="005A3178"/>
    <w:rsid w:val="005A3671"/>
    <w:rsid w:val="005A43B9"/>
    <w:rsid w:val="005A4A52"/>
    <w:rsid w:val="005A4D05"/>
    <w:rsid w:val="005A5076"/>
    <w:rsid w:val="005A546C"/>
    <w:rsid w:val="005A714A"/>
    <w:rsid w:val="005B1EC8"/>
    <w:rsid w:val="005B2442"/>
    <w:rsid w:val="005B26C7"/>
    <w:rsid w:val="005B4316"/>
    <w:rsid w:val="005B43C5"/>
    <w:rsid w:val="005B4D73"/>
    <w:rsid w:val="005B5A12"/>
    <w:rsid w:val="005B78F6"/>
    <w:rsid w:val="005B7C4B"/>
    <w:rsid w:val="005C22B1"/>
    <w:rsid w:val="005C2A7B"/>
    <w:rsid w:val="005C59B2"/>
    <w:rsid w:val="005C67B9"/>
    <w:rsid w:val="005C688C"/>
    <w:rsid w:val="005C69F9"/>
    <w:rsid w:val="005C6BB6"/>
    <w:rsid w:val="005C6F47"/>
    <w:rsid w:val="005C721F"/>
    <w:rsid w:val="005D0047"/>
    <w:rsid w:val="005D0153"/>
    <w:rsid w:val="005D1211"/>
    <w:rsid w:val="005D2024"/>
    <w:rsid w:val="005D2E51"/>
    <w:rsid w:val="005D31DC"/>
    <w:rsid w:val="005D322C"/>
    <w:rsid w:val="005D50D5"/>
    <w:rsid w:val="005D5B29"/>
    <w:rsid w:val="005D5E3C"/>
    <w:rsid w:val="005D69E9"/>
    <w:rsid w:val="005E05CA"/>
    <w:rsid w:val="005E1750"/>
    <w:rsid w:val="005E2684"/>
    <w:rsid w:val="005E3527"/>
    <w:rsid w:val="005E5BD2"/>
    <w:rsid w:val="005E5CB8"/>
    <w:rsid w:val="005E654C"/>
    <w:rsid w:val="005E67E2"/>
    <w:rsid w:val="005E6E36"/>
    <w:rsid w:val="005E70F6"/>
    <w:rsid w:val="005E724E"/>
    <w:rsid w:val="005E7E40"/>
    <w:rsid w:val="005F017F"/>
    <w:rsid w:val="005F1891"/>
    <w:rsid w:val="005F1924"/>
    <w:rsid w:val="005F1FFF"/>
    <w:rsid w:val="005F2506"/>
    <w:rsid w:val="005F2C79"/>
    <w:rsid w:val="005F3A62"/>
    <w:rsid w:val="005F43B0"/>
    <w:rsid w:val="005F5CE2"/>
    <w:rsid w:val="005F631C"/>
    <w:rsid w:val="005F661F"/>
    <w:rsid w:val="005F6FDA"/>
    <w:rsid w:val="005F76B4"/>
    <w:rsid w:val="006032FB"/>
    <w:rsid w:val="0060339E"/>
    <w:rsid w:val="00603D4D"/>
    <w:rsid w:val="00603E00"/>
    <w:rsid w:val="00603F07"/>
    <w:rsid w:val="00605C36"/>
    <w:rsid w:val="0060637B"/>
    <w:rsid w:val="0060709D"/>
    <w:rsid w:val="006070A2"/>
    <w:rsid w:val="00607758"/>
    <w:rsid w:val="00610417"/>
    <w:rsid w:val="00610B72"/>
    <w:rsid w:val="00611610"/>
    <w:rsid w:val="006116D8"/>
    <w:rsid w:val="00611D78"/>
    <w:rsid w:val="00611DAA"/>
    <w:rsid w:val="00612224"/>
    <w:rsid w:val="006124D1"/>
    <w:rsid w:val="0061312E"/>
    <w:rsid w:val="00613B7F"/>
    <w:rsid w:val="00614740"/>
    <w:rsid w:val="00615302"/>
    <w:rsid w:val="00620396"/>
    <w:rsid w:val="0062097D"/>
    <w:rsid w:val="00620F4B"/>
    <w:rsid w:val="00621246"/>
    <w:rsid w:val="006218CA"/>
    <w:rsid w:val="00621B37"/>
    <w:rsid w:val="0062215D"/>
    <w:rsid w:val="00622C5D"/>
    <w:rsid w:val="0062305C"/>
    <w:rsid w:val="006237EF"/>
    <w:rsid w:val="006238FD"/>
    <w:rsid w:val="00623A39"/>
    <w:rsid w:val="0062655F"/>
    <w:rsid w:val="006273AA"/>
    <w:rsid w:val="006303B2"/>
    <w:rsid w:val="0063123D"/>
    <w:rsid w:val="006338A6"/>
    <w:rsid w:val="00633AEB"/>
    <w:rsid w:val="0063446E"/>
    <w:rsid w:val="00635516"/>
    <w:rsid w:val="00635846"/>
    <w:rsid w:val="0063727F"/>
    <w:rsid w:val="0063753F"/>
    <w:rsid w:val="00637C2F"/>
    <w:rsid w:val="006413B1"/>
    <w:rsid w:val="00641C00"/>
    <w:rsid w:val="006428A8"/>
    <w:rsid w:val="00642D9C"/>
    <w:rsid w:val="00642F9B"/>
    <w:rsid w:val="00644435"/>
    <w:rsid w:val="00644742"/>
    <w:rsid w:val="00644C32"/>
    <w:rsid w:val="006462E1"/>
    <w:rsid w:val="00646779"/>
    <w:rsid w:val="00646AA0"/>
    <w:rsid w:val="006502D5"/>
    <w:rsid w:val="006512F5"/>
    <w:rsid w:val="0065141D"/>
    <w:rsid w:val="00653ADD"/>
    <w:rsid w:val="0065400E"/>
    <w:rsid w:val="00654361"/>
    <w:rsid w:val="0065450C"/>
    <w:rsid w:val="006551EC"/>
    <w:rsid w:val="00655486"/>
    <w:rsid w:val="00657648"/>
    <w:rsid w:val="006600EE"/>
    <w:rsid w:val="006605DF"/>
    <w:rsid w:val="00660CCF"/>
    <w:rsid w:val="00660CDB"/>
    <w:rsid w:val="00662C00"/>
    <w:rsid w:val="006635ED"/>
    <w:rsid w:val="006643BE"/>
    <w:rsid w:val="006644A2"/>
    <w:rsid w:val="006648A7"/>
    <w:rsid w:val="00664B20"/>
    <w:rsid w:val="00665895"/>
    <w:rsid w:val="00666D38"/>
    <w:rsid w:val="00667C9B"/>
    <w:rsid w:val="00670236"/>
    <w:rsid w:val="00670624"/>
    <w:rsid w:val="0067096B"/>
    <w:rsid w:val="00670E8F"/>
    <w:rsid w:val="0067199D"/>
    <w:rsid w:val="006719AF"/>
    <w:rsid w:val="00671E03"/>
    <w:rsid w:val="0067295C"/>
    <w:rsid w:val="006733B2"/>
    <w:rsid w:val="00674565"/>
    <w:rsid w:val="006752EE"/>
    <w:rsid w:val="0067600E"/>
    <w:rsid w:val="00676584"/>
    <w:rsid w:val="006768B7"/>
    <w:rsid w:val="006768D1"/>
    <w:rsid w:val="00676C62"/>
    <w:rsid w:val="0067700E"/>
    <w:rsid w:val="00677220"/>
    <w:rsid w:val="006800D4"/>
    <w:rsid w:val="00680DAC"/>
    <w:rsid w:val="006824CB"/>
    <w:rsid w:val="00682944"/>
    <w:rsid w:val="00682F24"/>
    <w:rsid w:val="006862BB"/>
    <w:rsid w:val="00687793"/>
    <w:rsid w:val="00687B5B"/>
    <w:rsid w:val="006915A3"/>
    <w:rsid w:val="00691A33"/>
    <w:rsid w:val="00691ACF"/>
    <w:rsid w:val="006935EA"/>
    <w:rsid w:val="006943A9"/>
    <w:rsid w:val="006960CE"/>
    <w:rsid w:val="00696940"/>
    <w:rsid w:val="00696C0C"/>
    <w:rsid w:val="00696D35"/>
    <w:rsid w:val="00696F11"/>
    <w:rsid w:val="00697398"/>
    <w:rsid w:val="006A085D"/>
    <w:rsid w:val="006A0F3B"/>
    <w:rsid w:val="006A128F"/>
    <w:rsid w:val="006A2800"/>
    <w:rsid w:val="006A2D05"/>
    <w:rsid w:val="006A2EE9"/>
    <w:rsid w:val="006A398A"/>
    <w:rsid w:val="006A3BF7"/>
    <w:rsid w:val="006A461A"/>
    <w:rsid w:val="006A476C"/>
    <w:rsid w:val="006A51CE"/>
    <w:rsid w:val="006A6EE3"/>
    <w:rsid w:val="006A705D"/>
    <w:rsid w:val="006A7516"/>
    <w:rsid w:val="006A75AF"/>
    <w:rsid w:val="006A7904"/>
    <w:rsid w:val="006B0D76"/>
    <w:rsid w:val="006B2C52"/>
    <w:rsid w:val="006B2EB2"/>
    <w:rsid w:val="006B4D64"/>
    <w:rsid w:val="006B527E"/>
    <w:rsid w:val="006B5DA5"/>
    <w:rsid w:val="006B71D1"/>
    <w:rsid w:val="006B7532"/>
    <w:rsid w:val="006C157C"/>
    <w:rsid w:val="006C25CB"/>
    <w:rsid w:val="006C2C94"/>
    <w:rsid w:val="006C5A4F"/>
    <w:rsid w:val="006C605A"/>
    <w:rsid w:val="006C60A3"/>
    <w:rsid w:val="006C69B3"/>
    <w:rsid w:val="006C6CED"/>
    <w:rsid w:val="006C7270"/>
    <w:rsid w:val="006C7300"/>
    <w:rsid w:val="006D0702"/>
    <w:rsid w:val="006D0BA3"/>
    <w:rsid w:val="006D17AE"/>
    <w:rsid w:val="006D20C2"/>
    <w:rsid w:val="006D2AF2"/>
    <w:rsid w:val="006D2D4F"/>
    <w:rsid w:val="006D36D5"/>
    <w:rsid w:val="006D4B0C"/>
    <w:rsid w:val="006D681D"/>
    <w:rsid w:val="006E0C91"/>
    <w:rsid w:val="006E17D4"/>
    <w:rsid w:val="006E3125"/>
    <w:rsid w:val="006E3184"/>
    <w:rsid w:val="006E3566"/>
    <w:rsid w:val="006E4640"/>
    <w:rsid w:val="006E4762"/>
    <w:rsid w:val="006E6FBC"/>
    <w:rsid w:val="006E7685"/>
    <w:rsid w:val="006F212F"/>
    <w:rsid w:val="006F28DF"/>
    <w:rsid w:val="006F31E9"/>
    <w:rsid w:val="006F4BCC"/>
    <w:rsid w:val="006F4D03"/>
    <w:rsid w:val="006F512C"/>
    <w:rsid w:val="006F6413"/>
    <w:rsid w:val="006F7731"/>
    <w:rsid w:val="007003FD"/>
    <w:rsid w:val="007012F1"/>
    <w:rsid w:val="007021B8"/>
    <w:rsid w:val="0070311F"/>
    <w:rsid w:val="007031F9"/>
    <w:rsid w:val="007032C5"/>
    <w:rsid w:val="00703645"/>
    <w:rsid w:val="00705782"/>
    <w:rsid w:val="00705E95"/>
    <w:rsid w:val="007063E5"/>
    <w:rsid w:val="00707A5F"/>
    <w:rsid w:val="00710463"/>
    <w:rsid w:val="0071066E"/>
    <w:rsid w:val="00711155"/>
    <w:rsid w:val="00711228"/>
    <w:rsid w:val="00714AD2"/>
    <w:rsid w:val="007154B1"/>
    <w:rsid w:val="00715B88"/>
    <w:rsid w:val="00715FE5"/>
    <w:rsid w:val="007166D5"/>
    <w:rsid w:val="00716849"/>
    <w:rsid w:val="00720AF3"/>
    <w:rsid w:val="00721CD4"/>
    <w:rsid w:val="00721ED2"/>
    <w:rsid w:val="00722AD3"/>
    <w:rsid w:val="00722D32"/>
    <w:rsid w:val="007232EC"/>
    <w:rsid w:val="007236A2"/>
    <w:rsid w:val="00724944"/>
    <w:rsid w:val="00724E1F"/>
    <w:rsid w:val="00726777"/>
    <w:rsid w:val="0072691A"/>
    <w:rsid w:val="00727D41"/>
    <w:rsid w:val="0073063D"/>
    <w:rsid w:val="00731B5D"/>
    <w:rsid w:val="0073254D"/>
    <w:rsid w:val="007331D4"/>
    <w:rsid w:val="00734294"/>
    <w:rsid w:val="00734514"/>
    <w:rsid w:val="007365FE"/>
    <w:rsid w:val="0073739C"/>
    <w:rsid w:val="007379B2"/>
    <w:rsid w:val="00741882"/>
    <w:rsid w:val="00741C11"/>
    <w:rsid w:val="00742554"/>
    <w:rsid w:val="00742F1C"/>
    <w:rsid w:val="00744983"/>
    <w:rsid w:val="00744BF2"/>
    <w:rsid w:val="007471B8"/>
    <w:rsid w:val="00747479"/>
    <w:rsid w:val="0075006E"/>
    <w:rsid w:val="007506B4"/>
    <w:rsid w:val="0075079E"/>
    <w:rsid w:val="00750D8E"/>
    <w:rsid w:val="00751F0A"/>
    <w:rsid w:val="00752B26"/>
    <w:rsid w:val="00752E1E"/>
    <w:rsid w:val="00753548"/>
    <w:rsid w:val="00753B1B"/>
    <w:rsid w:val="00754E6A"/>
    <w:rsid w:val="00755A9A"/>
    <w:rsid w:val="00755A9F"/>
    <w:rsid w:val="00756503"/>
    <w:rsid w:val="0076218C"/>
    <w:rsid w:val="0076486A"/>
    <w:rsid w:val="00764ADA"/>
    <w:rsid w:val="007651A0"/>
    <w:rsid w:val="007651B4"/>
    <w:rsid w:val="00765223"/>
    <w:rsid w:val="00765BA8"/>
    <w:rsid w:val="007668F0"/>
    <w:rsid w:val="00772BBB"/>
    <w:rsid w:val="007732C4"/>
    <w:rsid w:val="00773640"/>
    <w:rsid w:val="0077395A"/>
    <w:rsid w:val="0077464A"/>
    <w:rsid w:val="007747AD"/>
    <w:rsid w:val="00774AF9"/>
    <w:rsid w:val="00775150"/>
    <w:rsid w:val="00775CB3"/>
    <w:rsid w:val="0077688A"/>
    <w:rsid w:val="00776CF4"/>
    <w:rsid w:val="00777A59"/>
    <w:rsid w:val="00780508"/>
    <w:rsid w:val="007817EC"/>
    <w:rsid w:val="007819F2"/>
    <w:rsid w:val="0078379B"/>
    <w:rsid w:val="00783DA1"/>
    <w:rsid w:val="007906D4"/>
    <w:rsid w:val="00790749"/>
    <w:rsid w:val="00790B55"/>
    <w:rsid w:val="00792FBB"/>
    <w:rsid w:val="0079363B"/>
    <w:rsid w:val="00793BA7"/>
    <w:rsid w:val="00794A89"/>
    <w:rsid w:val="007957EE"/>
    <w:rsid w:val="00795FE2"/>
    <w:rsid w:val="00796EBB"/>
    <w:rsid w:val="00797E22"/>
    <w:rsid w:val="007A0324"/>
    <w:rsid w:val="007A1091"/>
    <w:rsid w:val="007A176F"/>
    <w:rsid w:val="007A1A73"/>
    <w:rsid w:val="007A1B53"/>
    <w:rsid w:val="007A20DC"/>
    <w:rsid w:val="007A21C7"/>
    <w:rsid w:val="007A3296"/>
    <w:rsid w:val="007A375B"/>
    <w:rsid w:val="007A5814"/>
    <w:rsid w:val="007A6300"/>
    <w:rsid w:val="007A70BC"/>
    <w:rsid w:val="007B0A19"/>
    <w:rsid w:val="007B1D5E"/>
    <w:rsid w:val="007B24E3"/>
    <w:rsid w:val="007B3F28"/>
    <w:rsid w:val="007B5383"/>
    <w:rsid w:val="007B7134"/>
    <w:rsid w:val="007B75FA"/>
    <w:rsid w:val="007B78EF"/>
    <w:rsid w:val="007C1907"/>
    <w:rsid w:val="007C27B5"/>
    <w:rsid w:val="007C2F5B"/>
    <w:rsid w:val="007C3694"/>
    <w:rsid w:val="007C39BB"/>
    <w:rsid w:val="007C625D"/>
    <w:rsid w:val="007C6774"/>
    <w:rsid w:val="007C7145"/>
    <w:rsid w:val="007C739E"/>
    <w:rsid w:val="007D0A0D"/>
    <w:rsid w:val="007D0F70"/>
    <w:rsid w:val="007D148A"/>
    <w:rsid w:val="007D19DB"/>
    <w:rsid w:val="007D1DA4"/>
    <w:rsid w:val="007D2754"/>
    <w:rsid w:val="007D2E97"/>
    <w:rsid w:val="007D6131"/>
    <w:rsid w:val="007D7B88"/>
    <w:rsid w:val="007E1112"/>
    <w:rsid w:val="007E1598"/>
    <w:rsid w:val="007E4C88"/>
    <w:rsid w:val="007E509B"/>
    <w:rsid w:val="007E578D"/>
    <w:rsid w:val="007E6715"/>
    <w:rsid w:val="007E6806"/>
    <w:rsid w:val="007E6962"/>
    <w:rsid w:val="007E785A"/>
    <w:rsid w:val="007F0CAC"/>
    <w:rsid w:val="007F1626"/>
    <w:rsid w:val="007F2244"/>
    <w:rsid w:val="007F398E"/>
    <w:rsid w:val="007F50B2"/>
    <w:rsid w:val="007F5916"/>
    <w:rsid w:val="007F5D45"/>
    <w:rsid w:val="007F5DF6"/>
    <w:rsid w:val="007F6150"/>
    <w:rsid w:val="007F7C2C"/>
    <w:rsid w:val="008009B5"/>
    <w:rsid w:val="00802888"/>
    <w:rsid w:val="00802B83"/>
    <w:rsid w:val="00802FFE"/>
    <w:rsid w:val="008036FC"/>
    <w:rsid w:val="00804018"/>
    <w:rsid w:val="008051C7"/>
    <w:rsid w:val="00806470"/>
    <w:rsid w:val="00806720"/>
    <w:rsid w:val="00806893"/>
    <w:rsid w:val="00806ABE"/>
    <w:rsid w:val="00807750"/>
    <w:rsid w:val="00807A18"/>
    <w:rsid w:val="00810102"/>
    <w:rsid w:val="0081110B"/>
    <w:rsid w:val="0081277E"/>
    <w:rsid w:val="00813245"/>
    <w:rsid w:val="0081382A"/>
    <w:rsid w:val="00814428"/>
    <w:rsid w:val="00814730"/>
    <w:rsid w:val="008148F6"/>
    <w:rsid w:val="00814E84"/>
    <w:rsid w:val="00817278"/>
    <w:rsid w:val="00817AF4"/>
    <w:rsid w:val="00820A22"/>
    <w:rsid w:val="00820D85"/>
    <w:rsid w:val="00822E7F"/>
    <w:rsid w:val="00824182"/>
    <w:rsid w:val="00825010"/>
    <w:rsid w:val="00825477"/>
    <w:rsid w:val="00830549"/>
    <w:rsid w:val="00830AC7"/>
    <w:rsid w:val="00830C8F"/>
    <w:rsid w:val="00831012"/>
    <w:rsid w:val="0083157B"/>
    <w:rsid w:val="008333C4"/>
    <w:rsid w:val="008342A5"/>
    <w:rsid w:val="0083452E"/>
    <w:rsid w:val="008364AB"/>
    <w:rsid w:val="00837A07"/>
    <w:rsid w:val="008407C7"/>
    <w:rsid w:val="0084085F"/>
    <w:rsid w:val="00840ED6"/>
    <w:rsid w:val="00841772"/>
    <w:rsid w:val="00841FCA"/>
    <w:rsid w:val="008422AC"/>
    <w:rsid w:val="0084300F"/>
    <w:rsid w:val="0084311E"/>
    <w:rsid w:val="008431AB"/>
    <w:rsid w:val="008433F8"/>
    <w:rsid w:val="008435F5"/>
    <w:rsid w:val="008437CA"/>
    <w:rsid w:val="00843C6F"/>
    <w:rsid w:val="008440ED"/>
    <w:rsid w:val="0084427E"/>
    <w:rsid w:val="0084429E"/>
    <w:rsid w:val="0084623A"/>
    <w:rsid w:val="00846A9A"/>
    <w:rsid w:val="008471AE"/>
    <w:rsid w:val="00850126"/>
    <w:rsid w:val="00850B10"/>
    <w:rsid w:val="00850DBF"/>
    <w:rsid w:val="00851AD5"/>
    <w:rsid w:val="00851F53"/>
    <w:rsid w:val="00854103"/>
    <w:rsid w:val="00855509"/>
    <w:rsid w:val="0085713F"/>
    <w:rsid w:val="00860750"/>
    <w:rsid w:val="0086180D"/>
    <w:rsid w:val="00862B59"/>
    <w:rsid w:val="00862D36"/>
    <w:rsid w:val="008636C4"/>
    <w:rsid w:val="0086392E"/>
    <w:rsid w:val="008651B5"/>
    <w:rsid w:val="008655E9"/>
    <w:rsid w:val="00865C3A"/>
    <w:rsid w:val="00865F3D"/>
    <w:rsid w:val="008671AE"/>
    <w:rsid w:val="008671B6"/>
    <w:rsid w:val="00867B9C"/>
    <w:rsid w:val="00870D0B"/>
    <w:rsid w:val="00871E1F"/>
    <w:rsid w:val="00873567"/>
    <w:rsid w:val="008739D6"/>
    <w:rsid w:val="00874570"/>
    <w:rsid w:val="00875043"/>
    <w:rsid w:val="00876026"/>
    <w:rsid w:val="008767D4"/>
    <w:rsid w:val="00880091"/>
    <w:rsid w:val="00882F75"/>
    <w:rsid w:val="0088344F"/>
    <w:rsid w:val="00883BEC"/>
    <w:rsid w:val="00884092"/>
    <w:rsid w:val="00884C00"/>
    <w:rsid w:val="00884E76"/>
    <w:rsid w:val="008866B1"/>
    <w:rsid w:val="0088686E"/>
    <w:rsid w:val="008874FE"/>
    <w:rsid w:val="00892F6E"/>
    <w:rsid w:val="00893697"/>
    <w:rsid w:val="00893B05"/>
    <w:rsid w:val="00893E22"/>
    <w:rsid w:val="008952C9"/>
    <w:rsid w:val="00895419"/>
    <w:rsid w:val="008957E8"/>
    <w:rsid w:val="00895D98"/>
    <w:rsid w:val="00896377"/>
    <w:rsid w:val="00896718"/>
    <w:rsid w:val="00896D2F"/>
    <w:rsid w:val="008A04FD"/>
    <w:rsid w:val="008A1294"/>
    <w:rsid w:val="008A1363"/>
    <w:rsid w:val="008A39E0"/>
    <w:rsid w:val="008A4720"/>
    <w:rsid w:val="008A4776"/>
    <w:rsid w:val="008A607E"/>
    <w:rsid w:val="008A73C3"/>
    <w:rsid w:val="008A79D8"/>
    <w:rsid w:val="008B052A"/>
    <w:rsid w:val="008B0550"/>
    <w:rsid w:val="008B0655"/>
    <w:rsid w:val="008B084B"/>
    <w:rsid w:val="008B08E4"/>
    <w:rsid w:val="008B17CC"/>
    <w:rsid w:val="008B298B"/>
    <w:rsid w:val="008B29BC"/>
    <w:rsid w:val="008B309A"/>
    <w:rsid w:val="008B341D"/>
    <w:rsid w:val="008B354F"/>
    <w:rsid w:val="008B45E5"/>
    <w:rsid w:val="008B5D8C"/>
    <w:rsid w:val="008C2353"/>
    <w:rsid w:val="008C37D8"/>
    <w:rsid w:val="008C3F4C"/>
    <w:rsid w:val="008C538B"/>
    <w:rsid w:val="008C5A82"/>
    <w:rsid w:val="008C5C56"/>
    <w:rsid w:val="008C7C03"/>
    <w:rsid w:val="008D0887"/>
    <w:rsid w:val="008D0A93"/>
    <w:rsid w:val="008D0EF3"/>
    <w:rsid w:val="008D1019"/>
    <w:rsid w:val="008D10FD"/>
    <w:rsid w:val="008D24DD"/>
    <w:rsid w:val="008D501E"/>
    <w:rsid w:val="008D511A"/>
    <w:rsid w:val="008D59D0"/>
    <w:rsid w:val="008D6F9C"/>
    <w:rsid w:val="008D7593"/>
    <w:rsid w:val="008E02F6"/>
    <w:rsid w:val="008E12B2"/>
    <w:rsid w:val="008E23FF"/>
    <w:rsid w:val="008E3C29"/>
    <w:rsid w:val="008E43D6"/>
    <w:rsid w:val="008E44D1"/>
    <w:rsid w:val="008E54C2"/>
    <w:rsid w:val="008F0160"/>
    <w:rsid w:val="008F0626"/>
    <w:rsid w:val="008F2219"/>
    <w:rsid w:val="008F2781"/>
    <w:rsid w:val="008F3360"/>
    <w:rsid w:val="008F400C"/>
    <w:rsid w:val="008F4097"/>
    <w:rsid w:val="008F467B"/>
    <w:rsid w:val="008F5E56"/>
    <w:rsid w:val="008F6FEE"/>
    <w:rsid w:val="008F7E57"/>
    <w:rsid w:val="0090066A"/>
    <w:rsid w:val="009014FF"/>
    <w:rsid w:val="00901F74"/>
    <w:rsid w:val="00903E69"/>
    <w:rsid w:val="00904414"/>
    <w:rsid w:val="009059CB"/>
    <w:rsid w:val="009065C1"/>
    <w:rsid w:val="00906A72"/>
    <w:rsid w:val="00906A99"/>
    <w:rsid w:val="00907634"/>
    <w:rsid w:val="00911C50"/>
    <w:rsid w:val="00911DFB"/>
    <w:rsid w:val="00912292"/>
    <w:rsid w:val="00914765"/>
    <w:rsid w:val="00914B73"/>
    <w:rsid w:val="00914C03"/>
    <w:rsid w:val="00915804"/>
    <w:rsid w:val="00916577"/>
    <w:rsid w:val="0091709A"/>
    <w:rsid w:val="00920123"/>
    <w:rsid w:val="00921418"/>
    <w:rsid w:val="00922304"/>
    <w:rsid w:val="00922925"/>
    <w:rsid w:val="009229AF"/>
    <w:rsid w:val="00923DC6"/>
    <w:rsid w:val="009243A7"/>
    <w:rsid w:val="00924640"/>
    <w:rsid w:val="00925251"/>
    <w:rsid w:val="00925C43"/>
    <w:rsid w:val="0092632E"/>
    <w:rsid w:val="009274DE"/>
    <w:rsid w:val="00930A8E"/>
    <w:rsid w:val="00930E66"/>
    <w:rsid w:val="00931132"/>
    <w:rsid w:val="00931635"/>
    <w:rsid w:val="00932529"/>
    <w:rsid w:val="00932533"/>
    <w:rsid w:val="009327C6"/>
    <w:rsid w:val="00932984"/>
    <w:rsid w:val="00932CB8"/>
    <w:rsid w:val="009332DF"/>
    <w:rsid w:val="00934074"/>
    <w:rsid w:val="009342BB"/>
    <w:rsid w:val="009360CB"/>
    <w:rsid w:val="009363C6"/>
    <w:rsid w:val="00936777"/>
    <w:rsid w:val="00936BC9"/>
    <w:rsid w:val="00936C91"/>
    <w:rsid w:val="009370B9"/>
    <w:rsid w:val="00940E29"/>
    <w:rsid w:val="00941691"/>
    <w:rsid w:val="00941761"/>
    <w:rsid w:val="00942340"/>
    <w:rsid w:val="009427A9"/>
    <w:rsid w:val="00943AFC"/>
    <w:rsid w:val="009441AE"/>
    <w:rsid w:val="00944C0B"/>
    <w:rsid w:val="00944D1E"/>
    <w:rsid w:val="00947352"/>
    <w:rsid w:val="009474B9"/>
    <w:rsid w:val="0095001C"/>
    <w:rsid w:val="009508B0"/>
    <w:rsid w:val="00950A72"/>
    <w:rsid w:val="00951027"/>
    <w:rsid w:val="00951A5C"/>
    <w:rsid w:val="00953603"/>
    <w:rsid w:val="00953CB2"/>
    <w:rsid w:val="009543E3"/>
    <w:rsid w:val="00955552"/>
    <w:rsid w:val="0095604C"/>
    <w:rsid w:val="00956382"/>
    <w:rsid w:val="00957839"/>
    <w:rsid w:val="009605FD"/>
    <w:rsid w:val="00960621"/>
    <w:rsid w:val="0096074A"/>
    <w:rsid w:val="009610AD"/>
    <w:rsid w:val="0096147F"/>
    <w:rsid w:val="009625E0"/>
    <w:rsid w:val="00962F50"/>
    <w:rsid w:val="0096322E"/>
    <w:rsid w:val="00963FA3"/>
    <w:rsid w:val="009644DD"/>
    <w:rsid w:val="0096475C"/>
    <w:rsid w:val="0096503A"/>
    <w:rsid w:val="00966D8F"/>
    <w:rsid w:val="0096722E"/>
    <w:rsid w:val="009673C8"/>
    <w:rsid w:val="00967822"/>
    <w:rsid w:val="00970765"/>
    <w:rsid w:val="009712A5"/>
    <w:rsid w:val="00971473"/>
    <w:rsid w:val="0097148B"/>
    <w:rsid w:val="00972A10"/>
    <w:rsid w:val="00972C83"/>
    <w:rsid w:val="00972E2F"/>
    <w:rsid w:val="009748AF"/>
    <w:rsid w:val="00975D14"/>
    <w:rsid w:val="009765F6"/>
    <w:rsid w:val="0097699C"/>
    <w:rsid w:val="00980509"/>
    <w:rsid w:val="00980709"/>
    <w:rsid w:val="009825F4"/>
    <w:rsid w:val="0098349F"/>
    <w:rsid w:val="00983B96"/>
    <w:rsid w:val="00984634"/>
    <w:rsid w:val="00985F76"/>
    <w:rsid w:val="00986295"/>
    <w:rsid w:val="00987BB7"/>
    <w:rsid w:val="00990AD0"/>
    <w:rsid w:val="00990B58"/>
    <w:rsid w:val="00992059"/>
    <w:rsid w:val="00992416"/>
    <w:rsid w:val="00993A00"/>
    <w:rsid w:val="0099612D"/>
    <w:rsid w:val="009973B3"/>
    <w:rsid w:val="0099742D"/>
    <w:rsid w:val="009975E0"/>
    <w:rsid w:val="00997F24"/>
    <w:rsid w:val="009A02D5"/>
    <w:rsid w:val="009A1D41"/>
    <w:rsid w:val="009A254A"/>
    <w:rsid w:val="009A2CDB"/>
    <w:rsid w:val="009A4CB2"/>
    <w:rsid w:val="009A4E8A"/>
    <w:rsid w:val="009A6F60"/>
    <w:rsid w:val="009A7978"/>
    <w:rsid w:val="009A7E27"/>
    <w:rsid w:val="009B062A"/>
    <w:rsid w:val="009B0E4E"/>
    <w:rsid w:val="009B0E6C"/>
    <w:rsid w:val="009B2358"/>
    <w:rsid w:val="009B2AC9"/>
    <w:rsid w:val="009B2E52"/>
    <w:rsid w:val="009B3827"/>
    <w:rsid w:val="009B47F6"/>
    <w:rsid w:val="009B5418"/>
    <w:rsid w:val="009B55B7"/>
    <w:rsid w:val="009B5EE9"/>
    <w:rsid w:val="009B61B0"/>
    <w:rsid w:val="009B63A7"/>
    <w:rsid w:val="009B74E6"/>
    <w:rsid w:val="009C24C5"/>
    <w:rsid w:val="009C261B"/>
    <w:rsid w:val="009C31FC"/>
    <w:rsid w:val="009C3340"/>
    <w:rsid w:val="009C3A30"/>
    <w:rsid w:val="009C3AC5"/>
    <w:rsid w:val="009C4285"/>
    <w:rsid w:val="009C5B89"/>
    <w:rsid w:val="009C6D06"/>
    <w:rsid w:val="009C794B"/>
    <w:rsid w:val="009D0547"/>
    <w:rsid w:val="009D054B"/>
    <w:rsid w:val="009D05A0"/>
    <w:rsid w:val="009D2115"/>
    <w:rsid w:val="009D2134"/>
    <w:rsid w:val="009D221D"/>
    <w:rsid w:val="009D31AC"/>
    <w:rsid w:val="009D531A"/>
    <w:rsid w:val="009D77BE"/>
    <w:rsid w:val="009D7A66"/>
    <w:rsid w:val="009E2410"/>
    <w:rsid w:val="009E4B52"/>
    <w:rsid w:val="009E5000"/>
    <w:rsid w:val="009E5093"/>
    <w:rsid w:val="009E5DAE"/>
    <w:rsid w:val="009E7098"/>
    <w:rsid w:val="009E765F"/>
    <w:rsid w:val="009F002C"/>
    <w:rsid w:val="009F0045"/>
    <w:rsid w:val="009F0BB6"/>
    <w:rsid w:val="009F10F0"/>
    <w:rsid w:val="009F1BBE"/>
    <w:rsid w:val="009F2426"/>
    <w:rsid w:val="009F2CAB"/>
    <w:rsid w:val="009F37C0"/>
    <w:rsid w:val="009F396F"/>
    <w:rsid w:val="009F64D2"/>
    <w:rsid w:val="009F64DC"/>
    <w:rsid w:val="009F7C43"/>
    <w:rsid w:val="009F7CA9"/>
    <w:rsid w:val="009F7F3D"/>
    <w:rsid w:val="00A013A0"/>
    <w:rsid w:val="00A0161F"/>
    <w:rsid w:val="00A01718"/>
    <w:rsid w:val="00A02897"/>
    <w:rsid w:val="00A04BEB"/>
    <w:rsid w:val="00A0500F"/>
    <w:rsid w:val="00A05054"/>
    <w:rsid w:val="00A05266"/>
    <w:rsid w:val="00A06209"/>
    <w:rsid w:val="00A10FEA"/>
    <w:rsid w:val="00A1155F"/>
    <w:rsid w:val="00A13456"/>
    <w:rsid w:val="00A136A9"/>
    <w:rsid w:val="00A1401E"/>
    <w:rsid w:val="00A14D49"/>
    <w:rsid w:val="00A15A7D"/>
    <w:rsid w:val="00A16ACD"/>
    <w:rsid w:val="00A17124"/>
    <w:rsid w:val="00A1770D"/>
    <w:rsid w:val="00A17C9B"/>
    <w:rsid w:val="00A17CC8"/>
    <w:rsid w:val="00A17DB1"/>
    <w:rsid w:val="00A201E6"/>
    <w:rsid w:val="00A2087C"/>
    <w:rsid w:val="00A20C79"/>
    <w:rsid w:val="00A23460"/>
    <w:rsid w:val="00A239DB"/>
    <w:rsid w:val="00A24F6F"/>
    <w:rsid w:val="00A2539D"/>
    <w:rsid w:val="00A26CED"/>
    <w:rsid w:val="00A277DA"/>
    <w:rsid w:val="00A3146E"/>
    <w:rsid w:val="00A32326"/>
    <w:rsid w:val="00A32912"/>
    <w:rsid w:val="00A32B19"/>
    <w:rsid w:val="00A33370"/>
    <w:rsid w:val="00A35FA7"/>
    <w:rsid w:val="00A361DC"/>
    <w:rsid w:val="00A36567"/>
    <w:rsid w:val="00A3789E"/>
    <w:rsid w:val="00A37BC7"/>
    <w:rsid w:val="00A40F86"/>
    <w:rsid w:val="00A41D5B"/>
    <w:rsid w:val="00A4273E"/>
    <w:rsid w:val="00A42A7A"/>
    <w:rsid w:val="00A42FDC"/>
    <w:rsid w:val="00A43595"/>
    <w:rsid w:val="00A4362D"/>
    <w:rsid w:val="00A44047"/>
    <w:rsid w:val="00A44ED2"/>
    <w:rsid w:val="00A45713"/>
    <w:rsid w:val="00A464A2"/>
    <w:rsid w:val="00A477B8"/>
    <w:rsid w:val="00A47BDC"/>
    <w:rsid w:val="00A50B67"/>
    <w:rsid w:val="00A511AD"/>
    <w:rsid w:val="00A52015"/>
    <w:rsid w:val="00A52337"/>
    <w:rsid w:val="00A53134"/>
    <w:rsid w:val="00A56B96"/>
    <w:rsid w:val="00A56FEB"/>
    <w:rsid w:val="00A572B8"/>
    <w:rsid w:val="00A5740B"/>
    <w:rsid w:val="00A578DF"/>
    <w:rsid w:val="00A61438"/>
    <w:rsid w:val="00A627BA"/>
    <w:rsid w:val="00A63730"/>
    <w:rsid w:val="00A64C1A"/>
    <w:rsid w:val="00A654BD"/>
    <w:rsid w:val="00A66382"/>
    <w:rsid w:val="00A664BB"/>
    <w:rsid w:val="00A669BA"/>
    <w:rsid w:val="00A673D5"/>
    <w:rsid w:val="00A6785E"/>
    <w:rsid w:val="00A67BD9"/>
    <w:rsid w:val="00A67CF9"/>
    <w:rsid w:val="00A67DFF"/>
    <w:rsid w:val="00A67E24"/>
    <w:rsid w:val="00A70210"/>
    <w:rsid w:val="00A70371"/>
    <w:rsid w:val="00A707E3"/>
    <w:rsid w:val="00A71877"/>
    <w:rsid w:val="00A72DD5"/>
    <w:rsid w:val="00A733D5"/>
    <w:rsid w:val="00A7437C"/>
    <w:rsid w:val="00A74A24"/>
    <w:rsid w:val="00A74F59"/>
    <w:rsid w:val="00A762C9"/>
    <w:rsid w:val="00A764B2"/>
    <w:rsid w:val="00A771CF"/>
    <w:rsid w:val="00A774DC"/>
    <w:rsid w:val="00A77E4E"/>
    <w:rsid w:val="00A80042"/>
    <w:rsid w:val="00A804A7"/>
    <w:rsid w:val="00A8111B"/>
    <w:rsid w:val="00A81554"/>
    <w:rsid w:val="00A8161A"/>
    <w:rsid w:val="00A81CD9"/>
    <w:rsid w:val="00A82A07"/>
    <w:rsid w:val="00A82A99"/>
    <w:rsid w:val="00A840DA"/>
    <w:rsid w:val="00A840EE"/>
    <w:rsid w:val="00A84F67"/>
    <w:rsid w:val="00A86188"/>
    <w:rsid w:val="00A900DE"/>
    <w:rsid w:val="00A909F0"/>
    <w:rsid w:val="00A90CA8"/>
    <w:rsid w:val="00A9282B"/>
    <w:rsid w:val="00A92BC0"/>
    <w:rsid w:val="00A93214"/>
    <w:rsid w:val="00A932AD"/>
    <w:rsid w:val="00A93CFB"/>
    <w:rsid w:val="00A94803"/>
    <w:rsid w:val="00A94FF1"/>
    <w:rsid w:val="00A9725D"/>
    <w:rsid w:val="00A97AA5"/>
    <w:rsid w:val="00A97BE8"/>
    <w:rsid w:val="00A97BE9"/>
    <w:rsid w:val="00AA09F5"/>
    <w:rsid w:val="00AA0ECF"/>
    <w:rsid w:val="00AA17CE"/>
    <w:rsid w:val="00AA1A37"/>
    <w:rsid w:val="00AA1AE8"/>
    <w:rsid w:val="00AA24EE"/>
    <w:rsid w:val="00AA3119"/>
    <w:rsid w:val="00AA37E8"/>
    <w:rsid w:val="00AA3DBC"/>
    <w:rsid w:val="00AA5282"/>
    <w:rsid w:val="00AA6980"/>
    <w:rsid w:val="00AA797C"/>
    <w:rsid w:val="00AA7B0D"/>
    <w:rsid w:val="00AA7FCE"/>
    <w:rsid w:val="00AB22A3"/>
    <w:rsid w:val="00AB2CC3"/>
    <w:rsid w:val="00AB3328"/>
    <w:rsid w:val="00AB4E85"/>
    <w:rsid w:val="00AB64B1"/>
    <w:rsid w:val="00AB6F94"/>
    <w:rsid w:val="00AC2904"/>
    <w:rsid w:val="00AC57A5"/>
    <w:rsid w:val="00AC7552"/>
    <w:rsid w:val="00AD087E"/>
    <w:rsid w:val="00AD1392"/>
    <w:rsid w:val="00AD196C"/>
    <w:rsid w:val="00AD22D6"/>
    <w:rsid w:val="00AD23E4"/>
    <w:rsid w:val="00AD2A43"/>
    <w:rsid w:val="00AD47AA"/>
    <w:rsid w:val="00AD4C31"/>
    <w:rsid w:val="00AD4D94"/>
    <w:rsid w:val="00AD5817"/>
    <w:rsid w:val="00AD607B"/>
    <w:rsid w:val="00AD6520"/>
    <w:rsid w:val="00AD7217"/>
    <w:rsid w:val="00AE0954"/>
    <w:rsid w:val="00AE0B88"/>
    <w:rsid w:val="00AE119F"/>
    <w:rsid w:val="00AE1C77"/>
    <w:rsid w:val="00AE1D18"/>
    <w:rsid w:val="00AE1FA3"/>
    <w:rsid w:val="00AE29D8"/>
    <w:rsid w:val="00AE4220"/>
    <w:rsid w:val="00AE4A18"/>
    <w:rsid w:val="00AE5A1D"/>
    <w:rsid w:val="00AE5E21"/>
    <w:rsid w:val="00AE6675"/>
    <w:rsid w:val="00AE7618"/>
    <w:rsid w:val="00AF0278"/>
    <w:rsid w:val="00AF13FB"/>
    <w:rsid w:val="00AF1815"/>
    <w:rsid w:val="00AF18E3"/>
    <w:rsid w:val="00AF1A87"/>
    <w:rsid w:val="00AF1CFA"/>
    <w:rsid w:val="00AF2030"/>
    <w:rsid w:val="00AF25C4"/>
    <w:rsid w:val="00AF4043"/>
    <w:rsid w:val="00AF5808"/>
    <w:rsid w:val="00AF5A69"/>
    <w:rsid w:val="00AF68ED"/>
    <w:rsid w:val="00AF7463"/>
    <w:rsid w:val="00AF77F2"/>
    <w:rsid w:val="00B0025B"/>
    <w:rsid w:val="00B00BF5"/>
    <w:rsid w:val="00B02DDD"/>
    <w:rsid w:val="00B02EEC"/>
    <w:rsid w:val="00B02EF8"/>
    <w:rsid w:val="00B044E2"/>
    <w:rsid w:val="00B046B0"/>
    <w:rsid w:val="00B04B9F"/>
    <w:rsid w:val="00B051B8"/>
    <w:rsid w:val="00B0554D"/>
    <w:rsid w:val="00B05CD3"/>
    <w:rsid w:val="00B079C3"/>
    <w:rsid w:val="00B1033D"/>
    <w:rsid w:val="00B10B4B"/>
    <w:rsid w:val="00B10B5C"/>
    <w:rsid w:val="00B112E9"/>
    <w:rsid w:val="00B119F8"/>
    <w:rsid w:val="00B12B58"/>
    <w:rsid w:val="00B12DA0"/>
    <w:rsid w:val="00B14A26"/>
    <w:rsid w:val="00B16888"/>
    <w:rsid w:val="00B20E8D"/>
    <w:rsid w:val="00B20F06"/>
    <w:rsid w:val="00B2118D"/>
    <w:rsid w:val="00B2137B"/>
    <w:rsid w:val="00B227C6"/>
    <w:rsid w:val="00B230B7"/>
    <w:rsid w:val="00B237B1"/>
    <w:rsid w:val="00B240FC"/>
    <w:rsid w:val="00B24674"/>
    <w:rsid w:val="00B2580C"/>
    <w:rsid w:val="00B25DC5"/>
    <w:rsid w:val="00B264EB"/>
    <w:rsid w:val="00B27259"/>
    <w:rsid w:val="00B27939"/>
    <w:rsid w:val="00B27DDE"/>
    <w:rsid w:val="00B27F68"/>
    <w:rsid w:val="00B30514"/>
    <w:rsid w:val="00B3129A"/>
    <w:rsid w:val="00B31E00"/>
    <w:rsid w:val="00B3326C"/>
    <w:rsid w:val="00B338BC"/>
    <w:rsid w:val="00B33D79"/>
    <w:rsid w:val="00B33F1D"/>
    <w:rsid w:val="00B34436"/>
    <w:rsid w:val="00B34AEC"/>
    <w:rsid w:val="00B35446"/>
    <w:rsid w:val="00B358F6"/>
    <w:rsid w:val="00B40430"/>
    <w:rsid w:val="00B40474"/>
    <w:rsid w:val="00B417B6"/>
    <w:rsid w:val="00B41F55"/>
    <w:rsid w:val="00B42325"/>
    <w:rsid w:val="00B42559"/>
    <w:rsid w:val="00B4377F"/>
    <w:rsid w:val="00B43FE4"/>
    <w:rsid w:val="00B4448E"/>
    <w:rsid w:val="00B474F4"/>
    <w:rsid w:val="00B47E9F"/>
    <w:rsid w:val="00B51318"/>
    <w:rsid w:val="00B51381"/>
    <w:rsid w:val="00B51A01"/>
    <w:rsid w:val="00B521C4"/>
    <w:rsid w:val="00B522FA"/>
    <w:rsid w:val="00B52A59"/>
    <w:rsid w:val="00B535F4"/>
    <w:rsid w:val="00B54810"/>
    <w:rsid w:val="00B57745"/>
    <w:rsid w:val="00B577BC"/>
    <w:rsid w:val="00B57825"/>
    <w:rsid w:val="00B57DE4"/>
    <w:rsid w:val="00B57F1D"/>
    <w:rsid w:val="00B60419"/>
    <w:rsid w:val="00B60544"/>
    <w:rsid w:val="00B607C1"/>
    <w:rsid w:val="00B60EFB"/>
    <w:rsid w:val="00B61097"/>
    <w:rsid w:val="00B61E01"/>
    <w:rsid w:val="00B621C3"/>
    <w:rsid w:val="00B63F5A"/>
    <w:rsid w:val="00B64A9F"/>
    <w:rsid w:val="00B64D51"/>
    <w:rsid w:val="00B66481"/>
    <w:rsid w:val="00B66BC7"/>
    <w:rsid w:val="00B66F95"/>
    <w:rsid w:val="00B70B64"/>
    <w:rsid w:val="00B70BD7"/>
    <w:rsid w:val="00B70E14"/>
    <w:rsid w:val="00B718DE"/>
    <w:rsid w:val="00B71999"/>
    <w:rsid w:val="00B72AD2"/>
    <w:rsid w:val="00B7372D"/>
    <w:rsid w:val="00B74274"/>
    <w:rsid w:val="00B762FD"/>
    <w:rsid w:val="00B76FE9"/>
    <w:rsid w:val="00B77431"/>
    <w:rsid w:val="00B77C21"/>
    <w:rsid w:val="00B81627"/>
    <w:rsid w:val="00B82B8D"/>
    <w:rsid w:val="00B867DC"/>
    <w:rsid w:val="00B8710F"/>
    <w:rsid w:val="00B87697"/>
    <w:rsid w:val="00B903C9"/>
    <w:rsid w:val="00B90984"/>
    <w:rsid w:val="00B91F23"/>
    <w:rsid w:val="00B92070"/>
    <w:rsid w:val="00B953AE"/>
    <w:rsid w:val="00B95AB3"/>
    <w:rsid w:val="00B9634E"/>
    <w:rsid w:val="00B96437"/>
    <w:rsid w:val="00B979B4"/>
    <w:rsid w:val="00BA37D9"/>
    <w:rsid w:val="00BA3841"/>
    <w:rsid w:val="00BA4150"/>
    <w:rsid w:val="00BA6C94"/>
    <w:rsid w:val="00BA6E6D"/>
    <w:rsid w:val="00BA793B"/>
    <w:rsid w:val="00BB0D6C"/>
    <w:rsid w:val="00BB1396"/>
    <w:rsid w:val="00BB1613"/>
    <w:rsid w:val="00BB2E57"/>
    <w:rsid w:val="00BB32C2"/>
    <w:rsid w:val="00BB4BA5"/>
    <w:rsid w:val="00BB6DCD"/>
    <w:rsid w:val="00BB700E"/>
    <w:rsid w:val="00BB71B6"/>
    <w:rsid w:val="00BB77E3"/>
    <w:rsid w:val="00BB7995"/>
    <w:rsid w:val="00BB7C17"/>
    <w:rsid w:val="00BC16B2"/>
    <w:rsid w:val="00BC35DF"/>
    <w:rsid w:val="00BC4318"/>
    <w:rsid w:val="00BC4A1C"/>
    <w:rsid w:val="00BC5C00"/>
    <w:rsid w:val="00BC5FC9"/>
    <w:rsid w:val="00BC638C"/>
    <w:rsid w:val="00BD1059"/>
    <w:rsid w:val="00BD1620"/>
    <w:rsid w:val="00BD3C5D"/>
    <w:rsid w:val="00BD40CE"/>
    <w:rsid w:val="00BD4BC4"/>
    <w:rsid w:val="00BD4EC6"/>
    <w:rsid w:val="00BD5041"/>
    <w:rsid w:val="00BD7A42"/>
    <w:rsid w:val="00BE0568"/>
    <w:rsid w:val="00BE1C74"/>
    <w:rsid w:val="00BE1FA1"/>
    <w:rsid w:val="00BE219F"/>
    <w:rsid w:val="00BE2B86"/>
    <w:rsid w:val="00BE4119"/>
    <w:rsid w:val="00BE4D29"/>
    <w:rsid w:val="00BE6262"/>
    <w:rsid w:val="00BE650C"/>
    <w:rsid w:val="00BF0E61"/>
    <w:rsid w:val="00BF15C5"/>
    <w:rsid w:val="00BF2040"/>
    <w:rsid w:val="00BF2838"/>
    <w:rsid w:val="00BF4EF0"/>
    <w:rsid w:val="00BF713D"/>
    <w:rsid w:val="00BF7219"/>
    <w:rsid w:val="00BF7EBF"/>
    <w:rsid w:val="00C00B76"/>
    <w:rsid w:val="00C024F2"/>
    <w:rsid w:val="00C02DDC"/>
    <w:rsid w:val="00C0442E"/>
    <w:rsid w:val="00C05E68"/>
    <w:rsid w:val="00C062A7"/>
    <w:rsid w:val="00C06711"/>
    <w:rsid w:val="00C1022B"/>
    <w:rsid w:val="00C1028D"/>
    <w:rsid w:val="00C12258"/>
    <w:rsid w:val="00C14AA9"/>
    <w:rsid w:val="00C14C9B"/>
    <w:rsid w:val="00C15A58"/>
    <w:rsid w:val="00C15DF2"/>
    <w:rsid w:val="00C179BB"/>
    <w:rsid w:val="00C2445F"/>
    <w:rsid w:val="00C2501D"/>
    <w:rsid w:val="00C266CF"/>
    <w:rsid w:val="00C27165"/>
    <w:rsid w:val="00C27940"/>
    <w:rsid w:val="00C27B33"/>
    <w:rsid w:val="00C27DBC"/>
    <w:rsid w:val="00C312B6"/>
    <w:rsid w:val="00C31740"/>
    <w:rsid w:val="00C325F5"/>
    <w:rsid w:val="00C32836"/>
    <w:rsid w:val="00C33777"/>
    <w:rsid w:val="00C34C14"/>
    <w:rsid w:val="00C35413"/>
    <w:rsid w:val="00C36711"/>
    <w:rsid w:val="00C367E1"/>
    <w:rsid w:val="00C371D5"/>
    <w:rsid w:val="00C40826"/>
    <w:rsid w:val="00C41390"/>
    <w:rsid w:val="00C41BE3"/>
    <w:rsid w:val="00C427FD"/>
    <w:rsid w:val="00C43603"/>
    <w:rsid w:val="00C45A55"/>
    <w:rsid w:val="00C47A2C"/>
    <w:rsid w:val="00C47A71"/>
    <w:rsid w:val="00C5076D"/>
    <w:rsid w:val="00C51BAB"/>
    <w:rsid w:val="00C55318"/>
    <w:rsid w:val="00C5570F"/>
    <w:rsid w:val="00C56499"/>
    <w:rsid w:val="00C568AE"/>
    <w:rsid w:val="00C56E32"/>
    <w:rsid w:val="00C57265"/>
    <w:rsid w:val="00C57A54"/>
    <w:rsid w:val="00C6008A"/>
    <w:rsid w:val="00C606BB"/>
    <w:rsid w:val="00C6098B"/>
    <w:rsid w:val="00C60A5D"/>
    <w:rsid w:val="00C60ADC"/>
    <w:rsid w:val="00C618D1"/>
    <w:rsid w:val="00C61AC8"/>
    <w:rsid w:val="00C62133"/>
    <w:rsid w:val="00C623F8"/>
    <w:rsid w:val="00C637C3"/>
    <w:rsid w:val="00C63A0F"/>
    <w:rsid w:val="00C63E53"/>
    <w:rsid w:val="00C651CA"/>
    <w:rsid w:val="00C65F17"/>
    <w:rsid w:val="00C6687B"/>
    <w:rsid w:val="00C669D7"/>
    <w:rsid w:val="00C67440"/>
    <w:rsid w:val="00C73C4F"/>
    <w:rsid w:val="00C74106"/>
    <w:rsid w:val="00C75281"/>
    <w:rsid w:val="00C759E7"/>
    <w:rsid w:val="00C774CD"/>
    <w:rsid w:val="00C77D03"/>
    <w:rsid w:val="00C80E0F"/>
    <w:rsid w:val="00C80FAB"/>
    <w:rsid w:val="00C828FA"/>
    <w:rsid w:val="00C83F17"/>
    <w:rsid w:val="00C84DA9"/>
    <w:rsid w:val="00C858B5"/>
    <w:rsid w:val="00C87002"/>
    <w:rsid w:val="00C87014"/>
    <w:rsid w:val="00C87CCE"/>
    <w:rsid w:val="00C900A4"/>
    <w:rsid w:val="00C9131C"/>
    <w:rsid w:val="00C91AF2"/>
    <w:rsid w:val="00C91E2D"/>
    <w:rsid w:val="00C92BD1"/>
    <w:rsid w:val="00C936FE"/>
    <w:rsid w:val="00C947A0"/>
    <w:rsid w:val="00C9511E"/>
    <w:rsid w:val="00C959E8"/>
    <w:rsid w:val="00C96891"/>
    <w:rsid w:val="00C97833"/>
    <w:rsid w:val="00CA0352"/>
    <w:rsid w:val="00CA0B64"/>
    <w:rsid w:val="00CA1B2D"/>
    <w:rsid w:val="00CA2283"/>
    <w:rsid w:val="00CA2F2A"/>
    <w:rsid w:val="00CA35C1"/>
    <w:rsid w:val="00CA47B2"/>
    <w:rsid w:val="00CA4A13"/>
    <w:rsid w:val="00CA6C7D"/>
    <w:rsid w:val="00CA7C36"/>
    <w:rsid w:val="00CB0811"/>
    <w:rsid w:val="00CB0F81"/>
    <w:rsid w:val="00CB10EC"/>
    <w:rsid w:val="00CB2348"/>
    <w:rsid w:val="00CB2E73"/>
    <w:rsid w:val="00CB4F0F"/>
    <w:rsid w:val="00CB5C1C"/>
    <w:rsid w:val="00CB6901"/>
    <w:rsid w:val="00CB7C98"/>
    <w:rsid w:val="00CC1799"/>
    <w:rsid w:val="00CC1BC0"/>
    <w:rsid w:val="00CC1DEC"/>
    <w:rsid w:val="00CC2D16"/>
    <w:rsid w:val="00CC30B3"/>
    <w:rsid w:val="00CC4022"/>
    <w:rsid w:val="00CC4466"/>
    <w:rsid w:val="00CC4C32"/>
    <w:rsid w:val="00CC6E31"/>
    <w:rsid w:val="00CC702A"/>
    <w:rsid w:val="00CC717A"/>
    <w:rsid w:val="00CC7593"/>
    <w:rsid w:val="00CD0148"/>
    <w:rsid w:val="00CD060F"/>
    <w:rsid w:val="00CD0D26"/>
    <w:rsid w:val="00CD0EA9"/>
    <w:rsid w:val="00CD1786"/>
    <w:rsid w:val="00CD1861"/>
    <w:rsid w:val="00CD1980"/>
    <w:rsid w:val="00CD4559"/>
    <w:rsid w:val="00CD5694"/>
    <w:rsid w:val="00CD77E6"/>
    <w:rsid w:val="00CE0E48"/>
    <w:rsid w:val="00CE3D04"/>
    <w:rsid w:val="00CE47EF"/>
    <w:rsid w:val="00CE52AD"/>
    <w:rsid w:val="00CE54B6"/>
    <w:rsid w:val="00CE5C37"/>
    <w:rsid w:val="00CE62C1"/>
    <w:rsid w:val="00CE6428"/>
    <w:rsid w:val="00CE71AC"/>
    <w:rsid w:val="00CF12D9"/>
    <w:rsid w:val="00CF30FB"/>
    <w:rsid w:val="00CF36C2"/>
    <w:rsid w:val="00CF4493"/>
    <w:rsid w:val="00CF56BD"/>
    <w:rsid w:val="00CF5D5F"/>
    <w:rsid w:val="00CF659F"/>
    <w:rsid w:val="00CF6968"/>
    <w:rsid w:val="00CF6FC7"/>
    <w:rsid w:val="00D014D2"/>
    <w:rsid w:val="00D021A6"/>
    <w:rsid w:val="00D02760"/>
    <w:rsid w:val="00D03C47"/>
    <w:rsid w:val="00D0419E"/>
    <w:rsid w:val="00D0447B"/>
    <w:rsid w:val="00D053F7"/>
    <w:rsid w:val="00D0566B"/>
    <w:rsid w:val="00D07341"/>
    <w:rsid w:val="00D07D84"/>
    <w:rsid w:val="00D07F8B"/>
    <w:rsid w:val="00D10BAC"/>
    <w:rsid w:val="00D11723"/>
    <w:rsid w:val="00D123F1"/>
    <w:rsid w:val="00D132AA"/>
    <w:rsid w:val="00D1338E"/>
    <w:rsid w:val="00D13754"/>
    <w:rsid w:val="00D14A64"/>
    <w:rsid w:val="00D14E0D"/>
    <w:rsid w:val="00D1605C"/>
    <w:rsid w:val="00D16EE4"/>
    <w:rsid w:val="00D1747D"/>
    <w:rsid w:val="00D17C6B"/>
    <w:rsid w:val="00D17DBF"/>
    <w:rsid w:val="00D20F37"/>
    <w:rsid w:val="00D213FA"/>
    <w:rsid w:val="00D2292E"/>
    <w:rsid w:val="00D23266"/>
    <w:rsid w:val="00D24287"/>
    <w:rsid w:val="00D25F2E"/>
    <w:rsid w:val="00D270B3"/>
    <w:rsid w:val="00D27DC4"/>
    <w:rsid w:val="00D3011A"/>
    <w:rsid w:val="00D30931"/>
    <w:rsid w:val="00D30ECD"/>
    <w:rsid w:val="00D3130F"/>
    <w:rsid w:val="00D33F5C"/>
    <w:rsid w:val="00D34AA3"/>
    <w:rsid w:val="00D34E6F"/>
    <w:rsid w:val="00D350B3"/>
    <w:rsid w:val="00D36A93"/>
    <w:rsid w:val="00D3785A"/>
    <w:rsid w:val="00D4008B"/>
    <w:rsid w:val="00D40D3F"/>
    <w:rsid w:val="00D418DF"/>
    <w:rsid w:val="00D42820"/>
    <w:rsid w:val="00D42E7C"/>
    <w:rsid w:val="00D46565"/>
    <w:rsid w:val="00D47394"/>
    <w:rsid w:val="00D477A6"/>
    <w:rsid w:val="00D51015"/>
    <w:rsid w:val="00D5168C"/>
    <w:rsid w:val="00D51C87"/>
    <w:rsid w:val="00D52643"/>
    <w:rsid w:val="00D526D5"/>
    <w:rsid w:val="00D52CA0"/>
    <w:rsid w:val="00D52F0B"/>
    <w:rsid w:val="00D53E6F"/>
    <w:rsid w:val="00D54878"/>
    <w:rsid w:val="00D5648F"/>
    <w:rsid w:val="00D5671F"/>
    <w:rsid w:val="00D56E0E"/>
    <w:rsid w:val="00D573D5"/>
    <w:rsid w:val="00D60715"/>
    <w:rsid w:val="00D60CEC"/>
    <w:rsid w:val="00D60E17"/>
    <w:rsid w:val="00D61733"/>
    <w:rsid w:val="00D62DA7"/>
    <w:rsid w:val="00D6340D"/>
    <w:rsid w:val="00D63A05"/>
    <w:rsid w:val="00D646CA"/>
    <w:rsid w:val="00D65472"/>
    <w:rsid w:val="00D65DFB"/>
    <w:rsid w:val="00D661CC"/>
    <w:rsid w:val="00D66276"/>
    <w:rsid w:val="00D66E42"/>
    <w:rsid w:val="00D66E5D"/>
    <w:rsid w:val="00D670EF"/>
    <w:rsid w:val="00D714B1"/>
    <w:rsid w:val="00D71F1E"/>
    <w:rsid w:val="00D72082"/>
    <w:rsid w:val="00D72192"/>
    <w:rsid w:val="00D72CD0"/>
    <w:rsid w:val="00D753AB"/>
    <w:rsid w:val="00D7628E"/>
    <w:rsid w:val="00D76758"/>
    <w:rsid w:val="00D802B5"/>
    <w:rsid w:val="00D81670"/>
    <w:rsid w:val="00D82398"/>
    <w:rsid w:val="00D830B3"/>
    <w:rsid w:val="00D83ECA"/>
    <w:rsid w:val="00D8400D"/>
    <w:rsid w:val="00D84253"/>
    <w:rsid w:val="00D845F7"/>
    <w:rsid w:val="00D84852"/>
    <w:rsid w:val="00D856B1"/>
    <w:rsid w:val="00D8715E"/>
    <w:rsid w:val="00D87BEC"/>
    <w:rsid w:val="00D90ADE"/>
    <w:rsid w:val="00D9117B"/>
    <w:rsid w:val="00D91723"/>
    <w:rsid w:val="00D92CAD"/>
    <w:rsid w:val="00D93222"/>
    <w:rsid w:val="00D93CFE"/>
    <w:rsid w:val="00D93F62"/>
    <w:rsid w:val="00D941B8"/>
    <w:rsid w:val="00D941CC"/>
    <w:rsid w:val="00D9684D"/>
    <w:rsid w:val="00D97750"/>
    <w:rsid w:val="00DA06EC"/>
    <w:rsid w:val="00DA47B2"/>
    <w:rsid w:val="00DA4BD7"/>
    <w:rsid w:val="00DA519E"/>
    <w:rsid w:val="00DA5722"/>
    <w:rsid w:val="00DA6538"/>
    <w:rsid w:val="00DA6B36"/>
    <w:rsid w:val="00DA6DE7"/>
    <w:rsid w:val="00DA7F38"/>
    <w:rsid w:val="00DB0635"/>
    <w:rsid w:val="00DB0C4C"/>
    <w:rsid w:val="00DB16E0"/>
    <w:rsid w:val="00DB1791"/>
    <w:rsid w:val="00DB2830"/>
    <w:rsid w:val="00DB34C2"/>
    <w:rsid w:val="00DB398F"/>
    <w:rsid w:val="00DB3FA3"/>
    <w:rsid w:val="00DB455E"/>
    <w:rsid w:val="00DB55B4"/>
    <w:rsid w:val="00DB6155"/>
    <w:rsid w:val="00DB64C4"/>
    <w:rsid w:val="00DB6AE6"/>
    <w:rsid w:val="00DB6C72"/>
    <w:rsid w:val="00DB6D0E"/>
    <w:rsid w:val="00DB703D"/>
    <w:rsid w:val="00DB7DD7"/>
    <w:rsid w:val="00DC0BA4"/>
    <w:rsid w:val="00DC0BC8"/>
    <w:rsid w:val="00DC2570"/>
    <w:rsid w:val="00DC3285"/>
    <w:rsid w:val="00DC37ED"/>
    <w:rsid w:val="00DC53D1"/>
    <w:rsid w:val="00DC6443"/>
    <w:rsid w:val="00DC6734"/>
    <w:rsid w:val="00DC6DEE"/>
    <w:rsid w:val="00DD08AA"/>
    <w:rsid w:val="00DD0F5E"/>
    <w:rsid w:val="00DD2638"/>
    <w:rsid w:val="00DD2D69"/>
    <w:rsid w:val="00DD4E58"/>
    <w:rsid w:val="00DD6EBD"/>
    <w:rsid w:val="00DD7EF5"/>
    <w:rsid w:val="00DE0089"/>
    <w:rsid w:val="00DE0483"/>
    <w:rsid w:val="00DE0F2E"/>
    <w:rsid w:val="00DE1579"/>
    <w:rsid w:val="00DE2022"/>
    <w:rsid w:val="00DE2FA5"/>
    <w:rsid w:val="00DE385C"/>
    <w:rsid w:val="00DE3BDF"/>
    <w:rsid w:val="00DE3E97"/>
    <w:rsid w:val="00DE4791"/>
    <w:rsid w:val="00DE4BF6"/>
    <w:rsid w:val="00DE5CBB"/>
    <w:rsid w:val="00DE64E0"/>
    <w:rsid w:val="00DF0664"/>
    <w:rsid w:val="00DF0F66"/>
    <w:rsid w:val="00DF1306"/>
    <w:rsid w:val="00DF1EDC"/>
    <w:rsid w:val="00DF29BD"/>
    <w:rsid w:val="00DF2CC2"/>
    <w:rsid w:val="00DF522E"/>
    <w:rsid w:val="00DF6A17"/>
    <w:rsid w:val="00DF7230"/>
    <w:rsid w:val="00DF73C6"/>
    <w:rsid w:val="00E00685"/>
    <w:rsid w:val="00E01E47"/>
    <w:rsid w:val="00E0258A"/>
    <w:rsid w:val="00E032A7"/>
    <w:rsid w:val="00E0424D"/>
    <w:rsid w:val="00E04400"/>
    <w:rsid w:val="00E047B3"/>
    <w:rsid w:val="00E048C1"/>
    <w:rsid w:val="00E053D8"/>
    <w:rsid w:val="00E05F8E"/>
    <w:rsid w:val="00E070D5"/>
    <w:rsid w:val="00E074D3"/>
    <w:rsid w:val="00E11CAD"/>
    <w:rsid w:val="00E1212F"/>
    <w:rsid w:val="00E13CCD"/>
    <w:rsid w:val="00E13F11"/>
    <w:rsid w:val="00E157DB"/>
    <w:rsid w:val="00E173E4"/>
    <w:rsid w:val="00E20967"/>
    <w:rsid w:val="00E20D2C"/>
    <w:rsid w:val="00E21B51"/>
    <w:rsid w:val="00E21D6E"/>
    <w:rsid w:val="00E22413"/>
    <w:rsid w:val="00E22E07"/>
    <w:rsid w:val="00E23252"/>
    <w:rsid w:val="00E23678"/>
    <w:rsid w:val="00E240E3"/>
    <w:rsid w:val="00E24AA1"/>
    <w:rsid w:val="00E2520C"/>
    <w:rsid w:val="00E268CF"/>
    <w:rsid w:val="00E26D64"/>
    <w:rsid w:val="00E2756A"/>
    <w:rsid w:val="00E27711"/>
    <w:rsid w:val="00E27B9E"/>
    <w:rsid w:val="00E300A5"/>
    <w:rsid w:val="00E306F8"/>
    <w:rsid w:val="00E31173"/>
    <w:rsid w:val="00E32344"/>
    <w:rsid w:val="00E341D0"/>
    <w:rsid w:val="00E34527"/>
    <w:rsid w:val="00E3594D"/>
    <w:rsid w:val="00E36FF3"/>
    <w:rsid w:val="00E40637"/>
    <w:rsid w:val="00E41424"/>
    <w:rsid w:val="00E43105"/>
    <w:rsid w:val="00E43676"/>
    <w:rsid w:val="00E43EA7"/>
    <w:rsid w:val="00E44DCC"/>
    <w:rsid w:val="00E45394"/>
    <w:rsid w:val="00E45598"/>
    <w:rsid w:val="00E45970"/>
    <w:rsid w:val="00E45E69"/>
    <w:rsid w:val="00E46F7A"/>
    <w:rsid w:val="00E5098A"/>
    <w:rsid w:val="00E51721"/>
    <w:rsid w:val="00E51ED1"/>
    <w:rsid w:val="00E54B19"/>
    <w:rsid w:val="00E54D5D"/>
    <w:rsid w:val="00E56C69"/>
    <w:rsid w:val="00E5790D"/>
    <w:rsid w:val="00E60245"/>
    <w:rsid w:val="00E60440"/>
    <w:rsid w:val="00E61056"/>
    <w:rsid w:val="00E61589"/>
    <w:rsid w:val="00E61BFB"/>
    <w:rsid w:val="00E61CAD"/>
    <w:rsid w:val="00E626E7"/>
    <w:rsid w:val="00E642C7"/>
    <w:rsid w:val="00E647C9"/>
    <w:rsid w:val="00E65878"/>
    <w:rsid w:val="00E65A62"/>
    <w:rsid w:val="00E6627F"/>
    <w:rsid w:val="00E6642D"/>
    <w:rsid w:val="00E6645C"/>
    <w:rsid w:val="00E672C1"/>
    <w:rsid w:val="00E67360"/>
    <w:rsid w:val="00E67770"/>
    <w:rsid w:val="00E677AA"/>
    <w:rsid w:val="00E70775"/>
    <w:rsid w:val="00E727C5"/>
    <w:rsid w:val="00E73B2E"/>
    <w:rsid w:val="00E756EE"/>
    <w:rsid w:val="00E76F6C"/>
    <w:rsid w:val="00E77CCB"/>
    <w:rsid w:val="00E804E8"/>
    <w:rsid w:val="00E806E5"/>
    <w:rsid w:val="00E8095A"/>
    <w:rsid w:val="00E817B2"/>
    <w:rsid w:val="00E828AA"/>
    <w:rsid w:val="00E82A72"/>
    <w:rsid w:val="00E83916"/>
    <w:rsid w:val="00E84084"/>
    <w:rsid w:val="00E84C78"/>
    <w:rsid w:val="00E8678F"/>
    <w:rsid w:val="00E86C39"/>
    <w:rsid w:val="00E86D7A"/>
    <w:rsid w:val="00E87203"/>
    <w:rsid w:val="00E873D3"/>
    <w:rsid w:val="00E87758"/>
    <w:rsid w:val="00E915B8"/>
    <w:rsid w:val="00E9246F"/>
    <w:rsid w:val="00E92A6F"/>
    <w:rsid w:val="00E93AA2"/>
    <w:rsid w:val="00E9469E"/>
    <w:rsid w:val="00E94CFC"/>
    <w:rsid w:val="00E94D9F"/>
    <w:rsid w:val="00E956A6"/>
    <w:rsid w:val="00E95785"/>
    <w:rsid w:val="00E95AB9"/>
    <w:rsid w:val="00E96A78"/>
    <w:rsid w:val="00EA0EC2"/>
    <w:rsid w:val="00EA1114"/>
    <w:rsid w:val="00EA1D33"/>
    <w:rsid w:val="00EA230E"/>
    <w:rsid w:val="00EA38AC"/>
    <w:rsid w:val="00EA3A51"/>
    <w:rsid w:val="00EA3CC0"/>
    <w:rsid w:val="00EA460A"/>
    <w:rsid w:val="00EA4DDE"/>
    <w:rsid w:val="00EA5103"/>
    <w:rsid w:val="00EA5721"/>
    <w:rsid w:val="00EA6966"/>
    <w:rsid w:val="00EA77DB"/>
    <w:rsid w:val="00EB2E80"/>
    <w:rsid w:val="00EB3AF3"/>
    <w:rsid w:val="00EB4980"/>
    <w:rsid w:val="00EB4D1E"/>
    <w:rsid w:val="00EB5D54"/>
    <w:rsid w:val="00EB5E03"/>
    <w:rsid w:val="00EB5FAF"/>
    <w:rsid w:val="00EB6696"/>
    <w:rsid w:val="00EB775E"/>
    <w:rsid w:val="00EC118B"/>
    <w:rsid w:val="00EC1D17"/>
    <w:rsid w:val="00EC237E"/>
    <w:rsid w:val="00EC35F8"/>
    <w:rsid w:val="00EC3C86"/>
    <w:rsid w:val="00EC4887"/>
    <w:rsid w:val="00EC4CEB"/>
    <w:rsid w:val="00EC57FE"/>
    <w:rsid w:val="00EC585F"/>
    <w:rsid w:val="00EC630A"/>
    <w:rsid w:val="00EC6712"/>
    <w:rsid w:val="00ED10DD"/>
    <w:rsid w:val="00ED13E2"/>
    <w:rsid w:val="00ED1639"/>
    <w:rsid w:val="00ED1F2A"/>
    <w:rsid w:val="00ED3B3A"/>
    <w:rsid w:val="00ED44FD"/>
    <w:rsid w:val="00ED5BCB"/>
    <w:rsid w:val="00ED63E1"/>
    <w:rsid w:val="00ED7642"/>
    <w:rsid w:val="00EE0E20"/>
    <w:rsid w:val="00EE1CA7"/>
    <w:rsid w:val="00EE2365"/>
    <w:rsid w:val="00EE329E"/>
    <w:rsid w:val="00EE5469"/>
    <w:rsid w:val="00EE5D93"/>
    <w:rsid w:val="00EE64D9"/>
    <w:rsid w:val="00EE6907"/>
    <w:rsid w:val="00EE690A"/>
    <w:rsid w:val="00EF0107"/>
    <w:rsid w:val="00EF0772"/>
    <w:rsid w:val="00EF0963"/>
    <w:rsid w:val="00EF2052"/>
    <w:rsid w:val="00EF2BB3"/>
    <w:rsid w:val="00EF3B45"/>
    <w:rsid w:val="00EF3B6C"/>
    <w:rsid w:val="00EF5C4C"/>
    <w:rsid w:val="00EF6084"/>
    <w:rsid w:val="00EF6740"/>
    <w:rsid w:val="00EF6A12"/>
    <w:rsid w:val="00EF6FE9"/>
    <w:rsid w:val="00EF7284"/>
    <w:rsid w:val="00EF7A37"/>
    <w:rsid w:val="00EF7B90"/>
    <w:rsid w:val="00F022DE"/>
    <w:rsid w:val="00F0259E"/>
    <w:rsid w:val="00F0451A"/>
    <w:rsid w:val="00F04DB1"/>
    <w:rsid w:val="00F053F2"/>
    <w:rsid w:val="00F060D0"/>
    <w:rsid w:val="00F065B1"/>
    <w:rsid w:val="00F0717E"/>
    <w:rsid w:val="00F100E6"/>
    <w:rsid w:val="00F108A1"/>
    <w:rsid w:val="00F112BA"/>
    <w:rsid w:val="00F112E5"/>
    <w:rsid w:val="00F1181B"/>
    <w:rsid w:val="00F11D52"/>
    <w:rsid w:val="00F123D8"/>
    <w:rsid w:val="00F12C35"/>
    <w:rsid w:val="00F12E58"/>
    <w:rsid w:val="00F13B04"/>
    <w:rsid w:val="00F13CD3"/>
    <w:rsid w:val="00F140F0"/>
    <w:rsid w:val="00F15486"/>
    <w:rsid w:val="00F17A7F"/>
    <w:rsid w:val="00F2079C"/>
    <w:rsid w:val="00F20EF0"/>
    <w:rsid w:val="00F2116F"/>
    <w:rsid w:val="00F21C44"/>
    <w:rsid w:val="00F22E3D"/>
    <w:rsid w:val="00F24170"/>
    <w:rsid w:val="00F24D2E"/>
    <w:rsid w:val="00F27562"/>
    <w:rsid w:val="00F278CE"/>
    <w:rsid w:val="00F31A30"/>
    <w:rsid w:val="00F34927"/>
    <w:rsid w:val="00F34F46"/>
    <w:rsid w:val="00F35198"/>
    <w:rsid w:val="00F3667E"/>
    <w:rsid w:val="00F36AE8"/>
    <w:rsid w:val="00F375D9"/>
    <w:rsid w:val="00F37B4B"/>
    <w:rsid w:val="00F37D40"/>
    <w:rsid w:val="00F37E7C"/>
    <w:rsid w:val="00F40A73"/>
    <w:rsid w:val="00F40FC5"/>
    <w:rsid w:val="00F41074"/>
    <w:rsid w:val="00F41716"/>
    <w:rsid w:val="00F423D3"/>
    <w:rsid w:val="00F430A0"/>
    <w:rsid w:val="00F4379A"/>
    <w:rsid w:val="00F45B90"/>
    <w:rsid w:val="00F46420"/>
    <w:rsid w:val="00F46A28"/>
    <w:rsid w:val="00F472EB"/>
    <w:rsid w:val="00F50021"/>
    <w:rsid w:val="00F521BD"/>
    <w:rsid w:val="00F52885"/>
    <w:rsid w:val="00F52E83"/>
    <w:rsid w:val="00F52ECA"/>
    <w:rsid w:val="00F55432"/>
    <w:rsid w:val="00F562FD"/>
    <w:rsid w:val="00F57360"/>
    <w:rsid w:val="00F57FD6"/>
    <w:rsid w:val="00F602D7"/>
    <w:rsid w:val="00F60C9D"/>
    <w:rsid w:val="00F61737"/>
    <w:rsid w:val="00F61789"/>
    <w:rsid w:val="00F61E3E"/>
    <w:rsid w:val="00F624CF"/>
    <w:rsid w:val="00F629DA"/>
    <w:rsid w:val="00F6469F"/>
    <w:rsid w:val="00F6683A"/>
    <w:rsid w:val="00F674A6"/>
    <w:rsid w:val="00F70FA7"/>
    <w:rsid w:val="00F719D2"/>
    <w:rsid w:val="00F72631"/>
    <w:rsid w:val="00F75386"/>
    <w:rsid w:val="00F7585A"/>
    <w:rsid w:val="00F76401"/>
    <w:rsid w:val="00F76552"/>
    <w:rsid w:val="00F775D6"/>
    <w:rsid w:val="00F77A21"/>
    <w:rsid w:val="00F80AB5"/>
    <w:rsid w:val="00F82AB0"/>
    <w:rsid w:val="00F82BC0"/>
    <w:rsid w:val="00F83976"/>
    <w:rsid w:val="00F84216"/>
    <w:rsid w:val="00F84C83"/>
    <w:rsid w:val="00F85225"/>
    <w:rsid w:val="00F8550F"/>
    <w:rsid w:val="00F85688"/>
    <w:rsid w:val="00F856C2"/>
    <w:rsid w:val="00F87A1F"/>
    <w:rsid w:val="00F92CD9"/>
    <w:rsid w:val="00F9323D"/>
    <w:rsid w:val="00F93CF2"/>
    <w:rsid w:val="00F93D6B"/>
    <w:rsid w:val="00F962DE"/>
    <w:rsid w:val="00F96914"/>
    <w:rsid w:val="00F96E59"/>
    <w:rsid w:val="00F97377"/>
    <w:rsid w:val="00FA034D"/>
    <w:rsid w:val="00FA0AC7"/>
    <w:rsid w:val="00FA0B49"/>
    <w:rsid w:val="00FA0B9B"/>
    <w:rsid w:val="00FA121F"/>
    <w:rsid w:val="00FA14BF"/>
    <w:rsid w:val="00FA1663"/>
    <w:rsid w:val="00FA203E"/>
    <w:rsid w:val="00FA2C9C"/>
    <w:rsid w:val="00FA3185"/>
    <w:rsid w:val="00FA40D0"/>
    <w:rsid w:val="00FA638E"/>
    <w:rsid w:val="00FA66B7"/>
    <w:rsid w:val="00FA6D3A"/>
    <w:rsid w:val="00FA7B50"/>
    <w:rsid w:val="00FB0D5D"/>
    <w:rsid w:val="00FB2F84"/>
    <w:rsid w:val="00FB73AC"/>
    <w:rsid w:val="00FB79A8"/>
    <w:rsid w:val="00FC020B"/>
    <w:rsid w:val="00FC0B4A"/>
    <w:rsid w:val="00FC0F54"/>
    <w:rsid w:val="00FC1245"/>
    <w:rsid w:val="00FC1ED1"/>
    <w:rsid w:val="00FC1F31"/>
    <w:rsid w:val="00FC2D1A"/>
    <w:rsid w:val="00FC2D3D"/>
    <w:rsid w:val="00FC372D"/>
    <w:rsid w:val="00FC3AB2"/>
    <w:rsid w:val="00FC46D9"/>
    <w:rsid w:val="00FC4B18"/>
    <w:rsid w:val="00FC4DF6"/>
    <w:rsid w:val="00FC5AB6"/>
    <w:rsid w:val="00FC5DA0"/>
    <w:rsid w:val="00FC69FD"/>
    <w:rsid w:val="00FC6C67"/>
    <w:rsid w:val="00FC73D2"/>
    <w:rsid w:val="00FC7F25"/>
    <w:rsid w:val="00FC7F54"/>
    <w:rsid w:val="00FD0107"/>
    <w:rsid w:val="00FD26BA"/>
    <w:rsid w:val="00FD3435"/>
    <w:rsid w:val="00FD5BB3"/>
    <w:rsid w:val="00FD5ED3"/>
    <w:rsid w:val="00FD633E"/>
    <w:rsid w:val="00FD638D"/>
    <w:rsid w:val="00FD7DFC"/>
    <w:rsid w:val="00FE0A56"/>
    <w:rsid w:val="00FE3738"/>
    <w:rsid w:val="00FE7738"/>
    <w:rsid w:val="00FE78A2"/>
    <w:rsid w:val="00FE7A83"/>
    <w:rsid w:val="00FE7B0F"/>
    <w:rsid w:val="00FF0212"/>
    <w:rsid w:val="00FF12E4"/>
    <w:rsid w:val="00FF1436"/>
    <w:rsid w:val="00FF227B"/>
    <w:rsid w:val="00FF24F3"/>
    <w:rsid w:val="00FF2AFF"/>
    <w:rsid w:val="00FF3157"/>
    <w:rsid w:val="00FF35BC"/>
    <w:rsid w:val="00FF37B3"/>
    <w:rsid w:val="00FF4E30"/>
    <w:rsid w:val="00FF5812"/>
    <w:rsid w:val="00FF5AC0"/>
    <w:rsid w:val="00FF5D63"/>
    <w:rsid w:val="00FF6380"/>
    <w:rsid w:val="00FF65CF"/>
    <w:rsid w:val="00FF67CF"/>
    <w:rsid w:val="00FF685E"/>
    <w:rsid w:val="00FF6A55"/>
    <w:rsid w:val="00FF6A90"/>
    <w:rsid w:val="00FF7E86"/>
  </w:rsids>
  <m:mathPr>
    <m:mathFont m:val="Cambria Math"/>
    <m:brkBin m:val="before"/>
    <m:brkBinSub m:val="--"/>
    <m:smallFrac m:val="0"/>
    <m:dispDef/>
    <m:lMargin m:val="0"/>
    <m:rMargin m:val="0"/>
    <m:defJc m:val="centerGroup"/>
    <m:wrapIndent m:val="1440"/>
    <m:intLim m:val="subSup"/>
    <m:naryLim m:val="undOvr"/>
  </m:mathPr>
  <w:themeFontLang w:val="en-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55368"/>
  <w15:docId w15:val="{F643A538-E651-AA48-A041-DC74A24E8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FEE"/>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217C45"/>
    <w:pPr>
      <w:keepNext/>
      <w:keepLines/>
      <w:spacing w:before="240" w:line="360"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5006E"/>
    <w:pPr>
      <w:keepNext/>
      <w:keepLines/>
      <w:spacing w:before="40" w:line="360" w:lineRule="auto"/>
      <w:outlineLvl w:val="1"/>
    </w:pPr>
    <w:rPr>
      <w:rFonts w:eastAsiaTheme="majorEastAsia" w:cstheme="majorBidi"/>
      <w:b/>
      <w:szCs w:val="26"/>
    </w:rPr>
  </w:style>
  <w:style w:type="paragraph" w:styleId="Heading3">
    <w:name w:val="heading 3"/>
    <w:basedOn w:val="Normal"/>
    <w:link w:val="Heading3Char"/>
    <w:uiPriority w:val="9"/>
    <w:qFormat/>
    <w:rsid w:val="00017820"/>
    <w:pPr>
      <w:spacing w:before="100" w:beforeAutospacing="1" w:after="100" w:afterAutospacing="1" w:line="360" w:lineRule="auto"/>
      <w:outlineLvl w:val="2"/>
    </w:pPr>
    <w:rPr>
      <w:rFonts w:eastAsia="Times New Roman" w:cs="Times New Roman"/>
      <w:b/>
      <w:bCs/>
      <w:i/>
      <w:szCs w:val="27"/>
      <w:lang w:eastAsia="en-GB"/>
    </w:rPr>
  </w:style>
  <w:style w:type="paragraph" w:styleId="Heading4">
    <w:name w:val="heading 4"/>
    <w:basedOn w:val="Normal"/>
    <w:next w:val="Normal"/>
    <w:link w:val="Heading4Char"/>
    <w:uiPriority w:val="9"/>
    <w:unhideWhenUsed/>
    <w:qFormat/>
    <w:rsid w:val="00565726"/>
    <w:pPr>
      <w:keepNext/>
      <w:keepLines/>
      <w:spacing w:before="40"/>
      <w:outlineLvl w:val="3"/>
    </w:pPr>
    <w:rPr>
      <w:rFonts w:asciiTheme="majorHAnsi" w:eastAsiaTheme="majorEastAsia" w:hAnsiTheme="majorHAnsi" w:cstheme="majorBidi"/>
      <w:i/>
      <w:iCs/>
      <w:color w:val="2F5496"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B9C"/>
    <w:pPr>
      <w:spacing w:before="100" w:beforeAutospacing="1" w:after="100" w:afterAutospacing="1"/>
    </w:pPr>
    <w:rPr>
      <w:rFonts w:eastAsia="Times New Roman" w:cs="Times New Roman"/>
      <w:lang w:val="en-US"/>
    </w:rPr>
  </w:style>
  <w:style w:type="character" w:styleId="CommentReference">
    <w:name w:val="annotation reference"/>
    <w:basedOn w:val="DefaultParagraphFont"/>
    <w:uiPriority w:val="99"/>
    <w:semiHidden/>
    <w:unhideWhenUsed/>
    <w:rsid w:val="00C266CF"/>
    <w:rPr>
      <w:sz w:val="16"/>
      <w:szCs w:val="16"/>
    </w:rPr>
  </w:style>
  <w:style w:type="paragraph" w:styleId="CommentText">
    <w:name w:val="annotation text"/>
    <w:basedOn w:val="Normal"/>
    <w:link w:val="CommentTextChar"/>
    <w:uiPriority w:val="99"/>
    <w:unhideWhenUsed/>
    <w:rsid w:val="00C266CF"/>
    <w:rPr>
      <w:sz w:val="20"/>
      <w:szCs w:val="20"/>
    </w:rPr>
  </w:style>
  <w:style w:type="character" w:customStyle="1" w:styleId="CommentTextChar">
    <w:name w:val="Comment Text Char"/>
    <w:basedOn w:val="DefaultParagraphFont"/>
    <w:link w:val="CommentText"/>
    <w:uiPriority w:val="99"/>
    <w:rsid w:val="00C266CF"/>
    <w:rPr>
      <w:sz w:val="20"/>
      <w:szCs w:val="20"/>
    </w:rPr>
  </w:style>
  <w:style w:type="paragraph" w:styleId="CommentSubject">
    <w:name w:val="annotation subject"/>
    <w:basedOn w:val="CommentText"/>
    <w:next w:val="CommentText"/>
    <w:link w:val="CommentSubjectChar"/>
    <w:uiPriority w:val="99"/>
    <w:semiHidden/>
    <w:unhideWhenUsed/>
    <w:rsid w:val="00C266CF"/>
    <w:rPr>
      <w:b/>
      <w:bCs/>
    </w:rPr>
  </w:style>
  <w:style w:type="character" w:customStyle="1" w:styleId="CommentSubjectChar">
    <w:name w:val="Comment Subject Char"/>
    <w:basedOn w:val="CommentTextChar"/>
    <w:link w:val="CommentSubject"/>
    <w:uiPriority w:val="99"/>
    <w:semiHidden/>
    <w:rsid w:val="00C266CF"/>
    <w:rPr>
      <w:b/>
      <w:bCs/>
      <w:sz w:val="20"/>
      <w:szCs w:val="20"/>
    </w:rPr>
  </w:style>
  <w:style w:type="character" w:styleId="Hyperlink">
    <w:name w:val="Hyperlink"/>
    <w:basedOn w:val="DefaultParagraphFont"/>
    <w:uiPriority w:val="99"/>
    <w:unhideWhenUsed/>
    <w:rsid w:val="003D1997"/>
    <w:rPr>
      <w:color w:val="0563C1" w:themeColor="hyperlink"/>
      <w:u w:val="single"/>
    </w:rPr>
  </w:style>
  <w:style w:type="character" w:customStyle="1" w:styleId="UnresolvedMention1">
    <w:name w:val="Unresolved Mention1"/>
    <w:basedOn w:val="DefaultParagraphFont"/>
    <w:uiPriority w:val="99"/>
    <w:semiHidden/>
    <w:unhideWhenUsed/>
    <w:rsid w:val="003D1997"/>
    <w:rPr>
      <w:color w:val="605E5C"/>
      <w:shd w:val="clear" w:color="auto" w:fill="E1DFDD"/>
    </w:rPr>
  </w:style>
  <w:style w:type="paragraph" w:styleId="Revision">
    <w:name w:val="Revision"/>
    <w:hidden/>
    <w:uiPriority w:val="99"/>
    <w:semiHidden/>
    <w:rsid w:val="00385617"/>
  </w:style>
  <w:style w:type="paragraph" w:styleId="ListParagraph">
    <w:name w:val="List Paragraph"/>
    <w:basedOn w:val="Normal"/>
    <w:uiPriority w:val="34"/>
    <w:qFormat/>
    <w:rsid w:val="009E2410"/>
    <w:pPr>
      <w:ind w:left="720"/>
      <w:contextualSpacing/>
    </w:pPr>
  </w:style>
  <w:style w:type="table" w:styleId="TableGrid">
    <w:name w:val="Table Grid"/>
    <w:basedOn w:val="TableNormal"/>
    <w:uiPriority w:val="39"/>
    <w:rsid w:val="00AF2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B2D41"/>
    <w:rPr>
      <w:color w:val="954F72" w:themeColor="followedHyperlink"/>
      <w:u w:val="single"/>
    </w:rPr>
  </w:style>
  <w:style w:type="paragraph" w:customStyle="1" w:styleId="MDPI16affiliation">
    <w:name w:val="MDPI_1.6_affiliation"/>
    <w:qFormat/>
    <w:rsid w:val="0025122E"/>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character" w:styleId="PlaceholderText">
    <w:name w:val="Placeholder Text"/>
    <w:basedOn w:val="DefaultParagraphFont"/>
    <w:uiPriority w:val="99"/>
    <w:semiHidden/>
    <w:rsid w:val="00557BAC"/>
    <w:rPr>
      <w:color w:val="808080"/>
    </w:rPr>
  </w:style>
  <w:style w:type="paragraph" w:styleId="TOC1">
    <w:name w:val="toc 1"/>
    <w:basedOn w:val="Normal"/>
    <w:next w:val="Normal"/>
    <w:autoRedefine/>
    <w:uiPriority w:val="39"/>
    <w:unhideWhenUsed/>
    <w:rsid w:val="00FF6A90"/>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FF6A90"/>
    <w:pPr>
      <w:spacing w:before="240"/>
    </w:pPr>
    <w:rPr>
      <w:rFonts w:cstheme="minorHAnsi"/>
      <w:b/>
      <w:bCs/>
      <w:sz w:val="20"/>
      <w:szCs w:val="20"/>
    </w:rPr>
  </w:style>
  <w:style w:type="paragraph" w:styleId="TOC3">
    <w:name w:val="toc 3"/>
    <w:basedOn w:val="Normal"/>
    <w:next w:val="Normal"/>
    <w:autoRedefine/>
    <w:uiPriority w:val="39"/>
    <w:unhideWhenUsed/>
    <w:rsid w:val="00FF6A90"/>
    <w:pPr>
      <w:ind w:left="240"/>
    </w:pPr>
    <w:rPr>
      <w:rFonts w:cstheme="minorHAnsi"/>
      <w:sz w:val="20"/>
      <w:szCs w:val="20"/>
    </w:rPr>
  </w:style>
  <w:style w:type="paragraph" w:styleId="TOC4">
    <w:name w:val="toc 4"/>
    <w:basedOn w:val="Normal"/>
    <w:next w:val="Normal"/>
    <w:autoRedefine/>
    <w:uiPriority w:val="39"/>
    <w:unhideWhenUsed/>
    <w:rsid w:val="00FF6A90"/>
    <w:pPr>
      <w:ind w:left="480"/>
    </w:pPr>
    <w:rPr>
      <w:rFonts w:cstheme="minorHAnsi"/>
      <w:sz w:val="20"/>
      <w:szCs w:val="20"/>
    </w:rPr>
  </w:style>
  <w:style w:type="paragraph" w:styleId="TOC5">
    <w:name w:val="toc 5"/>
    <w:basedOn w:val="Normal"/>
    <w:next w:val="Normal"/>
    <w:autoRedefine/>
    <w:uiPriority w:val="39"/>
    <w:unhideWhenUsed/>
    <w:rsid w:val="00FF6A90"/>
    <w:pPr>
      <w:ind w:left="720"/>
    </w:pPr>
    <w:rPr>
      <w:rFonts w:cstheme="minorHAnsi"/>
      <w:sz w:val="20"/>
      <w:szCs w:val="20"/>
    </w:rPr>
  </w:style>
  <w:style w:type="paragraph" w:styleId="TOC6">
    <w:name w:val="toc 6"/>
    <w:basedOn w:val="Normal"/>
    <w:next w:val="Normal"/>
    <w:autoRedefine/>
    <w:uiPriority w:val="39"/>
    <w:unhideWhenUsed/>
    <w:rsid w:val="00FF6A90"/>
    <w:pPr>
      <w:ind w:left="960"/>
    </w:pPr>
    <w:rPr>
      <w:rFonts w:cstheme="minorHAnsi"/>
      <w:sz w:val="20"/>
      <w:szCs w:val="20"/>
    </w:rPr>
  </w:style>
  <w:style w:type="paragraph" w:styleId="TOC7">
    <w:name w:val="toc 7"/>
    <w:basedOn w:val="Normal"/>
    <w:next w:val="Normal"/>
    <w:autoRedefine/>
    <w:uiPriority w:val="39"/>
    <w:unhideWhenUsed/>
    <w:rsid w:val="00FF6A90"/>
    <w:pPr>
      <w:ind w:left="1200"/>
    </w:pPr>
    <w:rPr>
      <w:rFonts w:cstheme="minorHAnsi"/>
      <w:sz w:val="20"/>
      <w:szCs w:val="20"/>
    </w:rPr>
  </w:style>
  <w:style w:type="paragraph" w:styleId="TOC8">
    <w:name w:val="toc 8"/>
    <w:basedOn w:val="Normal"/>
    <w:next w:val="Normal"/>
    <w:autoRedefine/>
    <w:uiPriority w:val="39"/>
    <w:unhideWhenUsed/>
    <w:rsid w:val="00FF6A90"/>
    <w:pPr>
      <w:ind w:left="1440"/>
    </w:pPr>
    <w:rPr>
      <w:rFonts w:cstheme="minorHAnsi"/>
      <w:sz w:val="20"/>
      <w:szCs w:val="20"/>
    </w:rPr>
  </w:style>
  <w:style w:type="paragraph" w:styleId="TOC9">
    <w:name w:val="toc 9"/>
    <w:basedOn w:val="Normal"/>
    <w:next w:val="Normal"/>
    <w:autoRedefine/>
    <w:uiPriority w:val="39"/>
    <w:unhideWhenUsed/>
    <w:rsid w:val="00FF6A90"/>
    <w:pPr>
      <w:ind w:left="1680"/>
    </w:pPr>
    <w:rPr>
      <w:rFonts w:cstheme="minorHAnsi"/>
      <w:sz w:val="20"/>
      <w:szCs w:val="20"/>
    </w:rPr>
  </w:style>
  <w:style w:type="paragraph" w:customStyle="1" w:styleId="SezioneBD">
    <w:name w:val="Sezione BD"/>
    <w:basedOn w:val="ListParagraph"/>
    <w:qFormat/>
    <w:rsid w:val="00FF6A90"/>
    <w:pPr>
      <w:numPr>
        <w:numId w:val="2"/>
      </w:numPr>
      <w:ind w:left="714" w:hanging="357"/>
    </w:pPr>
    <w:rPr>
      <w:rFonts w:cs="Times New Roman"/>
      <w:b/>
      <w:bCs/>
      <w:sz w:val="22"/>
      <w:szCs w:val="22"/>
      <w:lang w:val="en-US"/>
    </w:rPr>
  </w:style>
  <w:style w:type="paragraph" w:customStyle="1" w:styleId="sottosezionebd">
    <w:name w:val="sottosezione bd"/>
    <w:basedOn w:val="ListParagraph"/>
    <w:qFormat/>
    <w:rsid w:val="00FF6A90"/>
    <w:pPr>
      <w:numPr>
        <w:ilvl w:val="1"/>
        <w:numId w:val="2"/>
      </w:numPr>
    </w:pPr>
    <w:rPr>
      <w:rFonts w:cs="Times New Roman"/>
      <w:b/>
      <w:bCs/>
      <w:i/>
      <w:iCs/>
      <w:color w:val="000000"/>
      <w:sz w:val="22"/>
      <w:szCs w:val="22"/>
      <w:lang w:val="en-US"/>
    </w:rPr>
  </w:style>
  <w:style w:type="paragraph" w:styleId="Bibliography">
    <w:name w:val="Bibliography"/>
    <w:basedOn w:val="Normal"/>
    <w:next w:val="Normal"/>
    <w:uiPriority w:val="37"/>
    <w:unhideWhenUsed/>
    <w:rsid w:val="001D2087"/>
    <w:pPr>
      <w:tabs>
        <w:tab w:val="left" w:pos="380"/>
      </w:tabs>
      <w:ind w:left="720" w:hanging="720"/>
    </w:pPr>
  </w:style>
  <w:style w:type="character" w:customStyle="1" w:styleId="normaltextrun">
    <w:name w:val="normaltextrun"/>
    <w:basedOn w:val="DefaultParagraphFont"/>
    <w:rsid w:val="00B10B5C"/>
  </w:style>
  <w:style w:type="character" w:styleId="Strong">
    <w:name w:val="Strong"/>
    <w:basedOn w:val="DefaultParagraphFont"/>
    <w:uiPriority w:val="22"/>
    <w:qFormat/>
    <w:rsid w:val="004F1343"/>
    <w:rPr>
      <w:b/>
      <w:bCs/>
    </w:rPr>
  </w:style>
  <w:style w:type="paragraph" w:styleId="Footer">
    <w:name w:val="footer"/>
    <w:basedOn w:val="Normal"/>
    <w:link w:val="FooterChar"/>
    <w:uiPriority w:val="99"/>
    <w:unhideWhenUsed/>
    <w:rsid w:val="00F80AB5"/>
    <w:pPr>
      <w:tabs>
        <w:tab w:val="center" w:pos="4513"/>
        <w:tab w:val="right" w:pos="9026"/>
      </w:tabs>
    </w:pPr>
  </w:style>
  <w:style w:type="character" w:customStyle="1" w:styleId="FooterChar">
    <w:name w:val="Footer Char"/>
    <w:basedOn w:val="DefaultParagraphFont"/>
    <w:link w:val="Footer"/>
    <w:uiPriority w:val="99"/>
    <w:rsid w:val="00F80AB5"/>
  </w:style>
  <w:style w:type="character" w:styleId="PageNumber">
    <w:name w:val="page number"/>
    <w:basedOn w:val="DefaultParagraphFont"/>
    <w:uiPriority w:val="99"/>
    <w:semiHidden/>
    <w:unhideWhenUsed/>
    <w:rsid w:val="00F80AB5"/>
  </w:style>
  <w:style w:type="paragraph" w:styleId="Header">
    <w:name w:val="header"/>
    <w:basedOn w:val="Normal"/>
    <w:link w:val="HeaderChar"/>
    <w:uiPriority w:val="99"/>
    <w:semiHidden/>
    <w:unhideWhenUsed/>
    <w:rsid w:val="00BB7995"/>
    <w:pPr>
      <w:tabs>
        <w:tab w:val="center" w:pos="4513"/>
        <w:tab w:val="right" w:pos="9026"/>
      </w:tabs>
    </w:pPr>
  </w:style>
  <w:style w:type="character" w:customStyle="1" w:styleId="HeaderChar">
    <w:name w:val="Header Char"/>
    <w:basedOn w:val="DefaultParagraphFont"/>
    <w:link w:val="Header"/>
    <w:uiPriority w:val="99"/>
    <w:semiHidden/>
    <w:rsid w:val="00BB7995"/>
  </w:style>
  <w:style w:type="character" w:customStyle="1" w:styleId="Heading3Char">
    <w:name w:val="Heading 3 Char"/>
    <w:basedOn w:val="DefaultParagraphFont"/>
    <w:link w:val="Heading3"/>
    <w:uiPriority w:val="9"/>
    <w:rsid w:val="00017820"/>
    <w:rPr>
      <w:rFonts w:ascii="Times New Roman" w:eastAsia="Times New Roman" w:hAnsi="Times New Roman" w:cs="Times New Roman"/>
      <w:b/>
      <w:bCs/>
      <w:i/>
      <w:szCs w:val="27"/>
      <w:lang w:eastAsia="en-GB"/>
    </w:rPr>
  </w:style>
  <w:style w:type="character" w:styleId="HTMLCode">
    <w:name w:val="HTML Code"/>
    <w:basedOn w:val="DefaultParagraphFont"/>
    <w:uiPriority w:val="99"/>
    <w:semiHidden/>
    <w:unhideWhenUsed/>
    <w:rsid w:val="00312CDE"/>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rsid w:val="00565726"/>
    <w:rPr>
      <w:rFonts w:asciiTheme="majorHAnsi" w:eastAsiaTheme="majorEastAsia" w:hAnsiTheme="majorHAnsi" w:cstheme="majorBidi"/>
      <w:i/>
      <w:iCs/>
      <w:color w:val="2F5496" w:themeColor="accent1" w:themeShade="BF"/>
      <w:lang w:eastAsia="en-GB"/>
    </w:rPr>
  </w:style>
  <w:style w:type="character" w:customStyle="1" w:styleId="mord">
    <w:name w:val="mord"/>
    <w:basedOn w:val="DefaultParagraphFont"/>
    <w:rsid w:val="00697398"/>
  </w:style>
  <w:style w:type="character" w:customStyle="1" w:styleId="mrel">
    <w:name w:val="mrel"/>
    <w:basedOn w:val="DefaultParagraphFont"/>
    <w:rsid w:val="00697398"/>
  </w:style>
  <w:style w:type="character" w:styleId="Emphasis">
    <w:name w:val="Emphasis"/>
    <w:basedOn w:val="DefaultParagraphFont"/>
    <w:uiPriority w:val="20"/>
    <w:qFormat/>
    <w:rsid w:val="0032754E"/>
    <w:rPr>
      <w:i/>
      <w:iCs/>
    </w:rPr>
  </w:style>
  <w:style w:type="paragraph" w:styleId="BalloonText">
    <w:name w:val="Balloon Text"/>
    <w:basedOn w:val="Normal"/>
    <w:link w:val="BalloonTextChar"/>
    <w:uiPriority w:val="99"/>
    <w:semiHidden/>
    <w:unhideWhenUsed/>
    <w:rsid w:val="00FC4D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DF6"/>
    <w:rPr>
      <w:rFonts w:ascii="Segoe UI" w:hAnsi="Segoe UI" w:cs="Segoe UI"/>
      <w:sz w:val="18"/>
      <w:szCs w:val="18"/>
    </w:rPr>
  </w:style>
  <w:style w:type="paragraph" w:styleId="FootnoteText">
    <w:name w:val="footnote text"/>
    <w:basedOn w:val="Normal"/>
    <w:link w:val="FootnoteTextChar"/>
    <w:uiPriority w:val="99"/>
    <w:semiHidden/>
    <w:unhideWhenUsed/>
    <w:rsid w:val="00E95785"/>
    <w:rPr>
      <w:sz w:val="20"/>
      <w:szCs w:val="20"/>
    </w:rPr>
  </w:style>
  <w:style w:type="character" w:customStyle="1" w:styleId="FootnoteTextChar">
    <w:name w:val="Footnote Text Char"/>
    <w:basedOn w:val="DefaultParagraphFont"/>
    <w:link w:val="FootnoteText"/>
    <w:uiPriority w:val="99"/>
    <w:semiHidden/>
    <w:rsid w:val="00E95785"/>
    <w:rPr>
      <w:sz w:val="20"/>
      <w:szCs w:val="20"/>
    </w:rPr>
  </w:style>
  <w:style w:type="character" w:styleId="FootnoteReference">
    <w:name w:val="footnote reference"/>
    <w:basedOn w:val="DefaultParagraphFont"/>
    <w:uiPriority w:val="99"/>
    <w:semiHidden/>
    <w:unhideWhenUsed/>
    <w:rsid w:val="00E95785"/>
    <w:rPr>
      <w:vertAlign w:val="superscript"/>
    </w:rPr>
  </w:style>
  <w:style w:type="character" w:styleId="EndnoteReference">
    <w:name w:val="endnote reference"/>
    <w:basedOn w:val="DefaultParagraphFont"/>
    <w:uiPriority w:val="99"/>
    <w:semiHidden/>
    <w:unhideWhenUsed/>
    <w:rsid w:val="008671AE"/>
    <w:rPr>
      <w:vertAlign w:val="superscript"/>
    </w:rPr>
  </w:style>
  <w:style w:type="character" w:customStyle="1" w:styleId="Heading1Char">
    <w:name w:val="Heading 1 Char"/>
    <w:basedOn w:val="DefaultParagraphFont"/>
    <w:link w:val="Heading1"/>
    <w:uiPriority w:val="9"/>
    <w:rsid w:val="00217C4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75006E"/>
    <w:rPr>
      <w:rFonts w:ascii="Times New Roman" w:eastAsiaTheme="majorEastAsia" w:hAnsi="Times New Roman" w:cstheme="majorBidi"/>
      <w:b/>
      <w:szCs w:val="26"/>
    </w:rPr>
  </w:style>
  <w:style w:type="table" w:styleId="TableGridLight">
    <w:name w:val="Grid Table Light"/>
    <w:basedOn w:val="TableNormal"/>
    <w:uiPriority w:val="40"/>
    <w:rsid w:val="009243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901F74"/>
    <w:pPr>
      <w:spacing w:line="259" w:lineRule="auto"/>
      <w:jc w:val="left"/>
      <w:outlineLvl w:val="9"/>
    </w:pPr>
    <w:rPr>
      <w:rFonts w:asciiTheme="majorHAnsi" w:hAnsiTheme="majorHAnsi"/>
      <w:b w:val="0"/>
      <w:color w:val="2F5496" w:themeColor="accent1" w:themeShade="BF"/>
      <w:lang w:val="en-US"/>
    </w:rPr>
  </w:style>
  <w:style w:type="character" w:styleId="UnresolvedMention">
    <w:name w:val="Unresolved Mention"/>
    <w:basedOn w:val="DefaultParagraphFont"/>
    <w:uiPriority w:val="99"/>
    <w:semiHidden/>
    <w:unhideWhenUsed/>
    <w:rsid w:val="00DE4791"/>
    <w:rPr>
      <w:color w:val="605E5C"/>
      <w:shd w:val="clear" w:color="auto" w:fill="E1DFDD"/>
    </w:rPr>
  </w:style>
  <w:style w:type="paragraph" w:customStyle="1" w:styleId="font-claude-response-body">
    <w:name w:val="font-claude-response-body"/>
    <w:basedOn w:val="Normal"/>
    <w:rsid w:val="00FF3157"/>
    <w:pPr>
      <w:spacing w:before="100" w:beforeAutospacing="1" w:after="100" w:afterAutospacing="1" w:line="240" w:lineRule="auto"/>
      <w:jc w:val="left"/>
    </w:pPr>
    <w:rPr>
      <w:rFonts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569843">
      <w:bodyDiv w:val="1"/>
      <w:marLeft w:val="0"/>
      <w:marRight w:val="0"/>
      <w:marTop w:val="0"/>
      <w:marBottom w:val="0"/>
      <w:divBdr>
        <w:top w:val="none" w:sz="0" w:space="0" w:color="auto"/>
        <w:left w:val="none" w:sz="0" w:space="0" w:color="auto"/>
        <w:bottom w:val="none" w:sz="0" w:space="0" w:color="auto"/>
        <w:right w:val="none" w:sz="0" w:space="0" w:color="auto"/>
      </w:divBdr>
      <w:divsChild>
        <w:div w:id="48846503">
          <w:marLeft w:val="640"/>
          <w:marRight w:val="0"/>
          <w:marTop w:val="0"/>
          <w:marBottom w:val="0"/>
          <w:divBdr>
            <w:top w:val="none" w:sz="0" w:space="0" w:color="auto"/>
            <w:left w:val="none" w:sz="0" w:space="0" w:color="auto"/>
            <w:bottom w:val="none" w:sz="0" w:space="0" w:color="auto"/>
            <w:right w:val="none" w:sz="0" w:space="0" w:color="auto"/>
          </w:divBdr>
        </w:div>
        <w:div w:id="367146824">
          <w:marLeft w:val="640"/>
          <w:marRight w:val="0"/>
          <w:marTop w:val="0"/>
          <w:marBottom w:val="0"/>
          <w:divBdr>
            <w:top w:val="none" w:sz="0" w:space="0" w:color="auto"/>
            <w:left w:val="none" w:sz="0" w:space="0" w:color="auto"/>
            <w:bottom w:val="none" w:sz="0" w:space="0" w:color="auto"/>
            <w:right w:val="none" w:sz="0" w:space="0" w:color="auto"/>
          </w:divBdr>
        </w:div>
        <w:div w:id="427626336">
          <w:marLeft w:val="640"/>
          <w:marRight w:val="0"/>
          <w:marTop w:val="0"/>
          <w:marBottom w:val="0"/>
          <w:divBdr>
            <w:top w:val="none" w:sz="0" w:space="0" w:color="auto"/>
            <w:left w:val="none" w:sz="0" w:space="0" w:color="auto"/>
            <w:bottom w:val="none" w:sz="0" w:space="0" w:color="auto"/>
            <w:right w:val="none" w:sz="0" w:space="0" w:color="auto"/>
          </w:divBdr>
        </w:div>
        <w:div w:id="751392939">
          <w:marLeft w:val="640"/>
          <w:marRight w:val="0"/>
          <w:marTop w:val="0"/>
          <w:marBottom w:val="0"/>
          <w:divBdr>
            <w:top w:val="none" w:sz="0" w:space="0" w:color="auto"/>
            <w:left w:val="none" w:sz="0" w:space="0" w:color="auto"/>
            <w:bottom w:val="none" w:sz="0" w:space="0" w:color="auto"/>
            <w:right w:val="none" w:sz="0" w:space="0" w:color="auto"/>
          </w:divBdr>
        </w:div>
        <w:div w:id="790824496">
          <w:marLeft w:val="640"/>
          <w:marRight w:val="0"/>
          <w:marTop w:val="0"/>
          <w:marBottom w:val="0"/>
          <w:divBdr>
            <w:top w:val="none" w:sz="0" w:space="0" w:color="auto"/>
            <w:left w:val="none" w:sz="0" w:space="0" w:color="auto"/>
            <w:bottom w:val="none" w:sz="0" w:space="0" w:color="auto"/>
            <w:right w:val="none" w:sz="0" w:space="0" w:color="auto"/>
          </w:divBdr>
        </w:div>
        <w:div w:id="907347833">
          <w:marLeft w:val="640"/>
          <w:marRight w:val="0"/>
          <w:marTop w:val="0"/>
          <w:marBottom w:val="0"/>
          <w:divBdr>
            <w:top w:val="none" w:sz="0" w:space="0" w:color="auto"/>
            <w:left w:val="none" w:sz="0" w:space="0" w:color="auto"/>
            <w:bottom w:val="none" w:sz="0" w:space="0" w:color="auto"/>
            <w:right w:val="none" w:sz="0" w:space="0" w:color="auto"/>
          </w:divBdr>
        </w:div>
        <w:div w:id="921336145">
          <w:marLeft w:val="640"/>
          <w:marRight w:val="0"/>
          <w:marTop w:val="0"/>
          <w:marBottom w:val="0"/>
          <w:divBdr>
            <w:top w:val="none" w:sz="0" w:space="0" w:color="auto"/>
            <w:left w:val="none" w:sz="0" w:space="0" w:color="auto"/>
            <w:bottom w:val="none" w:sz="0" w:space="0" w:color="auto"/>
            <w:right w:val="none" w:sz="0" w:space="0" w:color="auto"/>
          </w:divBdr>
        </w:div>
        <w:div w:id="952830851">
          <w:marLeft w:val="640"/>
          <w:marRight w:val="0"/>
          <w:marTop w:val="0"/>
          <w:marBottom w:val="0"/>
          <w:divBdr>
            <w:top w:val="none" w:sz="0" w:space="0" w:color="auto"/>
            <w:left w:val="none" w:sz="0" w:space="0" w:color="auto"/>
            <w:bottom w:val="none" w:sz="0" w:space="0" w:color="auto"/>
            <w:right w:val="none" w:sz="0" w:space="0" w:color="auto"/>
          </w:divBdr>
        </w:div>
        <w:div w:id="1140539149">
          <w:marLeft w:val="640"/>
          <w:marRight w:val="0"/>
          <w:marTop w:val="0"/>
          <w:marBottom w:val="0"/>
          <w:divBdr>
            <w:top w:val="none" w:sz="0" w:space="0" w:color="auto"/>
            <w:left w:val="none" w:sz="0" w:space="0" w:color="auto"/>
            <w:bottom w:val="none" w:sz="0" w:space="0" w:color="auto"/>
            <w:right w:val="none" w:sz="0" w:space="0" w:color="auto"/>
          </w:divBdr>
        </w:div>
        <w:div w:id="1218932290">
          <w:marLeft w:val="640"/>
          <w:marRight w:val="0"/>
          <w:marTop w:val="0"/>
          <w:marBottom w:val="0"/>
          <w:divBdr>
            <w:top w:val="none" w:sz="0" w:space="0" w:color="auto"/>
            <w:left w:val="none" w:sz="0" w:space="0" w:color="auto"/>
            <w:bottom w:val="none" w:sz="0" w:space="0" w:color="auto"/>
            <w:right w:val="none" w:sz="0" w:space="0" w:color="auto"/>
          </w:divBdr>
        </w:div>
        <w:div w:id="1254321155">
          <w:marLeft w:val="640"/>
          <w:marRight w:val="0"/>
          <w:marTop w:val="0"/>
          <w:marBottom w:val="0"/>
          <w:divBdr>
            <w:top w:val="none" w:sz="0" w:space="0" w:color="auto"/>
            <w:left w:val="none" w:sz="0" w:space="0" w:color="auto"/>
            <w:bottom w:val="none" w:sz="0" w:space="0" w:color="auto"/>
            <w:right w:val="none" w:sz="0" w:space="0" w:color="auto"/>
          </w:divBdr>
        </w:div>
        <w:div w:id="1469131555">
          <w:marLeft w:val="640"/>
          <w:marRight w:val="0"/>
          <w:marTop w:val="0"/>
          <w:marBottom w:val="0"/>
          <w:divBdr>
            <w:top w:val="none" w:sz="0" w:space="0" w:color="auto"/>
            <w:left w:val="none" w:sz="0" w:space="0" w:color="auto"/>
            <w:bottom w:val="none" w:sz="0" w:space="0" w:color="auto"/>
            <w:right w:val="none" w:sz="0" w:space="0" w:color="auto"/>
          </w:divBdr>
        </w:div>
        <w:div w:id="1528712234">
          <w:marLeft w:val="640"/>
          <w:marRight w:val="0"/>
          <w:marTop w:val="0"/>
          <w:marBottom w:val="0"/>
          <w:divBdr>
            <w:top w:val="none" w:sz="0" w:space="0" w:color="auto"/>
            <w:left w:val="none" w:sz="0" w:space="0" w:color="auto"/>
            <w:bottom w:val="none" w:sz="0" w:space="0" w:color="auto"/>
            <w:right w:val="none" w:sz="0" w:space="0" w:color="auto"/>
          </w:divBdr>
        </w:div>
        <w:div w:id="1576696259">
          <w:marLeft w:val="640"/>
          <w:marRight w:val="0"/>
          <w:marTop w:val="0"/>
          <w:marBottom w:val="0"/>
          <w:divBdr>
            <w:top w:val="none" w:sz="0" w:space="0" w:color="auto"/>
            <w:left w:val="none" w:sz="0" w:space="0" w:color="auto"/>
            <w:bottom w:val="none" w:sz="0" w:space="0" w:color="auto"/>
            <w:right w:val="none" w:sz="0" w:space="0" w:color="auto"/>
          </w:divBdr>
        </w:div>
        <w:div w:id="1617253637">
          <w:marLeft w:val="640"/>
          <w:marRight w:val="0"/>
          <w:marTop w:val="0"/>
          <w:marBottom w:val="0"/>
          <w:divBdr>
            <w:top w:val="none" w:sz="0" w:space="0" w:color="auto"/>
            <w:left w:val="none" w:sz="0" w:space="0" w:color="auto"/>
            <w:bottom w:val="none" w:sz="0" w:space="0" w:color="auto"/>
            <w:right w:val="none" w:sz="0" w:space="0" w:color="auto"/>
          </w:divBdr>
        </w:div>
        <w:div w:id="1634940118">
          <w:marLeft w:val="640"/>
          <w:marRight w:val="0"/>
          <w:marTop w:val="0"/>
          <w:marBottom w:val="0"/>
          <w:divBdr>
            <w:top w:val="none" w:sz="0" w:space="0" w:color="auto"/>
            <w:left w:val="none" w:sz="0" w:space="0" w:color="auto"/>
            <w:bottom w:val="none" w:sz="0" w:space="0" w:color="auto"/>
            <w:right w:val="none" w:sz="0" w:space="0" w:color="auto"/>
          </w:divBdr>
        </w:div>
        <w:div w:id="1635599805">
          <w:marLeft w:val="640"/>
          <w:marRight w:val="0"/>
          <w:marTop w:val="0"/>
          <w:marBottom w:val="0"/>
          <w:divBdr>
            <w:top w:val="none" w:sz="0" w:space="0" w:color="auto"/>
            <w:left w:val="none" w:sz="0" w:space="0" w:color="auto"/>
            <w:bottom w:val="none" w:sz="0" w:space="0" w:color="auto"/>
            <w:right w:val="none" w:sz="0" w:space="0" w:color="auto"/>
          </w:divBdr>
        </w:div>
        <w:div w:id="1832745703">
          <w:marLeft w:val="640"/>
          <w:marRight w:val="0"/>
          <w:marTop w:val="0"/>
          <w:marBottom w:val="0"/>
          <w:divBdr>
            <w:top w:val="none" w:sz="0" w:space="0" w:color="auto"/>
            <w:left w:val="none" w:sz="0" w:space="0" w:color="auto"/>
            <w:bottom w:val="none" w:sz="0" w:space="0" w:color="auto"/>
            <w:right w:val="none" w:sz="0" w:space="0" w:color="auto"/>
          </w:divBdr>
        </w:div>
        <w:div w:id="2059040215">
          <w:marLeft w:val="640"/>
          <w:marRight w:val="0"/>
          <w:marTop w:val="0"/>
          <w:marBottom w:val="0"/>
          <w:divBdr>
            <w:top w:val="none" w:sz="0" w:space="0" w:color="auto"/>
            <w:left w:val="none" w:sz="0" w:space="0" w:color="auto"/>
            <w:bottom w:val="none" w:sz="0" w:space="0" w:color="auto"/>
            <w:right w:val="none" w:sz="0" w:space="0" w:color="auto"/>
          </w:divBdr>
        </w:div>
        <w:div w:id="2144538033">
          <w:marLeft w:val="640"/>
          <w:marRight w:val="0"/>
          <w:marTop w:val="0"/>
          <w:marBottom w:val="0"/>
          <w:divBdr>
            <w:top w:val="none" w:sz="0" w:space="0" w:color="auto"/>
            <w:left w:val="none" w:sz="0" w:space="0" w:color="auto"/>
            <w:bottom w:val="none" w:sz="0" w:space="0" w:color="auto"/>
            <w:right w:val="none" w:sz="0" w:space="0" w:color="auto"/>
          </w:divBdr>
        </w:div>
      </w:divsChild>
    </w:div>
    <w:div w:id="180626880">
      <w:bodyDiv w:val="1"/>
      <w:marLeft w:val="0"/>
      <w:marRight w:val="0"/>
      <w:marTop w:val="0"/>
      <w:marBottom w:val="0"/>
      <w:divBdr>
        <w:top w:val="none" w:sz="0" w:space="0" w:color="auto"/>
        <w:left w:val="none" w:sz="0" w:space="0" w:color="auto"/>
        <w:bottom w:val="none" w:sz="0" w:space="0" w:color="auto"/>
        <w:right w:val="none" w:sz="0" w:space="0" w:color="auto"/>
      </w:divBdr>
    </w:div>
    <w:div w:id="215434463">
      <w:bodyDiv w:val="1"/>
      <w:marLeft w:val="0"/>
      <w:marRight w:val="0"/>
      <w:marTop w:val="0"/>
      <w:marBottom w:val="0"/>
      <w:divBdr>
        <w:top w:val="none" w:sz="0" w:space="0" w:color="auto"/>
        <w:left w:val="none" w:sz="0" w:space="0" w:color="auto"/>
        <w:bottom w:val="none" w:sz="0" w:space="0" w:color="auto"/>
        <w:right w:val="none" w:sz="0" w:space="0" w:color="auto"/>
      </w:divBdr>
    </w:div>
    <w:div w:id="227233044">
      <w:bodyDiv w:val="1"/>
      <w:marLeft w:val="0"/>
      <w:marRight w:val="0"/>
      <w:marTop w:val="0"/>
      <w:marBottom w:val="0"/>
      <w:divBdr>
        <w:top w:val="none" w:sz="0" w:space="0" w:color="auto"/>
        <w:left w:val="none" w:sz="0" w:space="0" w:color="auto"/>
        <w:bottom w:val="none" w:sz="0" w:space="0" w:color="auto"/>
        <w:right w:val="none" w:sz="0" w:space="0" w:color="auto"/>
      </w:divBdr>
      <w:divsChild>
        <w:div w:id="1955211584">
          <w:marLeft w:val="640"/>
          <w:marRight w:val="0"/>
          <w:marTop w:val="0"/>
          <w:marBottom w:val="0"/>
          <w:divBdr>
            <w:top w:val="none" w:sz="0" w:space="0" w:color="auto"/>
            <w:left w:val="none" w:sz="0" w:space="0" w:color="auto"/>
            <w:bottom w:val="none" w:sz="0" w:space="0" w:color="auto"/>
            <w:right w:val="none" w:sz="0" w:space="0" w:color="auto"/>
          </w:divBdr>
        </w:div>
        <w:div w:id="121924857">
          <w:marLeft w:val="640"/>
          <w:marRight w:val="0"/>
          <w:marTop w:val="0"/>
          <w:marBottom w:val="0"/>
          <w:divBdr>
            <w:top w:val="none" w:sz="0" w:space="0" w:color="auto"/>
            <w:left w:val="none" w:sz="0" w:space="0" w:color="auto"/>
            <w:bottom w:val="none" w:sz="0" w:space="0" w:color="auto"/>
            <w:right w:val="none" w:sz="0" w:space="0" w:color="auto"/>
          </w:divBdr>
        </w:div>
        <w:div w:id="1193036848">
          <w:marLeft w:val="640"/>
          <w:marRight w:val="0"/>
          <w:marTop w:val="0"/>
          <w:marBottom w:val="0"/>
          <w:divBdr>
            <w:top w:val="none" w:sz="0" w:space="0" w:color="auto"/>
            <w:left w:val="none" w:sz="0" w:space="0" w:color="auto"/>
            <w:bottom w:val="none" w:sz="0" w:space="0" w:color="auto"/>
            <w:right w:val="none" w:sz="0" w:space="0" w:color="auto"/>
          </w:divBdr>
        </w:div>
        <w:div w:id="1574779137">
          <w:marLeft w:val="640"/>
          <w:marRight w:val="0"/>
          <w:marTop w:val="0"/>
          <w:marBottom w:val="0"/>
          <w:divBdr>
            <w:top w:val="none" w:sz="0" w:space="0" w:color="auto"/>
            <w:left w:val="none" w:sz="0" w:space="0" w:color="auto"/>
            <w:bottom w:val="none" w:sz="0" w:space="0" w:color="auto"/>
            <w:right w:val="none" w:sz="0" w:space="0" w:color="auto"/>
          </w:divBdr>
        </w:div>
        <w:div w:id="1816415092">
          <w:marLeft w:val="640"/>
          <w:marRight w:val="0"/>
          <w:marTop w:val="0"/>
          <w:marBottom w:val="0"/>
          <w:divBdr>
            <w:top w:val="none" w:sz="0" w:space="0" w:color="auto"/>
            <w:left w:val="none" w:sz="0" w:space="0" w:color="auto"/>
            <w:bottom w:val="none" w:sz="0" w:space="0" w:color="auto"/>
            <w:right w:val="none" w:sz="0" w:space="0" w:color="auto"/>
          </w:divBdr>
        </w:div>
        <w:div w:id="1220819000">
          <w:marLeft w:val="640"/>
          <w:marRight w:val="0"/>
          <w:marTop w:val="0"/>
          <w:marBottom w:val="0"/>
          <w:divBdr>
            <w:top w:val="none" w:sz="0" w:space="0" w:color="auto"/>
            <w:left w:val="none" w:sz="0" w:space="0" w:color="auto"/>
            <w:bottom w:val="none" w:sz="0" w:space="0" w:color="auto"/>
            <w:right w:val="none" w:sz="0" w:space="0" w:color="auto"/>
          </w:divBdr>
        </w:div>
        <w:div w:id="1399092208">
          <w:marLeft w:val="640"/>
          <w:marRight w:val="0"/>
          <w:marTop w:val="0"/>
          <w:marBottom w:val="0"/>
          <w:divBdr>
            <w:top w:val="none" w:sz="0" w:space="0" w:color="auto"/>
            <w:left w:val="none" w:sz="0" w:space="0" w:color="auto"/>
            <w:bottom w:val="none" w:sz="0" w:space="0" w:color="auto"/>
            <w:right w:val="none" w:sz="0" w:space="0" w:color="auto"/>
          </w:divBdr>
        </w:div>
        <w:div w:id="1721323711">
          <w:marLeft w:val="640"/>
          <w:marRight w:val="0"/>
          <w:marTop w:val="0"/>
          <w:marBottom w:val="0"/>
          <w:divBdr>
            <w:top w:val="none" w:sz="0" w:space="0" w:color="auto"/>
            <w:left w:val="none" w:sz="0" w:space="0" w:color="auto"/>
            <w:bottom w:val="none" w:sz="0" w:space="0" w:color="auto"/>
            <w:right w:val="none" w:sz="0" w:space="0" w:color="auto"/>
          </w:divBdr>
        </w:div>
        <w:div w:id="1148791425">
          <w:marLeft w:val="640"/>
          <w:marRight w:val="0"/>
          <w:marTop w:val="0"/>
          <w:marBottom w:val="0"/>
          <w:divBdr>
            <w:top w:val="none" w:sz="0" w:space="0" w:color="auto"/>
            <w:left w:val="none" w:sz="0" w:space="0" w:color="auto"/>
            <w:bottom w:val="none" w:sz="0" w:space="0" w:color="auto"/>
            <w:right w:val="none" w:sz="0" w:space="0" w:color="auto"/>
          </w:divBdr>
        </w:div>
        <w:div w:id="513033270">
          <w:marLeft w:val="640"/>
          <w:marRight w:val="0"/>
          <w:marTop w:val="0"/>
          <w:marBottom w:val="0"/>
          <w:divBdr>
            <w:top w:val="none" w:sz="0" w:space="0" w:color="auto"/>
            <w:left w:val="none" w:sz="0" w:space="0" w:color="auto"/>
            <w:bottom w:val="none" w:sz="0" w:space="0" w:color="auto"/>
            <w:right w:val="none" w:sz="0" w:space="0" w:color="auto"/>
          </w:divBdr>
        </w:div>
        <w:div w:id="1691640043">
          <w:marLeft w:val="640"/>
          <w:marRight w:val="0"/>
          <w:marTop w:val="0"/>
          <w:marBottom w:val="0"/>
          <w:divBdr>
            <w:top w:val="none" w:sz="0" w:space="0" w:color="auto"/>
            <w:left w:val="none" w:sz="0" w:space="0" w:color="auto"/>
            <w:bottom w:val="none" w:sz="0" w:space="0" w:color="auto"/>
            <w:right w:val="none" w:sz="0" w:space="0" w:color="auto"/>
          </w:divBdr>
        </w:div>
        <w:div w:id="790435148">
          <w:marLeft w:val="640"/>
          <w:marRight w:val="0"/>
          <w:marTop w:val="0"/>
          <w:marBottom w:val="0"/>
          <w:divBdr>
            <w:top w:val="none" w:sz="0" w:space="0" w:color="auto"/>
            <w:left w:val="none" w:sz="0" w:space="0" w:color="auto"/>
            <w:bottom w:val="none" w:sz="0" w:space="0" w:color="auto"/>
            <w:right w:val="none" w:sz="0" w:space="0" w:color="auto"/>
          </w:divBdr>
        </w:div>
        <w:div w:id="527333308">
          <w:marLeft w:val="640"/>
          <w:marRight w:val="0"/>
          <w:marTop w:val="0"/>
          <w:marBottom w:val="0"/>
          <w:divBdr>
            <w:top w:val="none" w:sz="0" w:space="0" w:color="auto"/>
            <w:left w:val="none" w:sz="0" w:space="0" w:color="auto"/>
            <w:bottom w:val="none" w:sz="0" w:space="0" w:color="auto"/>
            <w:right w:val="none" w:sz="0" w:space="0" w:color="auto"/>
          </w:divBdr>
        </w:div>
        <w:div w:id="29305910">
          <w:marLeft w:val="640"/>
          <w:marRight w:val="0"/>
          <w:marTop w:val="0"/>
          <w:marBottom w:val="0"/>
          <w:divBdr>
            <w:top w:val="none" w:sz="0" w:space="0" w:color="auto"/>
            <w:left w:val="none" w:sz="0" w:space="0" w:color="auto"/>
            <w:bottom w:val="none" w:sz="0" w:space="0" w:color="auto"/>
            <w:right w:val="none" w:sz="0" w:space="0" w:color="auto"/>
          </w:divBdr>
        </w:div>
        <w:div w:id="851843738">
          <w:marLeft w:val="640"/>
          <w:marRight w:val="0"/>
          <w:marTop w:val="0"/>
          <w:marBottom w:val="0"/>
          <w:divBdr>
            <w:top w:val="none" w:sz="0" w:space="0" w:color="auto"/>
            <w:left w:val="none" w:sz="0" w:space="0" w:color="auto"/>
            <w:bottom w:val="none" w:sz="0" w:space="0" w:color="auto"/>
            <w:right w:val="none" w:sz="0" w:space="0" w:color="auto"/>
          </w:divBdr>
        </w:div>
        <w:div w:id="511115599">
          <w:marLeft w:val="640"/>
          <w:marRight w:val="0"/>
          <w:marTop w:val="0"/>
          <w:marBottom w:val="0"/>
          <w:divBdr>
            <w:top w:val="none" w:sz="0" w:space="0" w:color="auto"/>
            <w:left w:val="none" w:sz="0" w:space="0" w:color="auto"/>
            <w:bottom w:val="none" w:sz="0" w:space="0" w:color="auto"/>
            <w:right w:val="none" w:sz="0" w:space="0" w:color="auto"/>
          </w:divBdr>
        </w:div>
        <w:div w:id="756173229">
          <w:marLeft w:val="640"/>
          <w:marRight w:val="0"/>
          <w:marTop w:val="0"/>
          <w:marBottom w:val="0"/>
          <w:divBdr>
            <w:top w:val="none" w:sz="0" w:space="0" w:color="auto"/>
            <w:left w:val="none" w:sz="0" w:space="0" w:color="auto"/>
            <w:bottom w:val="none" w:sz="0" w:space="0" w:color="auto"/>
            <w:right w:val="none" w:sz="0" w:space="0" w:color="auto"/>
          </w:divBdr>
        </w:div>
        <w:div w:id="419717230">
          <w:marLeft w:val="640"/>
          <w:marRight w:val="0"/>
          <w:marTop w:val="0"/>
          <w:marBottom w:val="0"/>
          <w:divBdr>
            <w:top w:val="none" w:sz="0" w:space="0" w:color="auto"/>
            <w:left w:val="none" w:sz="0" w:space="0" w:color="auto"/>
            <w:bottom w:val="none" w:sz="0" w:space="0" w:color="auto"/>
            <w:right w:val="none" w:sz="0" w:space="0" w:color="auto"/>
          </w:divBdr>
        </w:div>
        <w:div w:id="78646270">
          <w:marLeft w:val="640"/>
          <w:marRight w:val="0"/>
          <w:marTop w:val="0"/>
          <w:marBottom w:val="0"/>
          <w:divBdr>
            <w:top w:val="none" w:sz="0" w:space="0" w:color="auto"/>
            <w:left w:val="none" w:sz="0" w:space="0" w:color="auto"/>
            <w:bottom w:val="none" w:sz="0" w:space="0" w:color="auto"/>
            <w:right w:val="none" w:sz="0" w:space="0" w:color="auto"/>
          </w:divBdr>
        </w:div>
        <w:div w:id="290747769">
          <w:marLeft w:val="640"/>
          <w:marRight w:val="0"/>
          <w:marTop w:val="0"/>
          <w:marBottom w:val="0"/>
          <w:divBdr>
            <w:top w:val="none" w:sz="0" w:space="0" w:color="auto"/>
            <w:left w:val="none" w:sz="0" w:space="0" w:color="auto"/>
            <w:bottom w:val="none" w:sz="0" w:space="0" w:color="auto"/>
            <w:right w:val="none" w:sz="0" w:space="0" w:color="auto"/>
          </w:divBdr>
        </w:div>
        <w:div w:id="1507671606">
          <w:marLeft w:val="640"/>
          <w:marRight w:val="0"/>
          <w:marTop w:val="0"/>
          <w:marBottom w:val="0"/>
          <w:divBdr>
            <w:top w:val="none" w:sz="0" w:space="0" w:color="auto"/>
            <w:left w:val="none" w:sz="0" w:space="0" w:color="auto"/>
            <w:bottom w:val="none" w:sz="0" w:space="0" w:color="auto"/>
            <w:right w:val="none" w:sz="0" w:space="0" w:color="auto"/>
          </w:divBdr>
        </w:div>
        <w:div w:id="716859987">
          <w:marLeft w:val="640"/>
          <w:marRight w:val="0"/>
          <w:marTop w:val="0"/>
          <w:marBottom w:val="0"/>
          <w:divBdr>
            <w:top w:val="none" w:sz="0" w:space="0" w:color="auto"/>
            <w:left w:val="none" w:sz="0" w:space="0" w:color="auto"/>
            <w:bottom w:val="none" w:sz="0" w:space="0" w:color="auto"/>
            <w:right w:val="none" w:sz="0" w:space="0" w:color="auto"/>
          </w:divBdr>
        </w:div>
      </w:divsChild>
    </w:div>
    <w:div w:id="252321048">
      <w:bodyDiv w:val="1"/>
      <w:marLeft w:val="0"/>
      <w:marRight w:val="0"/>
      <w:marTop w:val="0"/>
      <w:marBottom w:val="0"/>
      <w:divBdr>
        <w:top w:val="none" w:sz="0" w:space="0" w:color="auto"/>
        <w:left w:val="none" w:sz="0" w:space="0" w:color="auto"/>
        <w:bottom w:val="none" w:sz="0" w:space="0" w:color="auto"/>
        <w:right w:val="none" w:sz="0" w:space="0" w:color="auto"/>
      </w:divBdr>
      <w:divsChild>
        <w:div w:id="80876718">
          <w:marLeft w:val="640"/>
          <w:marRight w:val="0"/>
          <w:marTop w:val="0"/>
          <w:marBottom w:val="0"/>
          <w:divBdr>
            <w:top w:val="none" w:sz="0" w:space="0" w:color="auto"/>
            <w:left w:val="none" w:sz="0" w:space="0" w:color="auto"/>
            <w:bottom w:val="none" w:sz="0" w:space="0" w:color="auto"/>
            <w:right w:val="none" w:sz="0" w:space="0" w:color="auto"/>
          </w:divBdr>
        </w:div>
        <w:div w:id="81874976">
          <w:marLeft w:val="640"/>
          <w:marRight w:val="0"/>
          <w:marTop w:val="0"/>
          <w:marBottom w:val="0"/>
          <w:divBdr>
            <w:top w:val="none" w:sz="0" w:space="0" w:color="auto"/>
            <w:left w:val="none" w:sz="0" w:space="0" w:color="auto"/>
            <w:bottom w:val="none" w:sz="0" w:space="0" w:color="auto"/>
            <w:right w:val="none" w:sz="0" w:space="0" w:color="auto"/>
          </w:divBdr>
        </w:div>
        <w:div w:id="115297368">
          <w:marLeft w:val="640"/>
          <w:marRight w:val="0"/>
          <w:marTop w:val="0"/>
          <w:marBottom w:val="0"/>
          <w:divBdr>
            <w:top w:val="none" w:sz="0" w:space="0" w:color="auto"/>
            <w:left w:val="none" w:sz="0" w:space="0" w:color="auto"/>
            <w:bottom w:val="none" w:sz="0" w:space="0" w:color="auto"/>
            <w:right w:val="none" w:sz="0" w:space="0" w:color="auto"/>
          </w:divBdr>
        </w:div>
        <w:div w:id="384110927">
          <w:marLeft w:val="640"/>
          <w:marRight w:val="0"/>
          <w:marTop w:val="0"/>
          <w:marBottom w:val="0"/>
          <w:divBdr>
            <w:top w:val="none" w:sz="0" w:space="0" w:color="auto"/>
            <w:left w:val="none" w:sz="0" w:space="0" w:color="auto"/>
            <w:bottom w:val="none" w:sz="0" w:space="0" w:color="auto"/>
            <w:right w:val="none" w:sz="0" w:space="0" w:color="auto"/>
          </w:divBdr>
        </w:div>
        <w:div w:id="629744106">
          <w:marLeft w:val="640"/>
          <w:marRight w:val="0"/>
          <w:marTop w:val="0"/>
          <w:marBottom w:val="0"/>
          <w:divBdr>
            <w:top w:val="none" w:sz="0" w:space="0" w:color="auto"/>
            <w:left w:val="none" w:sz="0" w:space="0" w:color="auto"/>
            <w:bottom w:val="none" w:sz="0" w:space="0" w:color="auto"/>
            <w:right w:val="none" w:sz="0" w:space="0" w:color="auto"/>
          </w:divBdr>
        </w:div>
        <w:div w:id="704446874">
          <w:marLeft w:val="640"/>
          <w:marRight w:val="0"/>
          <w:marTop w:val="0"/>
          <w:marBottom w:val="0"/>
          <w:divBdr>
            <w:top w:val="none" w:sz="0" w:space="0" w:color="auto"/>
            <w:left w:val="none" w:sz="0" w:space="0" w:color="auto"/>
            <w:bottom w:val="none" w:sz="0" w:space="0" w:color="auto"/>
            <w:right w:val="none" w:sz="0" w:space="0" w:color="auto"/>
          </w:divBdr>
        </w:div>
        <w:div w:id="727991685">
          <w:marLeft w:val="640"/>
          <w:marRight w:val="0"/>
          <w:marTop w:val="0"/>
          <w:marBottom w:val="0"/>
          <w:divBdr>
            <w:top w:val="none" w:sz="0" w:space="0" w:color="auto"/>
            <w:left w:val="none" w:sz="0" w:space="0" w:color="auto"/>
            <w:bottom w:val="none" w:sz="0" w:space="0" w:color="auto"/>
            <w:right w:val="none" w:sz="0" w:space="0" w:color="auto"/>
          </w:divBdr>
        </w:div>
        <w:div w:id="773331762">
          <w:marLeft w:val="640"/>
          <w:marRight w:val="0"/>
          <w:marTop w:val="0"/>
          <w:marBottom w:val="0"/>
          <w:divBdr>
            <w:top w:val="none" w:sz="0" w:space="0" w:color="auto"/>
            <w:left w:val="none" w:sz="0" w:space="0" w:color="auto"/>
            <w:bottom w:val="none" w:sz="0" w:space="0" w:color="auto"/>
            <w:right w:val="none" w:sz="0" w:space="0" w:color="auto"/>
          </w:divBdr>
        </w:div>
        <w:div w:id="838886524">
          <w:marLeft w:val="640"/>
          <w:marRight w:val="0"/>
          <w:marTop w:val="0"/>
          <w:marBottom w:val="0"/>
          <w:divBdr>
            <w:top w:val="none" w:sz="0" w:space="0" w:color="auto"/>
            <w:left w:val="none" w:sz="0" w:space="0" w:color="auto"/>
            <w:bottom w:val="none" w:sz="0" w:space="0" w:color="auto"/>
            <w:right w:val="none" w:sz="0" w:space="0" w:color="auto"/>
          </w:divBdr>
        </w:div>
        <w:div w:id="956058969">
          <w:marLeft w:val="640"/>
          <w:marRight w:val="0"/>
          <w:marTop w:val="0"/>
          <w:marBottom w:val="0"/>
          <w:divBdr>
            <w:top w:val="none" w:sz="0" w:space="0" w:color="auto"/>
            <w:left w:val="none" w:sz="0" w:space="0" w:color="auto"/>
            <w:bottom w:val="none" w:sz="0" w:space="0" w:color="auto"/>
            <w:right w:val="none" w:sz="0" w:space="0" w:color="auto"/>
          </w:divBdr>
        </w:div>
        <w:div w:id="1133133850">
          <w:marLeft w:val="640"/>
          <w:marRight w:val="0"/>
          <w:marTop w:val="0"/>
          <w:marBottom w:val="0"/>
          <w:divBdr>
            <w:top w:val="none" w:sz="0" w:space="0" w:color="auto"/>
            <w:left w:val="none" w:sz="0" w:space="0" w:color="auto"/>
            <w:bottom w:val="none" w:sz="0" w:space="0" w:color="auto"/>
            <w:right w:val="none" w:sz="0" w:space="0" w:color="auto"/>
          </w:divBdr>
        </w:div>
        <w:div w:id="1275554740">
          <w:marLeft w:val="640"/>
          <w:marRight w:val="0"/>
          <w:marTop w:val="0"/>
          <w:marBottom w:val="0"/>
          <w:divBdr>
            <w:top w:val="none" w:sz="0" w:space="0" w:color="auto"/>
            <w:left w:val="none" w:sz="0" w:space="0" w:color="auto"/>
            <w:bottom w:val="none" w:sz="0" w:space="0" w:color="auto"/>
            <w:right w:val="none" w:sz="0" w:space="0" w:color="auto"/>
          </w:divBdr>
        </w:div>
        <w:div w:id="1393383453">
          <w:marLeft w:val="640"/>
          <w:marRight w:val="0"/>
          <w:marTop w:val="0"/>
          <w:marBottom w:val="0"/>
          <w:divBdr>
            <w:top w:val="none" w:sz="0" w:space="0" w:color="auto"/>
            <w:left w:val="none" w:sz="0" w:space="0" w:color="auto"/>
            <w:bottom w:val="none" w:sz="0" w:space="0" w:color="auto"/>
            <w:right w:val="none" w:sz="0" w:space="0" w:color="auto"/>
          </w:divBdr>
        </w:div>
        <w:div w:id="1472089362">
          <w:marLeft w:val="640"/>
          <w:marRight w:val="0"/>
          <w:marTop w:val="0"/>
          <w:marBottom w:val="0"/>
          <w:divBdr>
            <w:top w:val="none" w:sz="0" w:space="0" w:color="auto"/>
            <w:left w:val="none" w:sz="0" w:space="0" w:color="auto"/>
            <w:bottom w:val="none" w:sz="0" w:space="0" w:color="auto"/>
            <w:right w:val="none" w:sz="0" w:space="0" w:color="auto"/>
          </w:divBdr>
        </w:div>
        <w:div w:id="1495995404">
          <w:marLeft w:val="640"/>
          <w:marRight w:val="0"/>
          <w:marTop w:val="0"/>
          <w:marBottom w:val="0"/>
          <w:divBdr>
            <w:top w:val="none" w:sz="0" w:space="0" w:color="auto"/>
            <w:left w:val="none" w:sz="0" w:space="0" w:color="auto"/>
            <w:bottom w:val="none" w:sz="0" w:space="0" w:color="auto"/>
            <w:right w:val="none" w:sz="0" w:space="0" w:color="auto"/>
          </w:divBdr>
        </w:div>
        <w:div w:id="1598751158">
          <w:marLeft w:val="640"/>
          <w:marRight w:val="0"/>
          <w:marTop w:val="0"/>
          <w:marBottom w:val="0"/>
          <w:divBdr>
            <w:top w:val="none" w:sz="0" w:space="0" w:color="auto"/>
            <w:left w:val="none" w:sz="0" w:space="0" w:color="auto"/>
            <w:bottom w:val="none" w:sz="0" w:space="0" w:color="auto"/>
            <w:right w:val="none" w:sz="0" w:space="0" w:color="auto"/>
          </w:divBdr>
        </w:div>
        <w:div w:id="1782727405">
          <w:marLeft w:val="640"/>
          <w:marRight w:val="0"/>
          <w:marTop w:val="0"/>
          <w:marBottom w:val="0"/>
          <w:divBdr>
            <w:top w:val="none" w:sz="0" w:space="0" w:color="auto"/>
            <w:left w:val="none" w:sz="0" w:space="0" w:color="auto"/>
            <w:bottom w:val="none" w:sz="0" w:space="0" w:color="auto"/>
            <w:right w:val="none" w:sz="0" w:space="0" w:color="auto"/>
          </w:divBdr>
        </w:div>
        <w:div w:id="1819036740">
          <w:marLeft w:val="640"/>
          <w:marRight w:val="0"/>
          <w:marTop w:val="0"/>
          <w:marBottom w:val="0"/>
          <w:divBdr>
            <w:top w:val="none" w:sz="0" w:space="0" w:color="auto"/>
            <w:left w:val="none" w:sz="0" w:space="0" w:color="auto"/>
            <w:bottom w:val="none" w:sz="0" w:space="0" w:color="auto"/>
            <w:right w:val="none" w:sz="0" w:space="0" w:color="auto"/>
          </w:divBdr>
        </w:div>
        <w:div w:id="1905676458">
          <w:marLeft w:val="640"/>
          <w:marRight w:val="0"/>
          <w:marTop w:val="0"/>
          <w:marBottom w:val="0"/>
          <w:divBdr>
            <w:top w:val="none" w:sz="0" w:space="0" w:color="auto"/>
            <w:left w:val="none" w:sz="0" w:space="0" w:color="auto"/>
            <w:bottom w:val="none" w:sz="0" w:space="0" w:color="auto"/>
            <w:right w:val="none" w:sz="0" w:space="0" w:color="auto"/>
          </w:divBdr>
        </w:div>
        <w:div w:id="1908345178">
          <w:marLeft w:val="640"/>
          <w:marRight w:val="0"/>
          <w:marTop w:val="0"/>
          <w:marBottom w:val="0"/>
          <w:divBdr>
            <w:top w:val="none" w:sz="0" w:space="0" w:color="auto"/>
            <w:left w:val="none" w:sz="0" w:space="0" w:color="auto"/>
            <w:bottom w:val="none" w:sz="0" w:space="0" w:color="auto"/>
            <w:right w:val="none" w:sz="0" w:space="0" w:color="auto"/>
          </w:divBdr>
        </w:div>
        <w:div w:id="1928537555">
          <w:marLeft w:val="640"/>
          <w:marRight w:val="0"/>
          <w:marTop w:val="0"/>
          <w:marBottom w:val="0"/>
          <w:divBdr>
            <w:top w:val="none" w:sz="0" w:space="0" w:color="auto"/>
            <w:left w:val="none" w:sz="0" w:space="0" w:color="auto"/>
            <w:bottom w:val="none" w:sz="0" w:space="0" w:color="auto"/>
            <w:right w:val="none" w:sz="0" w:space="0" w:color="auto"/>
          </w:divBdr>
        </w:div>
        <w:div w:id="1980649350">
          <w:marLeft w:val="640"/>
          <w:marRight w:val="0"/>
          <w:marTop w:val="0"/>
          <w:marBottom w:val="0"/>
          <w:divBdr>
            <w:top w:val="none" w:sz="0" w:space="0" w:color="auto"/>
            <w:left w:val="none" w:sz="0" w:space="0" w:color="auto"/>
            <w:bottom w:val="none" w:sz="0" w:space="0" w:color="auto"/>
            <w:right w:val="none" w:sz="0" w:space="0" w:color="auto"/>
          </w:divBdr>
        </w:div>
      </w:divsChild>
    </w:div>
    <w:div w:id="262079265">
      <w:bodyDiv w:val="1"/>
      <w:marLeft w:val="0"/>
      <w:marRight w:val="0"/>
      <w:marTop w:val="0"/>
      <w:marBottom w:val="0"/>
      <w:divBdr>
        <w:top w:val="none" w:sz="0" w:space="0" w:color="auto"/>
        <w:left w:val="none" w:sz="0" w:space="0" w:color="auto"/>
        <w:bottom w:val="none" w:sz="0" w:space="0" w:color="auto"/>
        <w:right w:val="none" w:sz="0" w:space="0" w:color="auto"/>
      </w:divBdr>
      <w:divsChild>
        <w:div w:id="1724718112">
          <w:marLeft w:val="0"/>
          <w:marRight w:val="0"/>
          <w:marTop w:val="0"/>
          <w:marBottom w:val="0"/>
          <w:divBdr>
            <w:top w:val="none" w:sz="0" w:space="0" w:color="auto"/>
            <w:left w:val="none" w:sz="0" w:space="0" w:color="auto"/>
            <w:bottom w:val="none" w:sz="0" w:space="0" w:color="auto"/>
            <w:right w:val="none" w:sz="0" w:space="0" w:color="auto"/>
          </w:divBdr>
          <w:divsChild>
            <w:div w:id="685324828">
              <w:marLeft w:val="0"/>
              <w:marRight w:val="0"/>
              <w:marTop w:val="0"/>
              <w:marBottom w:val="0"/>
              <w:divBdr>
                <w:top w:val="none" w:sz="0" w:space="0" w:color="auto"/>
                <w:left w:val="none" w:sz="0" w:space="0" w:color="auto"/>
                <w:bottom w:val="none" w:sz="0" w:space="0" w:color="auto"/>
                <w:right w:val="none" w:sz="0" w:space="0" w:color="auto"/>
              </w:divBdr>
              <w:divsChild>
                <w:div w:id="732699467">
                  <w:marLeft w:val="0"/>
                  <w:marRight w:val="0"/>
                  <w:marTop w:val="0"/>
                  <w:marBottom w:val="0"/>
                  <w:divBdr>
                    <w:top w:val="none" w:sz="0" w:space="0" w:color="auto"/>
                    <w:left w:val="none" w:sz="0" w:space="0" w:color="auto"/>
                    <w:bottom w:val="none" w:sz="0" w:space="0" w:color="auto"/>
                    <w:right w:val="none" w:sz="0" w:space="0" w:color="auto"/>
                  </w:divBdr>
                  <w:divsChild>
                    <w:div w:id="2062707767">
                      <w:marLeft w:val="0"/>
                      <w:marRight w:val="0"/>
                      <w:marTop w:val="0"/>
                      <w:marBottom w:val="0"/>
                      <w:divBdr>
                        <w:top w:val="none" w:sz="0" w:space="0" w:color="auto"/>
                        <w:left w:val="none" w:sz="0" w:space="0" w:color="auto"/>
                        <w:bottom w:val="none" w:sz="0" w:space="0" w:color="auto"/>
                        <w:right w:val="none" w:sz="0" w:space="0" w:color="auto"/>
                      </w:divBdr>
                      <w:divsChild>
                        <w:div w:id="774638596">
                          <w:marLeft w:val="0"/>
                          <w:marRight w:val="0"/>
                          <w:marTop w:val="0"/>
                          <w:marBottom w:val="0"/>
                          <w:divBdr>
                            <w:top w:val="none" w:sz="0" w:space="0" w:color="auto"/>
                            <w:left w:val="none" w:sz="0" w:space="0" w:color="auto"/>
                            <w:bottom w:val="none" w:sz="0" w:space="0" w:color="auto"/>
                            <w:right w:val="none" w:sz="0" w:space="0" w:color="auto"/>
                          </w:divBdr>
                          <w:divsChild>
                            <w:div w:id="73170847">
                              <w:marLeft w:val="0"/>
                              <w:marRight w:val="0"/>
                              <w:marTop w:val="0"/>
                              <w:marBottom w:val="0"/>
                              <w:divBdr>
                                <w:top w:val="none" w:sz="0" w:space="0" w:color="auto"/>
                                <w:left w:val="none" w:sz="0" w:space="0" w:color="auto"/>
                                <w:bottom w:val="none" w:sz="0" w:space="0" w:color="auto"/>
                                <w:right w:val="none" w:sz="0" w:space="0" w:color="auto"/>
                              </w:divBdr>
                              <w:divsChild>
                                <w:div w:id="181435311">
                                  <w:marLeft w:val="0"/>
                                  <w:marRight w:val="0"/>
                                  <w:marTop w:val="0"/>
                                  <w:marBottom w:val="0"/>
                                  <w:divBdr>
                                    <w:top w:val="none" w:sz="0" w:space="0" w:color="auto"/>
                                    <w:left w:val="none" w:sz="0" w:space="0" w:color="auto"/>
                                    <w:bottom w:val="none" w:sz="0" w:space="0" w:color="auto"/>
                                    <w:right w:val="none" w:sz="0" w:space="0" w:color="auto"/>
                                  </w:divBdr>
                                  <w:divsChild>
                                    <w:div w:id="835615422">
                                      <w:marLeft w:val="0"/>
                                      <w:marRight w:val="0"/>
                                      <w:marTop w:val="0"/>
                                      <w:marBottom w:val="0"/>
                                      <w:divBdr>
                                        <w:top w:val="none" w:sz="0" w:space="0" w:color="auto"/>
                                        <w:left w:val="none" w:sz="0" w:space="0" w:color="auto"/>
                                        <w:bottom w:val="none" w:sz="0" w:space="0" w:color="auto"/>
                                        <w:right w:val="none" w:sz="0" w:space="0" w:color="auto"/>
                                      </w:divBdr>
                                      <w:divsChild>
                                        <w:div w:id="18951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3841332">
      <w:bodyDiv w:val="1"/>
      <w:marLeft w:val="0"/>
      <w:marRight w:val="0"/>
      <w:marTop w:val="0"/>
      <w:marBottom w:val="0"/>
      <w:divBdr>
        <w:top w:val="none" w:sz="0" w:space="0" w:color="auto"/>
        <w:left w:val="none" w:sz="0" w:space="0" w:color="auto"/>
        <w:bottom w:val="none" w:sz="0" w:space="0" w:color="auto"/>
        <w:right w:val="none" w:sz="0" w:space="0" w:color="auto"/>
      </w:divBdr>
      <w:divsChild>
        <w:div w:id="1932084653">
          <w:marLeft w:val="640"/>
          <w:marRight w:val="0"/>
          <w:marTop w:val="0"/>
          <w:marBottom w:val="0"/>
          <w:divBdr>
            <w:top w:val="none" w:sz="0" w:space="0" w:color="auto"/>
            <w:left w:val="none" w:sz="0" w:space="0" w:color="auto"/>
            <w:bottom w:val="none" w:sz="0" w:space="0" w:color="auto"/>
            <w:right w:val="none" w:sz="0" w:space="0" w:color="auto"/>
          </w:divBdr>
        </w:div>
        <w:div w:id="362635248">
          <w:marLeft w:val="640"/>
          <w:marRight w:val="0"/>
          <w:marTop w:val="0"/>
          <w:marBottom w:val="0"/>
          <w:divBdr>
            <w:top w:val="none" w:sz="0" w:space="0" w:color="auto"/>
            <w:left w:val="none" w:sz="0" w:space="0" w:color="auto"/>
            <w:bottom w:val="none" w:sz="0" w:space="0" w:color="auto"/>
            <w:right w:val="none" w:sz="0" w:space="0" w:color="auto"/>
          </w:divBdr>
        </w:div>
        <w:div w:id="437918579">
          <w:marLeft w:val="640"/>
          <w:marRight w:val="0"/>
          <w:marTop w:val="0"/>
          <w:marBottom w:val="0"/>
          <w:divBdr>
            <w:top w:val="none" w:sz="0" w:space="0" w:color="auto"/>
            <w:left w:val="none" w:sz="0" w:space="0" w:color="auto"/>
            <w:bottom w:val="none" w:sz="0" w:space="0" w:color="auto"/>
            <w:right w:val="none" w:sz="0" w:space="0" w:color="auto"/>
          </w:divBdr>
        </w:div>
        <w:div w:id="574246649">
          <w:marLeft w:val="640"/>
          <w:marRight w:val="0"/>
          <w:marTop w:val="0"/>
          <w:marBottom w:val="0"/>
          <w:divBdr>
            <w:top w:val="none" w:sz="0" w:space="0" w:color="auto"/>
            <w:left w:val="none" w:sz="0" w:space="0" w:color="auto"/>
            <w:bottom w:val="none" w:sz="0" w:space="0" w:color="auto"/>
            <w:right w:val="none" w:sz="0" w:space="0" w:color="auto"/>
          </w:divBdr>
        </w:div>
        <w:div w:id="1029911914">
          <w:marLeft w:val="640"/>
          <w:marRight w:val="0"/>
          <w:marTop w:val="0"/>
          <w:marBottom w:val="0"/>
          <w:divBdr>
            <w:top w:val="none" w:sz="0" w:space="0" w:color="auto"/>
            <w:left w:val="none" w:sz="0" w:space="0" w:color="auto"/>
            <w:bottom w:val="none" w:sz="0" w:space="0" w:color="auto"/>
            <w:right w:val="none" w:sz="0" w:space="0" w:color="auto"/>
          </w:divBdr>
        </w:div>
        <w:div w:id="924190263">
          <w:marLeft w:val="640"/>
          <w:marRight w:val="0"/>
          <w:marTop w:val="0"/>
          <w:marBottom w:val="0"/>
          <w:divBdr>
            <w:top w:val="none" w:sz="0" w:space="0" w:color="auto"/>
            <w:left w:val="none" w:sz="0" w:space="0" w:color="auto"/>
            <w:bottom w:val="none" w:sz="0" w:space="0" w:color="auto"/>
            <w:right w:val="none" w:sz="0" w:space="0" w:color="auto"/>
          </w:divBdr>
        </w:div>
        <w:div w:id="1663390374">
          <w:marLeft w:val="640"/>
          <w:marRight w:val="0"/>
          <w:marTop w:val="0"/>
          <w:marBottom w:val="0"/>
          <w:divBdr>
            <w:top w:val="none" w:sz="0" w:space="0" w:color="auto"/>
            <w:left w:val="none" w:sz="0" w:space="0" w:color="auto"/>
            <w:bottom w:val="none" w:sz="0" w:space="0" w:color="auto"/>
            <w:right w:val="none" w:sz="0" w:space="0" w:color="auto"/>
          </w:divBdr>
        </w:div>
        <w:div w:id="1125154328">
          <w:marLeft w:val="640"/>
          <w:marRight w:val="0"/>
          <w:marTop w:val="0"/>
          <w:marBottom w:val="0"/>
          <w:divBdr>
            <w:top w:val="none" w:sz="0" w:space="0" w:color="auto"/>
            <w:left w:val="none" w:sz="0" w:space="0" w:color="auto"/>
            <w:bottom w:val="none" w:sz="0" w:space="0" w:color="auto"/>
            <w:right w:val="none" w:sz="0" w:space="0" w:color="auto"/>
          </w:divBdr>
        </w:div>
        <w:div w:id="411657689">
          <w:marLeft w:val="640"/>
          <w:marRight w:val="0"/>
          <w:marTop w:val="0"/>
          <w:marBottom w:val="0"/>
          <w:divBdr>
            <w:top w:val="none" w:sz="0" w:space="0" w:color="auto"/>
            <w:left w:val="none" w:sz="0" w:space="0" w:color="auto"/>
            <w:bottom w:val="none" w:sz="0" w:space="0" w:color="auto"/>
            <w:right w:val="none" w:sz="0" w:space="0" w:color="auto"/>
          </w:divBdr>
        </w:div>
        <w:div w:id="1793204202">
          <w:marLeft w:val="640"/>
          <w:marRight w:val="0"/>
          <w:marTop w:val="0"/>
          <w:marBottom w:val="0"/>
          <w:divBdr>
            <w:top w:val="none" w:sz="0" w:space="0" w:color="auto"/>
            <w:left w:val="none" w:sz="0" w:space="0" w:color="auto"/>
            <w:bottom w:val="none" w:sz="0" w:space="0" w:color="auto"/>
            <w:right w:val="none" w:sz="0" w:space="0" w:color="auto"/>
          </w:divBdr>
        </w:div>
        <w:div w:id="1450780225">
          <w:marLeft w:val="640"/>
          <w:marRight w:val="0"/>
          <w:marTop w:val="0"/>
          <w:marBottom w:val="0"/>
          <w:divBdr>
            <w:top w:val="none" w:sz="0" w:space="0" w:color="auto"/>
            <w:left w:val="none" w:sz="0" w:space="0" w:color="auto"/>
            <w:bottom w:val="none" w:sz="0" w:space="0" w:color="auto"/>
            <w:right w:val="none" w:sz="0" w:space="0" w:color="auto"/>
          </w:divBdr>
        </w:div>
        <w:div w:id="218631321">
          <w:marLeft w:val="640"/>
          <w:marRight w:val="0"/>
          <w:marTop w:val="0"/>
          <w:marBottom w:val="0"/>
          <w:divBdr>
            <w:top w:val="none" w:sz="0" w:space="0" w:color="auto"/>
            <w:left w:val="none" w:sz="0" w:space="0" w:color="auto"/>
            <w:bottom w:val="none" w:sz="0" w:space="0" w:color="auto"/>
            <w:right w:val="none" w:sz="0" w:space="0" w:color="auto"/>
          </w:divBdr>
        </w:div>
        <w:div w:id="1263802477">
          <w:marLeft w:val="640"/>
          <w:marRight w:val="0"/>
          <w:marTop w:val="0"/>
          <w:marBottom w:val="0"/>
          <w:divBdr>
            <w:top w:val="none" w:sz="0" w:space="0" w:color="auto"/>
            <w:left w:val="none" w:sz="0" w:space="0" w:color="auto"/>
            <w:bottom w:val="none" w:sz="0" w:space="0" w:color="auto"/>
            <w:right w:val="none" w:sz="0" w:space="0" w:color="auto"/>
          </w:divBdr>
        </w:div>
        <w:div w:id="403454320">
          <w:marLeft w:val="640"/>
          <w:marRight w:val="0"/>
          <w:marTop w:val="0"/>
          <w:marBottom w:val="0"/>
          <w:divBdr>
            <w:top w:val="none" w:sz="0" w:space="0" w:color="auto"/>
            <w:left w:val="none" w:sz="0" w:space="0" w:color="auto"/>
            <w:bottom w:val="none" w:sz="0" w:space="0" w:color="auto"/>
            <w:right w:val="none" w:sz="0" w:space="0" w:color="auto"/>
          </w:divBdr>
        </w:div>
        <w:div w:id="686562240">
          <w:marLeft w:val="640"/>
          <w:marRight w:val="0"/>
          <w:marTop w:val="0"/>
          <w:marBottom w:val="0"/>
          <w:divBdr>
            <w:top w:val="none" w:sz="0" w:space="0" w:color="auto"/>
            <w:left w:val="none" w:sz="0" w:space="0" w:color="auto"/>
            <w:bottom w:val="none" w:sz="0" w:space="0" w:color="auto"/>
            <w:right w:val="none" w:sz="0" w:space="0" w:color="auto"/>
          </w:divBdr>
        </w:div>
        <w:div w:id="706107147">
          <w:marLeft w:val="640"/>
          <w:marRight w:val="0"/>
          <w:marTop w:val="0"/>
          <w:marBottom w:val="0"/>
          <w:divBdr>
            <w:top w:val="none" w:sz="0" w:space="0" w:color="auto"/>
            <w:left w:val="none" w:sz="0" w:space="0" w:color="auto"/>
            <w:bottom w:val="none" w:sz="0" w:space="0" w:color="auto"/>
            <w:right w:val="none" w:sz="0" w:space="0" w:color="auto"/>
          </w:divBdr>
        </w:div>
        <w:div w:id="1978223091">
          <w:marLeft w:val="640"/>
          <w:marRight w:val="0"/>
          <w:marTop w:val="0"/>
          <w:marBottom w:val="0"/>
          <w:divBdr>
            <w:top w:val="none" w:sz="0" w:space="0" w:color="auto"/>
            <w:left w:val="none" w:sz="0" w:space="0" w:color="auto"/>
            <w:bottom w:val="none" w:sz="0" w:space="0" w:color="auto"/>
            <w:right w:val="none" w:sz="0" w:space="0" w:color="auto"/>
          </w:divBdr>
        </w:div>
        <w:div w:id="509220287">
          <w:marLeft w:val="640"/>
          <w:marRight w:val="0"/>
          <w:marTop w:val="0"/>
          <w:marBottom w:val="0"/>
          <w:divBdr>
            <w:top w:val="none" w:sz="0" w:space="0" w:color="auto"/>
            <w:left w:val="none" w:sz="0" w:space="0" w:color="auto"/>
            <w:bottom w:val="none" w:sz="0" w:space="0" w:color="auto"/>
            <w:right w:val="none" w:sz="0" w:space="0" w:color="auto"/>
          </w:divBdr>
        </w:div>
        <w:div w:id="1264456825">
          <w:marLeft w:val="640"/>
          <w:marRight w:val="0"/>
          <w:marTop w:val="0"/>
          <w:marBottom w:val="0"/>
          <w:divBdr>
            <w:top w:val="none" w:sz="0" w:space="0" w:color="auto"/>
            <w:left w:val="none" w:sz="0" w:space="0" w:color="auto"/>
            <w:bottom w:val="none" w:sz="0" w:space="0" w:color="auto"/>
            <w:right w:val="none" w:sz="0" w:space="0" w:color="auto"/>
          </w:divBdr>
        </w:div>
        <w:div w:id="1208717">
          <w:marLeft w:val="640"/>
          <w:marRight w:val="0"/>
          <w:marTop w:val="0"/>
          <w:marBottom w:val="0"/>
          <w:divBdr>
            <w:top w:val="none" w:sz="0" w:space="0" w:color="auto"/>
            <w:left w:val="none" w:sz="0" w:space="0" w:color="auto"/>
            <w:bottom w:val="none" w:sz="0" w:space="0" w:color="auto"/>
            <w:right w:val="none" w:sz="0" w:space="0" w:color="auto"/>
          </w:divBdr>
        </w:div>
        <w:div w:id="1379744744">
          <w:marLeft w:val="640"/>
          <w:marRight w:val="0"/>
          <w:marTop w:val="0"/>
          <w:marBottom w:val="0"/>
          <w:divBdr>
            <w:top w:val="none" w:sz="0" w:space="0" w:color="auto"/>
            <w:left w:val="none" w:sz="0" w:space="0" w:color="auto"/>
            <w:bottom w:val="none" w:sz="0" w:space="0" w:color="auto"/>
            <w:right w:val="none" w:sz="0" w:space="0" w:color="auto"/>
          </w:divBdr>
        </w:div>
        <w:div w:id="1298952396">
          <w:marLeft w:val="640"/>
          <w:marRight w:val="0"/>
          <w:marTop w:val="0"/>
          <w:marBottom w:val="0"/>
          <w:divBdr>
            <w:top w:val="none" w:sz="0" w:space="0" w:color="auto"/>
            <w:left w:val="none" w:sz="0" w:space="0" w:color="auto"/>
            <w:bottom w:val="none" w:sz="0" w:space="0" w:color="auto"/>
            <w:right w:val="none" w:sz="0" w:space="0" w:color="auto"/>
          </w:divBdr>
        </w:div>
        <w:div w:id="2108041866">
          <w:marLeft w:val="640"/>
          <w:marRight w:val="0"/>
          <w:marTop w:val="0"/>
          <w:marBottom w:val="0"/>
          <w:divBdr>
            <w:top w:val="none" w:sz="0" w:space="0" w:color="auto"/>
            <w:left w:val="none" w:sz="0" w:space="0" w:color="auto"/>
            <w:bottom w:val="none" w:sz="0" w:space="0" w:color="auto"/>
            <w:right w:val="none" w:sz="0" w:space="0" w:color="auto"/>
          </w:divBdr>
        </w:div>
      </w:divsChild>
    </w:div>
    <w:div w:id="342323456">
      <w:bodyDiv w:val="1"/>
      <w:marLeft w:val="0"/>
      <w:marRight w:val="0"/>
      <w:marTop w:val="0"/>
      <w:marBottom w:val="0"/>
      <w:divBdr>
        <w:top w:val="none" w:sz="0" w:space="0" w:color="auto"/>
        <w:left w:val="none" w:sz="0" w:space="0" w:color="auto"/>
        <w:bottom w:val="none" w:sz="0" w:space="0" w:color="auto"/>
        <w:right w:val="none" w:sz="0" w:space="0" w:color="auto"/>
      </w:divBdr>
    </w:div>
    <w:div w:id="382869215">
      <w:bodyDiv w:val="1"/>
      <w:marLeft w:val="0"/>
      <w:marRight w:val="0"/>
      <w:marTop w:val="0"/>
      <w:marBottom w:val="0"/>
      <w:divBdr>
        <w:top w:val="none" w:sz="0" w:space="0" w:color="auto"/>
        <w:left w:val="none" w:sz="0" w:space="0" w:color="auto"/>
        <w:bottom w:val="none" w:sz="0" w:space="0" w:color="auto"/>
        <w:right w:val="none" w:sz="0" w:space="0" w:color="auto"/>
      </w:divBdr>
      <w:divsChild>
        <w:div w:id="37556761">
          <w:marLeft w:val="640"/>
          <w:marRight w:val="0"/>
          <w:marTop w:val="0"/>
          <w:marBottom w:val="0"/>
          <w:divBdr>
            <w:top w:val="none" w:sz="0" w:space="0" w:color="auto"/>
            <w:left w:val="none" w:sz="0" w:space="0" w:color="auto"/>
            <w:bottom w:val="none" w:sz="0" w:space="0" w:color="auto"/>
            <w:right w:val="none" w:sz="0" w:space="0" w:color="auto"/>
          </w:divBdr>
        </w:div>
        <w:div w:id="113716967">
          <w:marLeft w:val="640"/>
          <w:marRight w:val="0"/>
          <w:marTop w:val="0"/>
          <w:marBottom w:val="0"/>
          <w:divBdr>
            <w:top w:val="none" w:sz="0" w:space="0" w:color="auto"/>
            <w:left w:val="none" w:sz="0" w:space="0" w:color="auto"/>
            <w:bottom w:val="none" w:sz="0" w:space="0" w:color="auto"/>
            <w:right w:val="none" w:sz="0" w:space="0" w:color="auto"/>
          </w:divBdr>
        </w:div>
        <w:div w:id="165095513">
          <w:marLeft w:val="640"/>
          <w:marRight w:val="0"/>
          <w:marTop w:val="0"/>
          <w:marBottom w:val="0"/>
          <w:divBdr>
            <w:top w:val="none" w:sz="0" w:space="0" w:color="auto"/>
            <w:left w:val="none" w:sz="0" w:space="0" w:color="auto"/>
            <w:bottom w:val="none" w:sz="0" w:space="0" w:color="auto"/>
            <w:right w:val="none" w:sz="0" w:space="0" w:color="auto"/>
          </w:divBdr>
        </w:div>
        <w:div w:id="191234838">
          <w:marLeft w:val="640"/>
          <w:marRight w:val="0"/>
          <w:marTop w:val="0"/>
          <w:marBottom w:val="0"/>
          <w:divBdr>
            <w:top w:val="none" w:sz="0" w:space="0" w:color="auto"/>
            <w:left w:val="none" w:sz="0" w:space="0" w:color="auto"/>
            <w:bottom w:val="none" w:sz="0" w:space="0" w:color="auto"/>
            <w:right w:val="none" w:sz="0" w:space="0" w:color="auto"/>
          </w:divBdr>
        </w:div>
        <w:div w:id="212615941">
          <w:marLeft w:val="640"/>
          <w:marRight w:val="0"/>
          <w:marTop w:val="0"/>
          <w:marBottom w:val="0"/>
          <w:divBdr>
            <w:top w:val="none" w:sz="0" w:space="0" w:color="auto"/>
            <w:left w:val="none" w:sz="0" w:space="0" w:color="auto"/>
            <w:bottom w:val="none" w:sz="0" w:space="0" w:color="auto"/>
            <w:right w:val="none" w:sz="0" w:space="0" w:color="auto"/>
          </w:divBdr>
        </w:div>
        <w:div w:id="222176818">
          <w:marLeft w:val="640"/>
          <w:marRight w:val="0"/>
          <w:marTop w:val="0"/>
          <w:marBottom w:val="0"/>
          <w:divBdr>
            <w:top w:val="none" w:sz="0" w:space="0" w:color="auto"/>
            <w:left w:val="none" w:sz="0" w:space="0" w:color="auto"/>
            <w:bottom w:val="none" w:sz="0" w:space="0" w:color="auto"/>
            <w:right w:val="none" w:sz="0" w:space="0" w:color="auto"/>
          </w:divBdr>
        </w:div>
        <w:div w:id="257368327">
          <w:marLeft w:val="640"/>
          <w:marRight w:val="0"/>
          <w:marTop w:val="0"/>
          <w:marBottom w:val="0"/>
          <w:divBdr>
            <w:top w:val="none" w:sz="0" w:space="0" w:color="auto"/>
            <w:left w:val="none" w:sz="0" w:space="0" w:color="auto"/>
            <w:bottom w:val="none" w:sz="0" w:space="0" w:color="auto"/>
            <w:right w:val="none" w:sz="0" w:space="0" w:color="auto"/>
          </w:divBdr>
        </w:div>
        <w:div w:id="333800476">
          <w:marLeft w:val="640"/>
          <w:marRight w:val="0"/>
          <w:marTop w:val="0"/>
          <w:marBottom w:val="0"/>
          <w:divBdr>
            <w:top w:val="none" w:sz="0" w:space="0" w:color="auto"/>
            <w:left w:val="none" w:sz="0" w:space="0" w:color="auto"/>
            <w:bottom w:val="none" w:sz="0" w:space="0" w:color="auto"/>
            <w:right w:val="none" w:sz="0" w:space="0" w:color="auto"/>
          </w:divBdr>
        </w:div>
        <w:div w:id="388501832">
          <w:marLeft w:val="640"/>
          <w:marRight w:val="0"/>
          <w:marTop w:val="0"/>
          <w:marBottom w:val="0"/>
          <w:divBdr>
            <w:top w:val="none" w:sz="0" w:space="0" w:color="auto"/>
            <w:left w:val="none" w:sz="0" w:space="0" w:color="auto"/>
            <w:bottom w:val="none" w:sz="0" w:space="0" w:color="auto"/>
            <w:right w:val="none" w:sz="0" w:space="0" w:color="auto"/>
          </w:divBdr>
        </w:div>
        <w:div w:id="481625014">
          <w:marLeft w:val="640"/>
          <w:marRight w:val="0"/>
          <w:marTop w:val="0"/>
          <w:marBottom w:val="0"/>
          <w:divBdr>
            <w:top w:val="none" w:sz="0" w:space="0" w:color="auto"/>
            <w:left w:val="none" w:sz="0" w:space="0" w:color="auto"/>
            <w:bottom w:val="none" w:sz="0" w:space="0" w:color="auto"/>
            <w:right w:val="none" w:sz="0" w:space="0" w:color="auto"/>
          </w:divBdr>
        </w:div>
        <w:div w:id="522207027">
          <w:marLeft w:val="640"/>
          <w:marRight w:val="0"/>
          <w:marTop w:val="0"/>
          <w:marBottom w:val="0"/>
          <w:divBdr>
            <w:top w:val="none" w:sz="0" w:space="0" w:color="auto"/>
            <w:left w:val="none" w:sz="0" w:space="0" w:color="auto"/>
            <w:bottom w:val="none" w:sz="0" w:space="0" w:color="auto"/>
            <w:right w:val="none" w:sz="0" w:space="0" w:color="auto"/>
          </w:divBdr>
        </w:div>
        <w:div w:id="799229947">
          <w:marLeft w:val="640"/>
          <w:marRight w:val="0"/>
          <w:marTop w:val="0"/>
          <w:marBottom w:val="0"/>
          <w:divBdr>
            <w:top w:val="none" w:sz="0" w:space="0" w:color="auto"/>
            <w:left w:val="none" w:sz="0" w:space="0" w:color="auto"/>
            <w:bottom w:val="none" w:sz="0" w:space="0" w:color="auto"/>
            <w:right w:val="none" w:sz="0" w:space="0" w:color="auto"/>
          </w:divBdr>
        </w:div>
        <w:div w:id="950168878">
          <w:marLeft w:val="640"/>
          <w:marRight w:val="0"/>
          <w:marTop w:val="0"/>
          <w:marBottom w:val="0"/>
          <w:divBdr>
            <w:top w:val="none" w:sz="0" w:space="0" w:color="auto"/>
            <w:left w:val="none" w:sz="0" w:space="0" w:color="auto"/>
            <w:bottom w:val="none" w:sz="0" w:space="0" w:color="auto"/>
            <w:right w:val="none" w:sz="0" w:space="0" w:color="auto"/>
          </w:divBdr>
        </w:div>
        <w:div w:id="1218128349">
          <w:marLeft w:val="640"/>
          <w:marRight w:val="0"/>
          <w:marTop w:val="0"/>
          <w:marBottom w:val="0"/>
          <w:divBdr>
            <w:top w:val="none" w:sz="0" w:space="0" w:color="auto"/>
            <w:left w:val="none" w:sz="0" w:space="0" w:color="auto"/>
            <w:bottom w:val="none" w:sz="0" w:space="0" w:color="auto"/>
            <w:right w:val="none" w:sz="0" w:space="0" w:color="auto"/>
          </w:divBdr>
        </w:div>
        <w:div w:id="1374502929">
          <w:marLeft w:val="640"/>
          <w:marRight w:val="0"/>
          <w:marTop w:val="0"/>
          <w:marBottom w:val="0"/>
          <w:divBdr>
            <w:top w:val="none" w:sz="0" w:space="0" w:color="auto"/>
            <w:left w:val="none" w:sz="0" w:space="0" w:color="auto"/>
            <w:bottom w:val="none" w:sz="0" w:space="0" w:color="auto"/>
            <w:right w:val="none" w:sz="0" w:space="0" w:color="auto"/>
          </w:divBdr>
        </w:div>
        <w:div w:id="1509514380">
          <w:marLeft w:val="640"/>
          <w:marRight w:val="0"/>
          <w:marTop w:val="0"/>
          <w:marBottom w:val="0"/>
          <w:divBdr>
            <w:top w:val="none" w:sz="0" w:space="0" w:color="auto"/>
            <w:left w:val="none" w:sz="0" w:space="0" w:color="auto"/>
            <w:bottom w:val="none" w:sz="0" w:space="0" w:color="auto"/>
            <w:right w:val="none" w:sz="0" w:space="0" w:color="auto"/>
          </w:divBdr>
        </w:div>
        <w:div w:id="1611863706">
          <w:marLeft w:val="640"/>
          <w:marRight w:val="0"/>
          <w:marTop w:val="0"/>
          <w:marBottom w:val="0"/>
          <w:divBdr>
            <w:top w:val="none" w:sz="0" w:space="0" w:color="auto"/>
            <w:left w:val="none" w:sz="0" w:space="0" w:color="auto"/>
            <w:bottom w:val="none" w:sz="0" w:space="0" w:color="auto"/>
            <w:right w:val="none" w:sz="0" w:space="0" w:color="auto"/>
          </w:divBdr>
        </w:div>
        <w:div w:id="1657611012">
          <w:marLeft w:val="640"/>
          <w:marRight w:val="0"/>
          <w:marTop w:val="0"/>
          <w:marBottom w:val="0"/>
          <w:divBdr>
            <w:top w:val="none" w:sz="0" w:space="0" w:color="auto"/>
            <w:left w:val="none" w:sz="0" w:space="0" w:color="auto"/>
            <w:bottom w:val="none" w:sz="0" w:space="0" w:color="auto"/>
            <w:right w:val="none" w:sz="0" w:space="0" w:color="auto"/>
          </w:divBdr>
        </w:div>
        <w:div w:id="1683244394">
          <w:marLeft w:val="640"/>
          <w:marRight w:val="0"/>
          <w:marTop w:val="0"/>
          <w:marBottom w:val="0"/>
          <w:divBdr>
            <w:top w:val="none" w:sz="0" w:space="0" w:color="auto"/>
            <w:left w:val="none" w:sz="0" w:space="0" w:color="auto"/>
            <w:bottom w:val="none" w:sz="0" w:space="0" w:color="auto"/>
            <w:right w:val="none" w:sz="0" w:space="0" w:color="auto"/>
          </w:divBdr>
        </w:div>
        <w:div w:id="1861045520">
          <w:marLeft w:val="640"/>
          <w:marRight w:val="0"/>
          <w:marTop w:val="0"/>
          <w:marBottom w:val="0"/>
          <w:divBdr>
            <w:top w:val="none" w:sz="0" w:space="0" w:color="auto"/>
            <w:left w:val="none" w:sz="0" w:space="0" w:color="auto"/>
            <w:bottom w:val="none" w:sz="0" w:space="0" w:color="auto"/>
            <w:right w:val="none" w:sz="0" w:space="0" w:color="auto"/>
          </w:divBdr>
        </w:div>
        <w:div w:id="1921137302">
          <w:marLeft w:val="640"/>
          <w:marRight w:val="0"/>
          <w:marTop w:val="0"/>
          <w:marBottom w:val="0"/>
          <w:divBdr>
            <w:top w:val="none" w:sz="0" w:space="0" w:color="auto"/>
            <w:left w:val="none" w:sz="0" w:space="0" w:color="auto"/>
            <w:bottom w:val="none" w:sz="0" w:space="0" w:color="auto"/>
            <w:right w:val="none" w:sz="0" w:space="0" w:color="auto"/>
          </w:divBdr>
        </w:div>
        <w:div w:id="1936087603">
          <w:marLeft w:val="640"/>
          <w:marRight w:val="0"/>
          <w:marTop w:val="0"/>
          <w:marBottom w:val="0"/>
          <w:divBdr>
            <w:top w:val="none" w:sz="0" w:space="0" w:color="auto"/>
            <w:left w:val="none" w:sz="0" w:space="0" w:color="auto"/>
            <w:bottom w:val="none" w:sz="0" w:space="0" w:color="auto"/>
            <w:right w:val="none" w:sz="0" w:space="0" w:color="auto"/>
          </w:divBdr>
        </w:div>
      </w:divsChild>
    </w:div>
    <w:div w:id="456529958">
      <w:bodyDiv w:val="1"/>
      <w:marLeft w:val="0"/>
      <w:marRight w:val="0"/>
      <w:marTop w:val="0"/>
      <w:marBottom w:val="0"/>
      <w:divBdr>
        <w:top w:val="none" w:sz="0" w:space="0" w:color="auto"/>
        <w:left w:val="none" w:sz="0" w:space="0" w:color="auto"/>
        <w:bottom w:val="none" w:sz="0" w:space="0" w:color="auto"/>
        <w:right w:val="none" w:sz="0" w:space="0" w:color="auto"/>
      </w:divBdr>
    </w:div>
    <w:div w:id="479425673">
      <w:bodyDiv w:val="1"/>
      <w:marLeft w:val="0"/>
      <w:marRight w:val="0"/>
      <w:marTop w:val="0"/>
      <w:marBottom w:val="0"/>
      <w:divBdr>
        <w:top w:val="none" w:sz="0" w:space="0" w:color="auto"/>
        <w:left w:val="none" w:sz="0" w:space="0" w:color="auto"/>
        <w:bottom w:val="none" w:sz="0" w:space="0" w:color="auto"/>
        <w:right w:val="none" w:sz="0" w:space="0" w:color="auto"/>
      </w:divBdr>
      <w:divsChild>
        <w:div w:id="915555586">
          <w:marLeft w:val="640"/>
          <w:marRight w:val="0"/>
          <w:marTop w:val="0"/>
          <w:marBottom w:val="0"/>
          <w:divBdr>
            <w:top w:val="none" w:sz="0" w:space="0" w:color="auto"/>
            <w:left w:val="none" w:sz="0" w:space="0" w:color="auto"/>
            <w:bottom w:val="none" w:sz="0" w:space="0" w:color="auto"/>
            <w:right w:val="none" w:sz="0" w:space="0" w:color="auto"/>
          </w:divBdr>
        </w:div>
        <w:div w:id="128519895">
          <w:marLeft w:val="640"/>
          <w:marRight w:val="0"/>
          <w:marTop w:val="0"/>
          <w:marBottom w:val="0"/>
          <w:divBdr>
            <w:top w:val="none" w:sz="0" w:space="0" w:color="auto"/>
            <w:left w:val="none" w:sz="0" w:space="0" w:color="auto"/>
            <w:bottom w:val="none" w:sz="0" w:space="0" w:color="auto"/>
            <w:right w:val="none" w:sz="0" w:space="0" w:color="auto"/>
          </w:divBdr>
        </w:div>
        <w:div w:id="1672876042">
          <w:marLeft w:val="640"/>
          <w:marRight w:val="0"/>
          <w:marTop w:val="0"/>
          <w:marBottom w:val="0"/>
          <w:divBdr>
            <w:top w:val="none" w:sz="0" w:space="0" w:color="auto"/>
            <w:left w:val="none" w:sz="0" w:space="0" w:color="auto"/>
            <w:bottom w:val="none" w:sz="0" w:space="0" w:color="auto"/>
            <w:right w:val="none" w:sz="0" w:space="0" w:color="auto"/>
          </w:divBdr>
        </w:div>
        <w:div w:id="1234270734">
          <w:marLeft w:val="640"/>
          <w:marRight w:val="0"/>
          <w:marTop w:val="0"/>
          <w:marBottom w:val="0"/>
          <w:divBdr>
            <w:top w:val="none" w:sz="0" w:space="0" w:color="auto"/>
            <w:left w:val="none" w:sz="0" w:space="0" w:color="auto"/>
            <w:bottom w:val="none" w:sz="0" w:space="0" w:color="auto"/>
            <w:right w:val="none" w:sz="0" w:space="0" w:color="auto"/>
          </w:divBdr>
        </w:div>
        <w:div w:id="708918384">
          <w:marLeft w:val="640"/>
          <w:marRight w:val="0"/>
          <w:marTop w:val="0"/>
          <w:marBottom w:val="0"/>
          <w:divBdr>
            <w:top w:val="none" w:sz="0" w:space="0" w:color="auto"/>
            <w:left w:val="none" w:sz="0" w:space="0" w:color="auto"/>
            <w:bottom w:val="none" w:sz="0" w:space="0" w:color="auto"/>
            <w:right w:val="none" w:sz="0" w:space="0" w:color="auto"/>
          </w:divBdr>
        </w:div>
        <w:div w:id="827282753">
          <w:marLeft w:val="640"/>
          <w:marRight w:val="0"/>
          <w:marTop w:val="0"/>
          <w:marBottom w:val="0"/>
          <w:divBdr>
            <w:top w:val="none" w:sz="0" w:space="0" w:color="auto"/>
            <w:left w:val="none" w:sz="0" w:space="0" w:color="auto"/>
            <w:bottom w:val="none" w:sz="0" w:space="0" w:color="auto"/>
            <w:right w:val="none" w:sz="0" w:space="0" w:color="auto"/>
          </w:divBdr>
        </w:div>
        <w:div w:id="1208880213">
          <w:marLeft w:val="640"/>
          <w:marRight w:val="0"/>
          <w:marTop w:val="0"/>
          <w:marBottom w:val="0"/>
          <w:divBdr>
            <w:top w:val="none" w:sz="0" w:space="0" w:color="auto"/>
            <w:left w:val="none" w:sz="0" w:space="0" w:color="auto"/>
            <w:bottom w:val="none" w:sz="0" w:space="0" w:color="auto"/>
            <w:right w:val="none" w:sz="0" w:space="0" w:color="auto"/>
          </w:divBdr>
        </w:div>
        <w:div w:id="390352866">
          <w:marLeft w:val="640"/>
          <w:marRight w:val="0"/>
          <w:marTop w:val="0"/>
          <w:marBottom w:val="0"/>
          <w:divBdr>
            <w:top w:val="none" w:sz="0" w:space="0" w:color="auto"/>
            <w:left w:val="none" w:sz="0" w:space="0" w:color="auto"/>
            <w:bottom w:val="none" w:sz="0" w:space="0" w:color="auto"/>
            <w:right w:val="none" w:sz="0" w:space="0" w:color="auto"/>
          </w:divBdr>
        </w:div>
        <w:div w:id="895890961">
          <w:marLeft w:val="640"/>
          <w:marRight w:val="0"/>
          <w:marTop w:val="0"/>
          <w:marBottom w:val="0"/>
          <w:divBdr>
            <w:top w:val="none" w:sz="0" w:space="0" w:color="auto"/>
            <w:left w:val="none" w:sz="0" w:space="0" w:color="auto"/>
            <w:bottom w:val="none" w:sz="0" w:space="0" w:color="auto"/>
            <w:right w:val="none" w:sz="0" w:space="0" w:color="auto"/>
          </w:divBdr>
        </w:div>
        <w:div w:id="1350521647">
          <w:marLeft w:val="640"/>
          <w:marRight w:val="0"/>
          <w:marTop w:val="0"/>
          <w:marBottom w:val="0"/>
          <w:divBdr>
            <w:top w:val="none" w:sz="0" w:space="0" w:color="auto"/>
            <w:left w:val="none" w:sz="0" w:space="0" w:color="auto"/>
            <w:bottom w:val="none" w:sz="0" w:space="0" w:color="auto"/>
            <w:right w:val="none" w:sz="0" w:space="0" w:color="auto"/>
          </w:divBdr>
        </w:div>
        <w:div w:id="1488131242">
          <w:marLeft w:val="640"/>
          <w:marRight w:val="0"/>
          <w:marTop w:val="0"/>
          <w:marBottom w:val="0"/>
          <w:divBdr>
            <w:top w:val="none" w:sz="0" w:space="0" w:color="auto"/>
            <w:left w:val="none" w:sz="0" w:space="0" w:color="auto"/>
            <w:bottom w:val="none" w:sz="0" w:space="0" w:color="auto"/>
            <w:right w:val="none" w:sz="0" w:space="0" w:color="auto"/>
          </w:divBdr>
        </w:div>
        <w:div w:id="1340503865">
          <w:marLeft w:val="640"/>
          <w:marRight w:val="0"/>
          <w:marTop w:val="0"/>
          <w:marBottom w:val="0"/>
          <w:divBdr>
            <w:top w:val="none" w:sz="0" w:space="0" w:color="auto"/>
            <w:left w:val="none" w:sz="0" w:space="0" w:color="auto"/>
            <w:bottom w:val="none" w:sz="0" w:space="0" w:color="auto"/>
            <w:right w:val="none" w:sz="0" w:space="0" w:color="auto"/>
          </w:divBdr>
        </w:div>
        <w:div w:id="1945574329">
          <w:marLeft w:val="640"/>
          <w:marRight w:val="0"/>
          <w:marTop w:val="0"/>
          <w:marBottom w:val="0"/>
          <w:divBdr>
            <w:top w:val="none" w:sz="0" w:space="0" w:color="auto"/>
            <w:left w:val="none" w:sz="0" w:space="0" w:color="auto"/>
            <w:bottom w:val="none" w:sz="0" w:space="0" w:color="auto"/>
            <w:right w:val="none" w:sz="0" w:space="0" w:color="auto"/>
          </w:divBdr>
        </w:div>
        <w:div w:id="168103745">
          <w:marLeft w:val="640"/>
          <w:marRight w:val="0"/>
          <w:marTop w:val="0"/>
          <w:marBottom w:val="0"/>
          <w:divBdr>
            <w:top w:val="none" w:sz="0" w:space="0" w:color="auto"/>
            <w:left w:val="none" w:sz="0" w:space="0" w:color="auto"/>
            <w:bottom w:val="none" w:sz="0" w:space="0" w:color="auto"/>
            <w:right w:val="none" w:sz="0" w:space="0" w:color="auto"/>
          </w:divBdr>
        </w:div>
        <w:div w:id="1231689926">
          <w:marLeft w:val="640"/>
          <w:marRight w:val="0"/>
          <w:marTop w:val="0"/>
          <w:marBottom w:val="0"/>
          <w:divBdr>
            <w:top w:val="none" w:sz="0" w:space="0" w:color="auto"/>
            <w:left w:val="none" w:sz="0" w:space="0" w:color="auto"/>
            <w:bottom w:val="none" w:sz="0" w:space="0" w:color="auto"/>
            <w:right w:val="none" w:sz="0" w:space="0" w:color="auto"/>
          </w:divBdr>
        </w:div>
        <w:div w:id="6490996">
          <w:marLeft w:val="640"/>
          <w:marRight w:val="0"/>
          <w:marTop w:val="0"/>
          <w:marBottom w:val="0"/>
          <w:divBdr>
            <w:top w:val="none" w:sz="0" w:space="0" w:color="auto"/>
            <w:left w:val="none" w:sz="0" w:space="0" w:color="auto"/>
            <w:bottom w:val="none" w:sz="0" w:space="0" w:color="auto"/>
            <w:right w:val="none" w:sz="0" w:space="0" w:color="auto"/>
          </w:divBdr>
        </w:div>
        <w:div w:id="2125420439">
          <w:marLeft w:val="640"/>
          <w:marRight w:val="0"/>
          <w:marTop w:val="0"/>
          <w:marBottom w:val="0"/>
          <w:divBdr>
            <w:top w:val="none" w:sz="0" w:space="0" w:color="auto"/>
            <w:left w:val="none" w:sz="0" w:space="0" w:color="auto"/>
            <w:bottom w:val="none" w:sz="0" w:space="0" w:color="auto"/>
            <w:right w:val="none" w:sz="0" w:space="0" w:color="auto"/>
          </w:divBdr>
        </w:div>
        <w:div w:id="1774085645">
          <w:marLeft w:val="640"/>
          <w:marRight w:val="0"/>
          <w:marTop w:val="0"/>
          <w:marBottom w:val="0"/>
          <w:divBdr>
            <w:top w:val="none" w:sz="0" w:space="0" w:color="auto"/>
            <w:left w:val="none" w:sz="0" w:space="0" w:color="auto"/>
            <w:bottom w:val="none" w:sz="0" w:space="0" w:color="auto"/>
            <w:right w:val="none" w:sz="0" w:space="0" w:color="auto"/>
          </w:divBdr>
        </w:div>
        <w:div w:id="845557527">
          <w:marLeft w:val="640"/>
          <w:marRight w:val="0"/>
          <w:marTop w:val="0"/>
          <w:marBottom w:val="0"/>
          <w:divBdr>
            <w:top w:val="none" w:sz="0" w:space="0" w:color="auto"/>
            <w:left w:val="none" w:sz="0" w:space="0" w:color="auto"/>
            <w:bottom w:val="none" w:sz="0" w:space="0" w:color="auto"/>
            <w:right w:val="none" w:sz="0" w:space="0" w:color="auto"/>
          </w:divBdr>
        </w:div>
        <w:div w:id="327446752">
          <w:marLeft w:val="640"/>
          <w:marRight w:val="0"/>
          <w:marTop w:val="0"/>
          <w:marBottom w:val="0"/>
          <w:divBdr>
            <w:top w:val="none" w:sz="0" w:space="0" w:color="auto"/>
            <w:left w:val="none" w:sz="0" w:space="0" w:color="auto"/>
            <w:bottom w:val="none" w:sz="0" w:space="0" w:color="auto"/>
            <w:right w:val="none" w:sz="0" w:space="0" w:color="auto"/>
          </w:divBdr>
        </w:div>
        <w:div w:id="1485317554">
          <w:marLeft w:val="640"/>
          <w:marRight w:val="0"/>
          <w:marTop w:val="0"/>
          <w:marBottom w:val="0"/>
          <w:divBdr>
            <w:top w:val="none" w:sz="0" w:space="0" w:color="auto"/>
            <w:left w:val="none" w:sz="0" w:space="0" w:color="auto"/>
            <w:bottom w:val="none" w:sz="0" w:space="0" w:color="auto"/>
            <w:right w:val="none" w:sz="0" w:space="0" w:color="auto"/>
          </w:divBdr>
        </w:div>
        <w:div w:id="1090001672">
          <w:marLeft w:val="640"/>
          <w:marRight w:val="0"/>
          <w:marTop w:val="0"/>
          <w:marBottom w:val="0"/>
          <w:divBdr>
            <w:top w:val="none" w:sz="0" w:space="0" w:color="auto"/>
            <w:left w:val="none" w:sz="0" w:space="0" w:color="auto"/>
            <w:bottom w:val="none" w:sz="0" w:space="0" w:color="auto"/>
            <w:right w:val="none" w:sz="0" w:space="0" w:color="auto"/>
          </w:divBdr>
        </w:div>
        <w:div w:id="308901800">
          <w:marLeft w:val="640"/>
          <w:marRight w:val="0"/>
          <w:marTop w:val="0"/>
          <w:marBottom w:val="0"/>
          <w:divBdr>
            <w:top w:val="none" w:sz="0" w:space="0" w:color="auto"/>
            <w:left w:val="none" w:sz="0" w:space="0" w:color="auto"/>
            <w:bottom w:val="none" w:sz="0" w:space="0" w:color="auto"/>
            <w:right w:val="none" w:sz="0" w:space="0" w:color="auto"/>
          </w:divBdr>
        </w:div>
      </w:divsChild>
    </w:div>
    <w:div w:id="626161293">
      <w:bodyDiv w:val="1"/>
      <w:marLeft w:val="0"/>
      <w:marRight w:val="0"/>
      <w:marTop w:val="0"/>
      <w:marBottom w:val="0"/>
      <w:divBdr>
        <w:top w:val="none" w:sz="0" w:space="0" w:color="auto"/>
        <w:left w:val="none" w:sz="0" w:space="0" w:color="auto"/>
        <w:bottom w:val="none" w:sz="0" w:space="0" w:color="auto"/>
        <w:right w:val="none" w:sz="0" w:space="0" w:color="auto"/>
      </w:divBdr>
      <w:divsChild>
        <w:div w:id="977300195">
          <w:marLeft w:val="640"/>
          <w:marRight w:val="0"/>
          <w:marTop w:val="0"/>
          <w:marBottom w:val="0"/>
          <w:divBdr>
            <w:top w:val="none" w:sz="0" w:space="0" w:color="auto"/>
            <w:left w:val="none" w:sz="0" w:space="0" w:color="auto"/>
            <w:bottom w:val="none" w:sz="0" w:space="0" w:color="auto"/>
            <w:right w:val="none" w:sz="0" w:space="0" w:color="auto"/>
          </w:divBdr>
        </w:div>
        <w:div w:id="1050229661">
          <w:marLeft w:val="640"/>
          <w:marRight w:val="0"/>
          <w:marTop w:val="0"/>
          <w:marBottom w:val="0"/>
          <w:divBdr>
            <w:top w:val="none" w:sz="0" w:space="0" w:color="auto"/>
            <w:left w:val="none" w:sz="0" w:space="0" w:color="auto"/>
            <w:bottom w:val="none" w:sz="0" w:space="0" w:color="auto"/>
            <w:right w:val="none" w:sz="0" w:space="0" w:color="auto"/>
          </w:divBdr>
        </w:div>
        <w:div w:id="562720241">
          <w:marLeft w:val="640"/>
          <w:marRight w:val="0"/>
          <w:marTop w:val="0"/>
          <w:marBottom w:val="0"/>
          <w:divBdr>
            <w:top w:val="none" w:sz="0" w:space="0" w:color="auto"/>
            <w:left w:val="none" w:sz="0" w:space="0" w:color="auto"/>
            <w:bottom w:val="none" w:sz="0" w:space="0" w:color="auto"/>
            <w:right w:val="none" w:sz="0" w:space="0" w:color="auto"/>
          </w:divBdr>
        </w:div>
        <w:div w:id="1727336171">
          <w:marLeft w:val="640"/>
          <w:marRight w:val="0"/>
          <w:marTop w:val="0"/>
          <w:marBottom w:val="0"/>
          <w:divBdr>
            <w:top w:val="none" w:sz="0" w:space="0" w:color="auto"/>
            <w:left w:val="none" w:sz="0" w:space="0" w:color="auto"/>
            <w:bottom w:val="none" w:sz="0" w:space="0" w:color="auto"/>
            <w:right w:val="none" w:sz="0" w:space="0" w:color="auto"/>
          </w:divBdr>
        </w:div>
        <w:div w:id="1663703565">
          <w:marLeft w:val="640"/>
          <w:marRight w:val="0"/>
          <w:marTop w:val="0"/>
          <w:marBottom w:val="0"/>
          <w:divBdr>
            <w:top w:val="none" w:sz="0" w:space="0" w:color="auto"/>
            <w:left w:val="none" w:sz="0" w:space="0" w:color="auto"/>
            <w:bottom w:val="none" w:sz="0" w:space="0" w:color="auto"/>
            <w:right w:val="none" w:sz="0" w:space="0" w:color="auto"/>
          </w:divBdr>
        </w:div>
        <w:div w:id="121535505">
          <w:marLeft w:val="640"/>
          <w:marRight w:val="0"/>
          <w:marTop w:val="0"/>
          <w:marBottom w:val="0"/>
          <w:divBdr>
            <w:top w:val="none" w:sz="0" w:space="0" w:color="auto"/>
            <w:left w:val="none" w:sz="0" w:space="0" w:color="auto"/>
            <w:bottom w:val="none" w:sz="0" w:space="0" w:color="auto"/>
            <w:right w:val="none" w:sz="0" w:space="0" w:color="auto"/>
          </w:divBdr>
        </w:div>
        <w:div w:id="1417824701">
          <w:marLeft w:val="640"/>
          <w:marRight w:val="0"/>
          <w:marTop w:val="0"/>
          <w:marBottom w:val="0"/>
          <w:divBdr>
            <w:top w:val="none" w:sz="0" w:space="0" w:color="auto"/>
            <w:left w:val="none" w:sz="0" w:space="0" w:color="auto"/>
            <w:bottom w:val="none" w:sz="0" w:space="0" w:color="auto"/>
            <w:right w:val="none" w:sz="0" w:space="0" w:color="auto"/>
          </w:divBdr>
        </w:div>
        <w:div w:id="1681926555">
          <w:marLeft w:val="640"/>
          <w:marRight w:val="0"/>
          <w:marTop w:val="0"/>
          <w:marBottom w:val="0"/>
          <w:divBdr>
            <w:top w:val="none" w:sz="0" w:space="0" w:color="auto"/>
            <w:left w:val="none" w:sz="0" w:space="0" w:color="auto"/>
            <w:bottom w:val="none" w:sz="0" w:space="0" w:color="auto"/>
            <w:right w:val="none" w:sz="0" w:space="0" w:color="auto"/>
          </w:divBdr>
        </w:div>
        <w:div w:id="840195782">
          <w:marLeft w:val="640"/>
          <w:marRight w:val="0"/>
          <w:marTop w:val="0"/>
          <w:marBottom w:val="0"/>
          <w:divBdr>
            <w:top w:val="none" w:sz="0" w:space="0" w:color="auto"/>
            <w:left w:val="none" w:sz="0" w:space="0" w:color="auto"/>
            <w:bottom w:val="none" w:sz="0" w:space="0" w:color="auto"/>
            <w:right w:val="none" w:sz="0" w:space="0" w:color="auto"/>
          </w:divBdr>
        </w:div>
        <w:div w:id="2090617496">
          <w:marLeft w:val="640"/>
          <w:marRight w:val="0"/>
          <w:marTop w:val="0"/>
          <w:marBottom w:val="0"/>
          <w:divBdr>
            <w:top w:val="none" w:sz="0" w:space="0" w:color="auto"/>
            <w:left w:val="none" w:sz="0" w:space="0" w:color="auto"/>
            <w:bottom w:val="none" w:sz="0" w:space="0" w:color="auto"/>
            <w:right w:val="none" w:sz="0" w:space="0" w:color="auto"/>
          </w:divBdr>
        </w:div>
        <w:div w:id="1481266686">
          <w:marLeft w:val="640"/>
          <w:marRight w:val="0"/>
          <w:marTop w:val="0"/>
          <w:marBottom w:val="0"/>
          <w:divBdr>
            <w:top w:val="none" w:sz="0" w:space="0" w:color="auto"/>
            <w:left w:val="none" w:sz="0" w:space="0" w:color="auto"/>
            <w:bottom w:val="none" w:sz="0" w:space="0" w:color="auto"/>
            <w:right w:val="none" w:sz="0" w:space="0" w:color="auto"/>
          </w:divBdr>
        </w:div>
        <w:div w:id="306282055">
          <w:marLeft w:val="640"/>
          <w:marRight w:val="0"/>
          <w:marTop w:val="0"/>
          <w:marBottom w:val="0"/>
          <w:divBdr>
            <w:top w:val="none" w:sz="0" w:space="0" w:color="auto"/>
            <w:left w:val="none" w:sz="0" w:space="0" w:color="auto"/>
            <w:bottom w:val="none" w:sz="0" w:space="0" w:color="auto"/>
            <w:right w:val="none" w:sz="0" w:space="0" w:color="auto"/>
          </w:divBdr>
        </w:div>
        <w:div w:id="280499853">
          <w:marLeft w:val="640"/>
          <w:marRight w:val="0"/>
          <w:marTop w:val="0"/>
          <w:marBottom w:val="0"/>
          <w:divBdr>
            <w:top w:val="none" w:sz="0" w:space="0" w:color="auto"/>
            <w:left w:val="none" w:sz="0" w:space="0" w:color="auto"/>
            <w:bottom w:val="none" w:sz="0" w:space="0" w:color="auto"/>
            <w:right w:val="none" w:sz="0" w:space="0" w:color="auto"/>
          </w:divBdr>
        </w:div>
        <w:div w:id="480926756">
          <w:marLeft w:val="640"/>
          <w:marRight w:val="0"/>
          <w:marTop w:val="0"/>
          <w:marBottom w:val="0"/>
          <w:divBdr>
            <w:top w:val="none" w:sz="0" w:space="0" w:color="auto"/>
            <w:left w:val="none" w:sz="0" w:space="0" w:color="auto"/>
            <w:bottom w:val="none" w:sz="0" w:space="0" w:color="auto"/>
            <w:right w:val="none" w:sz="0" w:space="0" w:color="auto"/>
          </w:divBdr>
        </w:div>
        <w:div w:id="2008822853">
          <w:marLeft w:val="640"/>
          <w:marRight w:val="0"/>
          <w:marTop w:val="0"/>
          <w:marBottom w:val="0"/>
          <w:divBdr>
            <w:top w:val="none" w:sz="0" w:space="0" w:color="auto"/>
            <w:left w:val="none" w:sz="0" w:space="0" w:color="auto"/>
            <w:bottom w:val="none" w:sz="0" w:space="0" w:color="auto"/>
            <w:right w:val="none" w:sz="0" w:space="0" w:color="auto"/>
          </w:divBdr>
        </w:div>
        <w:div w:id="1483231418">
          <w:marLeft w:val="640"/>
          <w:marRight w:val="0"/>
          <w:marTop w:val="0"/>
          <w:marBottom w:val="0"/>
          <w:divBdr>
            <w:top w:val="none" w:sz="0" w:space="0" w:color="auto"/>
            <w:left w:val="none" w:sz="0" w:space="0" w:color="auto"/>
            <w:bottom w:val="none" w:sz="0" w:space="0" w:color="auto"/>
            <w:right w:val="none" w:sz="0" w:space="0" w:color="auto"/>
          </w:divBdr>
        </w:div>
        <w:div w:id="2090540027">
          <w:marLeft w:val="640"/>
          <w:marRight w:val="0"/>
          <w:marTop w:val="0"/>
          <w:marBottom w:val="0"/>
          <w:divBdr>
            <w:top w:val="none" w:sz="0" w:space="0" w:color="auto"/>
            <w:left w:val="none" w:sz="0" w:space="0" w:color="auto"/>
            <w:bottom w:val="none" w:sz="0" w:space="0" w:color="auto"/>
            <w:right w:val="none" w:sz="0" w:space="0" w:color="auto"/>
          </w:divBdr>
        </w:div>
        <w:div w:id="22677401">
          <w:marLeft w:val="640"/>
          <w:marRight w:val="0"/>
          <w:marTop w:val="0"/>
          <w:marBottom w:val="0"/>
          <w:divBdr>
            <w:top w:val="none" w:sz="0" w:space="0" w:color="auto"/>
            <w:left w:val="none" w:sz="0" w:space="0" w:color="auto"/>
            <w:bottom w:val="none" w:sz="0" w:space="0" w:color="auto"/>
            <w:right w:val="none" w:sz="0" w:space="0" w:color="auto"/>
          </w:divBdr>
        </w:div>
        <w:div w:id="80762734">
          <w:marLeft w:val="640"/>
          <w:marRight w:val="0"/>
          <w:marTop w:val="0"/>
          <w:marBottom w:val="0"/>
          <w:divBdr>
            <w:top w:val="none" w:sz="0" w:space="0" w:color="auto"/>
            <w:left w:val="none" w:sz="0" w:space="0" w:color="auto"/>
            <w:bottom w:val="none" w:sz="0" w:space="0" w:color="auto"/>
            <w:right w:val="none" w:sz="0" w:space="0" w:color="auto"/>
          </w:divBdr>
        </w:div>
        <w:div w:id="863176398">
          <w:marLeft w:val="640"/>
          <w:marRight w:val="0"/>
          <w:marTop w:val="0"/>
          <w:marBottom w:val="0"/>
          <w:divBdr>
            <w:top w:val="none" w:sz="0" w:space="0" w:color="auto"/>
            <w:left w:val="none" w:sz="0" w:space="0" w:color="auto"/>
            <w:bottom w:val="none" w:sz="0" w:space="0" w:color="auto"/>
            <w:right w:val="none" w:sz="0" w:space="0" w:color="auto"/>
          </w:divBdr>
        </w:div>
        <w:div w:id="454057525">
          <w:marLeft w:val="640"/>
          <w:marRight w:val="0"/>
          <w:marTop w:val="0"/>
          <w:marBottom w:val="0"/>
          <w:divBdr>
            <w:top w:val="none" w:sz="0" w:space="0" w:color="auto"/>
            <w:left w:val="none" w:sz="0" w:space="0" w:color="auto"/>
            <w:bottom w:val="none" w:sz="0" w:space="0" w:color="auto"/>
            <w:right w:val="none" w:sz="0" w:space="0" w:color="auto"/>
          </w:divBdr>
        </w:div>
        <w:div w:id="1107888186">
          <w:marLeft w:val="640"/>
          <w:marRight w:val="0"/>
          <w:marTop w:val="0"/>
          <w:marBottom w:val="0"/>
          <w:divBdr>
            <w:top w:val="none" w:sz="0" w:space="0" w:color="auto"/>
            <w:left w:val="none" w:sz="0" w:space="0" w:color="auto"/>
            <w:bottom w:val="none" w:sz="0" w:space="0" w:color="auto"/>
            <w:right w:val="none" w:sz="0" w:space="0" w:color="auto"/>
          </w:divBdr>
        </w:div>
      </w:divsChild>
    </w:div>
    <w:div w:id="637879512">
      <w:bodyDiv w:val="1"/>
      <w:marLeft w:val="0"/>
      <w:marRight w:val="0"/>
      <w:marTop w:val="0"/>
      <w:marBottom w:val="0"/>
      <w:divBdr>
        <w:top w:val="none" w:sz="0" w:space="0" w:color="auto"/>
        <w:left w:val="none" w:sz="0" w:space="0" w:color="auto"/>
        <w:bottom w:val="none" w:sz="0" w:space="0" w:color="auto"/>
        <w:right w:val="none" w:sz="0" w:space="0" w:color="auto"/>
      </w:divBdr>
    </w:div>
    <w:div w:id="676734082">
      <w:bodyDiv w:val="1"/>
      <w:marLeft w:val="0"/>
      <w:marRight w:val="0"/>
      <w:marTop w:val="0"/>
      <w:marBottom w:val="0"/>
      <w:divBdr>
        <w:top w:val="none" w:sz="0" w:space="0" w:color="auto"/>
        <w:left w:val="none" w:sz="0" w:space="0" w:color="auto"/>
        <w:bottom w:val="none" w:sz="0" w:space="0" w:color="auto"/>
        <w:right w:val="none" w:sz="0" w:space="0" w:color="auto"/>
      </w:divBdr>
      <w:divsChild>
        <w:div w:id="86391191">
          <w:marLeft w:val="640"/>
          <w:marRight w:val="0"/>
          <w:marTop w:val="0"/>
          <w:marBottom w:val="0"/>
          <w:divBdr>
            <w:top w:val="none" w:sz="0" w:space="0" w:color="auto"/>
            <w:left w:val="none" w:sz="0" w:space="0" w:color="auto"/>
            <w:bottom w:val="none" w:sz="0" w:space="0" w:color="auto"/>
            <w:right w:val="none" w:sz="0" w:space="0" w:color="auto"/>
          </w:divBdr>
        </w:div>
        <w:div w:id="1675719992">
          <w:marLeft w:val="640"/>
          <w:marRight w:val="0"/>
          <w:marTop w:val="0"/>
          <w:marBottom w:val="0"/>
          <w:divBdr>
            <w:top w:val="none" w:sz="0" w:space="0" w:color="auto"/>
            <w:left w:val="none" w:sz="0" w:space="0" w:color="auto"/>
            <w:bottom w:val="none" w:sz="0" w:space="0" w:color="auto"/>
            <w:right w:val="none" w:sz="0" w:space="0" w:color="auto"/>
          </w:divBdr>
        </w:div>
        <w:div w:id="2140101957">
          <w:marLeft w:val="640"/>
          <w:marRight w:val="0"/>
          <w:marTop w:val="0"/>
          <w:marBottom w:val="0"/>
          <w:divBdr>
            <w:top w:val="none" w:sz="0" w:space="0" w:color="auto"/>
            <w:left w:val="none" w:sz="0" w:space="0" w:color="auto"/>
            <w:bottom w:val="none" w:sz="0" w:space="0" w:color="auto"/>
            <w:right w:val="none" w:sz="0" w:space="0" w:color="auto"/>
          </w:divBdr>
        </w:div>
        <w:div w:id="1399866831">
          <w:marLeft w:val="640"/>
          <w:marRight w:val="0"/>
          <w:marTop w:val="0"/>
          <w:marBottom w:val="0"/>
          <w:divBdr>
            <w:top w:val="none" w:sz="0" w:space="0" w:color="auto"/>
            <w:left w:val="none" w:sz="0" w:space="0" w:color="auto"/>
            <w:bottom w:val="none" w:sz="0" w:space="0" w:color="auto"/>
            <w:right w:val="none" w:sz="0" w:space="0" w:color="auto"/>
          </w:divBdr>
        </w:div>
        <w:div w:id="1089077367">
          <w:marLeft w:val="640"/>
          <w:marRight w:val="0"/>
          <w:marTop w:val="0"/>
          <w:marBottom w:val="0"/>
          <w:divBdr>
            <w:top w:val="none" w:sz="0" w:space="0" w:color="auto"/>
            <w:left w:val="none" w:sz="0" w:space="0" w:color="auto"/>
            <w:bottom w:val="none" w:sz="0" w:space="0" w:color="auto"/>
            <w:right w:val="none" w:sz="0" w:space="0" w:color="auto"/>
          </w:divBdr>
        </w:div>
        <w:div w:id="1692952841">
          <w:marLeft w:val="640"/>
          <w:marRight w:val="0"/>
          <w:marTop w:val="0"/>
          <w:marBottom w:val="0"/>
          <w:divBdr>
            <w:top w:val="none" w:sz="0" w:space="0" w:color="auto"/>
            <w:left w:val="none" w:sz="0" w:space="0" w:color="auto"/>
            <w:bottom w:val="none" w:sz="0" w:space="0" w:color="auto"/>
            <w:right w:val="none" w:sz="0" w:space="0" w:color="auto"/>
          </w:divBdr>
        </w:div>
        <w:div w:id="614677137">
          <w:marLeft w:val="640"/>
          <w:marRight w:val="0"/>
          <w:marTop w:val="0"/>
          <w:marBottom w:val="0"/>
          <w:divBdr>
            <w:top w:val="none" w:sz="0" w:space="0" w:color="auto"/>
            <w:left w:val="none" w:sz="0" w:space="0" w:color="auto"/>
            <w:bottom w:val="none" w:sz="0" w:space="0" w:color="auto"/>
            <w:right w:val="none" w:sz="0" w:space="0" w:color="auto"/>
          </w:divBdr>
        </w:div>
        <w:div w:id="1525365215">
          <w:marLeft w:val="640"/>
          <w:marRight w:val="0"/>
          <w:marTop w:val="0"/>
          <w:marBottom w:val="0"/>
          <w:divBdr>
            <w:top w:val="none" w:sz="0" w:space="0" w:color="auto"/>
            <w:left w:val="none" w:sz="0" w:space="0" w:color="auto"/>
            <w:bottom w:val="none" w:sz="0" w:space="0" w:color="auto"/>
            <w:right w:val="none" w:sz="0" w:space="0" w:color="auto"/>
          </w:divBdr>
        </w:div>
        <w:div w:id="1069231749">
          <w:marLeft w:val="640"/>
          <w:marRight w:val="0"/>
          <w:marTop w:val="0"/>
          <w:marBottom w:val="0"/>
          <w:divBdr>
            <w:top w:val="none" w:sz="0" w:space="0" w:color="auto"/>
            <w:left w:val="none" w:sz="0" w:space="0" w:color="auto"/>
            <w:bottom w:val="none" w:sz="0" w:space="0" w:color="auto"/>
            <w:right w:val="none" w:sz="0" w:space="0" w:color="auto"/>
          </w:divBdr>
        </w:div>
        <w:div w:id="1230266088">
          <w:marLeft w:val="640"/>
          <w:marRight w:val="0"/>
          <w:marTop w:val="0"/>
          <w:marBottom w:val="0"/>
          <w:divBdr>
            <w:top w:val="none" w:sz="0" w:space="0" w:color="auto"/>
            <w:left w:val="none" w:sz="0" w:space="0" w:color="auto"/>
            <w:bottom w:val="none" w:sz="0" w:space="0" w:color="auto"/>
            <w:right w:val="none" w:sz="0" w:space="0" w:color="auto"/>
          </w:divBdr>
        </w:div>
        <w:div w:id="337120921">
          <w:marLeft w:val="640"/>
          <w:marRight w:val="0"/>
          <w:marTop w:val="0"/>
          <w:marBottom w:val="0"/>
          <w:divBdr>
            <w:top w:val="none" w:sz="0" w:space="0" w:color="auto"/>
            <w:left w:val="none" w:sz="0" w:space="0" w:color="auto"/>
            <w:bottom w:val="none" w:sz="0" w:space="0" w:color="auto"/>
            <w:right w:val="none" w:sz="0" w:space="0" w:color="auto"/>
          </w:divBdr>
        </w:div>
        <w:div w:id="304504533">
          <w:marLeft w:val="640"/>
          <w:marRight w:val="0"/>
          <w:marTop w:val="0"/>
          <w:marBottom w:val="0"/>
          <w:divBdr>
            <w:top w:val="none" w:sz="0" w:space="0" w:color="auto"/>
            <w:left w:val="none" w:sz="0" w:space="0" w:color="auto"/>
            <w:bottom w:val="none" w:sz="0" w:space="0" w:color="auto"/>
            <w:right w:val="none" w:sz="0" w:space="0" w:color="auto"/>
          </w:divBdr>
        </w:div>
        <w:div w:id="687486979">
          <w:marLeft w:val="640"/>
          <w:marRight w:val="0"/>
          <w:marTop w:val="0"/>
          <w:marBottom w:val="0"/>
          <w:divBdr>
            <w:top w:val="none" w:sz="0" w:space="0" w:color="auto"/>
            <w:left w:val="none" w:sz="0" w:space="0" w:color="auto"/>
            <w:bottom w:val="none" w:sz="0" w:space="0" w:color="auto"/>
            <w:right w:val="none" w:sz="0" w:space="0" w:color="auto"/>
          </w:divBdr>
        </w:div>
        <w:div w:id="1817608063">
          <w:marLeft w:val="640"/>
          <w:marRight w:val="0"/>
          <w:marTop w:val="0"/>
          <w:marBottom w:val="0"/>
          <w:divBdr>
            <w:top w:val="none" w:sz="0" w:space="0" w:color="auto"/>
            <w:left w:val="none" w:sz="0" w:space="0" w:color="auto"/>
            <w:bottom w:val="none" w:sz="0" w:space="0" w:color="auto"/>
            <w:right w:val="none" w:sz="0" w:space="0" w:color="auto"/>
          </w:divBdr>
        </w:div>
        <w:div w:id="1786149835">
          <w:marLeft w:val="640"/>
          <w:marRight w:val="0"/>
          <w:marTop w:val="0"/>
          <w:marBottom w:val="0"/>
          <w:divBdr>
            <w:top w:val="none" w:sz="0" w:space="0" w:color="auto"/>
            <w:left w:val="none" w:sz="0" w:space="0" w:color="auto"/>
            <w:bottom w:val="none" w:sz="0" w:space="0" w:color="auto"/>
            <w:right w:val="none" w:sz="0" w:space="0" w:color="auto"/>
          </w:divBdr>
        </w:div>
        <w:div w:id="1138497356">
          <w:marLeft w:val="640"/>
          <w:marRight w:val="0"/>
          <w:marTop w:val="0"/>
          <w:marBottom w:val="0"/>
          <w:divBdr>
            <w:top w:val="none" w:sz="0" w:space="0" w:color="auto"/>
            <w:left w:val="none" w:sz="0" w:space="0" w:color="auto"/>
            <w:bottom w:val="none" w:sz="0" w:space="0" w:color="auto"/>
            <w:right w:val="none" w:sz="0" w:space="0" w:color="auto"/>
          </w:divBdr>
        </w:div>
        <w:div w:id="1257207352">
          <w:marLeft w:val="640"/>
          <w:marRight w:val="0"/>
          <w:marTop w:val="0"/>
          <w:marBottom w:val="0"/>
          <w:divBdr>
            <w:top w:val="none" w:sz="0" w:space="0" w:color="auto"/>
            <w:left w:val="none" w:sz="0" w:space="0" w:color="auto"/>
            <w:bottom w:val="none" w:sz="0" w:space="0" w:color="auto"/>
            <w:right w:val="none" w:sz="0" w:space="0" w:color="auto"/>
          </w:divBdr>
        </w:div>
        <w:div w:id="1518689887">
          <w:marLeft w:val="640"/>
          <w:marRight w:val="0"/>
          <w:marTop w:val="0"/>
          <w:marBottom w:val="0"/>
          <w:divBdr>
            <w:top w:val="none" w:sz="0" w:space="0" w:color="auto"/>
            <w:left w:val="none" w:sz="0" w:space="0" w:color="auto"/>
            <w:bottom w:val="none" w:sz="0" w:space="0" w:color="auto"/>
            <w:right w:val="none" w:sz="0" w:space="0" w:color="auto"/>
          </w:divBdr>
        </w:div>
        <w:div w:id="117144356">
          <w:marLeft w:val="640"/>
          <w:marRight w:val="0"/>
          <w:marTop w:val="0"/>
          <w:marBottom w:val="0"/>
          <w:divBdr>
            <w:top w:val="none" w:sz="0" w:space="0" w:color="auto"/>
            <w:left w:val="none" w:sz="0" w:space="0" w:color="auto"/>
            <w:bottom w:val="none" w:sz="0" w:space="0" w:color="auto"/>
            <w:right w:val="none" w:sz="0" w:space="0" w:color="auto"/>
          </w:divBdr>
        </w:div>
        <w:div w:id="1384330844">
          <w:marLeft w:val="640"/>
          <w:marRight w:val="0"/>
          <w:marTop w:val="0"/>
          <w:marBottom w:val="0"/>
          <w:divBdr>
            <w:top w:val="none" w:sz="0" w:space="0" w:color="auto"/>
            <w:left w:val="none" w:sz="0" w:space="0" w:color="auto"/>
            <w:bottom w:val="none" w:sz="0" w:space="0" w:color="auto"/>
            <w:right w:val="none" w:sz="0" w:space="0" w:color="auto"/>
          </w:divBdr>
        </w:div>
        <w:div w:id="2044362256">
          <w:marLeft w:val="640"/>
          <w:marRight w:val="0"/>
          <w:marTop w:val="0"/>
          <w:marBottom w:val="0"/>
          <w:divBdr>
            <w:top w:val="none" w:sz="0" w:space="0" w:color="auto"/>
            <w:left w:val="none" w:sz="0" w:space="0" w:color="auto"/>
            <w:bottom w:val="none" w:sz="0" w:space="0" w:color="auto"/>
            <w:right w:val="none" w:sz="0" w:space="0" w:color="auto"/>
          </w:divBdr>
        </w:div>
        <w:div w:id="1191064694">
          <w:marLeft w:val="640"/>
          <w:marRight w:val="0"/>
          <w:marTop w:val="0"/>
          <w:marBottom w:val="0"/>
          <w:divBdr>
            <w:top w:val="none" w:sz="0" w:space="0" w:color="auto"/>
            <w:left w:val="none" w:sz="0" w:space="0" w:color="auto"/>
            <w:bottom w:val="none" w:sz="0" w:space="0" w:color="auto"/>
            <w:right w:val="none" w:sz="0" w:space="0" w:color="auto"/>
          </w:divBdr>
        </w:div>
        <w:div w:id="889000305">
          <w:marLeft w:val="640"/>
          <w:marRight w:val="0"/>
          <w:marTop w:val="0"/>
          <w:marBottom w:val="0"/>
          <w:divBdr>
            <w:top w:val="none" w:sz="0" w:space="0" w:color="auto"/>
            <w:left w:val="none" w:sz="0" w:space="0" w:color="auto"/>
            <w:bottom w:val="none" w:sz="0" w:space="0" w:color="auto"/>
            <w:right w:val="none" w:sz="0" w:space="0" w:color="auto"/>
          </w:divBdr>
        </w:div>
      </w:divsChild>
    </w:div>
    <w:div w:id="688029249">
      <w:bodyDiv w:val="1"/>
      <w:marLeft w:val="0"/>
      <w:marRight w:val="0"/>
      <w:marTop w:val="0"/>
      <w:marBottom w:val="0"/>
      <w:divBdr>
        <w:top w:val="none" w:sz="0" w:space="0" w:color="auto"/>
        <w:left w:val="none" w:sz="0" w:space="0" w:color="auto"/>
        <w:bottom w:val="none" w:sz="0" w:space="0" w:color="auto"/>
        <w:right w:val="none" w:sz="0" w:space="0" w:color="auto"/>
      </w:divBdr>
      <w:divsChild>
        <w:div w:id="6490300">
          <w:marLeft w:val="640"/>
          <w:marRight w:val="0"/>
          <w:marTop w:val="0"/>
          <w:marBottom w:val="0"/>
          <w:divBdr>
            <w:top w:val="none" w:sz="0" w:space="0" w:color="auto"/>
            <w:left w:val="none" w:sz="0" w:space="0" w:color="auto"/>
            <w:bottom w:val="none" w:sz="0" w:space="0" w:color="auto"/>
            <w:right w:val="none" w:sz="0" w:space="0" w:color="auto"/>
          </w:divBdr>
        </w:div>
        <w:div w:id="22949141">
          <w:marLeft w:val="640"/>
          <w:marRight w:val="0"/>
          <w:marTop w:val="0"/>
          <w:marBottom w:val="0"/>
          <w:divBdr>
            <w:top w:val="none" w:sz="0" w:space="0" w:color="auto"/>
            <w:left w:val="none" w:sz="0" w:space="0" w:color="auto"/>
            <w:bottom w:val="none" w:sz="0" w:space="0" w:color="auto"/>
            <w:right w:val="none" w:sz="0" w:space="0" w:color="auto"/>
          </w:divBdr>
        </w:div>
        <w:div w:id="67849521">
          <w:marLeft w:val="640"/>
          <w:marRight w:val="0"/>
          <w:marTop w:val="0"/>
          <w:marBottom w:val="0"/>
          <w:divBdr>
            <w:top w:val="none" w:sz="0" w:space="0" w:color="auto"/>
            <w:left w:val="none" w:sz="0" w:space="0" w:color="auto"/>
            <w:bottom w:val="none" w:sz="0" w:space="0" w:color="auto"/>
            <w:right w:val="none" w:sz="0" w:space="0" w:color="auto"/>
          </w:divBdr>
        </w:div>
        <w:div w:id="159199344">
          <w:marLeft w:val="640"/>
          <w:marRight w:val="0"/>
          <w:marTop w:val="0"/>
          <w:marBottom w:val="0"/>
          <w:divBdr>
            <w:top w:val="none" w:sz="0" w:space="0" w:color="auto"/>
            <w:left w:val="none" w:sz="0" w:space="0" w:color="auto"/>
            <w:bottom w:val="none" w:sz="0" w:space="0" w:color="auto"/>
            <w:right w:val="none" w:sz="0" w:space="0" w:color="auto"/>
          </w:divBdr>
        </w:div>
        <w:div w:id="201407113">
          <w:marLeft w:val="640"/>
          <w:marRight w:val="0"/>
          <w:marTop w:val="0"/>
          <w:marBottom w:val="0"/>
          <w:divBdr>
            <w:top w:val="none" w:sz="0" w:space="0" w:color="auto"/>
            <w:left w:val="none" w:sz="0" w:space="0" w:color="auto"/>
            <w:bottom w:val="none" w:sz="0" w:space="0" w:color="auto"/>
            <w:right w:val="none" w:sz="0" w:space="0" w:color="auto"/>
          </w:divBdr>
        </w:div>
        <w:div w:id="222370493">
          <w:marLeft w:val="640"/>
          <w:marRight w:val="0"/>
          <w:marTop w:val="0"/>
          <w:marBottom w:val="0"/>
          <w:divBdr>
            <w:top w:val="none" w:sz="0" w:space="0" w:color="auto"/>
            <w:left w:val="none" w:sz="0" w:space="0" w:color="auto"/>
            <w:bottom w:val="none" w:sz="0" w:space="0" w:color="auto"/>
            <w:right w:val="none" w:sz="0" w:space="0" w:color="auto"/>
          </w:divBdr>
        </w:div>
        <w:div w:id="298152232">
          <w:marLeft w:val="640"/>
          <w:marRight w:val="0"/>
          <w:marTop w:val="0"/>
          <w:marBottom w:val="0"/>
          <w:divBdr>
            <w:top w:val="none" w:sz="0" w:space="0" w:color="auto"/>
            <w:left w:val="none" w:sz="0" w:space="0" w:color="auto"/>
            <w:bottom w:val="none" w:sz="0" w:space="0" w:color="auto"/>
            <w:right w:val="none" w:sz="0" w:space="0" w:color="auto"/>
          </w:divBdr>
        </w:div>
        <w:div w:id="323898183">
          <w:marLeft w:val="640"/>
          <w:marRight w:val="0"/>
          <w:marTop w:val="0"/>
          <w:marBottom w:val="0"/>
          <w:divBdr>
            <w:top w:val="none" w:sz="0" w:space="0" w:color="auto"/>
            <w:left w:val="none" w:sz="0" w:space="0" w:color="auto"/>
            <w:bottom w:val="none" w:sz="0" w:space="0" w:color="auto"/>
            <w:right w:val="none" w:sz="0" w:space="0" w:color="auto"/>
          </w:divBdr>
        </w:div>
        <w:div w:id="345182844">
          <w:marLeft w:val="640"/>
          <w:marRight w:val="0"/>
          <w:marTop w:val="0"/>
          <w:marBottom w:val="0"/>
          <w:divBdr>
            <w:top w:val="none" w:sz="0" w:space="0" w:color="auto"/>
            <w:left w:val="none" w:sz="0" w:space="0" w:color="auto"/>
            <w:bottom w:val="none" w:sz="0" w:space="0" w:color="auto"/>
            <w:right w:val="none" w:sz="0" w:space="0" w:color="auto"/>
          </w:divBdr>
        </w:div>
        <w:div w:id="533691865">
          <w:marLeft w:val="640"/>
          <w:marRight w:val="0"/>
          <w:marTop w:val="0"/>
          <w:marBottom w:val="0"/>
          <w:divBdr>
            <w:top w:val="none" w:sz="0" w:space="0" w:color="auto"/>
            <w:left w:val="none" w:sz="0" w:space="0" w:color="auto"/>
            <w:bottom w:val="none" w:sz="0" w:space="0" w:color="auto"/>
            <w:right w:val="none" w:sz="0" w:space="0" w:color="auto"/>
          </w:divBdr>
        </w:div>
        <w:div w:id="842548751">
          <w:marLeft w:val="640"/>
          <w:marRight w:val="0"/>
          <w:marTop w:val="0"/>
          <w:marBottom w:val="0"/>
          <w:divBdr>
            <w:top w:val="none" w:sz="0" w:space="0" w:color="auto"/>
            <w:left w:val="none" w:sz="0" w:space="0" w:color="auto"/>
            <w:bottom w:val="none" w:sz="0" w:space="0" w:color="auto"/>
            <w:right w:val="none" w:sz="0" w:space="0" w:color="auto"/>
          </w:divBdr>
        </w:div>
        <w:div w:id="916941276">
          <w:marLeft w:val="640"/>
          <w:marRight w:val="0"/>
          <w:marTop w:val="0"/>
          <w:marBottom w:val="0"/>
          <w:divBdr>
            <w:top w:val="none" w:sz="0" w:space="0" w:color="auto"/>
            <w:left w:val="none" w:sz="0" w:space="0" w:color="auto"/>
            <w:bottom w:val="none" w:sz="0" w:space="0" w:color="auto"/>
            <w:right w:val="none" w:sz="0" w:space="0" w:color="auto"/>
          </w:divBdr>
        </w:div>
        <w:div w:id="1148786082">
          <w:marLeft w:val="640"/>
          <w:marRight w:val="0"/>
          <w:marTop w:val="0"/>
          <w:marBottom w:val="0"/>
          <w:divBdr>
            <w:top w:val="none" w:sz="0" w:space="0" w:color="auto"/>
            <w:left w:val="none" w:sz="0" w:space="0" w:color="auto"/>
            <w:bottom w:val="none" w:sz="0" w:space="0" w:color="auto"/>
            <w:right w:val="none" w:sz="0" w:space="0" w:color="auto"/>
          </w:divBdr>
        </w:div>
        <w:div w:id="1169979693">
          <w:marLeft w:val="640"/>
          <w:marRight w:val="0"/>
          <w:marTop w:val="0"/>
          <w:marBottom w:val="0"/>
          <w:divBdr>
            <w:top w:val="none" w:sz="0" w:space="0" w:color="auto"/>
            <w:left w:val="none" w:sz="0" w:space="0" w:color="auto"/>
            <w:bottom w:val="none" w:sz="0" w:space="0" w:color="auto"/>
            <w:right w:val="none" w:sz="0" w:space="0" w:color="auto"/>
          </w:divBdr>
        </w:div>
        <w:div w:id="1170831262">
          <w:marLeft w:val="640"/>
          <w:marRight w:val="0"/>
          <w:marTop w:val="0"/>
          <w:marBottom w:val="0"/>
          <w:divBdr>
            <w:top w:val="none" w:sz="0" w:space="0" w:color="auto"/>
            <w:left w:val="none" w:sz="0" w:space="0" w:color="auto"/>
            <w:bottom w:val="none" w:sz="0" w:space="0" w:color="auto"/>
            <w:right w:val="none" w:sz="0" w:space="0" w:color="auto"/>
          </w:divBdr>
        </w:div>
        <w:div w:id="1209149803">
          <w:marLeft w:val="640"/>
          <w:marRight w:val="0"/>
          <w:marTop w:val="0"/>
          <w:marBottom w:val="0"/>
          <w:divBdr>
            <w:top w:val="none" w:sz="0" w:space="0" w:color="auto"/>
            <w:left w:val="none" w:sz="0" w:space="0" w:color="auto"/>
            <w:bottom w:val="none" w:sz="0" w:space="0" w:color="auto"/>
            <w:right w:val="none" w:sz="0" w:space="0" w:color="auto"/>
          </w:divBdr>
        </w:div>
        <w:div w:id="1553155907">
          <w:marLeft w:val="640"/>
          <w:marRight w:val="0"/>
          <w:marTop w:val="0"/>
          <w:marBottom w:val="0"/>
          <w:divBdr>
            <w:top w:val="none" w:sz="0" w:space="0" w:color="auto"/>
            <w:left w:val="none" w:sz="0" w:space="0" w:color="auto"/>
            <w:bottom w:val="none" w:sz="0" w:space="0" w:color="auto"/>
            <w:right w:val="none" w:sz="0" w:space="0" w:color="auto"/>
          </w:divBdr>
        </w:div>
        <w:div w:id="1610117438">
          <w:marLeft w:val="640"/>
          <w:marRight w:val="0"/>
          <w:marTop w:val="0"/>
          <w:marBottom w:val="0"/>
          <w:divBdr>
            <w:top w:val="none" w:sz="0" w:space="0" w:color="auto"/>
            <w:left w:val="none" w:sz="0" w:space="0" w:color="auto"/>
            <w:bottom w:val="none" w:sz="0" w:space="0" w:color="auto"/>
            <w:right w:val="none" w:sz="0" w:space="0" w:color="auto"/>
          </w:divBdr>
        </w:div>
        <w:div w:id="1725713971">
          <w:marLeft w:val="640"/>
          <w:marRight w:val="0"/>
          <w:marTop w:val="0"/>
          <w:marBottom w:val="0"/>
          <w:divBdr>
            <w:top w:val="none" w:sz="0" w:space="0" w:color="auto"/>
            <w:left w:val="none" w:sz="0" w:space="0" w:color="auto"/>
            <w:bottom w:val="none" w:sz="0" w:space="0" w:color="auto"/>
            <w:right w:val="none" w:sz="0" w:space="0" w:color="auto"/>
          </w:divBdr>
        </w:div>
        <w:div w:id="1764572528">
          <w:marLeft w:val="640"/>
          <w:marRight w:val="0"/>
          <w:marTop w:val="0"/>
          <w:marBottom w:val="0"/>
          <w:divBdr>
            <w:top w:val="none" w:sz="0" w:space="0" w:color="auto"/>
            <w:left w:val="none" w:sz="0" w:space="0" w:color="auto"/>
            <w:bottom w:val="none" w:sz="0" w:space="0" w:color="auto"/>
            <w:right w:val="none" w:sz="0" w:space="0" w:color="auto"/>
          </w:divBdr>
        </w:div>
        <w:div w:id="1866671627">
          <w:marLeft w:val="640"/>
          <w:marRight w:val="0"/>
          <w:marTop w:val="0"/>
          <w:marBottom w:val="0"/>
          <w:divBdr>
            <w:top w:val="none" w:sz="0" w:space="0" w:color="auto"/>
            <w:left w:val="none" w:sz="0" w:space="0" w:color="auto"/>
            <w:bottom w:val="none" w:sz="0" w:space="0" w:color="auto"/>
            <w:right w:val="none" w:sz="0" w:space="0" w:color="auto"/>
          </w:divBdr>
        </w:div>
        <w:div w:id="1912931941">
          <w:marLeft w:val="640"/>
          <w:marRight w:val="0"/>
          <w:marTop w:val="0"/>
          <w:marBottom w:val="0"/>
          <w:divBdr>
            <w:top w:val="none" w:sz="0" w:space="0" w:color="auto"/>
            <w:left w:val="none" w:sz="0" w:space="0" w:color="auto"/>
            <w:bottom w:val="none" w:sz="0" w:space="0" w:color="auto"/>
            <w:right w:val="none" w:sz="0" w:space="0" w:color="auto"/>
          </w:divBdr>
        </w:div>
        <w:div w:id="2026470300">
          <w:marLeft w:val="640"/>
          <w:marRight w:val="0"/>
          <w:marTop w:val="0"/>
          <w:marBottom w:val="0"/>
          <w:divBdr>
            <w:top w:val="none" w:sz="0" w:space="0" w:color="auto"/>
            <w:left w:val="none" w:sz="0" w:space="0" w:color="auto"/>
            <w:bottom w:val="none" w:sz="0" w:space="0" w:color="auto"/>
            <w:right w:val="none" w:sz="0" w:space="0" w:color="auto"/>
          </w:divBdr>
        </w:div>
      </w:divsChild>
    </w:div>
    <w:div w:id="703336030">
      <w:bodyDiv w:val="1"/>
      <w:marLeft w:val="0"/>
      <w:marRight w:val="0"/>
      <w:marTop w:val="0"/>
      <w:marBottom w:val="0"/>
      <w:divBdr>
        <w:top w:val="none" w:sz="0" w:space="0" w:color="auto"/>
        <w:left w:val="none" w:sz="0" w:space="0" w:color="auto"/>
        <w:bottom w:val="none" w:sz="0" w:space="0" w:color="auto"/>
        <w:right w:val="none" w:sz="0" w:space="0" w:color="auto"/>
      </w:divBdr>
    </w:div>
    <w:div w:id="714815566">
      <w:bodyDiv w:val="1"/>
      <w:marLeft w:val="0"/>
      <w:marRight w:val="0"/>
      <w:marTop w:val="0"/>
      <w:marBottom w:val="0"/>
      <w:divBdr>
        <w:top w:val="none" w:sz="0" w:space="0" w:color="auto"/>
        <w:left w:val="none" w:sz="0" w:space="0" w:color="auto"/>
        <w:bottom w:val="none" w:sz="0" w:space="0" w:color="auto"/>
        <w:right w:val="none" w:sz="0" w:space="0" w:color="auto"/>
      </w:divBdr>
      <w:divsChild>
        <w:div w:id="1616907423">
          <w:marLeft w:val="640"/>
          <w:marRight w:val="0"/>
          <w:marTop w:val="0"/>
          <w:marBottom w:val="0"/>
          <w:divBdr>
            <w:top w:val="none" w:sz="0" w:space="0" w:color="auto"/>
            <w:left w:val="none" w:sz="0" w:space="0" w:color="auto"/>
            <w:bottom w:val="none" w:sz="0" w:space="0" w:color="auto"/>
            <w:right w:val="none" w:sz="0" w:space="0" w:color="auto"/>
          </w:divBdr>
        </w:div>
        <w:div w:id="843738105">
          <w:marLeft w:val="640"/>
          <w:marRight w:val="0"/>
          <w:marTop w:val="0"/>
          <w:marBottom w:val="0"/>
          <w:divBdr>
            <w:top w:val="none" w:sz="0" w:space="0" w:color="auto"/>
            <w:left w:val="none" w:sz="0" w:space="0" w:color="auto"/>
            <w:bottom w:val="none" w:sz="0" w:space="0" w:color="auto"/>
            <w:right w:val="none" w:sz="0" w:space="0" w:color="auto"/>
          </w:divBdr>
        </w:div>
        <w:div w:id="1613442545">
          <w:marLeft w:val="640"/>
          <w:marRight w:val="0"/>
          <w:marTop w:val="0"/>
          <w:marBottom w:val="0"/>
          <w:divBdr>
            <w:top w:val="none" w:sz="0" w:space="0" w:color="auto"/>
            <w:left w:val="none" w:sz="0" w:space="0" w:color="auto"/>
            <w:bottom w:val="none" w:sz="0" w:space="0" w:color="auto"/>
            <w:right w:val="none" w:sz="0" w:space="0" w:color="auto"/>
          </w:divBdr>
        </w:div>
        <w:div w:id="75202446">
          <w:marLeft w:val="640"/>
          <w:marRight w:val="0"/>
          <w:marTop w:val="0"/>
          <w:marBottom w:val="0"/>
          <w:divBdr>
            <w:top w:val="none" w:sz="0" w:space="0" w:color="auto"/>
            <w:left w:val="none" w:sz="0" w:space="0" w:color="auto"/>
            <w:bottom w:val="none" w:sz="0" w:space="0" w:color="auto"/>
            <w:right w:val="none" w:sz="0" w:space="0" w:color="auto"/>
          </w:divBdr>
        </w:div>
        <w:div w:id="271019133">
          <w:marLeft w:val="640"/>
          <w:marRight w:val="0"/>
          <w:marTop w:val="0"/>
          <w:marBottom w:val="0"/>
          <w:divBdr>
            <w:top w:val="none" w:sz="0" w:space="0" w:color="auto"/>
            <w:left w:val="none" w:sz="0" w:space="0" w:color="auto"/>
            <w:bottom w:val="none" w:sz="0" w:space="0" w:color="auto"/>
            <w:right w:val="none" w:sz="0" w:space="0" w:color="auto"/>
          </w:divBdr>
        </w:div>
        <w:div w:id="471680871">
          <w:marLeft w:val="640"/>
          <w:marRight w:val="0"/>
          <w:marTop w:val="0"/>
          <w:marBottom w:val="0"/>
          <w:divBdr>
            <w:top w:val="none" w:sz="0" w:space="0" w:color="auto"/>
            <w:left w:val="none" w:sz="0" w:space="0" w:color="auto"/>
            <w:bottom w:val="none" w:sz="0" w:space="0" w:color="auto"/>
            <w:right w:val="none" w:sz="0" w:space="0" w:color="auto"/>
          </w:divBdr>
        </w:div>
        <w:div w:id="1763794550">
          <w:marLeft w:val="640"/>
          <w:marRight w:val="0"/>
          <w:marTop w:val="0"/>
          <w:marBottom w:val="0"/>
          <w:divBdr>
            <w:top w:val="none" w:sz="0" w:space="0" w:color="auto"/>
            <w:left w:val="none" w:sz="0" w:space="0" w:color="auto"/>
            <w:bottom w:val="none" w:sz="0" w:space="0" w:color="auto"/>
            <w:right w:val="none" w:sz="0" w:space="0" w:color="auto"/>
          </w:divBdr>
        </w:div>
        <w:div w:id="1752042577">
          <w:marLeft w:val="640"/>
          <w:marRight w:val="0"/>
          <w:marTop w:val="0"/>
          <w:marBottom w:val="0"/>
          <w:divBdr>
            <w:top w:val="none" w:sz="0" w:space="0" w:color="auto"/>
            <w:left w:val="none" w:sz="0" w:space="0" w:color="auto"/>
            <w:bottom w:val="none" w:sz="0" w:space="0" w:color="auto"/>
            <w:right w:val="none" w:sz="0" w:space="0" w:color="auto"/>
          </w:divBdr>
        </w:div>
        <w:div w:id="2065568508">
          <w:marLeft w:val="640"/>
          <w:marRight w:val="0"/>
          <w:marTop w:val="0"/>
          <w:marBottom w:val="0"/>
          <w:divBdr>
            <w:top w:val="none" w:sz="0" w:space="0" w:color="auto"/>
            <w:left w:val="none" w:sz="0" w:space="0" w:color="auto"/>
            <w:bottom w:val="none" w:sz="0" w:space="0" w:color="auto"/>
            <w:right w:val="none" w:sz="0" w:space="0" w:color="auto"/>
          </w:divBdr>
        </w:div>
        <w:div w:id="1238321674">
          <w:marLeft w:val="640"/>
          <w:marRight w:val="0"/>
          <w:marTop w:val="0"/>
          <w:marBottom w:val="0"/>
          <w:divBdr>
            <w:top w:val="none" w:sz="0" w:space="0" w:color="auto"/>
            <w:left w:val="none" w:sz="0" w:space="0" w:color="auto"/>
            <w:bottom w:val="none" w:sz="0" w:space="0" w:color="auto"/>
            <w:right w:val="none" w:sz="0" w:space="0" w:color="auto"/>
          </w:divBdr>
        </w:div>
        <w:div w:id="267927469">
          <w:marLeft w:val="640"/>
          <w:marRight w:val="0"/>
          <w:marTop w:val="0"/>
          <w:marBottom w:val="0"/>
          <w:divBdr>
            <w:top w:val="none" w:sz="0" w:space="0" w:color="auto"/>
            <w:left w:val="none" w:sz="0" w:space="0" w:color="auto"/>
            <w:bottom w:val="none" w:sz="0" w:space="0" w:color="auto"/>
            <w:right w:val="none" w:sz="0" w:space="0" w:color="auto"/>
          </w:divBdr>
        </w:div>
        <w:div w:id="1816025476">
          <w:marLeft w:val="640"/>
          <w:marRight w:val="0"/>
          <w:marTop w:val="0"/>
          <w:marBottom w:val="0"/>
          <w:divBdr>
            <w:top w:val="none" w:sz="0" w:space="0" w:color="auto"/>
            <w:left w:val="none" w:sz="0" w:space="0" w:color="auto"/>
            <w:bottom w:val="none" w:sz="0" w:space="0" w:color="auto"/>
            <w:right w:val="none" w:sz="0" w:space="0" w:color="auto"/>
          </w:divBdr>
        </w:div>
        <w:div w:id="1006248120">
          <w:marLeft w:val="640"/>
          <w:marRight w:val="0"/>
          <w:marTop w:val="0"/>
          <w:marBottom w:val="0"/>
          <w:divBdr>
            <w:top w:val="none" w:sz="0" w:space="0" w:color="auto"/>
            <w:left w:val="none" w:sz="0" w:space="0" w:color="auto"/>
            <w:bottom w:val="none" w:sz="0" w:space="0" w:color="auto"/>
            <w:right w:val="none" w:sz="0" w:space="0" w:color="auto"/>
          </w:divBdr>
        </w:div>
        <w:div w:id="883906701">
          <w:marLeft w:val="640"/>
          <w:marRight w:val="0"/>
          <w:marTop w:val="0"/>
          <w:marBottom w:val="0"/>
          <w:divBdr>
            <w:top w:val="none" w:sz="0" w:space="0" w:color="auto"/>
            <w:left w:val="none" w:sz="0" w:space="0" w:color="auto"/>
            <w:bottom w:val="none" w:sz="0" w:space="0" w:color="auto"/>
            <w:right w:val="none" w:sz="0" w:space="0" w:color="auto"/>
          </w:divBdr>
        </w:div>
        <w:div w:id="877161675">
          <w:marLeft w:val="640"/>
          <w:marRight w:val="0"/>
          <w:marTop w:val="0"/>
          <w:marBottom w:val="0"/>
          <w:divBdr>
            <w:top w:val="none" w:sz="0" w:space="0" w:color="auto"/>
            <w:left w:val="none" w:sz="0" w:space="0" w:color="auto"/>
            <w:bottom w:val="none" w:sz="0" w:space="0" w:color="auto"/>
            <w:right w:val="none" w:sz="0" w:space="0" w:color="auto"/>
          </w:divBdr>
        </w:div>
        <w:div w:id="1480883084">
          <w:marLeft w:val="640"/>
          <w:marRight w:val="0"/>
          <w:marTop w:val="0"/>
          <w:marBottom w:val="0"/>
          <w:divBdr>
            <w:top w:val="none" w:sz="0" w:space="0" w:color="auto"/>
            <w:left w:val="none" w:sz="0" w:space="0" w:color="auto"/>
            <w:bottom w:val="none" w:sz="0" w:space="0" w:color="auto"/>
            <w:right w:val="none" w:sz="0" w:space="0" w:color="auto"/>
          </w:divBdr>
        </w:div>
        <w:div w:id="1659767429">
          <w:marLeft w:val="640"/>
          <w:marRight w:val="0"/>
          <w:marTop w:val="0"/>
          <w:marBottom w:val="0"/>
          <w:divBdr>
            <w:top w:val="none" w:sz="0" w:space="0" w:color="auto"/>
            <w:left w:val="none" w:sz="0" w:space="0" w:color="auto"/>
            <w:bottom w:val="none" w:sz="0" w:space="0" w:color="auto"/>
            <w:right w:val="none" w:sz="0" w:space="0" w:color="auto"/>
          </w:divBdr>
        </w:div>
        <w:div w:id="263538354">
          <w:marLeft w:val="640"/>
          <w:marRight w:val="0"/>
          <w:marTop w:val="0"/>
          <w:marBottom w:val="0"/>
          <w:divBdr>
            <w:top w:val="none" w:sz="0" w:space="0" w:color="auto"/>
            <w:left w:val="none" w:sz="0" w:space="0" w:color="auto"/>
            <w:bottom w:val="none" w:sz="0" w:space="0" w:color="auto"/>
            <w:right w:val="none" w:sz="0" w:space="0" w:color="auto"/>
          </w:divBdr>
        </w:div>
        <w:div w:id="830944927">
          <w:marLeft w:val="640"/>
          <w:marRight w:val="0"/>
          <w:marTop w:val="0"/>
          <w:marBottom w:val="0"/>
          <w:divBdr>
            <w:top w:val="none" w:sz="0" w:space="0" w:color="auto"/>
            <w:left w:val="none" w:sz="0" w:space="0" w:color="auto"/>
            <w:bottom w:val="none" w:sz="0" w:space="0" w:color="auto"/>
            <w:right w:val="none" w:sz="0" w:space="0" w:color="auto"/>
          </w:divBdr>
        </w:div>
        <w:div w:id="457138971">
          <w:marLeft w:val="640"/>
          <w:marRight w:val="0"/>
          <w:marTop w:val="0"/>
          <w:marBottom w:val="0"/>
          <w:divBdr>
            <w:top w:val="none" w:sz="0" w:space="0" w:color="auto"/>
            <w:left w:val="none" w:sz="0" w:space="0" w:color="auto"/>
            <w:bottom w:val="none" w:sz="0" w:space="0" w:color="auto"/>
            <w:right w:val="none" w:sz="0" w:space="0" w:color="auto"/>
          </w:divBdr>
        </w:div>
        <w:div w:id="383607386">
          <w:marLeft w:val="640"/>
          <w:marRight w:val="0"/>
          <w:marTop w:val="0"/>
          <w:marBottom w:val="0"/>
          <w:divBdr>
            <w:top w:val="none" w:sz="0" w:space="0" w:color="auto"/>
            <w:left w:val="none" w:sz="0" w:space="0" w:color="auto"/>
            <w:bottom w:val="none" w:sz="0" w:space="0" w:color="auto"/>
            <w:right w:val="none" w:sz="0" w:space="0" w:color="auto"/>
          </w:divBdr>
        </w:div>
        <w:div w:id="712391942">
          <w:marLeft w:val="640"/>
          <w:marRight w:val="0"/>
          <w:marTop w:val="0"/>
          <w:marBottom w:val="0"/>
          <w:divBdr>
            <w:top w:val="none" w:sz="0" w:space="0" w:color="auto"/>
            <w:left w:val="none" w:sz="0" w:space="0" w:color="auto"/>
            <w:bottom w:val="none" w:sz="0" w:space="0" w:color="auto"/>
            <w:right w:val="none" w:sz="0" w:space="0" w:color="auto"/>
          </w:divBdr>
        </w:div>
      </w:divsChild>
    </w:div>
    <w:div w:id="805700322">
      <w:bodyDiv w:val="1"/>
      <w:marLeft w:val="0"/>
      <w:marRight w:val="0"/>
      <w:marTop w:val="0"/>
      <w:marBottom w:val="0"/>
      <w:divBdr>
        <w:top w:val="none" w:sz="0" w:space="0" w:color="auto"/>
        <w:left w:val="none" w:sz="0" w:space="0" w:color="auto"/>
        <w:bottom w:val="none" w:sz="0" w:space="0" w:color="auto"/>
        <w:right w:val="none" w:sz="0" w:space="0" w:color="auto"/>
      </w:divBdr>
      <w:divsChild>
        <w:div w:id="1545404607">
          <w:marLeft w:val="640"/>
          <w:marRight w:val="0"/>
          <w:marTop w:val="0"/>
          <w:marBottom w:val="0"/>
          <w:divBdr>
            <w:top w:val="none" w:sz="0" w:space="0" w:color="auto"/>
            <w:left w:val="none" w:sz="0" w:space="0" w:color="auto"/>
            <w:bottom w:val="none" w:sz="0" w:space="0" w:color="auto"/>
            <w:right w:val="none" w:sz="0" w:space="0" w:color="auto"/>
          </w:divBdr>
        </w:div>
        <w:div w:id="752700745">
          <w:marLeft w:val="640"/>
          <w:marRight w:val="0"/>
          <w:marTop w:val="0"/>
          <w:marBottom w:val="0"/>
          <w:divBdr>
            <w:top w:val="none" w:sz="0" w:space="0" w:color="auto"/>
            <w:left w:val="none" w:sz="0" w:space="0" w:color="auto"/>
            <w:bottom w:val="none" w:sz="0" w:space="0" w:color="auto"/>
            <w:right w:val="none" w:sz="0" w:space="0" w:color="auto"/>
          </w:divBdr>
        </w:div>
        <w:div w:id="2139839652">
          <w:marLeft w:val="640"/>
          <w:marRight w:val="0"/>
          <w:marTop w:val="0"/>
          <w:marBottom w:val="0"/>
          <w:divBdr>
            <w:top w:val="none" w:sz="0" w:space="0" w:color="auto"/>
            <w:left w:val="none" w:sz="0" w:space="0" w:color="auto"/>
            <w:bottom w:val="none" w:sz="0" w:space="0" w:color="auto"/>
            <w:right w:val="none" w:sz="0" w:space="0" w:color="auto"/>
          </w:divBdr>
        </w:div>
        <w:div w:id="574127742">
          <w:marLeft w:val="640"/>
          <w:marRight w:val="0"/>
          <w:marTop w:val="0"/>
          <w:marBottom w:val="0"/>
          <w:divBdr>
            <w:top w:val="none" w:sz="0" w:space="0" w:color="auto"/>
            <w:left w:val="none" w:sz="0" w:space="0" w:color="auto"/>
            <w:bottom w:val="none" w:sz="0" w:space="0" w:color="auto"/>
            <w:right w:val="none" w:sz="0" w:space="0" w:color="auto"/>
          </w:divBdr>
        </w:div>
        <w:div w:id="1658342864">
          <w:marLeft w:val="640"/>
          <w:marRight w:val="0"/>
          <w:marTop w:val="0"/>
          <w:marBottom w:val="0"/>
          <w:divBdr>
            <w:top w:val="none" w:sz="0" w:space="0" w:color="auto"/>
            <w:left w:val="none" w:sz="0" w:space="0" w:color="auto"/>
            <w:bottom w:val="none" w:sz="0" w:space="0" w:color="auto"/>
            <w:right w:val="none" w:sz="0" w:space="0" w:color="auto"/>
          </w:divBdr>
        </w:div>
        <w:div w:id="1232541563">
          <w:marLeft w:val="640"/>
          <w:marRight w:val="0"/>
          <w:marTop w:val="0"/>
          <w:marBottom w:val="0"/>
          <w:divBdr>
            <w:top w:val="none" w:sz="0" w:space="0" w:color="auto"/>
            <w:left w:val="none" w:sz="0" w:space="0" w:color="auto"/>
            <w:bottom w:val="none" w:sz="0" w:space="0" w:color="auto"/>
            <w:right w:val="none" w:sz="0" w:space="0" w:color="auto"/>
          </w:divBdr>
        </w:div>
        <w:div w:id="1361199909">
          <w:marLeft w:val="640"/>
          <w:marRight w:val="0"/>
          <w:marTop w:val="0"/>
          <w:marBottom w:val="0"/>
          <w:divBdr>
            <w:top w:val="none" w:sz="0" w:space="0" w:color="auto"/>
            <w:left w:val="none" w:sz="0" w:space="0" w:color="auto"/>
            <w:bottom w:val="none" w:sz="0" w:space="0" w:color="auto"/>
            <w:right w:val="none" w:sz="0" w:space="0" w:color="auto"/>
          </w:divBdr>
        </w:div>
        <w:div w:id="99032183">
          <w:marLeft w:val="640"/>
          <w:marRight w:val="0"/>
          <w:marTop w:val="0"/>
          <w:marBottom w:val="0"/>
          <w:divBdr>
            <w:top w:val="none" w:sz="0" w:space="0" w:color="auto"/>
            <w:left w:val="none" w:sz="0" w:space="0" w:color="auto"/>
            <w:bottom w:val="none" w:sz="0" w:space="0" w:color="auto"/>
            <w:right w:val="none" w:sz="0" w:space="0" w:color="auto"/>
          </w:divBdr>
        </w:div>
        <w:div w:id="209194725">
          <w:marLeft w:val="640"/>
          <w:marRight w:val="0"/>
          <w:marTop w:val="0"/>
          <w:marBottom w:val="0"/>
          <w:divBdr>
            <w:top w:val="none" w:sz="0" w:space="0" w:color="auto"/>
            <w:left w:val="none" w:sz="0" w:space="0" w:color="auto"/>
            <w:bottom w:val="none" w:sz="0" w:space="0" w:color="auto"/>
            <w:right w:val="none" w:sz="0" w:space="0" w:color="auto"/>
          </w:divBdr>
        </w:div>
        <w:div w:id="2053725111">
          <w:marLeft w:val="640"/>
          <w:marRight w:val="0"/>
          <w:marTop w:val="0"/>
          <w:marBottom w:val="0"/>
          <w:divBdr>
            <w:top w:val="none" w:sz="0" w:space="0" w:color="auto"/>
            <w:left w:val="none" w:sz="0" w:space="0" w:color="auto"/>
            <w:bottom w:val="none" w:sz="0" w:space="0" w:color="auto"/>
            <w:right w:val="none" w:sz="0" w:space="0" w:color="auto"/>
          </w:divBdr>
        </w:div>
        <w:div w:id="593906316">
          <w:marLeft w:val="640"/>
          <w:marRight w:val="0"/>
          <w:marTop w:val="0"/>
          <w:marBottom w:val="0"/>
          <w:divBdr>
            <w:top w:val="none" w:sz="0" w:space="0" w:color="auto"/>
            <w:left w:val="none" w:sz="0" w:space="0" w:color="auto"/>
            <w:bottom w:val="none" w:sz="0" w:space="0" w:color="auto"/>
            <w:right w:val="none" w:sz="0" w:space="0" w:color="auto"/>
          </w:divBdr>
        </w:div>
        <w:div w:id="2043751514">
          <w:marLeft w:val="640"/>
          <w:marRight w:val="0"/>
          <w:marTop w:val="0"/>
          <w:marBottom w:val="0"/>
          <w:divBdr>
            <w:top w:val="none" w:sz="0" w:space="0" w:color="auto"/>
            <w:left w:val="none" w:sz="0" w:space="0" w:color="auto"/>
            <w:bottom w:val="none" w:sz="0" w:space="0" w:color="auto"/>
            <w:right w:val="none" w:sz="0" w:space="0" w:color="auto"/>
          </w:divBdr>
        </w:div>
        <w:div w:id="158157025">
          <w:marLeft w:val="640"/>
          <w:marRight w:val="0"/>
          <w:marTop w:val="0"/>
          <w:marBottom w:val="0"/>
          <w:divBdr>
            <w:top w:val="none" w:sz="0" w:space="0" w:color="auto"/>
            <w:left w:val="none" w:sz="0" w:space="0" w:color="auto"/>
            <w:bottom w:val="none" w:sz="0" w:space="0" w:color="auto"/>
            <w:right w:val="none" w:sz="0" w:space="0" w:color="auto"/>
          </w:divBdr>
        </w:div>
        <w:div w:id="123230664">
          <w:marLeft w:val="640"/>
          <w:marRight w:val="0"/>
          <w:marTop w:val="0"/>
          <w:marBottom w:val="0"/>
          <w:divBdr>
            <w:top w:val="none" w:sz="0" w:space="0" w:color="auto"/>
            <w:left w:val="none" w:sz="0" w:space="0" w:color="auto"/>
            <w:bottom w:val="none" w:sz="0" w:space="0" w:color="auto"/>
            <w:right w:val="none" w:sz="0" w:space="0" w:color="auto"/>
          </w:divBdr>
        </w:div>
        <w:div w:id="1978416458">
          <w:marLeft w:val="640"/>
          <w:marRight w:val="0"/>
          <w:marTop w:val="0"/>
          <w:marBottom w:val="0"/>
          <w:divBdr>
            <w:top w:val="none" w:sz="0" w:space="0" w:color="auto"/>
            <w:left w:val="none" w:sz="0" w:space="0" w:color="auto"/>
            <w:bottom w:val="none" w:sz="0" w:space="0" w:color="auto"/>
            <w:right w:val="none" w:sz="0" w:space="0" w:color="auto"/>
          </w:divBdr>
        </w:div>
        <w:div w:id="1225486577">
          <w:marLeft w:val="640"/>
          <w:marRight w:val="0"/>
          <w:marTop w:val="0"/>
          <w:marBottom w:val="0"/>
          <w:divBdr>
            <w:top w:val="none" w:sz="0" w:space="0" w:color="auto"/>
            <w:left w:val="none" w:sz="0" w:space="0" w:color="auto"/>
            <w:bottom w:val="none" w:sz="0" w:space="0" w:color="auto"/>
            <w:right w:val="none" w:sz="0" w:space="0" w:color="auto"/>
          </w:divBdr>
        </w:div>
        <w:div w:id="1910338325">
          <w:marLeft w:val="640"/>
          <w:marRight w:val="0"/>
          <w:marTop w:val="0"/>
          <w:marBottom w:val="0"/>
          <w:divBdr>
            <w:top w:val="none" w:sz="0" w:space="0" w:color="auto"/>
            <w:left w:val="none" w:sz="0" w:space="0" w:color="auto"/>
            <w:bottom w:val="none" w:sz="0" w:space="0" w:color="auto"/>
            <w:right w:val="none" w:sz="0" w:space="0" w:color="auto"/>
          </w:divBdr>
        </w:div>
        <w:div w:id="460274260">
          <w:marLeft w:val="640"/>
          <w:marRight w:val="0"/>
          <w:marTop w:val="0"/>
          <w:marBottom w:val="0"/>
          <w:divBdr>
            <w:top w:val="none" w:sz="0" w:space="0" w:color="auto"/>
            <w:left w:val="none" w:sz="0" w:space="0" w:color="auto"/>
            <w:bottom w:val="none" w:sz="0" w:space="0" w:color="auto"/>
            <w:right w:val="none" w:sz="0" w:space="0" w:color="auto"/>
          </w:divBdr>
        </w:div>
        <w:div w:id="1415007997">
          <w:marLeft w:val="640"/>
          <w:marRight w:val="0"/>
          <w:marTop w:val="0"/>
          <w:marBottom w:val="0"/>
          <w:divBdr>
            <w:top w:val="none" w:sz="0" w:space="0" w:color="auto"/>
            <w:left w:val="none" w:sz="0" w:space="0" w:color="auto"/>
            <w:bottom w:val="none" w:sz="0" w:space="0" w:color="auto"/>
            <w:right w:val="none" w:sz="0" w:space="0" w:color="auto"/>
          </w:divBdr>
        </w:div>
        <w:div w:id="1422679838">
          <w:marLeft w:val="640"/>
          <w:marRight w:val="0"/>
          <w:marTop w:val="0"/>
          <w:marBottom w:val="0"/>
          <w:divBdr>
            <w:top w:val="none" w:sz="0" w:space="0" w:color="auto"/>
            <w:left w:val="none" w:sz="0" w:space="0" w:color="auto"/>
            <w:bottom w:val="none" w:sz="0" w:space="0" w:color="auto"/>
            <w:right w:val="none" w:sz="0" w:space="0" w:color="auto"/>
          </w:divBdr>
        </w:div>
        <w:div w:id="672804828">
          <w:marLeft w:val="640"/>
          <w:marRight w:val="0"/>
          <w:marTop w:val="0"/>
          <w:marBottom w:val="0"/>
          <w:divBdr>
            <w:top w:val="none" w:sz="0" w:space="0" w:color="auto"/>
            <w:left w:val="none" w:sz="0" w:space="0" w:color="auto"/>
            <w:bottom w:val="none" w:sz="0" w:space="0" w:color="auto"/>
            <w:right w:val="none" w:sz="0" w:space="0" w:color="auto"/>
          </w:divBdr>
        </w:div>
        <w:div w:id="637224524">
          <w:marLeft w:val="640"/>
          <w:marRight w:val="0"/>
          <w:marTop w:val="0"/>
          <w:marBottom w:val="0"/>
          <w:divBdr>
            <w:top w:val="none" w:sz="0" w:space="0" w:color="auto"/>
            <w:left w:val="none" w:sz="0" w:space="0" w:color="auto"/>
            <w:bottom w:val="none" w:sz="0" w:space="0" w:color="auto"/>
            <w:right w:val="none" w:sz="0" w:space="0" w:color="auto"/>
          </w:divBdr>
        </w:div>
        <w:div w:id="2130776026">
          <w:marLeft w:val="640"/>
          <w:marRight w:val="0"/>
          <w:marTop w:val="0"/>
          <w:marBottom w:val="0"/>
          <w:divBdr>
            <w:top w:val="none" w:sz="0" w:space="0" w:color="auto"/>
            <w:left w:val="none" w:sz="0" w:space="0" w:color="auto"/>
            <w:bottom w:val="none" w:sz="0" w:space="0" w:color="auto"/>
            <w:right w:val="none" w:sz="0" w:space="0" w:color="auto"/>
          </w:divBdr>
        </w:div>
      </w:divsChild>
    </w:div>
    <w:div w:id="913516564">
      <w:bodyDiv w:val="1"/>
      <w:marLeft w:val="0"/>
      <w:marRight w:val="0"/>
      <w:marTop w:val="0"/>
      <w:marBottom w:val="0"/>
      <w:divBdr>
        <w:top w:val="none" w:sz="0" w:space="0" w:color="auto"/>
        <w:left w:val="none" w:sz="0" w:space="0" w:color="auto"/>
        <w:bottom w:val="none" w:sz="0" w:space="0" w:color="auto"/>
        <w:right w:val="none" w:sz="0" w:space="0" w:color="auto"/>
      </w:divBdr>
    </w:div>
    <w:div w:id="1011420468">
      <w:bodyDiv w:val="1"/>
      <w:marLeft w:val="0"/>
      <w:marRight w:val="0"/>
      <w:marTop w:val="0"/>
      <w:marBottom w:val="0"/>
      <w:divBdr>
        <w:top w:val="none" w:sz="0" w:space="0" w:color="auto"/>
        <w:left w:val="none" w:sz="0" w:space="0" w:color="auto"/>
        <w:bottom w:val="none" w:sz="0" w:space="0" w:color="auto"/>
        <w:right w:val="none" w:sz="0" w:space="0" w:color="auto"/>
      </w:divBdr>
    </w:div>
    <w:div w:id="1047145336">
      <w:bodyDiv w:val="1"/>
      <w:marLeft w:val="0"/>
      <w:marRight w:val="0"/>
      <w:marTop w:val="0"/>
      <w:marBottom w:val="0"/>
      <w:divBdr>
        <w:top w:val="none" w:sz="0" w:space="0" w:color="auto"/>
        <w:left w:val="none" w:sz="0" w:space="0" w:color="auto"/>
        <w:bottom w:val="none" w:sz="0" w:space="0" w:color="auto"/>
        <w:right w:val="none" w:sz="0" w:space="0" w:color="auto"/>
      </w:divBdr>
      <w:divsChild>
        <w:div w:id="74791286">
          <w:marLeft w:val="640"/>
          <w:marRight w:val="0"/>
          <w:marTop w:val="0"/>
          <w:marBottom w:val="0"/>
          <w:divBdr>
            <w:top w:val="none" w:sz="0" w:space="0" w:color="auto"/>
            <w:left w:val="none" w:sz="0" w:space="0" w:color="auto"/>
            <w:bottom w:val="none" w:sz="0" w:space="0" w:color="auto"/>
            <w:right w:val="none" w:sz="0" w:space="0" w:color="auto"/>
          </w:divBdr>
        </w:div>
        <w:div w:id="76102870">
          <w:marLeft w:val="640"/>
          <w:marRight w:val="0"/>
          <w:marTop w:val="0"/>
          <w:marBottom w:val="0"/>
          <w:divBdr>
            <w:top w:val="none" w:sz="0" w:space="0" w:color="auto"/>
            <w:left w:val="none" w:sz="0" w:space="0" w:color="auto"/>
            <w:bottom w:val="none" w:sz="0" w:space="0" w:color="auto"/>
            <w:right w:val="none" w:sz="0" w:space="0" w:color="auto"/>
          </w:divBdr>
        </w:div>
        <w:div w:id="145048178">
          <w:marLeft w:val="640"/>
          <w:marRight w:val="0"/>
          <w:marTop w:val="0"/>
          <w:marBottom w:val="0"/>
          <w:divBdr>
            <w:top w:val="none" w:sz="0" w:space="0" w:color="auto"/>
            <w:left w:val="none" w:sz="0" w:space="0" w:color="auto"/>
            <w:bottom w:val="none" w:sz="0" w:space="0" w:color="auto"/>
            <w:right w:val="none" w:sz="0" w:space="0" w:color="auto"/>
          </w:divBdr>
        </w:div>
        <w:div w:id="148786485">
          <w:marLeft w:val="640"/>
          <w:marRight w:val="0"/>
          <w:marTop w:val="0"/>
          <w:marBottom w:val="0"/>
          <w:divBdr>
            <w:top w:val="none" w:sz="0" w:space="0" w:color="auto"/>
            <w:left w:val="none" w:sz="0" w:space="0" w:color="auto"/>
            <w:bottom w:val="none" w:sz="0" w:space="0" w:color="auto"/>
            <w:right w:val="none" w:sz="0" w:space="0" w:color="auto"/>
          </w:divBdr>
        </w:div>
        <w:div w:id="215555931">
          <w:marLeft w:val="640"/>
          <w:marRight w:val="0"/>
          <w:marTop w:val="0"/>
          <w:marBottom w:val="0"/>
          <w:divBdr>
            <w:top w:val="none" w:sz="0" w:space="0" w:color="auto"/>
            <w:left w:val="none" w:sz="0" w:space="0" w:color="auto"/>
            <w:bottom w:val="none" w:sz="0" w:space="0" w:color="auto"/>
            <w:right w:val="none" w:sz="0" w:space="0" w:color="auto"/>
          </w:divBdr>
        </w:div>
        <w:div w:id="220021931">
          <w:marLeft w:val="640"/>
          <w:marRight w:val="0"/>
          <w:marTop w:val="0"/>
          <w:marBottom w:val="0"/>
          <w:divBdr>
            <w:top w:val="none" w:sz="0" w:space="0" w:color="auto"/>
            <w:left w:val="none" w:sz="0" w:space="0" w:color="auto"/>
            <w:bottom w:val="none" w:sz="0" w:space="0" w:color="auto"/>
            <w:right w:val="none" w:sz="0" w:space="0" w:color="auto"/>
          </w:divBdr>
        </w:div>
        <w:div w:id="1024285565">
          <w:marLeft w:val="640"/>
          <w:marRight w:val="0"/>
          <w:marTop w:val="0"/>
          <w:marBottom w:val="0"/>
          <w:divBdr>
            <w:top w:val="none" w:sz="0" w:space="0" w:color="auto"/>
            <w:left w:val="none" w:sz="0" w:space="0" w:color="auto"/>
            <w:bottom w:val="none" w:sz="0" w:space="0" w:color="auto"/>
            <w:right w:val="none" w:sz="0" w:space="0" w:color="auto"/>
          </w:divBdr>
        </w:div>
        <w:div w:id="1225293145">
          <w:marLeft w:val="640"/>
          <w:marRight w:val="0"/>
          <w:marTop w:val="0"/>
          <w:marBottom w:val="0"/>
          <w:divBdr>
            <w:top w:val="none" w:sz="0" w:space="0" w:color="auto"/>
            <w:left w:val="none" w:sz="0" w:space="0" w:color="auto"/>
            <w:bottom w:val="none" w:sz="0" w:space="0" w:color="auto"/>
            <w:right w:val="none" w:sz="0" w:space="0" w:color="auto"/>
          </w:divBdr>
        </w:div>
        <w:div w:id="1310285530">
          <w:marLeft w:val="640"/>
          <w:marRight w:val="0"/>
          <w:marTop w:val="0"/>
          <w:marBottom w:val="0"/>
          <w:divBdr>
            <w:top w:val="none" w:sz="0" w:space="0" w:color="auto"/>
            <w:left w:val="none" w:sz="0" w:space="0" w:color="auto"/>
            <w:bottom w:val="none" w:sz="0" w:space="0" w:color="auto"/>
            <w:right w:val="none" w:sz="0" w:space="0" w:color="auto"/>
          </w:divBdr>
        </w:div>
        <w:div w:id="1533571607">
          <w:marLeft w:val="640"/>
          <w:marRight w:val="0"/>
          <w:marTop w:val="0"/>
          <w:marBottom w:val="0"/>
          <w:divBdr>
            <w:top w:val="none" w:sz="0" w:space="0" w:color="auto"/>
            <w:left w:val="none" w:sz="0" w:space="0" w:color="auto"/>
            <w:bottom w:val="none" w:sz="0" w:space="0" w:color="auto"/>
            <w:right w:val="none" w:sz="0" w:space="0" w:color="auto"/>
          </w:divBdr>
        </w:div>
        <w:div w:id="1628583222">
          <w:marLeft w:val="640"/>
          <w:marRight w:val="0"/>
          <w:marTop w:val="0"/>
          <w:marBottom w:val="0"/>
          <w:divBdr>
            <w:top w:val="none" w:sz="0" w:space="0" w:color="auto"/>
            <w:left w:val="none" w:sz="0" w:space="0" w:color="auto"/>
            <w:bottom w:val="none" w:sz="0" w:space="0" w:color="auto"/>
            <w:right w:val="none" w:sz="0" w:space="0" w:color="auto"/>
          </w:divBdr>
        </w:div>
        <w:div w:id="1630014133">
          <w:marLeft w:val="640"/>
          <w:marRight w:val="0"/>
          <w:marTop w:val="0"/>
          <w:marBottom w:val="0"/>
          <w:divBdr>
            <w:top w:val="none" w:sz="0" w:space="0" w:color="auto"/>
            <w:left w:val="none" w:sz="0" w:space="0" w:color="auto"/>
            <w:bottom w:val="none" w:sz="0" w:space="0" w:color="auto"/>
            <w:right w:val="none" w:sz="0" w:space="0" w:color="auto"/>
          </w:divBdr>
        </w:div>
        <w:div w:id="1841509075">
          <w:marLeft w:val="640"/>
          <w:marRight w:val="0"/>
          <w:marTop w:val="0"/>
          <w:marBottom w:val="0"/>
          <w:divBdr>
            <w:top w:val="none" w:sz="0" w:space="0" w:color="auto"/>
            <w:left w:val="none" w:sz="0" w:space="0" w:color="auto"/>
            <w:bottom w:val="none" w:sz="0" w:space="0" w:color="auto"/>
            <w:right w:val="none" w:sz="0" w:space="0" w:color="auto"/>
          </w:divBdr>
        </w:div>
        <w:div w:id="1844314336">
          <w:marLeft w:val="640"/>
          <w:marRight w:val="0"/>
          <w:marTop w:val="0"/>
          <w:marBottom w:val="0"/>
          <w:divBdr>
            <w:top w:val="none" w:sz="0" w:space="0" w:color="auto"/>
            <w:left w:val="none" w:sz="0" w:space="0" w:color="auto"/>
            <w:bottom w:val="none" w:sz="0" w:space="0" w:color="auto"/>
            <w:right w:val="none" w:sz="0" w:space="0" w:color="auto"/>
          </w:divBdr>
        </w:div>
        <w:div w:id="1856769875">
          <w:marLeft w:val="640"/>
          <w:marRight w:val="0"/>
          <w:marTop w:val="0"/>
          <w:marBottom w:val="0"/>
          <w:divBdr>
            <w:top w:val="none" w:sz="0" w:space="0" w:color="auto"/>
            <w:left w:val="none" w:sz="0" w:space="0" w:color="auto"/>
            <w:bottom w:val="none" w:sz="0" w:space="0" w:color="auto"/>
            <w:right w:val="none" w:sz="0" w:space="0" w:color="auto"/>
          </w:divBdr>
        </w:div>
        <w:div w:id="1868367122">
          <w:marLeft w:val="640"/>
          <w:marRight w:val="0"/>
          <w:marTop w:val="0"/>
          <w:marBottom w:val="0"/>
          <w:divBdr>
            <w:top w:val="none" w:sz="0" w:space="0" w:color="auto"/>
            <w:left w:val="none" w:sz="0" w:space="0" w:color="auto"/>
            <w:bottom w:val="none" w:sz="0" w:space="0" w:color="auto"/>
            <w:right w:val="none" w:sz="0" w:space="0" w:color="auto"/>
          </w:divBdr>
        </w:div>
        <w:div w:id="1975745391">
          <w:marLeft w:val="640"/>
          <w:marRight w:val="0"/>
          <w:marTop w:val="0"/>
          <w:marBottom w:val="0"/>
          <w:divBdr>
            <w:top w:val="none" w:sz="0" w:space="0" w:color="auto"/>
            <w:left w:val="none" w:sz="0" w:space="0" w:color="auto"/>
            <w:bottom w:val="none" w:sz="0" w:space="0" w:color="auto"/>
            <w:right w:val="none" w:sz="0" w:space="0" w:color="auto"/>
          </w:divBdr>
        </w:div>
        <w:div w:id="2036029787">
          <w:marLeft w:val="640"/>
          <w:marRight w:val="0"/>
          <w:marTop w:val="0"/>
          <w:marBottom w:val="0"/>
          <w:divBdr>
            <w:top w:val="none" w:sz="0" w:space="0" w:color="auto"/>
            <w:left w:val="none" w:sz="0" w:space="0" w:color="auto"/>
            <w:bottom w:val="none" w:sz="0" w:space="0" w:color="auto"/>
            <w:right w:val="none" w:sz="0" w:space="0" w:color="auto"/>
          </w:divBdr>
        </w:div>
        <w:div w:id="2044208896">
          <w:marLeft w:val="640"/>
          <w:marRight w:val="0"/>
          <w:marTop w:val="0"/>
          <w:marBottom w:val="0"/>
          <w:divBdr>
            <w:top w:val="none" w:sz="0" w:space="0" w:color="auto"/>
            <w:left w:val="none" w:sz="0" w:space="0" w:color="auto"/>
            <w:bottom w:val="none" w:sz="0" w:space="0" w:color="auto"/>
            <w:right w:val="none" w:sz="0" w:space="0" w:color="auto"/>
          </w:divBdr>
        </w:div>
        <w:div w:id="2048024132">
          <w:marLeft w:val="640"/>
          <w:marRight w:val="0"/>
          <w:marTop w:val="0"/>
          <w:marBottom w:val="0"/>
          <w:divBdr>
            <w:top w:val="none" w:sz="0" w:space="0" w:color="auto"/>
            <w:left w:val="none" w:sz="0" w:space="0" w:color="auto"/>
            <w:bottom w:val="none" w:sz="0" w:space="0" w:color="auto"/>
            <w:right w:val="none" w:sz="0" w:space="0" w:color="auto"/>
          </w:divBdr>
        </w:div>
        <w:div w:id="2126146800">
          <w:marLeft w:val="640"/>
          <w:marRight w:val="0"/>
          <w:marTop w:val="0"/>
          <w:marBottom w:val="0"/>
          <w:divBdr>
            <w:top w:val="none" w:sz="0" w:space="0" w:color="auto"/>
            <w:left w:val="none" w:sz="0" w:space="0" w:color="auto"/>
            <w:bottom w:val="none" w:sz="0" w:space="0" w:color="auto"/>
            <w:right w:val="none" w:sz="0" w:space="0" w:color="auto"/>
          </w:divBdr>
        </w:div>
        <w:div w:id="2131850045">
          <w:marLeft w:val="640"/>
          <w:marRight w:val="0"/>
          <w:marTop w:val="0"/>
          <w:marBottom w:val="0"/>
          <w:divBdr>
            <w:top w:val="none" w:sz="0" w:space="0" w:color="auto"/>
            <w:left w:val="none" w:sz="0" w:space="0" w:color="auto"/>
            <w:bottom w:val="none" w:sz="0" w:space="0" w:color="auto"/>
            <w:right w:val="none" w:sz="0" w:space="0" w:color="auto"/>
          </w:divBdr>
        </w:div>
      </w:divsChild>
    </w:div>
    <w:div w:id="1056860040">
      <w:bodyDiv w:val="1"/>
      <w:marLeft w:val="0"/>
      <w:marRight w:val="0"/>
      <w:marTop w:val="0"/>
      <w:marBottom w:val="0"/>
      <w:divBdr>
        <w:top w:val="none" w:sz="0" w:space="0" w:color="auto"/>
        <w:left w:val="none" w:sz="0" w:space="0" w:color="auto"/>
        <w:bottom w:val="none" w:sz="0" w:space="0" w:color="auto"/>
        <w:right w:val="none" w:sz="0" w:space="0" w:color="auto"/>
      </w:divBdr>
      <w:divsChild>
        <w:div w:id="536704834">
          <w:marLeft w:val="0"/>
          <w:marRight w:val="0"/>
          <w:marTop w:val="0"/>
          <w:marBottom w:val="0"/>
          <w:divBdr>
            <w:top w:val="none" w:sz="0" w:space="0" w:color="auto"/>
            <w:left w:val="none" w:sz="0" w:space="0" w:color="auto"/>
            <w:bottom w:val="none" w:sz="0" w:space="0" w:color="auto"/>
            <w:right w:val="none" w:sz="0" w:space="0" w:color="auto"/>
          </w:divBdr>
          <w:divsChild>
            <w:div w:id="1194344206">
              <w:marLeft w:val="0"/>
              <w:marRight w:val="0"/>
              <w:marTop w:val="0"/>
              <w:marBottom w:val="0"/>
              <w:divBdr>
                <w:top w:val="none" w:sz="0" w:space="0" w:color="auto"/>
                <w:left w:val="none" w:sz="0" w:space="0" w:color="auto"/>
                <w:bottom w:val="none" w:sz="0" w:space="0" w:color="auto"/>
                <w:right w:val="none" w:sz="0" w:space="0" w:color="auto"/>
              </w:divBdr>
              <w:divsChild>
                <w:div w:id="700279363">
                  <w:marLeft w:val="0"/>
                  <w:marRight w:val="0"/>
                  <w:marTop w:val="0"/>
                  <w:marBottom w:val="0"/>
                  <w:divBdr>
                    <w:top w:val="none" w:sz="0" w:space="0" w:color="auto"/>
                    <w:left w:val="none" w:sz="0" w:space="0" w:color="auto"/>
                    <w:bottom w:val="none" w:sz="0" w:space="0" w:color="auto"/>
                    <w:right w:val="none" w:sz="0" w:space="0" w:color="auto"/>
                  </w:divBdr>
                  <w:divsChild>
                    <w:div w:id="739982288">
                      <w:marLeft w:val="0"/>
                      <w:marRight w:val="0"/>
                      <w:marTop w:val="0"/>
                      <w:marBottom w:val="0"/>
                      <w:divBdr>
                        <w:top w:val="none" w:sz="0" w:space="0" w:color="auto"/>
                        <w:left w:val="none" w:sz="0" w:space="0" w:color="auto"/>
                        <w:bottom w:val="none" w:sz="0" w:space="0" w:color="auto"/>
                        <w:right w:val="none" w:sz="0" w:space="0" w:color="auto"/>
                      </w:divBdr>
                      <w:divsChild>
                        <w:div w:id="253823228">
                          <w:marLeft w:val="0"/>
                          <w:marRight w:val="0"/>
                          <w:marTop w:val="0"/>
                          <w:marBottom w:val="0"/>
                          <w:divBdr>
                            <w:top w:val="none" w:sz="0" w:space="0" w:color="auto"/>
                            <w:left w:val="none" w:sz="0" w:space="0" w:color="auto"/>
                            <w:bottom w:val="none" w:sz="0" w:space="0" w:color="auto"/>
                            <w:right w:val="none" w:sz="0" w:space="0" w:color="auto"/>
                          </w:divBdr>
                          <w:divsChild>
                            <w:div w:id="2146197191">
                              <w:marLeft w:val="0"/>
                              <w:marRight w:val="0"/>
                              <w:marTop w:val="0"/>
                              <w:marBottom w:val="0"/>
                              <w:divBdr>
                                <w:top w:val="none" w:sz="0" w:space="0" w:color="auto"/>
                                <w:left w:val="none" w:sz="0" w:space="0" w:color="auto"/>
                                <w:bottom w:val="none" w:sz="0" w:space="0" w:color="auto"/>
                                <w:right w:val="none" w:sz="0" w:space="0" w:color="auto"/>
                              </w:divBdr>
                              <w:divsChild>
                                <w:div w:id="1061053684">
                                  <w:marLeft w:val="0"/>
                                  <w:marRight w:val="0"/>
                                  <w:marTop w:val="0"/>
                                  <w:marBottom w:val="0"/>
                                  <w:divBdr>
                                    <w:top w:val="none" w:sz="0" w:space="0" w:color="auto"/>
                                    <w:left w:val="none" w:sz="0" w:space="0" w:color="auto"/>
                                    <w:bottom w:val="none" w:sz="0" w:space="0" w:color="auto"/>
                                    <w:right w:val="none" w:sz="0" w:space="0" w:color="auto"/>
                                  </w:divBdr>
                                  <w:divsChild>
                                    <w:div w:id="1507208547">
                                      <w:marLeft w:val="0"/>
                                      <w:marRight w:val="0"/>
                                      <w:marTop w:val="0"/>
                                      <w:marBottom w:val="0"/>
                                      <w:divBdr>
                                        <w:top w:val="none" w:sz="0" w:space="0" w:color="auto"/>
                                        <w:left w:val="none" w:sz="0" w:space="0" w:color="auto"/>
                                        <w:bottom w:val="none" w:sz="0" w:space="0" w:color="auto"/>
                                        <w:right w:val="none" w:sz="0" w:space="0" w:color="auto"/>
                                      </w:divBdr>
                                      <w:divsChild>
                                        <w:div w:id="2035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2896251">
      <w:bodyDiv w:val="1"/>
      <w:marLeft w:val="0"/>
      <w:marRight w:val="0"/>
      <w:marTop w:val="0"/>
      <w:marBottom w:val="0"/>
      <w:divBdr>
        <w:top w:val="none" w:sz="0" w:space="0" w:color="auto"/>
        <w:left w:val="none" w:sz="0" w:space="0" w:color="auto"/>
        <w:bottom w:val="none" w:sz="0" w:space="0" w:color="auto"/>
        <w:right w:val="none" w:sz="0" w:space="0" w:color="auto"/>
      </w:divBdr>
      <w:divsChild>
        <w:div w:id="24260916">
          <w:marLeft w:val="640"/>
          <w:marRight w:val="0"/>
          <w:marTop w:val="0"/>
          <w:marBottom w:val="0"/>
          <w:divBdr>
            <w:top w:val="none" w:sz="0" w:space="0" w:color="auto"/>
            <w:left w:val="none" w:sz="0" w:space="0" w:color="auto"/>
            <w:bottom w:val="none" w:sz="0" w:space="0" w:color="auto"/>
            <w:right w:val="none" w:sz="0" w:space="0" w:color="auto"/>
          </w:divBdr>
        </w:div>
        <w:div w:id="41750980">
          <w:marLeft w:val="640"/>
          <w:marRight w:val="0"/>
          <w:marTop w:val="0"/>
          <w:marBottom w:val="0"/>
          <w:divBdr>
            <w:top w:val="none" w:sz="0" w:space="0" w:color="auto"/>
            <w:left w:val="none" w:sz="0" w:space="0" w:color="auto"/>
            <w:bottom w:val="none" w:sz="0" w:space="0" w:color="auto"/>
            <w:right w:val="none" w:sz="0" w:space="0" w:color="auto"/>
          </w:divBdr>
        </w:div>
        <w:div w:id="105662714">
          <w:marLeft w:val="640"/>
          <w:marRight w:val="0"/>
          <w:marTop w:val="0"/>
          <w:marBottom w:val="0"/>
          <w:divBdr>
            <w:top w:val="none" w:sz="0" w:space="0" w:color="auto"/>
            <w:left w:val="none" w:sz="0" w:space="0" w:color="auto"/>
            <w:bottom w:val="none" w:sz="0" w:space="0" w:color="auto"/>
            <w:right w:val="none" w:sz="0" w:space="0" w:color="auto"/>
          </w:divBdr>
        </w:div>
        <w:div w:id="174659284">
          <w:marLeft w:val="640"/>
          <w:marRight w:val="0"/>
          <w:marTop w:val="0"/>
          <w:marBottom w:val="0"/>
          <w:divBdr>
            <w:top w:val="none" w:sz="0" w:space="0" w:color="auto"/>
            <w:left w:val="none" w:sz="0" w:space="0" w:color="auto"/>
            <w:bottom w:val="none" w:sz="0" w:space="0" w:color="auto"/>
            <w:right w:val="none" w:sz="0" w:space="0" w:color="auto"/>
          </w:divBdr>
        </w:div>
        <w:div w:id="445930445">
          <w:marLeft w:val="640"/>
          <w:marRight w:val="0"/>
          <w:marTop w:val="0"/>
          <w:marBottom w:val="0"/>
          <w:divBdr>
            <w:top w:val="none" w:sz="0" w:space="0" w:color="auto"/>
            <w:left w:val="none" w:sz="0" w:space="0" w:color="auto"/>
            <w:bottom w:val="none" w:sz="0" w:space="0" w:color="auto"/>
            <w:right w:val="none" w:sz="0" w:space="0" w:color="auto"/>
          </w:divBdr>
        </w:div>
        <w:div w:id="471597844">
          <w:marLeft w:val="640"/>
          <w:marRight w:val="0"/>
          <w:marTop w:val="0"/>
          <w:marBottom w:val="0"/>
          <w:divBdr>
            <w:top w:val="none" w:sz="0" w:space="0" w:color="auto"/>
            <w:left w:val="none" w:sz="0" w:space="0" w:color="auto"/>
            <w:bottom w:val="none" w:sz="0" w:space="0" w:color="auto"/>
            <w:right w:val="none" w:sz="0" w:space="0" w:color="auto"/>
          </w:divBdr>
        </w:div>
        <w:div w:id="563640215">
          <w:marLeft w:val="640"/>
          <w:marRight w:val="0"/>
          <w:marTop w:val="0"/>
          <w:marBottom w:val="0"/>
          <w:divBdr>
            <w:top w:val="none" w:sz="0" w:space="0" w:color="auto"/>
            <w:left w:val="none" w:sz="0" w:space="0" w:color="auto"/>
            <w:bottom w:val="none" w:sz="0" w:space="0" w:color="auto"/>
            <w:right w:val="none" w:sz="0" w:space="0" w:color="auto"/>
          </w:divBdr>
        </w:div>
        <w:div w:id="692922140">
          <w:marLeft w:val="640"/>
          <w:marRight w:val="0"/>
          <w:marTop w:val="0"/>
          <w:marBottom w:val="0"/>
          <w:divBdr>
            <w:top w:val="none" w:sz="0" w:space="0" w:color="auto"/>
            <w:left w:val="none" w:sz="0" w:space="0" w:color="auto"/>
            <w:bottom w:val="none" w:sz="0" w:space="0" w:color="auto"/>
            <w:right w:val="none" w:sz="0" w:space="0" w:color="auto"/>
          </w:divBdr>
        </w:div>
        <w:div w:id="699400465">
          <w:marLeft w:val="640"/>
          <w:marRight w:val="0"/>
          <w:marTop w:val="0"/>
          <w:marBottom w:val="0"/>
          <w:divBdr>
            <w:top w:val="none" w:sz="0" w:space="0" w:color="auto"/>
            <w:left w:val="none" w:sz="0" w:space="0" w:color="auto"/>
            <w:bottom w:val="none" w:sz="0" w:space="0" w:color="auto"/>
            <w:right w:val="none" w:sz="0" w:space="0" w:color="auto"/>
          </w:divBdr>
        </w:div>
        <w:div w:id="728503808">
          <w:marLeft w:val="640"/>
          <w:marRight w:val="0"/>
          <w:marTop w:val="0"/>
          <w:marBottom w:val="0"/>
          <w:divBdr>
            <w:top w:val="none" w:sz="0" w:space="0" w:color="auto"/>
            <w:left w:val="none" w:sz="0" w:space="0" w:color="auto"/>
            <w:bottom w:val="none" w:sz="0" w:space="0" w:color="auto"/>
            <w:right w:val="none" w:sz="0" w:space="0" w:color="auto"/>
          </w:divBdr>
        </w:div>
        <w:div w:id="781607067">
          <w:marLeft w:val="640"/>
          <w:marRight w:val="0"/>
          <w:marTop w:val="0"/>
          <w:marBottom w:val="0"/>
          <w:divBdr>
            <w:top w:val="none" w:sz="0" w:space="0" w:color="auto"/>
            <w:left w:val="none" w:sz="0" w:space="0" w:color="auto"/>
            <w:bottom w:val="none" w:sz="0" w:space="0" w:color="auto"/>
            <w:right w:val="none" w:sz="0" w:space="0" w:color="auto"/>
          </w:divBdr>
        </w:div>
        <w:div w:id="845554324">
          <w:marLeft w:val="640"/>
          <w:marRight w:val="0"/>
          <w:marTop w:val="0"/>
          <w:marBottom w:val="0"/>
          <w:divBdr>
            <w:top w:val="none" w:sz="0" w:space="0" w:color="auto"/>
            <w:left w:val="none" w:sz="0" w:space="0" w:color="auto"/>
            <w:bottom w:val="none" w:sz="0" w:space="0" w:color="auto"/>
            <w:right w:val="none" w:sz="0" w:space="0" w:color="auto"/>
          </w:divBdr>
        </w:div>
        <w:div w:id="873032692">
          <w:marLeft w:val="640"/>
          <w:marRight w:val="0"/>
          <w:marTop w:val="0"/>
          <w:marBottom w:val="0"/>
          <w:divBdr>
            <w:top w:val="none" w:sz="0" w:space="0" w:color="auto"/>
            <w:left w:val="none" w:sz="0" w:space="0" w:color="auto"/>
            <w:bottom w:val="none" w:sz="0" w:space="0" w:color="auto"/>
            <w:right w:val="none" w:sz="0" w:space="0" w:color="auto"/>
          </w:divBdr>
        </w:div>
        <w:div w:id="907375493">
          <w:marLeft w:val="640"/>
          <w:marRight w:val="0"/>
          <w:marTop w:val="0"/>
          <w:marBottom w:val="0"/>
          <w:divBdr>
            <w:top w:val="none" w:sz="0" w:space="0" w:color="auto"/>
            <w:left w:val="none" w:sz="0" w:space="0" w:color="auto"/>
            <w:bottom w:val="none" w:sz="0" w:space="0" w:color="auto"/>
            <w:right w:val="none" w:sz="0" w:space="0" w:color="auto"/>
          </w:divBdr>
        </w:div>
        <w:div w:id="1028330775">
          <w:marLeft w:val="640"/>
          <w:marRight w:val="0"/>
          <w:marTop w:val="0"/>
          <w:marBottom w:val="0"/>
          <w:divBdr>
            <w:top w:val="none" w:sz="0" w:space="0" w:color="auto"/>
            <w:left w:val="none" w:sz="0" w:space="0" w:color="auto"/>
            <w:bottom w:val="none" w:sz="0" w:space="0" w:color="auto"/>
            <w:right w:val="none" w:sz="0" w:space="0" w:color="auto"/>
          </w:divBdr>
        </w:div>
        <w:div w:id="1085106028">
          <w:marLeft w:val="640"/>
          <w:marRight w:val="0"/>
          <w:marTop w:val="0"/>
          <w:marBottom w:val="0"/>
          <w:divBdr>
            <w:top w:val="none" w:sz="0" w:space="0" w:color="auto"/>
            <w:left w:val="none" w:sz="0" w:space="0" w:color="auto"/>
            <w:bottom w:val="none" w:sz="0" w:space="0" w:color="auto"/>
            <w:right w:val="none" w:sz="0" w:space="0" w:color="auto"/>
          </w:divBdr>
        </w:div>
        <w:div w:id="1101796895">
          <w:marLeft w:val="640"/>
          <w:marRight w:val="0"/>
          <w:marTop w:val="0"/>
          <w:marBottom w:val="0"/>
          <w:divBdr>
            <w:top w:val="none" w:sz="0" w:space="0" w:color="auto"/>
            <w:left w:val="none" w:sz="0" w:space="0" w:color="auto"/>
            <w:bottom w:val="none" w:sz="0" w:space="0" w:color="auto"/>
            <w:right w:val="none" w:sz="0" w:space="0" w:color="auto"/>
          </w:divBdr>
        </w:div>
        <w:div w:id="1309868279">
          <w:marLeft w:val="640"/>
          <w:marRight w:val="0"/>
          <w:marTop w:val="0"/>
          <w:marBottom w:val="0"/>
          <w:divBdr>
            <w:top w:val="none" w:sz="0" w:space="0" w:color="auto"/>
            <w:left w:val="none" w:sz="0" w:space="0" w:color="auto"/>
            <w:bottom w:val="none" w:sz="0" w:space="0" w:color="auto"/>
            <w:right w:val="none" w:sz="0" w:space="0" w:color="auto"/>
          </w:divBdr>
        </w:div>
        <w:div w:id="1358458395">
          <w:marLeft w:val="640"/>
          <w:marRight w:val="0"/>
          <w:marTop w:val="0"/>
          <w:marBottom w:val="0"/>
          <w:divBdr>
            <w:top w:val="none" w:sz="0" w:space="0" w:color="auto"/>
            <w:left w:val="none" w:sz="0" w:space="0" w:color="auto"/>
            <w:bottom w:val="none" w:sz="0" w:space="0" w:color="auto"/>
            <w:right w:val="none" w:sz="0" w:space="0" w:color="auto"/>
          </w:divBdr>
        </w:div>
        <w:div w:id="1718895547">
          <w:marLeft w:val="640"/>
          <w:marRight w:val="0"/>
          <w:marTop w:val="0"/>
          <w:marBottom w:val="0"/>
          <w:divBdr>
            <w:top w:val="none" w:sz="0" w:space="0" w:color="auto"/>
            <w:left w:val="none" w:sz="0" w:space="0" w:color="auto"/>
            <w:bottom w:val="none" w:sz="0" w:space="0" w:color="auto"/>
            <w:right w:val="none" w:sz="0" w:space="0" w:color="auto"/>
          </w:divBdr>
        </w:div>
        <w:div w:id="1765415287">
          <w:marLeft w:val="640"/>
          <w:marRight w:val="0"/>
          <w:marTop w:val="0"/>
          <w:marBottom w:val="0"/>
          <w:divBdr>
            <w:top w:val="none" w:sz="0" w:space="0" w:color="auto"/>
            <w:left w:val="none" w:sz="0" w:space="0" w:color="auto"/>
            <w:bottom w:val="none" w:sz="0" w:space="0" w:color="auto"/>
            <w:right w:val="none" w:sz="0" w:space="0" w:color="auto"/>
          </w:divBdr>
        </w:div>
        <w:div w:id="1956012157">
          <w:marLeft w:val="640"/>
          <w:marRight w:val="0"/>
          <w:marTop w:val="0"/>
          <w:marBottom w:val="0"/>
          <w:divBdr>
            <w:top w:val="none" w:sz="0" w:space="0" w:color="auto"/>
            <w:left w:val="none" w:sz="0" w:space="0" w:color="auto"/>
            <w:bottom w:val="none" w:sz="0" w:space="0" w:color="auto"/>
            <w:right w:val="none" w:sz="0" w:space="0" w:color="auto"/>
          </w:divBdr>
        </w:div>
      </w:divsChild>
    </w:div>
    <w:div w:id="1164202755">
      <w:bodyDiv w:val="1"/>
      <w:marLeft w:val="0"/>
      <w:marRight w:val="0"/>
      <w:marTop w:val="0"/>
      <w:marBottom w:val="0"/>
      <w:divBdr>
        <w:top w:val="none" w:sz="0" w:space="0" w:color="auto"/>
        <w:left w:val="none" w:sz="0" w:space="0" w:color="auto"/>
        <w:bottom w:val="none" w:sz="0" w:space="0" w:color="auto"/>
        <w:right w:val="none" w:sz="0" w:space="0" w:color="auto"/>
      </w:divBdr>
    </w:div>
    <w:div w:id="1201816436">
      <w:bodyDiv w:val="1"/>
      <w:marLeft w:val="0"/>
      <w:marRight w:val="0"/>
      <w:marTop w:val="0"/>
      <w:marBottom w:val="0"/>
      <w:divBdr>
        <w:top w:val="none" w:sz="0" w:space="0" w:color="auto"/>
        <w:left w:val="none" w:sz="0" w:space="0" w:color="auto"/>
        <w:bottom w:val="none" w:sz="0" w:space="0" w:color="auto"/>
        <w:right w:val="none" w:sz="0" w:space="0" w:color="auto"/>
      </w:divBdr>
      <w:divsChild>
        <w:div w:id="361052003">
          <w:marLeft w:val="640"/>
          <w:marRight w:val="0"/>
          <w:marTop w:val="0"/>
          <w:marBottom w:val="0"/>
          <w:divBdr>
            <w:top w:val="none" w:sz="0" w:space="0" w:color="auto"/>
            <w:left w:val="none" w:sz="0" w:space="0" w:color="auto"/>
            <w:bottom w:val="none" w:sz="0" w:space="0" w:color="auto"/>
            <w:right w:val="none" w:sz="0" w:space="0" w:color="auto"/>
          </w:divBdr>
        </w:div>
        <w:div w:id="1911186290">
          <w:marLeft w:val="640"/>
          <w:marRight w:val="0"/>
          <w:marTop w:val="0"/>
          <w:marBottom w:val="0"/>
          <w:divBdr>
            <w:top w:val="none" w:sz="0" w:space="0" w:color="auto"/>
            <w:left w:val="none" w:sz="0" w:space="0" w:color="auto"/>
            <w:bottom w:val="none" w:sz="0" w:space="0" w:color="auto"/>
            <w:right w:val="none" w:sz="0" w:space="0" w:color="auto"/>
          </w:divBdr>
        </w:div>
        <w:div w:id="1033965154">
          <w:marLeft w:val="640"/>
          <w:marRight w:val="0"/>
          <w:marTop w:val="0"/>
          <w:marBottom w:val="0"/>
          <w:divBdr>
            <w:top w:val="none" w:sz="0" w:space="0" w:color="auto"/>
            <w:left w:val="none" w:sz="0" w:space="0" w:color="auto"/>
            <w:bottom w:val="none" w:sz="0" w:space="0" w:color="auto"/>
            <w:right w:val="none" w:sz="0" w:space="0" w:color="auto"/>
          </w:divBdr>
        </w:div>
        <w:div w:id="1095705426">
          <w:marLeft w:val="640"/>
          <w:marRight w:val="0"/>
          <w:marTop w:val="0"/>
          <w:marBottom w:val="0"/>
          <w:divBdr>
            <w:top w:val="none" w:sz="0" w:space="0" w:color="auto"/>
            <w:left w:val="none" w:sz="0" w:space="0" w:color="auto"/>
            <w:bottom w:val="none" w:sz="0" w:space="0" w:color="auto"/>
            <w:right w:val="none" w:sz="0" w:space="0" w:color="auto"/>
          </w:divBdr>
        </w:div>
        <w:div w:id="192809595">
          <w:marLeft w:val="640"/>
          <w:marRight w:val="0"/>
          <w:marTop w:val="0"/>
          <w:marBottom w:val="0"/>
          <w:divBdr>
            <w:top w:val="none" w:sz="0" w:space="0" w:color="auto"/>
            <w:left w:val="none" w:sz="0" w:space="0" w:color="auto"/>
            <w:bottom w:val="none" w:sz="0" w:space="0" w:color="auto"/>
            <w:right w:val="none" w:sz="0" w:space="0" w:color="auto"/>
          </w:divBdr>
        </w:div>
        <w:div w:id="408038711">
          <w:marLeft w:val="640"/>
          <w:marRight w:val="0"/>
          <w:marTop w:val="0"/>
          <w:marBottom w:val="0"/>
          <w:divBdr>
            <w:top w:val="none" w:sz="0" w:space="0" w:color="auto"/>
            <w:left w:val="none" w:sz="0" w:space="0" w:color="auto"/>
            <w:bottom w:val="none" w:sz="0" w:space="0" w:color="auto"/>
            <w:right w:val="none" w:sz="0" w:space="0" w:color="auto"/>
          </w:divBdr>
        </w:div>
        <w:div w:id="886258197">
          <w:marLeft w:val="640"/>
          <w:marRight w:val="0"/>
          <w:marTop w:val="0"/>
          <w:marBottom w:val="0"/>
          <w:divBdr>
            <w:top w:val="none" w:sz="0" w:space="0" w:color="auto"/>
            <w:left w:val="none" w:sz="0" w:space="0" w:color="auto"/>
            <w:bottom w:val="none" w:sz="0" w:space="0" w:color="auto"/>
            <w:right w:val="none" w:sz="0" w:space="0" w:color="auto"/>
          </w:divBdr>
        </w:div>
        <w:div w:id="1386687069">
          <w:marLeft w:val="640"/>
          <w:marRight w:val="0"/>
          <w:marTop w:val="0"/>
          <w:marBottom w:val="0"/>
          <w:divBdr>
            <w:top w:val="none" w:sz="0" w:space="0" w:color="auto"/>
            <w:left w:val="none" w:sz="0" w:space="0" w:color="auto"/>
            <w:bottom w:val="none" w:sz="0" w:space="0" w:color="auto"/>
            <w:right w:val="none" w:sz="0" w:space="0" w:color="auto"/>
          </w:divBdr>
        </w:div>
        <w:div w:id="887764854">
          <w:marLeft w:val="640"/>
          <w:marRight w:val="0"/>
          <w:marTop w:val="0"/>
          <w:marBottom w:val="0"/>
          <w:divBdr>
            <w:top w:val="none" w:sz="0" w:space="0" w:color="auto"/>
            <w:left w:val="none" w:sz="0" w:space="0" w:color="auto"/>
            <w:bottom w:val="none" w:sz="0" w:space="0" w:color="auto"/>
            <w:right w:val="none" w:sz="0" w:space="0" w:color="auto"/>
          </w:divBdr>
        </w:div>
        <w:div w:id="1211189727">
          <w:marLeft w:val="640"/>
          <w:marRight w:val="0"/>
          <w:marTop w:val="0"/>
          <w:marBottom w:val="0"/>
          <w:divBdr>
            <w:top w:val="none" w:sz="0" w:space="0" w:color="auto"/>
            <w:left w:val="none" w:sz="0" w:space="0" w:color="auto"/>
            <w:bottom w:val="none" w:sz="0" w:space="0" w:color="auto"/>
            <w:right w:val="none" w:sz="0" w:space="0" w:color="auto"/>
          </w:divBdr>
        </w:div>
        <w:div w:id="258560838">
          <w:marLeft w:val="640"/>
          <w:marRight w:val="0"/>
          <w:marTop w:val="0"/>
          <w:marBottom w:val="0"/>
          <w:divBdr>
            <w:top w:val="none" w:sz="0" w:space="0" w:color="auto"/>
            <w:left w:val="none" w:sz="0" w:space="0" w:color="auto"/>
            <w:bottom w:val="none" w:sz="0" w:space="0" w:color="auto"/>
            <w:right w:val="none" w:sz="0" w:space="0" w:color="auto"/>
          </w:divBdr>
        </w:div>
        <w:div w:id="1014574059">
          <w:marLeft w:val="640"/>
          <w:marRight w:val="0"/>
          <w:marTop w:val="0"/>
          <w:marBottom w:val="0"/>
          <w:divBdr>
            <w:top w:val="none" w:sz="0" w:space="0" w:color="auto"/>
            <w:left w:val="none" w:sz="0" w:space="0" w:color="auto"/>
            <w:bottom w:val="none" w:sz="0" w:space="0" w:color="auto"/>
            <w:right w:val="none" w:sz="0" w:space="0" w:color="auto"/>
          </w:divBdr>
        </w:div>
        <w:div w:id="1618831243">
          <w:marLeft w:val="640"/>
          <w:marRight w:val="0"/>
          <w:marTop w:val="0"/>
          <w:marBottom w:val="0"/>
          <w:divBdr>
            <w:top w:val="none" w:sz="0" w:space="0" w:color="auto"/>
            <w:left w:val="none" w:sz="0" w:space="0" w:color="auto"/>
            <w:bottom w:val="none" w:sz="0" w:space="0" w:color="auto"/>
            <w:right w:val="none" w:sz="0" w:space="0" w:color="auto"/>
          </w:divBdr>
        </w:div>
        <w:div w:id="1418870386">
          <w:marLeft w:val="640"/>
          <w:marRight w:val="0"/>
          <w:marTop w:val="0"/>
          <w:marBottom w:val="0"/>
          <w:divBdr>
            <w:top w:val="none" w:sz="0" w:space="0" w:color="auto"/>
            <w:left w:val="none" w:sz="0" w:space="0" w:color="auto"/>
            <w:bottom w:val="none" w:sz="0" w:space="0" w:color="auto"/>
            <w:right w:val="none" w:sz="0" w:space="0" w:color="auto"/>
          </w:divBdr>
        </w:div>
        <w:div w:id="643660626">
          <w:marLeft w:val="640"/>
          <w:marRight w:val="0"/>
          <w:marTop w:val="0"/>
          <w:marBottom w:val="0"/>
          <w:divBdr>
            <w:top w:val="none" w:sz="0" w:space="0" w:color="auto"/>
            <w:left w:val="none" w:sz="0" w:space="0" w:color="auto"/>
            <w:bottom w:val="none" w:sz="0" w:space="0" w:color="auto"/>
            <w:right w:val="none" w:sz="0" w:space="0" w:color="auto"/>
          </w:divBdr>
        </w:div>
        <w:div w:id="567148892">
          <w:marLeft w:val="640"/>
          <w:marRight w:val="0"/>
          <w:marTop w:val="0"/>
          <w:marBottom w:val="0"/>
          <w:divBdr>
            <w:top w:val="none" w:sz="0" w:space="0" w:color="auto"/>
            <w:left w:val="none" w:sz="0" w:space="0" w:color="auto"/>
            <w:bottom w:val="none" w:sz="0" w:space="0" w:color="auto"/>
            <w:right w:val="none" w:sz="0" w:space="0" w:color="auto"/>
          </w:divBdr>
        </w:div>
        <w:div w:id="589237697">
          <w:marLeft w:val="640"/>
          <w:marRight w:val="0"/>
          <w:marTop w:val="0"/>
          <w:marBottom w:val="0"/>
          <w:divBdr>
            <w:top w:val="none" w:sz="0" w:space="0" w:color="auto"/>
            <w:left w:val="none" w:sz="0" w:space="0" w:color="auto"/>
            <w:bottom w:val="none" w:sz="0" w:space="0" w:color="auto"/>
            <w:right w:val="none" w:sz="0" w:space="0" w:color="auto"/>
          </w:divBdr>
        </w:div>
        <w:div w:id="569271806">
          <w:marLeft w:val="640"/>
          <w:marRight w:val="0"/>
          <w:marTop w:val="0"/>
          <w:marBottom w:val="0"/>
          <w:divBdr>
            <w:top w:val="none" w:sz="0" w:space="0" w:color="auto"/>
            <w:left w:val="none" w:sz="0" w:space="0" w:color="auto"/>
            <w:bottom w:val="none" w:sz="0" w:space="0" w:color="auto"/>
            <w:right w:val="none" w:sz="0" w:space="0" w:color="auto"/>
          </w:divBdr>
        </w:div>
        <w:div w:id="1489591551">
          <w:marLeft w:val="640"/>
          <w:marRight w:val="0"/>
          <w:marTop w:val="0"/>
          <w:marBottom w:val="0"/>
          <w:divBdr>
            <w:top w:val="none" w:sz="0" w:space="0" w:color="auto"/>
            <w:left w:val="none" w:sz="0" w:space="0" w:color="auto"/>
            <w:bottom w:val="none" w:sz="0" w:space="0" w:color="auto"/>
            <w:right w:val="none" w:sz="0" w:space="0" w:color="auto"/>
          </w:divBdr>
        </w:div>
        <w:div w:id="1273441568">
          <w:marLeft w:val="640"/>
          <w:marRight w:val="0"/>
          <w:marTop w:val="0"/>
          <w:marBottom w:val="0"/>
          <w:divBdr>
            <w:top w:val="none" w:sz="0" w:space="0" w:color="auto"/>
            <w:left w:val="none" w:sz="0" w:space="0" w:color="auto"/>
            <w:bottom w:val="none" w:sz="0" w:space="0" w:color="auto"/>
            <w:right w:val="none" w:sz="0" w:space="0" w:color="auto"/>
          </w:divBdr>
        </w:div>
        <w:div w:id="955254007">
          <w:marLeft w:val="640"/>
          <w:marRight w:val="0"/>
          <w:marTop w:val="0"/>
          <w:marBottom w:val="0"/>
          <w:divBdr>
            <w:top w:val="none" w:sz="0" w:space="0" w:color="auto"/>
            <w:left w:val="none" w:sz="0" w:space="0" w:color="auto"/>
            <w:bottom w:val="none" w:sz="0" w:space="0" w:color="auto"/>
            <w:right w:val="none" w:sz="0" w:space="0" w:color="auto"/>
          </w:divBdr>
        </w:div>
        <w:div w:id="316610727">
          <w:marLeft w:val="640"/>
          <w:marRight w:val="0"/>
          <w:marTop w:val="0"/>
          <w:marBottom w:val="0"/>
          <w:divBdr>
            <w:top w:val="none" w:sz="0" w:space="0" w:color="auto"/>
            <w:left w:val="none" w:sz="0" w:space="0" w:color="auto"/>
            <w:bottom w:val="none" w:sz="0" w:space="0" w:color="auto"/>
            <w:right w:val="none" w:sz="0" w:space="0" w:color="auto"/>
          </w:divBdr>
        </w:div>
      </w:divsChild>
    </w:div>
    <w:div w:id="1289900324">
      <w:bodyDiv w:val="1"/>
      <w:marLeft w:val="0"/>
      <w:marRight w:val="0"/>
      <w:marTop w:val="0"/>
      <w:marBottom w:val="0"/>
      <w:divBdr>
        <w:top w:val="none" w:sz="0" w:space="0" w:color="auto"/>
        <w:left w:val="none" w:sz="0" w:space="0" w:color="auto"/>
        <w:bottom w:val="none" w:sz="0" w:space="0" w:color="auto"/>
        <w:right w:val="none" w:sz="0" w:space="0" w:color="auto"/>
      </w:divBdr>
      <w:divsChild>
        <w:div w:id="1586112357">
          <w:marLeft w:val="640"/>
          <w:marRight w:val="0"/>
          <w:marTop w:val="0"/>
          <w:marBottom w:val="0"/>
          <w:divBdr>
            <w:top w:val="none" w:sz="0" w:space="0" w:color="auto"/>
            <w:left w:val="none" w:sz="0" w:space="0" w:color="auto"/>
            <w:bottom w:val="none" w:sz="0" w:space="0" w:color="auto"/>
            <w:right w:val="none" w:sz="0" w:space="0" w:color="auto"/>
          </w:divBdr>
        </w:div>
        <w:div w:id="1406027408">
          <w:marLeft w:val="640"/>
          <w:marRight w:val="0"/>
          <w:marTop w:val="0"/>
          <w:marBottom w:val="0"/>
          <w:divBdr>
            <w:top w:val="none" w:sz="0" w:space="0" w:color="auto"/>
            <w:left w:val="none" w:sz="0" w:space="0" w:color="auto"/>
            <w:bottom w:val="none" w:sz="0" w:space="0" w:color="auto"/>
            <w:right w:val="none" w:sz="0" w:space="0" w:color="auto"/>
          </w:divBdr>
        </w:div>
        <w:div w:id="735667384">
          <w:marLeft w:val="640"/>
          <w:marRight w:val="0"/>
          <w:marTop w:val="0"/>
          <w:marBottom w:val="0"/>
          <w:divBdr>
            <w:top w:val="none" w:sz="0" w:space="0" w:color="auto"/>
            <w:left w:val="none" w:sz="0" w:space="0" w:color="auto"/>
            <w:bottom w:val="none" w:sz="0" w:space="0" w:color="auto"/>
            <w:right w:val="none" w:sz="0" w:space="0" w:color="auto"/>
          </w:divBdr>
        </w:div>
        <w:div w:id="2047287050">
          <w:marLeft w:val="640"/>
          <w:marRight w:val="0"/>
          <w:marTop w:val="0"/>
          <w:marBottom w:val="0"/>
          <w:divBdr>
            <w:top w:val="none" w:sz="0" w:space="0" w:color="auto"/>
            <w:left w:val="none" w:sz="0" w:space="0" w:color="auto"/>
            <w:bottom w:val="none" w:sz="0" w:space="0" w:color="auto"/>
            <w:right w:val="none" w:sz="0" w:space="0" w:color="auto"/>
          </w:divBdr>
        </w:div>
        <w:div w:id="1383602505">
          <w:marLeft w:val="640"/>
          <w:marRight w:val="0"/>
          <w:marTop w:val="0"/>
          <w:marBottom w:val="0"/>
          <w:divBdr>
            <w:top w:val="none" w:sz="0" w:space="0" w:color="auto"/>
            <w:left w:val="none" w:sz="0" w:space="0" w:color="auto"/>
            <w:bottom w:val="none" w:sz="0" w:space="0" w:color="auto"/>
            <w:right w:val="none" w:sz="0" w:space="0" w:color="auto"/>
          </w:divBdr>
        </w:div>
        <w:div w:id="319381924">
          <w:marLeft w:val="640"/>
          <w:marRight w:val="0"/>
          <w:marTop w:val="0"/>
          <w:marBottom w:val="0"/>
          <w:divBdr>
            <w:top w:val="none" w:sz="0" w:space="0" w:color="auto"/>
            <w:left w:val="none" w:sz="0" w:space="0" w:color="auto"/>
            <w:bottom w:val="none" w:sz="0" w:space="0" w:color="auto"/>
            <w:right w:val="none" w:sz="0" w:space="0" w:color="auto"/>
          </w:divBdr>
        </w:div>
        <w:div w:id="1742756457">
          <w:marLeft w:val="640"/>
          <w:marRight w:val="0"/>
          <w:marTop w:val="0"/>
          <w:marBottom w:val="0"/>
          <w:divBdr>
            <w:top w:val="none" w:sz="0" w:space="0" w:color="auto"/>
            <w:left w:val="none" w:sz="0" w:space="0" w:color="auto"/>
            <w:bottom w:val="none" w:sz="0" w:space="0" w:color="auto"/>
            <w:right w:val="none" w:sz="0" w:space="0" w:color="auto"/>
          </w:divBdr>
        </w:div>
        <w:div w:id="174002003">
          <w:marLeft w:val="640"/>
          <w:marRight w:val="0"/>
          <w:marTop w:val="0"/>
          <w:marBottom w:val="0"/>
          <w:divBdr>
            <w:top w:val="none" w:sz="0" w:space="0" w:color="auto"/>
            <w:left w:val="none" w:sz="0" w:space="0" w:color="auto"/>
            <w:bottom w:val="none" w:sz="0" w:space="0" w:color="auto"/>
            <w:right w:val="none" w:sz="0" w:space="0" w:color="auto"/>
          </w:divBdr>
        </w:div>
        <w:div w:id="1865820135">
          <w:marLeft w:val="640"/>
          <w:marRight w:val="0"/>
          <w:marTop w:val="0"/>
          <w:marBottom w:val="0"/>
          <w:divBdr>
            <w:top w:val="none" w:sz="0" w:space="0" w:color="auto"/>
            <w:left w:val="none" w:sz="0" w:space="0" w:color="auto"/>
            <w:bottom w:val="none" w:sz="0" w:space="0" w:color="auto"/>
            <w:right w:val="none" w:sz="0" w:space="0" w:color="auto"/>
          </w:divBdr>
        </w:div>
        <w:div w:id="1479345901">
          <w:marLeft w:val="640"/>
          <w:marRight w:val="0"/>
          <w:marTop w:val="0"/>
          <w:marBottom w:val="0"/>
          <w:divBdr>
            <w:top w:val="none" w:sz="0" w:space="0" w:color="auto"/>
            <w:left w:val="none" w:sz="0" w:space="0" w:color="auto"/>
            <w:bottom w:val="none" w:sz="0" w:space="0" w:color="auto"/>
            <w:right w:val="none" w:sz="0" w:space="0" w:color="auto"/>
          </w:divBdr>
        </w:div>
        <w:div w:id="1284340927">
          <w:marLeft w:val="640"/>
          <w:marRight w:val="0"/>
          <w:marTop w:val="0"/>
          <w:marBottom w:val="0"/>
          <w:divBdr>
            <w:top w:val="none" w:sz="0" w:space="0" w:color="auto"/>
            <w:left w:val="none" w:sz="0" w:space="0" w:color="auto"/>
            <w:bottom w:val="none" w:sz="0" w:space="0" w:color="auto"/>
            <w:right w:val="none" w:sz="0" w:space="0" w:color="auto"/>
          </w:divBdr>
        </w:div>
        <w:div w:id="1696031846">
          <w:marLeft w:val="640"/>
          <w:marRight w:val="0"/>
          <w:marTop w:val="0"/>
          <w:marBottom w:val="0"/>
          <w:divBdr>
            <w:top w:val="none" w:sz="0" w:space="0" w:color="auto"/>
            <w:left w:val="none" w:sz="0" w:space="0" w:color="auto"/>
            <w:bottom w:val="none" w:sz="0" w:space="0" w:color="auto"/>
            <w:right w:val="none" w:sz="0" w:space="0" w:color="auto"/>
          </w:divBdr>
        </w:div>
        <w:div w:id="1275013903">
          <w:marLeft w:val="640"/>
          <w:marRight w:val="0"/>
          <w:marTop w:val="0"/>
          <w:marBottom w:val="0"/>
          <w:divBdr>
            <w:top w:val="none" w:sz="0" w:space="0" w:color="auto"/>
            <w:left w:val="none" w:sz="0" w:space="0" w:color="auto"/>
            <w:bottom w:val="none" w:sz="0" w:space="0" w:color="auto"/>
            <w:right w:val="none" w:sz="0" w:space="0" w:color="auto"/>
          </w:divBdr>
        </w:div>
        <w:div w:id="73210089">
          <w:marLeft w:val="640"/>
          <w:marRight w:val="0"/>
          <w:marTop w:val="0"/>
          <w:marBottom w:val="0"/>
          <w:divBdr>
            <w:top w:val="none" w:sz="0" w:space="0" w:color="auto"/>
            <w:left w:val="none" w:sz="0" w:space="0" w:color="auto"/>
            <w:bottom w:val="none" w:sz="0" w:space="0" w:color="auto"/>
            <w:right w:val="none" w:sz="0" w:space="0" w:color="auto"/>
          </w:divBdr>
        </w:div>
        <w:div w:id="920338530">
          <w:marLeft w:val="640"/>
          <w:marRight w:val="0"/>
          <w:marTop w:val="0"/>
          <w:marBottom w:val="0"/>
          <w:divBdr>
            <w:top w:val="none" w:sz="0" w:space="0" w:color="auto"/>
            <w:left w:val="none" w:sz="0" w:space="0" w:color="auto"/>
            <w:bottom w:val="none" w:sz="0" w:space="0" w:color="auto"/>
            <w:right w:val="none" w:sz="0" w:space="0" w:color="auto"/>
          </w:divBdr>
        </w:div>
        <w:div w:id="2027753256">
          <w:marLeft w:val="640"/>
          <w:marRight w:val="0"/>
          <w:marTop w:val="0"/>
          <w:marBottom w:val="0"/>
          <w:divBdr>
            <w:top w:val="none" w:sz="0" w:space="0" w:color="auto"/>
            <w:left w:val="none" w:sz="0" w:space="0" w:color="auto"/>
            <w:bottom w:val="none" w:sz="0" w:space="0" w:color="auto"/>
            <w:right w:val="none" w:sz="0" w:space="0" w:color="auto"/>
          </w:divBdr>
        </w:div>
        <w:div w:id="139806643">
          <w:marLeft w:val="640"/>
          <w:marRight w:val="0"/>
          <w:marTop w:val="0"/>
          <w:marBottom w:val="0"/>
          <w:divBdr>
            <w:top w:val="none" w:sz="0" w:space="0" w:color="auto"/>
            <w:left w:val="none" w:sz="0" w:space="0" w:color="auto"/>
            <w:bottom w:val="none" w:sz="0" w:space="0" w:color="auto"/>
            <w:right w:val="none" w:sz="0" w:space="0" w:color="auto"/>
          </w:divBdr>
        </w:div>
        <w:div w:id="729956982">
          <w:marLeft w:val="640"/>
          <w:marRight w:val="0"/>
          <w:marTop w:val="0"/>
          <w:marBottom w:val="0"/>
          <w:divBdr>
            <w:top w:val="none" w:sz="0" w:space="0" w:color="auto"/>
            <w:left w:val="none" w:sz="0" w:space="0" w:color="auto"/>
            <w:bottom w:val="none" w:sz="0" w:space="0" w:color="auto"/>
            <w:right w:val="none" w:sz="0" w:space="0" w:color="auto"/>
          </w:divBdr>
        </w:div>
        <w:div w:id="1382293209">
          <w:marLeft w:val="640"/>
          <w:marRight w:val="0"/>
          <w:marTop w:val="0"/>
          <w:marBottom w:val="0"/>
          <w:divBdr>
            <w:top w:val="none" w:sz="0" w:space="0" w:color="auto"/>
            <w:left w:val="none" w:sz="0" w:space="0" w:color="auto"/>
            <w:bottom w:val="none" w:sz="0" w:space="0" w:color="auto"/>
            <w:right w:val="none" w:sz="0" w:space="0" w:color="auto"/>
          </w:divBdr>
        </w:div>
        <w:div w:id="121004236">
          <w:marLeft w:val="640"/>
          <w:marRight w:val="0"/>
          <w:marTop w:val="0"/>
          <w:marBottom w:val="0"/>
          <w:divBdr>
            <w:top w:val="none" w:sz="0" w:space="0" w:color="auto"/>
            <w:left w:val="none" w:sz="0" w:space="0" w:color="auto"/>
            <w:bottom w:val="none" w:sz="0" w:space="0" w:color="auto"/>
            <w:right w:val="none" w:sz="0" w:space="0" w:color="auto"/>
          </w:divBdr>
        </w:div>
        <w:div w:id="184751397">
          <w:marLeft w:val="640"/>
          <w:marRight w:val="0"/>
          <w:marTop w:val="0"/>
          <w:marBottom w:val="0"/>
          <w:divBdr>
            <w:top w:val="none" w:sz="0" w:space="0" w:color="auto"/>
            <w:left w:val="none" w:sz="0" w:space="0" w:color="auto"/>
            <w:bottom w:val="none" w:sz="0" w:space="0" w:color="auto"/>
            <w:right w:val="none" w:sz="0" w:space="0" w:color="auto"/>
          </w:divBdr>
        </w:div>
        <w:div w:id="1231694913">
          <w:marLeft w:val="640"/>
          <w:marRight w:val="0"/>
          <w:marTop w:val="0"/>
          <w:marBottom w:val="0"/>
          <w:divBdr>
            <w:top w:val="none" w:sz="0" w:space="0" w:color="auto"/>
            <w:left w:val="none" w:sz="0" w:space="0" w:color="auto"/>
            <w:bottom w:val="none" w:sz="0" w:space="0" w:color="auto"/>
            <w:right w:val="none" w:sz="0" w:space="0" w:color="auto"/>
          </w:divBdr>
        </w:div>
      </w:divsChild>
    </w:div>
    <w:div w:id="1315724679">
      <w:bodyDiv w:val="1"/>
      <w:marLeft w:val="0"/>
      <w:marRight w:val="0"/>
      <w:marTop w:val="0"/>
      <w:marBottom w:val="0"/>
      <w:divBdr>
        <w:top w:val="none" w:sz="0" w:space="0" w:color="auto"/>
        <w:left w:val="none" w:sz="0" w:space="0" w:color="auto"/>
        <w:bottom w:val="none" w:sz="0" w:space="0" w:color="auto"/>
        <w:right w:val="none" w:sz="0" w:space="0" w:color="auto"/>
      </w:divBdr>
    </w:div>
    <w:div w:id="1343043868">
      <w:bodyDiv w:val="1"/>
      <w:marLeft w:val="0"/>
      <w:marRight w:val="0"/>
      <w:marTop w:val="0"/>
      <w:marBottom w:val="0"/>
      <w:divBdr>
        <w:top w:val="none" w:sz="0" w:space="0" w:color="auto"/>
        <w:left w:val="none" w:sz="0" w:space="0" w:color="auto"/>
        <w:bottom w:val="none" w:sz="0" w:space="0" w:color="auto"/>
        <w:right w:val="none" w:sz="0" w:space="0" w:color="auto"/>
      </w:divBdr>
      <w:divsChild>
        <w:div w:id="454560674">
          <w:marLeft w:val="0"/>
          <w:marRight w:val="0"/>
          <w:marTop w:val="0"/>
          <w:marBottom w:val="0"/>
          <w:divBdr>
            <w:top w:val="none" w:sz="0" w:space="0" w:color="auto"/>
            <w:left w:val="none" w:sz="0" w:space="0" w:color="auto"/>
            <w:bottom w:val="none" w:sz="0" w:space="0" w:color="auto"/>
            <w:right w:val="none" w:sz="0" w:space="0" w:color="auto"/>
          </w:divBdr>
          <w:divsChild>
            <w:div w:id="1599287570">
              <w:marLeft w:val="0"/>
              <w:marRight w:val="0"/>
              <w:marTop w:val="0"/>
              <w:marBottom w:val="0"/>
              <w:divBdr>
                <w:top w:val="none" w:sz="0" w:space="0" w:color="auto"/>
                <w:left w:val="none" w:sz="0" w:space="0" w:color="auto"/>
                <w:bottom w:val="none" w:sz="0" w:space="0" w:color="auto"/>
                <w:right w:val="none" w:sz="0" w:space="0" w:color="auto"/>
              </w:divBdr>
              <w:divsChild>
                <w:div w:id="1966233348">
                  <w:marLeft w:val="0"/>
                  <w:marRight w:val="0"/>
                  <w:marTop w:val="0"/>
                  <w:marBottom w:val="0"/>
                  <w:divBdr>
                    <w:top w:val="none" w:sz="0" w:space="0" w:color="auto"/>
                    <w:left w:val="none" w:sz="0" w:space="0" w:color="auto"/>
                    <w:bottom w:val="none" w:sz="0" w:space="0" w:color="auto"/>
                    <w:right w:val="none" w:sz="0" w:space="0" w:color="auto"/>
                  </w:divBdr>
                  <w:divsChild>
                    <w:div w:id="20882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2443">
      <w:bodyDiv w:val="1"/>
      <w:marLeft w:val="0"/>
      <w:marRight w:val="0"/>
      <w:marTop w:val="0"/>
      <w:marBottom w:val="0"/>
      <w:divBdr>
        <w:top w:val="none" w:sz="0" w:space="0" w:color="auto"/>
        <w:left w:val="none" w:sz="0" w:space="0" w:color="auto"/>
        <w:bottom w:val="none" w:sz="0" w:space="0" w:color="auto"/>
        <w:right w:val="none" w:sz="0" w:space="0" w:color="auto"/>
      </w:divBdr>
      <w:divsChild>
        <w:div w:id="686910924">
          <w:marLeft w:val="640"/>
          <w:marRight w:val="0"/>
          <w:marTop w:val="0"/>
          <w:marBottom w:val="0"/>
          <w:divBdr>
            <w:top w:val="none" w:sz="0" w:space="0" w:color="auto"/>
            <w:left w:val="none" w:sz="0" w:space="0" w:color="auto"/>
            <w:bottom w:val="none" w:sz="0" w:space="0" w:color="auto"/>
            <w:right w:val="none" w:sz="0" w:space="0" w:color="auto"/>
          </w:divBdr>
        </w:div>
        <w:div w:id="1271739103">
          <w:marLeft w:val="640"/>
          <w:marRight w:val="0"/>
          <w:marTop w:val="0"/>
          <w:marBottom w:val="0"/>
          <w:divBdr>
            <w:top w:val="none" w:sz="0" w:space="0" w:color="auto"/>
            <w:left w:val="none" w:sz="0" w:space="0" w:color="auto"/>
            <w:bottom w:val="none" w:sz="0" w:space="0" w:color="auto"/>
            <w:right w:val="none" w:sz="0" w:space="0" w:color="auto"/>
          </w:divBdr>
        </w:div>
        <w:div w:id="610211969">
          <w:marLeft w:val="640"/>
          <w:marRight w:val="0"/>
          <w:marTop w:val="0"/>
          <w:marBottom w:val="0"/>
          <w:divBdr>
            <w:top w:val="none" w:sz="0" w:space="0" w:color="auto"/>
            <w:left w:val="none" w:sz="0" w:space="0" w:color="auto"/>
            <w:bottom w:val="none" w:sz="0" w:space="0" w:color="auto"/>
            <w:right w:val="none" w:sz="0" w:space="0" w:color="auto"/>
          </w:divBdr>
        </w:div>
        <w:div w:id="746802914">
          <w:marLeft w:val="640"/>
          <w:marRight w:val="0"/>
          <w:marTop w:val="0"/>
          <w:marBottom w:val="0"/>
          <w:divBdr>
            <w:top w:val="none" w:sz="0" w:space="0" w:color="auto"/>
            <w:left w:val="none" w:sz="0" w:space="0" w:color="auto"/>
            <w:bottom w:val="none" w:sz="0" w:space="0" w:color="auto"/>
            <w:right w:val="none" w:sz="0" w:space="0" w:color="auto"/>
          </w:divBdr>
        </w:div>
        <w:div w:id="1643657657">
          <w:marLeft w:val="640"/>
          <w:marRight w:val="0"/>
          <w:marTop w:val="0"/>
          <w:marBottom w:val="0"/>
          <w:divBdr>
            <w:top w:val="none" w:sz="0" w:space="0" w:color="auto"/>
            <w:left w:val="none" w:sz="0" w:space="0" w:color="auto"/>
            <w:bottom w:val="none" w:sz="0" w:space="0" w:color="auto"/>
            <w:right w:val="none" w:sz="0" w:space="0" w:color="auto"/>
          </w:divBdr>
        </w:div>
        <w:div w:id="231232589">
          <w:marLeft w:val="640"/>
          <w:marRight w:val="0"/>
          <w:marTop w:val="0"/>
          <w:marBottom w:val="0"/>
          <w:divBdr>
            <w:top w:val="none" w:sz="0" w:space="0" w:color="auto"/>
            <w:left w:val="none" w:sz="0" w:space="0" w:color="auto"/>
            <w:bottom w:val="none" w:sz="0" w:space="0" w:color="auto"/>
            <w:right w:val="none" w:sz="0" w:space="0" w:color="auto"/>
          </w:divBdr>
        </w:div>
        <w:div w:id="973750359">
          <w:marLeft w:val="640"/>
          <w:marRight w:val="0"/>
          <w:marTop w:val="0"/>
          <w:marBottom w:val="0"/>
          <w:divBdr>
            <w:top w:val="none" w:sz="0" w:space="0" w:color="auto"/>
            <w:left w:val="none" w:sz="0" w:space="0" w:color="auto"/>
            <w:bottom w:val="none" w:sz="0" w:space="0" w:color="auto"/>
            <w:right w:val="none" w:sz="0" w:space="0" w:color="auto"/>
          </w:divBdr>
        </w:div>
        <w:div w:id="1635868322">
          <w:marLeft w:val="640"/>
          <w:marRight w:val="0"/>
          <w:marTop w:val="0"/>
          <w:marBottom w:val="0"/>
          <w:divBdr>
            <w:top w:val="none" w:sz="0" w:space="0" w:color="auto"/>
            <w:left w:val="none" w:sz="0" w:space="0" w:color="auto"/>
            <w:bottom w:val="none" w:sz="0" w:space="0" w:color="auto"/>
            <w:right w:val="none" w:sz="0" w:space="0" w:color="auto"/>
          </w:divBdr>
        </w:div>
        <w:div w:id="537471425">
          <w:marLeft w:val="640"/>
          <w:marRight w:val="0"/>
          <w:marTop w:val="0"/>
          <w:marBottom w:val="0"/>
          <w:divBdr>
            <w:top w:val="none" w:sz="0" w:space="0" w:color="auto"/>
            <w:left w:val="none" w:sz="0" w:space="0" w:color="auto"/>
            <w:bottom w:val="none" w:sz="0" w:space="0" w:color="auto"/>
            <w:right w:val="none" w:sz="0" w:space="0" w:color="auto"/>
          </w:divBdr>
        </w:div>
        <w:div w:id="1540819675">
          <w:marLeft w:val="640"/>
          <w:marRight w:val="0"/>
          <w:marTop w:val="0"/>
          <w:marBottom w:val="0"/>
          <w:divBdr>
            <w:top w:val="none" w:sz="0" w:space="0" w:color="auto"/>
            <w:left w:val="none" w:sz="0" w:space="0" w:color="auto"/>
            <w:bottom w:val="none" w:sz="0" w:space="0" w:color="auto"/>
            <w:right w:val="none" w:sz="0" w:space="0" w:color="auto"/>
          </w:divBdr>
        </w:div>
        <w:div w:id="2129465895">
          <w:marLeft w:val="640"/>
          <w:marRight w:val="0"/>
          <w:marTop w:val="0"/>
          <w:marBottom w:val="0"/>
          <w:divBdr>
            <w:top w:val="none" w:sz="0" w:space="0" w:color="auto"/>
            <w:left w:val="none" w:sz="0" w:space="0" w:color="auto"/>
            <w:bottom w:val="none" w:sz="0" w:space="0" w:color="auto"/>
            <w:right w:val="none" w:sz="0" w:space="0" w:color="auto"/>
          </w:divBdr>
        </w:div>
        <w:div w:id="7634476">
          <w:marLeft w:val="640"/>
          <w:marRight w:val="0"/>
          <w:marTop w:val="0"/>
          <w:marBottom w:val="0"/>
          <w:divBdr>
            <w:top w:val="none" w:sz="0" w:space="0" w:color="auto"/>
            <w:left w:val="none" w:sz="0" w:space="0" w:color="auto"/>
            <w:bottom w:val="none" w:sz="0" w:space="0" w:color="auto"/>
            <w:right w:val="none" w:sz="0" w:space="0" w:color="auto"/>
          </w:divBdr>
        </w:div>
        <w:div w:id="330110907">
          <w:marLeft w:val="640"/>
          <w:marRight w:val="0"/>
          <w:marTop w:val="0"/>
          <w:marBottom w:val="0"/>
          <w:divBdr>
            <w:top w:val="none" w:sz="0" w:space="0" w:color="auto"/>
            <w:left w:val="none" w:sz="0" w:space="0" w:color="auto"/>
            <w:bottom w:val="none" w:sz="0" w:space="0" w:color="auto"/>
            <w:right w:val="none" w:sz="0" w:space="0" w:color="auto"/>
          </w:divBdr>
        </w:div>
        <w:div w:id="1779635753">
          <w:marLeft w:val="640"/>
          <w:marRight w:val="0"/>
          <w:marTop w:val="0"/>
          <w:marBottom w:val="0"/>
          <w:divBdr>
            <w:top w:val="none" w:sz="0" w:space="0" w:color="auto"/>
            <w:left w:val="none" w:sz="0" w:space="0" w:color="auto"/>
            <w:bottom w:val="none" w:sz="0" w:space="0" w:color="auto"/>
            <w:right w:val="none" w:sz="0" w:space="0" w:color="auto"/>
          </w:divBdr>
        </w:div>
        <w:div w:id="863790880">
          <w:marLeft w:val="640"/>
          <w:marRight w:val="0"/>
          <w:marTop w:val="0"/>
          <w:marBottom w:val="0"/>
          <w:divBdr>
            <w:top w:val="none" w:sz="0" w:space="0" w:color="auto"/>
            <w:left w:val="none" w:sz="0" w:space="0" w:color="auto"/>
            <w:bottom w:val="none" w:sz="0" w:space="0" w:color="auto"/>
            <w:right w:val="none" w:sz="0" w:space="0" w:color="auto"/>
          </w:divBdr>
        </w:div>
        <w:div w:id="1558541528">
          <w:marLeft w:val="640"/>
          <w:marRight w:val="0"/>
          <w:marTop w:val="0"/>
          <w:marBottom w:val="0"/>
          <w:divBdr>
            <w:top w:val="none" w:sz="0" w:space="0" w:color="auto"/>
            <w:left w:val="none" w:sz="0" w:space="0" w:color="auto"/>
            <w:bottom w:val="none" w:sz="0" w:space="0" w:color="auto"/>
            <w:right w:val="none" w:sz="0" w:space="0" w:color="auto"/>
          </w:divBdr>
        </w:div>
        <w:div w:id="908660359">
          <w:marLeft w:val="640"/>
          <w:marRight w:val="0"/>
          <w:marTop w:val="0"/>
          <w:marBottom w:val="0"/>
          <w:divBdr>
            <w:top w:val="none" w:sz="0" w:space="0" w:color="auto"/>
            <w:left w:val="none" w:sz="0" w:space="0" w:color="auto"/>
            <w:bottom w:val="none" w:sz="0" w:space="0" w:color="auto"/>
            <w:right w:val="none" w:sz="0" w:space="0" w:color="auto"/>
          </w:divBdr>
        </w:div>
        <w:div w:id="1796872002">
          <w:marLeft w:val="640"/>
          <w:marRight w:val="0"/>
          <w:marTop w:val="0"/>
          <w:marBottom w:val="0"/>
          <w:divBdr>
            <w:top w:val="none" w:sz="0" w:space="0" w:color="auto"/>
            <w:left w:val="none" w:sz="0" w:space="0" w:color="auto"/>
            <w:bottom w:val="none" w:sz="0" w:space="0" w:color="auto"/>
            <w:right w:val="none" w:sz="0" w:space="0" w:color="auto"/>
          </w:divBdr>
        </w:div>
        <w:div w:id="1595244347">
          <w:marLeft w:val="640"/>
          <w:marRight w:val="0"/>
          <w:marTop w:val="0"/>
          <w:marBottom w:val="0"/>
          <w:divBdr>
            <w:top w:val="none" w:sz="0" w:space="0" w:color="auto"/>
            <w:left w:val="none" w:sz="0" w:space="0" w:color="auto"/>
            <w:bottom w:val="none" w:sz="0" w:space="0" w:color="auto"/>
            <w:right w:val="none" w:sz="0" w:space="0" w:color="auto"/>
          </w:divBdr>
        </w:div>
        <w:div w:id="840310907">
          <w:marLeft w:val="640"/>
          <w:marRight w:val="0"/>
          <w:marTop w:val="0"/>
          <w:marBottom w:val="0"/>
          <w:divBdr>
            <w:top w:val="none" w:sz="0" w:space="0" w:color="auto"/>
            <w:left w:val="none" w:sz="0" w:space="0" w:color="auto"/>
            <w:bottom w:val="none" w:sz="0" w:space="0" w:color="auto"/>
            <w:right w:val="none" w:sz="0" w:space="0" w:color="auto"/>
          </w:divBdr>
        </w:div>
        <w:div w:id="816605985">
          <w:marLeft w:val="640"/>
          <w:marRight w:val="0"/>
          <w:marTop w:val="0"/>
          <w:marBottom w:val="0"/>
          <w:divBdr>
            <w:top w:val="none" w:sz="0" w:space="0" w:color="auto"/>
            <w:left w:val="none" w:sz="0" w:space="0" w:color="auto"/>
            <w:bottom w:val="none" w:sz="0" w:space="0" w:color="auto"/>
            <w:right w:val="none" w:sz="0" w:space="0" w:color="auto"/>
          </w:divBdr>
        </w:div>
        <w:div w:id="1953247735">
          <w:marLeft w:val="640"/>
          <w:marRight w:val="0"/>
          <w:marTop w:val="0"/>
          <w:marBottom w:val="0"/>
          <w:divBdr>
            <w:top w:val="none" w:sz="0" w:space="0" w:color="auto"/>
            <w:left w:val="none" w:sz="0" w:space="0" w:color="auto"/>
            <w:bottom w:val="none" w:sz="0" w:space="0" w:color="auto"/>
            <w:right w:val="none" w:sz="0" w:space="0" w:color="auto"/>
          </w:divBdr>
        </w:div>
      </w:divsChild>
    </w:div>
    <w:div w:id="1487743617">
      <w:bodyDiv w:val="1"/>
      <w:marLeft w:val="0"/>
      <w:marRight w:val="0"/>
      <w:marTop w:val="0"/>
      <w:marBottom w:val="0"/>
      <w:divBdr>
        <w:top w:val="none" w:sz="0" w:space="0" w:color="auto"/>
        <w:left w:val="none" w:sz="0" w:space="0" w:color="auto"/>
        <w:bottom w:val="none" w:sz="0" w:space="0" w:color="auto"/>
        <w:right w:val="none" w:sz="0" w:space="0" w:color="auto"/>
      </w:divBdr>
      <w:divsChild>
        <w:div w:id="78067336">
          <w:marLeft w:val="0"/>
          <w:marRight w:val="0"/>
          <w:marTop w:val="0"/>
          <w:marBottom w:val="0"/>
          <w:divBdr>
            <w:top w:val="none" w:sz="0" w:space="0" w:color="auto"/>
            <w:left w:val="none" w:sz="0" w:space="0" w:color="auto"/>
            <w:bottom w:val="none" w:sz="0" w:space="0" w:color="auto"/>
            <w:right w:val="none" w:sz="0" w:space="0" w:color="auto"/>
          </w:divBdr>
        </w:div>
        <w:div w:id="107900020">
          <w:marLeft w:val="0"/>
          <w:marRight w:val="0"/>
          <w:marTop w:val="0"/>
          <w:marBottom w:val="0"/>
          <w:divBdr>
            <w:top w:val="none" w:sz="0" w:space="0" w:color="auto"/>
            <w:left w:val="none" w:sz="0" w:space="0" w:color="auto"/>
            <w:bottom w:val="none" w:sz="0" w:space="0" w:color="auto"/>
            <w:right w:val="none" w:sz="0" w:space="0" w:color="auto"/>
          </w:divBdr>
        </w:div>
        <w:div w:id="970015234">
          <w:marLeft w:val="0"/>
          <w:marRight w:val="0"/>
          <w:marTop w:val="0"/>
          <w:marBottom w:val="0"/>
          <w:divBdr>
            <w:top w:val="none" w:sz="0" w:space="0" w:color="auto"/>
            <w:left w:val="none" w:sz="0" w:space="0" w:color="auto"/>
            <w:bottom w:val="none" w:sz="0" w:space="0" w:color="auto"/>
            <w:right w:val="none" w:sz="0" w:space="0" w:color="auto"/>
          </w:divBdr>
        </w:div>
      </w:divsChild>
    </w:div>
    <w:div w:id="1542211597">
      <w:bodyDiv w:val="1"/>
      <w:marLeft w:val="0"/>
      <w:marRight w:val="0"/>
      <w:marTop w:val="0"/>
      <w:marBottom w:val="0"/>
      <w:divBdr>
        <w:top w:val="none" w:sz="0" w:space="0" w:color="auto"/>
        <w:left w:val="none" w:sz="0" w:space="0" w:color="auto"/>
        <w:bottom w:val="none" w:sz="0" w:space="0" w:color="auto"/>
        <w:right w:val="none" w:sz="0" w:space="0" w:color="auto"/>
      </w:divBdr>
      <w:divsChild>
        <w:div w:id="2026320256">
          <w:marLeft w:val="640"/>
          <w:marRight w:val="0"/>
          <w:marTop w:val="0"/>
          <w:marBottom w:val="0"/>
          <w:divBdr>
            <w:top w:val="none" w:sz="0" w:space="0" w:color="auto"/>
            <w:left w:val="none" w:sz="0" w:space="0" w:color="auto"/>
            <w:bottom w:val="none" w:sz="0" w:space="0" w:color="auto"/>
            <w:right w:val="none" w:sz="0" w:space="0" w:color="auto"/>
          </w:divBdr>
        </w:div>
        <w:div w:id="402073046">
          <w:marLeft w:val="640"/>
          <w:marRight w:val="0"/>
          <w:marTop w:val="0"/>
          <w:marBottom w:val="0"/>
          <w:divBdr>
            <w:top w:val="none" w:sz="0" w:space="0" w:color="auto"/>
            <w:left w:val="none" w:sz="0" w:space="0" w:color="auto"/>
            <w:bottom w:val="none" w:sz="0" w:space="0" w:color="auto"/>
            <w:right w:val="none" w:sz="0" w:space="0" w:color="auto"/>
          </w:divBdr>
        </w:div>
        <w:div w:id="223419410">
          <w:marLeft w:val="640"/>
          <w:marRight w:val="0"/>
          <w:marTop w:val="0"/>
          <w:marBottom w:val="0"/>
          <w:divBdr>
            <w:top w:val="none" w:sz="0" w:space="0" w:color="auto"/>
            <w:left w:val="none" w:sz="0" w:space="0" w:color="auto"/>
            <w:bottom w:val="none" w:sz="0" w:space="0" w:color="auto"/>
            <w:right w:val="none" w:sz="0" w:space="0" w:color="auto"/>
          </w:divBdr>
        </w:div>
        <w:div w:id="1856337260">
          <w:marLeft w:val="640"/>
          <w:marRight w:val="0"/>
          <w:marTop w:val="0"/>
          <w:marBottom w:val="0"/>
          <w:divBdr>
            <w:top w:val="none" w:sz="0" w:space="0" w:color="auto"/>
            <w:left w:val="none" w:sz="0" w:space="0" w:color="auto"/>
            <w:bottom w:val="none" w:sz="0" w:space="0" w:color="auto"/>
            <w:right w:val="none" w:sz="0" w:space="0" w:color="auto"/>
          </w:divBdr>
        </w:div>
        <w:div w:id="1387071329">
          <w:marLeft w:val="640"/>
          <w:marRight w:val="0"/>
          <w:marTop w:val="0"/>
          <w:marBottom w:val="0"/>
          <w:divBdr>
            <w:top w:val="none" w:sz="0" w:space="0" w:color="auto"/>
            <w:left w:val="none" w:sz="0" w:space="0" w:color="auto"/>
            <w:bottom w:val="none" w:sz="0" w:space="0" w:color="auto"/>
            <w:right w:val="none" w:sz="0" w:space="0" w:color="auto"/>
          </w:divBdr>
        </w:div>
        <w:div w:id="551313273">
          <w:marLeft w:val="640"/>
          <w:marRight w:val="0"/>
          <w:marTop w:val="0"/>
          <w:marBottom w:val="0"/>
          <w:divBdr>
            <w:top w:val="none" w:sz="0" w:space="0" w:color="auto"/>
            <w:left w:val="none" w:sz="0" w:space="0" w:color="auto"/>
            <w:bottom w:val="none" w:sz="0" w:space="0" w:color="auto"/>
            <w:right w:val="none" w:sz="0" w:space="0" w:color="auto"/>
          </w:divBdr>
        </w:div>
        <w:div w:id="1435786686">
          <w:marLeft w:val="640"/>
          <w:marRight w:val="0"/>
          <w:marTop w:val="0"/>
          <w:marBottom w:val="0"/>
          <w:divBdr>
            <w:top w:val="none" w:sz="0" w:space="0" w:color="auto"/>
            <w:left w:val="none" w:sz="0" w:space="0" w:color="auto"/>
            <w:bottom w:val="none" w:sz="0" w:space="0" w:color="auto"/>
            <w:right w:val="none" w:sz="0" w:space="0" w:color="auto"/>
          </w:divBdr>
        </w:div>
        <w:div w:id="1693728042">
          <w:marLeft w:val="640"/>
          <w:marRight w:val="0"/>
          <w:marTop w:val="0"/>
          <w:marBottom w:val="0"/>
          <w:divBdr>
            <w:top w:val="none" w:sz="0" w:space="0" w:color="auto"/>
            <w:left w:val="none" w:sz="0" w:space="0" w:color="auto"/>
            <w:bottom w:val="none" w:sz="0" w:space="0" w:color="auto"/>
            <w:right w:val="none" w:sz="0" w:space="0" w:color="auto"/>
          </w:divBdr>
        </w:div>
        <w:div w:id="346643951">
          <w:marLeft w:val="640"/>
          <w:marRight w:val="0"/>
          <w:marTop w:val="0"/>
          <w:marBottom w:val="0"/>
          <w:divBdr>
            <w:top w:val="none" w:sz="0" w:space="0" w:color="auto"/>
            <w:left w:val="none" w:sz="0" w:space="0" w:color="auto"/>
            <w:bottom w:val="none" w:sz="0" w:space="0" w:color="auto"/>
            <w:right w:val="none" w:sz="0" w:space="0" w:color="auto"/>
          </w:divBdr>
        </w:div>
        <w:div w:id="1155875389">
          <w:marLeft w:val="640"/>
          <w:marRight w:val="0"/>
          <w:marTop w:val="0"/>
          <w:marBottom w:val="0"/>
          <w:divBdr>
            <w:top w:val="none" w:sz="0" w:space="0" w:color="auto"/>
            <w:left w:val="none" w:sz="0" w:space="0" w:color="auto"/>
            <w:bottom w:val="none" w:sz="0" w:space="0" w:color="auto"/>
            <w:right w:val="none" w:sz="0" w:space="0" w:color="auto"/>
          </w:divBdr>
        </w:div>
        <w:div w:id="896473359">
          <w:marLeft w:val="640"/>
          <w:marRight w:val="0"/>
          <w:marTop w:val="0"/>
          <w:marBottom w:val="0"/>
          <w:divBdr>
            <w:top w:val="none" w:sz="0" w:space="0" w:color="auto"/>
            <w:left w:val="none" w:sz="0" w:space="0" w:color="auto"/>
            <w:bottom w:val="none" w:sz="0" w:space="0" w:color="auto"/>
            <w:right w:val="none" w:sz="0" w:space="0" w:color="auto"/>
          </w:divBdr>
        </w:div>
        <w:div w:id="1436099413">
          <w:marLeft w:val="640"/>
          <w:marRight w:val="0"/>
          <w:marTop w:val="0"/>
          <w:marBottom w:val="0"/>
          <w:divBdr>
            <w:top w:val="none" w:sz="0" w:space="0" w:color="auto"/>
            <w:left w:val="none" w:sz="0" w:space="0" w:color="auto"/>
            <w:bottom w:val="none" w:sz="0" w:space="0" w:color="auto"/>
            <w:right w:val="none" w:sz="0" w:space="0" w:color="auto"/>
          </w:divBdr>
        </w:div>
        <w:div w:id="68307018">
          <w:marLeft w:val="640"/>
          <w:marRight w:val="0"/>
          <w:marTop w:val="0"/>
          <w:marBottom w:val="0"/>
          <w:divBdr>
            <w:top w:val="none" w:sz="0" w:space="0" w:color="auto"/>
            <w:left w:val="none" w:sz="0" w:space="0" w:color="auto"/>
            <w:bottom w:val="none" w:sz="0" w:space="0" w:color="auto"/>
            <w:right w:val="none" w:sz="0" w:space="0" w:color="auto"/>
          </w:divBdr>
        </w:div>
        <w:div w:id="1478838559">
          <w:marLeft w:val="640"/>
          <w:marRight w:val="0"/>
          <w:marTop w:val="0"/>
          <w:marBottom w:val="0"/>
          <w:divBdr>
            <w:top w:val="none" w:sz="0" w:space="0" w:color="auto"/>
            <w:left w:val="none" w:sz="0" w:space="0" w:color="auto"/>
            <w:bottom w:val="none" w:sz="0" w:space="0" w:color="auto"/>
            <w:right w:val="none" w:sz="0" w:space="0" w:color="auto"/>
          </w:divBdr>
        </w:div>
        <w:div w:id="1372463349">
          <w:marLeft w:val="640"/>
          <w:marRight w:val="0"/>
          <w:marTop w:val="0"/>
          <w:marBottom w:val="0"/>
          <w:divBdr>
            <w:top w:val="none" w:sz="0" w:space="0" w:color="auto"/>
            <w:left w:val="none" w:sz="0" w:space="0" w:color="auto"/>
            <w:bottom w:val="none" w:sz="0" w:space="0" w:color="auto"/>
            <w:right w:val="none" w:sz="0" w:space="0" w:color="auto"/>
          </w:divBdr>
        </w:div>
        <w:div w:id="2004970736">
          <w:marLeft w:val="640"/>
          <w:marRight w:val="0"/>
          <w:marTop w:val="0"/>
          <w:marBottom w:val="0"/>
          <w:divBdr>
            <w:top w:val="none" w:sz="0" w:space="0" w:color="auto"/>
            <w:left w:val="none" w:sz="0" w:space="0" w:color="auto"/>
            <w:bottom w:val="none" w:sz="0" w:space="0" w:color="auto"/>
            <w:right w:val="none" w:sz="0" w:space="0" w:color="auto"/>
          </w:divBdr>
        </w:div>
        <w:div w:id="1636839008">
          <w:marLeft w:val="640"/>
          <w:marRight w:val="0"/>
          <w:marTop w:val="0"/>
          <w:marBottom w:val="0"/>
          <w:divBdr>
            <w:top w:val="none" w:sz="0" w:space="0" w:color="auto"/>
            <w:left w:val="none" w:sz="0" w:space="0" w:color="auto"/>
            <w:bottom w:val="none" w:sz="0" w:space="0" w:color="auto"/>
            <w:right w:val="none" w:sz="0" w:space="0" w:color="auto"/>
          </w:divBdr>
        </w:div>
        <w:div w:id="481432296">
          <w:marLeft w:val="640"/>
          <w:marRight w:val="0"/>
          <w:marTop w:val="0"/>
          <w:marBottom w:val="0"/>
          <w:divBdr>
            <w:top w:val="none" w:sz="0" w:space="0" w:color="auto"/>
            <w:left w:val="none" w:sz="0" w:space="0" w:color="auto"/>
            <w:bottom w:val="none" w:sz="0" w:space="0" w:color="auto"/>
            <w:right w:val="none" w:sz="0" w:space="0" w:color="auto"/>
          </w:divBdr>
        </w:div>
        <w:div w:id="1817792533">
          <w:marLeft w:val="640"/>
          <w:marRight w:val="0"/>
          <w:marTop w:val="0"/>
          <w:marBottom w:val="0"/>
          <w:divBdr>
            <w:top w:val="none" w:sz="0" w:space="0" w:color="auto"/>
            <w:left w:val="none" w:sz="0" w:space="0" w:color="auto"/>
            <w:bottom w:val="none" w:sz="0" w:space="0" w:color="auto"/>
            <w:right w:val="none" w:sz="0" w:space="0" w:color="auto"/>
          </w:divBdr>
        </w:div>
        <w:div w:id="1165826881">
          <w:marLeft w:val="640"/>
          <w:marRight w:val="0"/>
          <w:marTop w:val="0"/>
          <w:marBottom w:val="0"/>
          <w:divBdr>
            <w:top w:val="none" w:sz="0" w:space="0" w:color="auto"/>
            <w:left w:val="none" w:sz="0" w:space="0" w:color="auto"/>
            <w:bottom w:val="none" w:sz="0" w:space="0" w:color="auto"/>
            <w:right w:val="none" w:sz="0" w:space="0" w:color="auto"/>
          </w:divBdr>
        </w:div>
        <w:div w:id="671376094">
          <w:marLeft w:val="640"/>
          <w:marRight w:val="0"/>
          <w:marTop w:val="0"/>
          <w:marBottom w:val="0"/>
          <w:divBdr>
            <w:top w:val="none" w:sz="0" w:space="0" w:color="auto"/>
            <w:left w:val="none" w:sz="0" w:space="0" w:color="auto"/>
            <w:bottom w:val="none" w:sz="0" w:space="0" w:color="auto"/>
            <w:right w:val="none" w:sz="0" w:space="0" w:color="auto"/>
          </w:divBdr>
        </w:div>
        <w:div w:id="2072118481">
          <w:marLeft w:val="640"/>
          <w:marRight w:val="0"/>
          <w:marTop w:val="0"/>
          <w:marBottom w:val="0"/>
          <w:divBdr>
            <w:top w:val="none" w:sz="0" w:space="0" w:color="auto"/>
            <w:left w:val="none" w:sz="0" w:space="0" w:color="auto"/>
            <w:bottom w:val="none" w:sz="0" w:space="0" w:color="auto"/>
            <w:right w:val="none" w:sz="0" w:space="0" w:color="auto"/>
          </w:divBdr>
        </w:div>
      </w:divsChild>
    </w:div>
    <w:div w:id="1586722790">
      <w:bodyDiv w:val="1"/>
      <w:marLeft w:val="0"/>
      <w:marRight w:val="0"/>
      <w:marTop w:val="0"/>
      <w:marBottom w:val="0"/>
      <w:divBdr>
        <w:top w:val="none" w:sz="0" w:space="0" w:color="auto"/>
        <w:left w:val="none" w:sz="0" w:space="0" w:color="auto"/>
        <w:bottom w:val="none" w:sz="0" w:space="0" w:color="auto"/>
        <w:right w:val="none" w:sz="0" w:space="0" w:color="auto"/>
      </w:divBdr>
      <w:divsChild>
        <w:div w:id="144977143">
          <w:marLeft w:val="640"/>
          <w:marRight w:val="0"/>
          <w:marTop w:val="0"/>
          <w:marBottom w:val="0"/>
          <w:divBdr>
            <w:top w:val="none" w:sz="0" w:space="0" w:color="auto"/>
            <w:left w:val="none" w:sz="0" w:space="0" w:color="auto"/>
            <w:bottom w:val="none" w:sz="0" w:space="0" w:color="auto"/>
            <w:right w:val="none" w:sz="0" w:space="0" w:color="auto"/>
          </w:divBdr>
        </w:div>
        <w:div w:id="303893756">
          <w:marLeft w:val="640"/>
          <w:marRight w:val="0"/>
          <w:marTop w:val="0"/>
          <w:marBottom w:val="0"/>
          <w:divBdr>
            <w:top w:val="none" w:sz="0" w:space="0" w:color="auto"/>
            <w:left w:val="none" w:sz="0" w:space="0" w:color="auto"/>
            <w:bottom w:val="none" w:sz="0" w:space="0" w:color="auto"/>
            <w:right w:val="none" w:sz="0" w:space="0" w:color="auto"/>
          </w:divBdr>
        </w:div>
        <w:div w:id="334185830">
          <w:marLeft w:val="640"/>
          <w:marRight w:val="0"/>
          <w:marTop w:val="0"/>
          <w:marBottom w:val="0"/>
          <w:divBdr>
            <w:top w:val="none" w:sz="0" w:space="0" w:color="auto"/>
            <w:left w:val="none" w:sz="0" w:space="0" w:color="auto"/>
            <w:bottom w:val="none" w:sz="0" w:space="0" w:color="auto"/>
            <w:right w:val="none" w:sz="0" w:space="0" w:color="auto"/>
          </w:divBdr>
        </w:div>
        <w:div w:id="456796609">
          <w:marLeft w:val="640"/>
          <w:marRight w:val="0"/>
          <w:marTop w:val="0"/>
          <w:marBottom w:val="0"/>
          <w:divBdr>
            <w:top w:val="none" w:sz="0" w:space="0" w:color="auto"/>
            <w:left w:val="none" w:sz="0" w:space="0" w:color="auto"/>
            <w:bottom w:val="none" w:sz="0" w:space="0" w:color="auto"/>
            <w:right w:val="none" w:sz="0" w:space="0" w:color="auto"/>
          </w:divBdr>
        </w:div>
        <w:div w:id="629744307">
          <w:marLeft w:val="640"/>
          <w:marRight w:val="0"/>
          <w:marTop w:val="0"/>
          <w:marBottom w:val="0"/>
          <w:divBdr>
            <w:top w:val="none" w:sz="0" w:space="0" w:color="auto"/>
            <w:left w:val="none" w:sz="0" w:space="0" w:color="auto"/>
            <w:bottom w:val="none" w:sz="0" w:space="0" w:color="auto"/>
            <w:right w:val="none" w:sz="0" w:space="0" w:color="auto"/>
          </w:divBdr>
        </w:div>
        <w:div w:id="743600355">
          <w:marLeft w:val="640"/>
          <w:marRight w:val="0"/>
          <w:marTop w:val="0"/>
          <w:marBottom w:val="0"/>
          <w:divBdr>
            <w:top w:val="none" w:sz="0" w:space="0" w:color="auto"/>
            <w:left w:val="none" w:sz="0" w:space="0" w:color="auto"/>
            <w:bottom w:val="none" w:sz="0" w:space="0" w:color="auto"/>
            <w:right w:val="none" w:sz="0" w:space="0" w:color="auto"/>
          </w:divBdr>
        </w:div>
        <w:div w:id="758672670">
          <w:marLeft w:val="640"/>
          <w:marRight w:val="0"/>
          <w:marTop w:val="0"/>
          <w:marBottom w:val="0"/>
          <w:divBdr>
            <w:top w:val="none" w:sz="0" w:space="0" w:color="auto"/>
            <w:left w:val="none" w:sz="0" w:space="0" w:color="auto"/>
            <w:bottom w:val="none" w:sz="0" w:space="0" w:color="auto"/>
            <w:right w:val="none" w:sz="0" w:space="0" w:color="auto"/>
          </w:divBdr>
        </w:div>
        <w:div w:id="818574419">
          <w:marLeft w:val="640"/>
          <w:marRight w:val="0"/>
          <w:marTop w:val="0"/>
          <w:marBottom w:val="0"/>
          <w:divBdr>
            <w:top w:val="none" w:sz="0" w:space="0" w:color="auto"/>
            <w:left w:val="none" w:sz="0" w:space="0" w:color="auto"/>
            <w:bottom w:val="none" w:sz="0" w:space="0" w:color="auto"/>
            <w:right w:val="none" w:sz="0" w:space="0" w:color="auto"/>
          </w:divBdr>
        </w:div>
        <w:div w:id="825316854">
          <w:marLeft w:val="640"/>
          <w:marRight w:val="0"/>
          <w:marTop w:val="0"/>
          <w:marBottom w:val="0"/>
          <w:divBdr>
            <w:top w:val="none" w:sz="0" w:space="0" w:color="auto"/>
            <w:left w:val="none" w:sz="0" w:space="0" w:color="auto"/>
            <w:bottom w:val="none" w:sz="0" w:space="0" w:color="auto"/>
            <w:right w:val="none" w:sz="0" w:space="0" w:color="auto"/>
          </w:divBdr>
        </w:div>
        <w:div w:id="874662151">
          <w:marLeft w:val="640"/>
          <w:marRight w:val="0"/>
          <w:marTop w:val="0"/>
          <w:marBottom w:val="0"/>
          <w:divBdr>
            <w:top w:val="none" w:sz="0" w:space="0" w:color="auto"/>
            <w:left w:val="none" w:sz="0" w:space="0" w:color="auto"/>
            <w:bottom w:val="none" w:sz="0" w:space="0" w:color="auto"/>
            <w:right w:val="none" w:sz="0" w:space="0" w:color="auto"/>
          </w:divBdr>
        </w:div>
        <w:div w:id="927693363">
          <w:marLeft w:val="640"/>
          <w:marRight w:val="0"/>
          <w:marTop w:val="0"/>
          <w:marBottom w:val="0"/>
          <w:divBdr>
            <w:top w:val="none" w:sz="0" w:space="0" w:color="auto"/>
            <w:left w:val="none" w:sz="0" w:space="0" w:color="auto"/>
            <w:bottom w:val="none" w:sz="0" w:space="0" w:color="auto"/>
            <w:right w:val="none" w:sz="0" w:space="0" w:color="auto"/>
          </w:divBdr>
        </w:div>
        <w:div w:id="948927502">
          <w:marLeft w:val="640"/>
          <w:marRight w:val="0"/>
          <w:marTop w:val="0"/>
          <w:marBottom w:val="0"/>
          <w:divBdr>
            <w:top w:val="none" w:sz="0" w:space="0" w:color="auto"/>
            <w:left w:val="none" w:sz="0" w:space="0" w:color="auto"/>
            <w:bottom w:val="none" w:sz="0" w:space="0" w:color="auto"/>
            <w:right w:val="none" w:sz="0" w:space="0" w:color="auto"/>
          </w:divBdr>
        </w:div>
        <w:div w:id="1037316872">
          <w:marLeft w:val="640"/>
          <w:marRight w:val="0"/>
          <w:marTop w:val="0"/>
          <w:marBottom w:val="0"/>
          <w:divBdr>
            <w:top w:val="none" w:sz="0" w:space="0" w:color="auto"/>
            <w:left w:val="none" w:sz="0" w:space="0" w:color="auto"/>
            <w:bottom w:val="none" w:sz="0" w:space="0" w:color="auto"/>
            <w:right w:val="none" w:sz="0" w:space="0" w:color="auto"/>
          </w:divBdr>
        </w:div>
        <w:div w:id="1072435989">
          <w:marLeft w:val="640"/>
          <w:marRight w:val="0"/>
          <w:marTop w:val="0"/>
          <w:marBottom w:val="0"/>
          <w:divBdr>
            <w:top w:val="none" w:sz="0" w:space="0" w:color="auto"/>
            <w:left w:val="none" w:sz="0" w:space="0" w:color="auto"/>
            <w:bottom w:val="none" w:sz="0" w:space="0" w:color="auto"/>
            <w:right w:val="none" w:sz="0" w:space="0" w:color="auto"/>
          </w:divBdr>
        </w:div>
        <w:div w:id="1189105234">
          <w:marLeft w:val="640"/>
          <w:marRight w:val="0"/>
          <w:marTop w:val="0"/>
          <w:marBottom w:val="0"/>
          <w:divBdr>
            <w:top w:val="none" w:sz="0" w:space="0" w:color="auto"/>
            <w:left w:val="none" w:sz="0" w:space="0" w:color="auto"/>
            <w:bottom w:val="none" w:sz="0" w:space="0" w:color="auto"/>
            <w:right w:val="none" w:sz="0" w:space="0" w:color="auto"/>
          </w:divBdr>
        </w:div>
        <w:div w:id="1231311900">
          <w:marLeft w:val="640"/>
          <w:marRight w:val="0"/>
          <w:marTop w:val="0"/>
          <w:marBottom w:val="0"/>
          <w:divBdr>
            <w:top w:val="none" w:sz="0" w:space="0" w:color="auto"/>
            <w:left w:val="none" w:sz="0" w:space="0" w:color="auto"/>
            <w:bottom w:val="none" w:sz="0" w:space="0" w:color="auto"/>
            <w:right w:val="none" w:sz="0" w:space="0" w:color="auto"/>
          </w:divBdr>
        </w:div>
        <w:div w:id="1360082666">
          <w:marLeft w:val="640"/>
          <w:marRight w:val="0"/>
          <w:marTop w:val="0"/>
          <w:marBottom w:val="0"/>
          <w:divBdr>
            <w:top w:val="none" w:sz="0" w:space="0" w:color="auto"/>
            <w:left w:val="none" w:sz="0" w:space="0" w:color="auto"/>
            <w:bottom w:val="none" w:sz="0" w:space="0" w:color="auto"/>
            <w:right w:val="none" w:sz="0" w:space="0" w:color="auto"/>
          </w:divBdr>
        </w:div>
        <w:div w:id="1375733820">
          <w:marLeft w:val="640"/>
          <w:marRight w:val="0"/>
          <w:marTop w:val="0"/>
          <w:marBottom w:val="0"/>
          <w:divBdr>
            <w:top w:val="none" w:sz="0" w:space="0" w:color="auto"/>
            <w:left w:val="none" w:sz="0" w:space="0" w:color="auto"/>
            <w:bottom w:val="none" w:sz="0" w:space="0" w:color="auto"/>
            <w:right w:val="none" w:sz="0" w:space="0" w:color="auto"/>
          </w:divBdr>
        </w:div>
        <w:div w:id="1453984873">
          <w:marLeft w:val="640"/>
          <w:marRight w:val="0"/>
          <w:marTop w:val="0"/>
          <w:marBottom w:val="0"/>
          <w:divBdr>
            <w:top w:val="none" w:sz="0" w:space="0" w:color="auto"/>
            <w:left w:val="none" w:sz="0" w:space="0" w:color="auto"/>
            <w:bottom w:val="none" w:sz="0" w:space="0" w:color="auto"/>
            <w:right w:val="none" w:sz="0" w:space="0" w:color="auto"/>
          </w:divBdr>
        </w:div>
        <w:div w:id="1564293725">
          <w:marLeft w:val="640"/>
          <w:marRight w:val="0"/>
          <w:marTop w:val="0"/>
          <w:marBottom w:val="0"/>
          <w:divBdr>
            <w:top w:val="none" w:sz="0" w:space="0" w:color="auto"/>
            <w:left w:val="none" w:sz="0" w:space="0" w:color="auto"/>
            <w:bottom w:val="none" w:sz="0" w:space="0" w:color="auto"/>
            <w:right w:val="none" w:sz="0" w:space="0" w:color="auto"/>
          </w:divBdr>
        </w:div>
        <w:div w:id="1651013780">
          <w:marLeft w:val="640"/>
          <w:marRight w:val="0"/>
          <w:marTop w:val="0"/>
          <w:marBottom w:val="0"/>
          <w:divBdr>
            <w:top w:val="none" w:sz="0" w:space="0" w:color="auto"/>
            <w:left w:val="none" w:sz="0" w:space="0" w:color="auto"/>
            <w:bottom w:val="none" w:sz="0" w:space="0" w:color="auto"/>
            <w:right w:val="none" w:sz="0" w:space="0" w:color="auto"/>
          </w:divBdr>
        </w:div>
        <w:div w:id="1695841483">
          <w:marLeft w:val="640"/>
          <w:marRight w:val="0"/>
          <w:marTop w:val="0"/>
          <w:marBottom w:val="0"/>
          <w:divBdr>
            <w:top w:val="none" w:sz="0" w:space="0" w:color="auto"/>
            <w:left w:val="none" w:sz="0" w:space="0" w:color="auto"/>
            <w:bottom w:val="none" w:sz="0" w:space="0" w:color="auto"/>
            <w:right w:val="none" w:sz="0" w:space="0" w:color="auto"/>
          </w:divBdr>
        </w:div>
      </w:divsChild>
    </w:div>
    <w:div w:id="1702395205">
      <w:bodyDiv w:val="1"/>
      <w:marLeft w:val="0"/>
      <w:marRight w:val="0"/>
      <w:marTop w:val="0"/>
      <w:marBottom w:val="0"/>
      <w:divBdr>
        <w:top w:val="none" w:sz="0" w:space="0" w:color="auto"/>
        <w:left w:val="none" w:sz="0" w:space="0" w:color="auto"/>
        <w:bottom w:val="none" w:sz="0" w:space="0" w:color="auto"/>
        <w:right w:val="none" w:sz="0" w:space="0" w:color="auto"/>
      </w:divBdr>
    </w:div>
    <w:div w:id="1712344740">
      <w:bodyDiv w:val="1"/>
      <w:marLeft w:val="0"/>
      <w:marRight w:val="0"/>
      <w:marTop w:val="0"/>
      <w:marBottom w:val="0"/>
      <w:divBdr>
        <w:top w:val="none" w:sz="0" w:space="0" w:color="auto"/>
        <w:left w:val="none" w:sz="0" w:space="0" w:color="auto"/>
        <w:bottom w:val="none" w:sz="0" w:space="0" w:color="auto"/>
        <w:right w:val="none" w:sz="0" w:space="0" w:color="auto"/>
      </w:divBdr>
      <w:divsChild>
        <w:div w:id="716709897">
          <w:marLeft w:val="640"/>
          <w:marRight w:val="0"/>
          <w:marTop w:val="0"/>
          <w:marBottom w:val="0"/>
          <w:divBdr>
            <w:top w:val="none" w:sz="0" w:space="0" w:color="auto"/>
            <w:left w:val="none" w:sz="0" w:space="0" w:color="auto"/>
            <w:bottom w:val="none" w:sz="0" w:space="0" w:color="auto"/>
            <w:right w:val="none" w:sz="0" w:space="0" w:color="auto"/>
          </w:divBdr>
        </w:div>
        <w:div w:id="269092864">
          <w:marLeft w:val="640"/>
          <w:marRight w:val="0"/>
          <w:marTop w:val="0"/>
          <w:marBottom w:val="0"/>
          <w:divBdr>
            <w:top w:val="none" w:sz="0" w:space="0" w:color="auto"/>
            <w:left w:val="none" w:sz="0" w:space="0" w:color="auto"/>
            <w:bottom w:val="none" w:sz="0" w:space="0" w:color="auto"/>
            <w:right w:val="none" w:sz="0" w:space="0" w:color="auto"/>
          </w:divBdr>
        </w:div>
        <w:div w:id="1706174278">
          <w:marLeft w:val="640"/>
          <w:marRight w:val="0"/>
          <w:marTop w:val="0"/>
          <w:marBottom w:val="0"/>
          <w:divBdr>
            <w:top w:val="none" w:sz="0" w:space="0" w:color="auto"/>
            <w:left w:val="none" w:sz="0" w:space="0" w:color="auto"/>
            <w:bottom w:val="none" w:sz="0" w:space="0" w:color="auto"/>
            <w:right w:val="none" w:sz="0" w:space="0" w:color="auto"/>
          </w:divBdr>
        </w:div>
        <w:div w:id="728579324">
          <w:marLeft w:val="640"/>
          <w:marRight w:val="0"/>
          <w:marTop w:val="0"/>
          <w:marBottom w:val="0"/>
          <w:divBdr>
            <w:top w:val="none" w:sz="0" w:space="0" w:color="auto"/>
            <w:left w:val="none" w:sz="0" w:space="0" w:color="auto"/>
            <w:bottom w:val="none" w:sz="0" w:space="0" w:color="auto"/>
            <w:right w:val="none" w:sz="0" w:space="0" w:color="auto"/>
          </w:divBdr>
        </w:div>
        <w:div w:id="716128292">
          <w:marLeft w:val="640"/>
          <w:marRight w:val="0"/>
          <w:marTop w:val="0"/>
          <w:marBottom w:val="0"/>
          <w:divBdr>
            <w:top w:val="none" w:sz="0" w:space="0" w:color="auto"/>
            <w:left w:val="none" w:sz="0" w:space="0" w:color="auto"/>
            <w:bottom w:val="none" w:sz="0" w:space="0" w:color="auto"/>
            <w:right w:val="none" w:sz="0" w:space="0" w:color="auto"/>
          </w:divBdr>
        </w:div>
        <w:div w:id="1251624513">
          <w:marLeft w:val="640"/>
          <w:marRight w:val="0"/>
          <w:marTop w:val="0"/>
          <w:marBottom w:val="0"/>
          <w:divBdr>
            <w:top w:val="none" w:sz="0" w:space="0" w:color="auto"/>
            <w:left w:val="none" w:sz="0" w:space="0" w:color="auto"/>
            <w:bottom w:val="none" w:sz="0" w:space="0" w:color="auto"/>
            <w:right w:val="none" w:sz="0" w:space="0" w:color="auto"/>
          </w:divBdr>
        </w:div>
        <w:div w:id="1232694729">
          <w:marLeft w:val="640"/>
          <w:marRight w:val="0"/>
          <w:marTop w:val="0"/>
          <w:marBottom w:val="0"/>
          <w:divBdr>
            <w:top w:val="none" w:sz="0" w:space="0" w:color="auto"/>
            <w:left w:val="none" w:sz="0" w:space="0" w:color="auto"/>
            <w:bottom w:val="none" w:sz="0" w:space="0" w:color="auto"/>
            <w:right w:val="none" w:sz="0" w:space="0" w:color="auto"/>
          </w:divBdr>
        </w:div>
        <w:div w:id="1813667413">
          <w:marLeft w:val="640"/>
          <w:marRight w:val="0"/>
          <w:marTop w:val="0"/>
          <w:marBottom w:val="0"/>
          <w:divBdr>
            <w:top w:val="none" w:sz="0" w:space="0" w:color="auto"/>
            <w:left w:val="none" w:sz="0" w:space="0" w:color="auto"/>
            <w:bottom w:val="none" w:sz="0" w:space="0" w:color="auto"/>
            <w:right w:val="none" w:sz="0" w:space="0" w:color="auto"/>
          </w:divBdr>
        </w:div>
        <w:div w:id="391782088">
          <w:marLeft w:val="640"/>
          <w:marRight w:val="0"/>
          <w:marTop w:val="0"/>
          <w:marBottom w:val="0"/>
          <w:divBdr>
            <w:top w:val="none" w:sz="0" w:space="0" w:color="auto"/>
            <w:left w:val="none" w:sz="0" w:space="0" w:color="auto"/>
            <w:bottom w:val="none" w:sz="0" w:space="0" w:color="auto"/>
            <w:right w:val="none" w:sz="0" w:space="0" w:color="auto"/>
          </w:divBdr>
        </w:div>
        <w:div w:id="1787119078">
          <w:marLeft w:val="640"/>
          <w:marRight w:val="0"/>
          <w:marTop w:val="0"/>
          <w:marBottom w:val="0"/>
          <w:divBdr>
            <w:top w:val="none" w:sz="0" w:space="0" w:color="auto"/>
            <w:left w:val="none" w:sz="0" w:space="0" w:color="auto"/>
            <w:bottom w:val="none" w:sz="0" w:space="0" w:color="auto"/>
            <w:right w:val="none" w:sz="0" w:space="0" w:color="auto"/>
          </w:divBdr>
        </w:div>
        <w:div w:id="693388112">
          <w:marLeft w:val="640"/>
          <w:marRight w:val="0"/>
          <w:marTop w:val="0"/>
          <w:marBottom w:val="0"/>
          <w:divBdr>
            <w:top w:val="none" w:sz="0" w:space="0" w:color="auto"/>
            <w:left w:val="none" w:sz="0" w:space="0" w:color="auto"/>
            <w:bottom w:val="none" w:sz="0" w:space="0" w:color="auto"/>
            <w:right w:val="none" w:sz="0" w:space="0" w:color="auto"/>
          </w:divBdr>
        </w:div>
        <w:div w:id="2035617824">
          <w:marLeft w:val="640"/>
          <w:marRight w:val="0"/>
          <w:marTop w:val="0"/>
          <w:marBottom w:val="0"/>
          <w:divBdr>
            <w:top w:val="none" w:sz="0" w:space="0" w:color="auto"/>
            <w:left w:val="none" w:sz="0" w:space="0" w:color="auto"/>
            <w:bottom w:val="none" w:sz="0" w:space="0" w:color="auto"/>
            <w:right w:val="none" w:sz="0" w:space="0" w:color="auto"/>
          </w:divBdr>
        </w:div>
        <w:div w:id="522133297">
          <w:marLeft w:val="640"/>
          <w:marRight w:val="0"/>
          <w:marTop w:val="0"/>
          <w:marBottom w:val="0"/>
          <w:divBdr>
            <w:top w:val="none" w:sz="0" w:space="0" w:color="auto"/>
            <w:left w:val="none" w:sz="0" w:space="0" w:color="auto"/>
            <w:bottom w:val="none" w:sz="0" w:space="0" w:color="auto"/>
            <w:right w:val="none" w:sz="0" w:space="0" w:color="auto"/>
          </w:divBdr>
        </w:div>
        <w:div w:id="652684450">
          <w:marLeft w:val="640"/>
          <w:marRight w:val="0"/>
          <w:marTop w:val="0"/>
          <w:marBottom w:val="0"/>
          <w:divBdr>
            <w:top w:val="none" w:sz="0" w:space="0" w:color="auto"/>
            <w:left w:val="none" w:sz="0" w:space="0" w:color="auto"/>
            <w:bottom w:val="none" w:sz="0" w:space="0" w:color="auto"/>
            <w:right w:val="none" w:sz="0" w:space="0" w:color="auto"/>
          </w:divBdr>
        </w:div>
        <w:div w:id="1287351177">
          <w:marLeft w:val="640"/>
          <w:marRight w:val="0"/>
          <w:marTop w:val="0"/>
          <w:marBottom w:val="0"/>
          <w:divBdr>
            <w:top w:val="none" w:sz="0" w:space="0" w:color="auto"/>
            <w:left w:val="none" w:sz="0" w:space="0" w:color="auto"/>
            <w:bottom w:val="none" w:sz="0" w:space="0" w:color="auto"/>
            <w:right w:val="none" w:sz="0" w:space="0" w:color="auto"/>
          </w:divBdr>
        </w:div>
        <w:div w:id="26609692">
          <w:marLeft w:val="640"/>
          <w:marRight w:val="0"/>
          <w:marTop w:val="0"/>
          <w:marBottom w:val="0"/>
          <w:divBdr>
            <w:top w:val="none" w:sz="0" w:space="0" w:color="auto"/>
            <w:left w:val="none" w:sz="0" w:space="0" w:color="auto"/>
            <w:bottom w:val="none" w:sz="0" w:space="0" w:color="auto"/>
            <w:right w:val="none" w:sz="0" w:space="0" w:color="auto"/>
          </w:divBdr>
        </w:div>
        <w:div w:id="862399812">
          <w:marLeft w:val="640"/>
          <w:marRight w:val="0"/>
          <w:marTop w:val="0"/>
          <w:marBottom w:val="0"/>
          <w:divBdr>
            <w:top w:val="none" w:sz="0" w:space="0" w:color="auto"/>
            <w:left w:val="none" w:sz="0" w:space="0" w:color="auto"/>
            <w:bottom w:val="none" w:sz="0" w:space="0" w:color="auto"/>
            <w:right w:val="none" w:sz="0" w:space="0" w:color="auto"/>
          </w:divBdr>
        </w:div>
        <w:div w:id="356659431">
          <w:marLeft w:val="640"/>
          <w:marRight w:val="0"/>
          <w:marTop w:val="0"/>
          <w:marBottom w:val="0"/>
          <w:divBdr>
            <w:top w:val="none" w:sz="0" w:space="0" w:color="auto"/>
            <w:left w:val="none" w:sz="0" w:space="0" w:color="auto"/>
            <w:bottom w:val="none" w:sz="0" w:space="0" w:color="auto"/>
            <w:right w:val="none" w:sz="0" w:space="0" w:color="auto"/>
          </w:divBdr>
        </w:div>
        <w:div w:id="407116751">
          <w:marLeft w:val="640"/>
          <w:marRight w:val="0"/>
          <w:marTop w:val="0"/>
          <w:marBottom w:val="0"/>
          <w:divBdr>
            <w:top w:val="none" w:sz="0" w:space="0" w:color="auto"/>
            <w:left w:val="none" w:sz="0" w:space="0" w:color="auto"/>
            <w:bottom w:val="none" w:sz="0" w:space="0" w:color="auto"/>
            <w:right w:val="none" w:sz="0" w:space="0" w:color="auto"/>
          </w:divBdr>
        </w:div>
        <w:div w:id="1753233875">
          <w:marLeft w:val="640"/>
          <w:marRight w:val="0"/>
          <w:marTop w:val="0"/>
          <w:marBottom w:val="0"/>
          <w:divBdr>
            <w:top w:val="none" w:sz="0" w:space="0" w:color="auto"/>
            <w:left w:val="none" w:sz="0" w:space="0" w:color="auto"/>
            <w:bottom w:val="none" w:sz="0" w:space="0" w:color="auto"/>
            <w:right w:val="none" w:sz="0" w:space="0" w:color="auto"/>
          </w:divBdr>
        </w:div>
        <w:div w:id="1540824108">
          <w:marLeft w:val="640"/>
          <w:marRight w:val="0"/>
          <w:marTop w:val="0"/>
          <w:marBottom w:val="0"/>
          <w:divBdr>
            <w:top w:val="none" w:sz="0" w:space="0" w:color="auto"/>
            <w:left w:val="none" w:sz="0" w:space="0" w:color="auto"/>
            <w:bottom w:val="none" w:sz="0" w:space="0" w:color="auto"/>
            <w:right w:val="none" w:sz="0" w:space="0" w:color="auto"/>
          </w:divBdr>
        </w:div>
        <w:div w:id="1407151024">
          <w:marLeft w:val="640"/>
          <w:marRight w:val="0"/>
          <w:marTop w:val="0"/>
          <w:marBottom w:val="0"/>
          <w:divBdr>
            <w:top w:val="none" w:sz="0" w:space="0" w:color="auto"/>
            <w:left w:val="none" w:sz="0" w:space="0" w:color="auto"/>
            <w:bottom w:val="none" w:sz="0" w:space="0" w:color="auto"/>
            <w:right w:val="none" w:sz="0" w:space="0" w:color="auto"/>
          </w:divBdr>
        </w:div>
      </w:divsChild>
    </w:div>
    <w:div w:id="1757703847">
      <w:bodyDiv w:val="1"/>
      <w:marLeft w:val="0"/>
      <w:marRight w:val="0"/>
      <w:marTop w:val="0"/>
      <w:marBottom w:val="0"/>
      <w:divBdr>
        <w:top w:val="none" w:sz="0" w:space="0" w:color="auto"/>
        <w:left w:val="none" w:sz="0" w:space="0" w:color="auto"/>
        <w:bottom w:val="none" w:sz="0" w:space="0" w:color="auto"/>
        <w:right w:val="none" w:sz="0" w:space="0" w:color="auto"/>
      </w:divBdr>
      <w:divsChild>
        <w:div w:id="1043362092">
          <w:marLeft w:val="640"/>
          <w:marRight w:val="0"/>
          <w:marTop w:val="0"/>
          <w:marBottom w:val="0"/>
          <w:divBdr>
            <w:top w:val="none" w:sz="0" w:space="0" w:color="auto"/>
            <w:left w:val="none" w:sz="0" w:space="0" w:color="auto"/>
            <w:bottom w:val="none" w:sz="0" w:space="0" w:color="auto"/>
            <w:right w:val="none" w:sz="0" w:space="0" w:color="auto"/>
          </w:divBdr>
        </w:div>
        <w:div w:id="1386635388">
          <w:marLeft w:val="640"/>
          <w:marRight w:val="0"/>
          <w:marTop w:val="0"/>
          <w:marBottom w:val="0"/>
          <w:divBdr>
            <w:top w:val="none" w:sz="0" w:space="0" w:color="auto"/>
            <w:left w:val="none" w:sz="0" w:space="0" w:color="auto"/>
            <w:bottom w:val="none" w:sz="0" w:space="0" w:color="auto"/>
            <w:right w:val="none" w:sz="0" w:space="0" w:color="auto"/>
          </w:divBdr>
        </w:div>
        <w:div w:id="125240188">
          <w:marLeft w:val="640"/>
          <w:marRight w:val="0"/>
          <w:marTop w:val="0"/>
          <w:marBottom w:val="0"/>
          <w:divBdr>
            <w:top w:val="none" w:sz="0" w:space="0" w:color="auto"/>
            <w:left w:val="none" w:sz="0" w:space="0" w:color="auto"/>
            <w:bottom w:val="none" w:sz="0" w:space="0" w:color="auto"/>
            <w:right w:val="none" w:sz="0" w:space="0" w:color="auto"/>
          </w:divBdr>
        </w:div>
        <w:div w:id="915090173">
          <w:marLeft w:val="640"/>
          <w:marRight w:val="0"/>
          <w:marTop w:val="0"/>
          <w:marBottom w:val="0"/>
          <w:divBdr>
            <w:top w:val="none" w:sz="0" w:space="0" w:color="auto"/>
            <w:left w:val="none" w:sz="0" w:space="0" w:color="auto"/>
            <w:bottom w:val="none" w:sz="0" w:space="0" w:color="auto"/>
            <w:right w:val="none" w:sz="0" w:space="0" w:color="auto"/>
          </w:divBdr>
        </w:div>
        <w:div w:id="985475423">
          <w:marLeft w:val="640"/>
          <w:marRight w:val="0"/>
          <w:marTop w:val="0"/>
          <w:marBottom w:val="0"/>
          <w:divBdr>
            <w:top w:val="none" w:sz="0" w:space="0" w:color="auto"/>
            <w:left w:val="none" w:sz="0" w:space="0" w:color="auto"/>
            <w:bottom w:val="none" w:sz="0" w:space="0" w:color="auto"/>
            <w:right w:val="none" w:sz="0" w:space="0" w:color="auto"/>
          </w:divBdr>
        </w:div>
        <w:div w:id="857040471">
          <w:marLeft w:val="640"/>
          <w:marRight w:val="0"/>
          <w:marTop w:val="0"/>
          <w:marBottom w:val="0"/>
          <w:divBdr>
            <w:top w:val="none" w:sz="0" w:space="0" w:color="auto"/>
            <w:left w:val="none" w:sz="0" w:space="0" w:color="auto"/>
            <w:bottom w:val="none" w:sz="0" w:space="0" w:color="auto"/>
            <w:right w:val="none" w:sz="0" w:space="0" w:color="auto"/>
          </w:divBdr>
        </w:div>
        <w:div w:id="1074472055">
          <w:marLeft w:val="640"/>
          <w:marRight w:val="0"/>
          <w:marTop w:val="0"/>
          <w:marBottom w:val="0"/>
          <w:divBdr>
            <w:top w:val="none" w:sz="0" w:space="0" w:color="auto"/>
            <w:left w:val="none" w:sz="0" w:space="0" w:color="auto"/>
            <w:bottom w:val="none" w:sz="0" w:space="0" w:color="auto"/>
            <w:right w:val="none" w:sz="0" w:space="0" w:color="auto"/>
          </w:divBdr>
        </w:div>
        <w:div w:id="12920625">
          <w:marLeft w:val="640"/>
          <w:marRight w:val="0"/>
          <w:marTop w:val="0"/>
          <w:marBottom w:val="0"/>
          <w:divBdr>
            <w:top w:val="none" w:sz="0" w:space="0" w:color="auto"/>
            <w:left w:val="none" w:sz="0" w:space="0" w:color="auto"/>
            <w:bottom w:val="none" w:sz="0" w:space="0" w:color="auto"/>
            <w:right w:val="none" w:sz="0" w:space="0" w:color="auto"/>
          </w:divBdr>
        </w:div>
        <w:div w:id="251083721">
          <w:marLeft w:val="640"/>
          <w:marRight w:val="0"/>
          <w:marTop w:val="0"/>
          <w:marBottom w:val="0"/>
          <w:divBdr>
            <w:top w:val="none" w:sz="0" w:space="0" w:color="auto"/>
            <w:left w:val="none" w:sz="0" w:space="0" w:color="auto"/>
            <w:bottom w:val="none" w:sz="0" w:space="0" w:color="auto"/>
            <w:right w:val="none" w:sz="0" w:space="0" w:color="auto"/>
          </w:divBdr>
        </w:div>
        <w:div w:id="358164868">
          <w:marLeft w:val="640"/>
          <w:marRight w:val="0"/>
          <w:marTop w:val="0"/>
          <w:marBottom w:val="0"/>
          <w:divBdr>
            <w:top w:val="none" w:sz="0" w:space="0" w:color="auto"/>
            <w:left w:val="none" w:sz="0" w:space="0" w:color="auto"/>
            <w:bottom w:val="none" w:sz="0" w:space="0" w:color="auto"/>
            <w:right w:val="none" w:sz="0" w:space="0" w:color="auto"/>
          </w:divBdr>
        </w:div>
        <w:div w:id="1407341641">
          <w:marLeft w:val="640"/>
          <w:marRight w:val="0"/>
          <w:marTop w:val="0"/>
          <w:marBottom w:val="0"/>
          <w:divBdr>
            <w:top w:val="none" w:sz="0" w:space="0" w:color="auto"/>
            <w:left w:val="none" w:sz="0" w:space="0" w:color="auto"/>
            <w:bottom w:val="none" w:sz="0" w:space="0" w:color="auto"/>
            <w:right w:val="none" w:sz="0" w:space="0" w:color="auto"/>
          </w:divBdr>
        </w:div>
        <w:div w:id="432165304">
          <w:marLeft w:val="640"/>
          <w:marRight w:val="0"/>
          <w:marTop w:val="0"/>
          <w:marBottom w:val="0"/>
          <w:divBdr>
            <w:top w:val="none" w:sz="0" w:space="0" w:color="auto"/>
            <w:left w:val="none" w:sz="0" w:space="0" w:color="auto"/>
            <w:bottom w:val="none" w:sz="0" w:space="0" w:color="auto"/>
            <w:right w:val="none" w:sz="0" w:space="0" w:color="auto"/>
          </w:divBdr>
        </w:div>
        <w:div w:id="472866054">
          <w:marLeft w:val="640"/>
          <w:marRight w:val="0"/>
          <w:marTop w:val="0"/>
          <w:marBottom w:val="0"/>
          <w:divBdr>
            <w:top w:val="none" w:sz="0" w:space="0" w:color="auto"/>
            <w:left w:val="none" w:sz="0" w:space="0" w:color="auto"/>
            <w:bottom w:val="none" w:sz="0" w:space="0" w:color="auto"/>
            <w:right w:val="none" w:sz="0" w:space="0" w:color="auto"/>
          </w:divBdr>
        </w:div>
        <w:div w:id="1112825360">
          <w:marLeft w:val="640"/>
          <w:marRight w:val="0"/>
          <w:marTop w:val="0"/>
          <w:marBottom w:val="0"/>
          <w:divBdr>
            <w:top w:val="none" w:sz="0" w:space="0" w:color="auto"/>
            <w:left w:val="none" w:sz="0" w:space="0" w:color="auto"/>
            <w:bottom w:val="none" w:sz="0" w:space="0" w:color="auto"/>
            <w:right w:val="none" w:sz="0" w:space="0" w:color="auto"/>
          </w:divBdr>
        </w:div>
        <w:div w:id="670959131">
          <w:marLeft w:val="640"/>
          <w:marRight w:val="0"/>
          <w:marTop w:val="0"/>
          <w:marBottom w:val="0"/>
          <w:divBdr>
            <w:top w:val="none" w:sz="0" w:space="0" w:color="auto"/>
            <w:left w:val="none" w:sz="0" w:space="0" w:color="auto"/>
            <w:bottom w:val="none" w:sz="0" w:space="0" w:color="auto"/>
            <w:right w:val="none" w:sz="0" w:space="0" w:color="auto"/>
          </w:divBdr>
        </w:div>
        <w:div w:id="1037925166">
          <w:marLeft w:val="640"/>
          <w:marRight w:val="0"/>
          <w:marTop w:val="0"/>
          <w:marBottom w:val="0"/>
          <w:divBdr>
            <w:top w:val="none" w:sz="0" w:space="0" w:color="auto"/>
            <w:left w:val="none" w:sz="0" w:space="0" w:color="auto"/>
            <w:bottom w:val="none" w:sz="0" w:space="0" w:color="auto"/>
            <w:right w:val="none" w:sz="0" w:space="0" w:color="auto"/>
          </w:divBdr>
        </w:div>
        <w:div w:id="1382704738">
          <w:marLeft w:val="640"/>
          <w:marRight w:val="0"/>
          <w:marTop w:val="0"/>
          <w:marBottom w:val="0"/>
          <w:divBdr>
            <w:top w:val="none" w:sz="0" w:space="0" w:color="auto"/>
            <w:left w:val="none" w:sz="0" w:space="0" w:color="auto"/>
            <w:bottom w:val="none" w:sz="0" w:space="0" w:color="auto"/>
            <w:right w:val="none" w:sz="0" w:space="0" w:color="auto"/>
          </w:divBdr>
        </w:div>
        <w:div w:id="1691369590">
          <w:marLeft w:val="640"/>
          <w:marRight w:val="0"/>
          <w:marTop w:val="0"/>
          <w:marBottom w:val="0"/>
          <w:divBdr>
            <w:top w:val="none" w:sz="0" w:space="0" w:color="auto"/>
            <w:left w:val="none" w:sz="0" w:space="0" w:color="auto"/>
            <w:bottom w:val="none" w:sz="0" w:space="0" w:color="auto"/>
            <w:right w:val="none" w:sz="0" w:space="0" w:color="auto"/>
          </w:divBdr>
        </w:div>
        <w:div w:id="334767512">
          <w:marLeft w:val="640"/>
          <w:marRight w:val="0"/>
          <w:marTop w:val="0"/>
          <w:marBottom w:val="0"/>
          <w:divBdr>
            <w:top w:val="none" w:sz="0" w:space="0" w:color="auto"/>
            <w:left w:val="none" w:sz="0" w:space="0" w:color="auto"/>
            <w:bottom w:val="none" w:sz="0" w:space="0" w:color="auto"/>
            <w:right w:val="none" w:sz="0" w:space="0" w:color="auto"/>
          </w:divBdr>
        </w:div>
        <w:div w:id="1271817053">
          <w:marLeft w:val="640"/>
          <w:marRight w:val="0"/>
          <w:marTop w:val="0"/>
          <w:marBottom w:val="0"/>
          <w:divBdr>
            <w:top w:val="none" w:sz="0" w:space="0" w:color="auto"/>
            <w:left w:val="none" w:sz="0" w:space="0" w:color="auto"/>
            <w:bottom w:val="none" w:sz="0" w:space="0" w:color="auto"/>
            <w:right w:val="none" w:sz="0" w:space="0" w:color="auto"/>
          </w:divBdr>
        </w:div>
        <w:div w:id="1126309">
          <w:marLeft w:val="640"/>
          <w:marRight w:val="0"/>
          <w:marTop w:val="0"/>
          <w:marBottom w:val="0"/>
          <w:divBdr>
            <w:top w:val="none" w:sz="0" w:space="0" w:color="auto"/>
            <w:left w:val="none" w:sz="0" w:space="0" w:color="auto"/>
            <w:bottom w:val="none" w:sz="0" w:space="0" w:color="auto"/>
            <w:right w:val="none" w:sz="0" w:space="0" w:color="auto"/>
          </w:divBdr>
        </w:div>
        <w:div w:id="1574122646">
          <w:marLeft w:val="640"/>
          <w:marRight w:val="0"/>
          <w:marTop w:val="0"/>
          <w:marBottom w:val="0"/>
          <w:divBdr>
            <w:top w:val="none" w:sz="0" w:space="0" w:color="auto"/>
            <w:left w:val="none" w:sz="0" w:space="0" w:color="auto"/>
            <w:bottom w:val="none" w:sz="0" w:space="0" w:color="auto"/>
            <w:right w:val="none" w:sz="0" w:space="0" w:color="auto"/>
          </w:divBdr>
        </w:div>
      </w:divsChild>
    </w:div>
    <w:div w:id="1835215662">
      <w:bodyDiv w:val="1"/>
      <w:marLeft w:val="0"/>
      <w:marRight w:val="0"/>
      <w:marTop w:val="0"/>
      <w:marBottom w:val="0"/>
      <w:divBdr>
        <w:top w:val="none" w:sz="0" w:space="0" w:color="auto"/>
        <w:left w:val="none" w:sz="0" w:space="0" w:color="auto"/>
        <w:bottom w:val="none" w:sz="0" w:space="0" w:color="auto"/>
        <w:right w:val="none" w:sz="0" w:space="0" w:color="auto"/>
      </w:divBdr>
      <w:divsChild>
        <w:div w:id="5906890">
          <w:marLeft w:val="640"/>
          <w:marRight w:val="0"/>
          <w:marTop w:val="0"/>
          <w:marBottom w:val="0"/>
          <w:divBdr>
            <w:top w:val="none" w:sz="0" w:space="0" w:color="auto"/>
            <w:left w:val="none" w:sz="0" w:space="0" w:color="auto"/>
            <w:bottom w:val="none" w:sz="0" w:space="0" w:color="auto"/>
            <w:right w:val="none" w:sz="0" w:space="0" w:color="auto"/>
          </w:divBdr>
        </w:div>
        <w:div w:id="55207748">
          <w:marLeft w:val="640"/>
          <w:marRight w:val="0"/>
          <w:marTop w:val="0"/>
          <w:marBottom w:val="0"/>
          <w:divBdr>
            <w:top w:val="none" w:sz="0" w:space="0" w:color="auto"/>
            <w:left w:val="none" w:sz="0" w:space="0" w:color="auto"/>
            <w:bottom w:val="none" w:sz="0" w:space="0" w:color="auto"/>
            <w:right w:val="none" w:sz="0" w:space="0" w:color="auto"/>
          </w:divBdr>
        </w:div>
        <w:div w:id="204758494">
          <w:marLeft w:val="640"/>
          <w:marRight w:val="0"/>
          <w:marTop w:val="0"/>
          <w:marBottom w:val="0"/>
          <w:divBdr>
            <w:top w:val="none" w:sz="0" w:space="0" w:color="auto"/>
            <w:left w:val="none" w:sz="0" w:space="0" w:color="auto"/>
            <w:bottom w:val="none" w:sz="0" w:space="0" w:color="auto"/>
            <w:right w:val="none" w:sz="0" w:space="0" w:color="auto"/>
          </w:divBdr>
        </w:div>
        <w:div w:id="277418875">
          <w:marLeft w:val="640"/>
          <w:marRight w:val="0"/>
          <w:marTop w:val="0"/>
          <w:marBottom w:val="0"/>
          <w:divBdr>
            <w:top w:val="none" w:sz="0" w:space="0" w:color="auto"/>
            <w:left w:val="none" w:sz="0" w:space="0" w:color="auto"/>
            <w:bottom w:val="none" w:sz="0" w:space="0" w:color="auto"/>
            <w:right w:val="none" w:sz="0" w:space="0" w:color="auto"/>
          </w:divBdr>
        </w:div>
        <w:div w:id="293484790">
          <w:marLeft w:val="640"/>
          <w:marRight w:val="0"/>
          <w:marTop w:val="0"/>
          <w:marBottom w:val="0"/>
          <w:divBdr>
            <w:top w:val="none" w:sz="0" w:space="0" w:color="auto"/>
            <w:left w:val="none" w:sz="0" w:space="0" w:color="auto"/>
            <w:bottom w:val="none" w:sz="0" w:space="0" w:color="auto"/>
            <w:right w:val="none" w:sz="0" w:space="0" w:color="auto"/>
          </w:divBdr>
        </w:div>
        <w:div w:id="506095334">
          <w:marLeft w:val="640"/>
          <w:marRight w:val="0"/>
          <w:marTop w:val="0"/>
          <w:marBottom w:val="0"/>
          <w:divBdr>
            <w:top w:val="none" w:sz="0" w:space="0" w:color="auto"/>
            <w:left w:val="none" w:sz="0" w:space="0" w:color="auto"/>
            <w:bottom w:val="none" w:sz="0" w:space="0" w:color="auto"/>
            <w:right w:val="none" w:sz="0" w:space="0" w:color="auto"/>
          </w:divBdr>
        </w:div>
        <w:div w:id="633565467">
          <w:marLeft w:val="640"/>
          <w:marRight w:val="0"/>
          <w:marTop w:val="0"/>
          <w:marBottom w:val="0"/>
          <w:divBdr>
            <w:top w:val="none" w:sz="0" w:space="0" w:color="auto"/>
            <w:left w:val="none" w:sz="0" w:space="0" w:color="auto"/>
            <w:bottom w:val="none" w:sz="0" w:space="0" w:color="auto"/>
            <w:right w:val="none" w:sz="0" w:space="0" w:color="auto"/>
          </w:divBdr>
        </w:div>
        <w:div w:id="637996365">
          <w:marLeft w:val="640"/>
          <w:marRight w:val="0"/>
          <w:marTop w:val="0"/>
          <w:marBottom w:val="0"/>
          <w:divBdr>
            <w:top w:val="none" w:sz="0" w:space="0" w:color="auto"/>
            <w:left w:val="none" w:sz="0" w:space="0" w:color="auto"/>
            <w:bottom w:val="none" w:sz="0" w:space="0" w:color="auto"/>
            <w:right w:val="none" w:sz="0" w:space="0" w:color="auto"/>
          </w:divBdr>
        </w:div>
        <w:div w:id="776800001">
          <w:marLeft w:val="640"/>
          <w:marRight w:val="0"/>
          <w:marTop w:val="0"/>
          <w:marBottom w:val="0"/>
          <w:divBdr>
            <w:top w:val="none" w:sz="0" w:space="0" w:color="auto"/>
            <w:left w:val="none" w:sz="0" w:space="0" w:color="auto"/>
            <w:bottom w:val="none" w:sz="0" w:space="0" w:color="auto"/>
            <w:right w:val="none" w:sz="0" w:space="0" w:color="auto"/>
          </w:divBdr>
        </w:div>
        <w:div w:id="867333609">
          <w:marLeft w:val="640"/>
          <w:marRight w:val="0"/>
          <w:marTop w:val="0"/>
          <w:marBottom w:val="0"/>
          <w:divBdr>
            <w:top w:val="none" w:sz="0" w:space="0" w:color="auto"/>
            <w:left w:val="none" w:sz="0" w:space="0" w:color="auto"/>
            <w:bottom w:val="none" w:sz="0" w:space="0" w:color="auto"/>
            <w:right w:val="none" w:sz="0" w:space="0" w:color="auto"/>
          </w:divBdr>
        </w:div>
        <w:div w:id="894245871">
          <w:marLeft w:val="640"/>
          <w:marRight w:val="0"/>
          <w:marTop w:val="0"/>
          <w:marBottom w:val="0"/>
          <w:divBdr>
            <w:top w:val="none" w:sz="0" w:space="0" w:color="auto"/>
            <w:left w:val="none" w:sz="0" w:space="0" w:color="auto"/>
            <w:bottom w:val="none" w:sz="0" w:space="0" w:color="auto"/>
            <w:right w:val="none" w:sz="0" w:space="0" w:color="auto"/>
          </w:divBdr>
        </w:div>
        <w:div w:id="1152604463">
          <w:marLeft w:val="640"/>
          <w:marRight w:val="0"/>
          <w:marTop w:val="0"/>
          <w:marBottom w:val="0"/>
          <w:divBdr>
            <w:top w:val="none" w:sz="0" w:space="0" w:color="auto"/>
            <w:left w:val="none" w:sz="0" w:space="0" w:color="auto"/>
            <w:bottom w:val="none" w:sz="0" w:space="0" w:color="auto"/>
            <w:right w:val="none" w:sz="0" w:space="0" w:color="auto"/>
          </w:divBdr>
        </w:div>
        <w:div w:id="1218662682">
          <w:marLeft w:val="640"/>
          <w:marRight w:val="0"/>
          <w:marTop w:val="0"/>
          <w:marBottom w:val="0"/>
          <w:divBdr>
            <w:top w:val="none" w:sz="0" w:space="0" w:color="auto"/>
            <w:left w:val="none" w:sz="0" w:space="0" w:color="auto"/>
            <w:bottom w:val="none" w:sz="0" w:space="0" w:color="auto"/>
            <w:right w:val="none" w:sz="0" w:space="0" w:color="auto"/>
          </w:divBdr>
        </w:div>
        <w:div w:id="1230195336">
          <w:marLeft w:val="640"/>
          <w:marRight w:val="0"/>
          <w:marTop w:val="0"/>
          <w:marBottom w:val="0"/>
          <w:divBdr>
            <w:top w:val="none" w:sz="0" w:space="0" w:color="auto"/>
            <w:left w:val="none" w:sz="0" w:space="0" w:color="auto"/>
            <w:bottom w:val="none" w:sz="0" w:space="0" w:color="auto"/>
            <w:right w:val="none" w:sz="0" w:space="0" w:color="auto"/>
          </w:divBdr>
        </w:div>
        <w:div w:id="1343972545">
          <w:marLeft w:val="640"/>
          <w:marRight w:val="0"/>
          <w:marTop w:val="0"/>
          <w:marBottom w:val="0"/>
          <w:divBdr>
            <w:top w:val="none" w:sz="0" w:space="0" w:color="auto"/>
            <w:left w:val="none" w:sz="0" w:space="0" w:color="auto"/>
            <w:bottom w:val="none" w:sz="0" w:space="0" w:color="auto"/>
            <w:right w:val="none" w:sz="0" w:space="0" w:color="auto"/>
          </w:divBdr>
        </w:div>
        <w:div w:id="1392075383">
          <w:marLeft w:val="640"/>
          <w:marRight w:val="0"/>
          <w:marTop w:val="0"/>
          <w:marBottom w:val="0"/>
          <w:divBdr>
            <w:top w:val="none" w:sz="0" w:space="0" w:color="auto"/>
            <w:left w:val="none" w:sz="0" w:space="0" w:color="auto"/>
            <w:bottom w:val="none" w:sz="0" w:space="0" w:color="auto"/>
            <w:right w:val="none" w:sz="0" w:space="0" w:color="auto"/>
          </w:divBdr>
        </w:div>
        <w:div w:id="1488983652">
          <w:marLeft w:val="640"/>
          <w:marRight w:val="0"/>
          <w:marTop w:val="0"/>
          <w:marBottom w:val="0"/>
          <w:divBdr>
            <w:top w:val="none" w:sz="0" w:space="0" w:color="auto"/>
            <w:left w:val="none" w:sz="0" w:space="0" w:color="auto"/>
            <w:bottom w:val="none" w:sz="0" w:space="0" w:color="auto"/>
            <w:right w:val="none" w:sz="0" w:space="0" w:color="auto"/>
          </w:divBdr>
        </w:div>
        <w:div w:id="1505901528">
          <w:marLeft w:val="640"/>
          <w:marRight w:val="0"/>
          <w:marTop w:val="0"/>
          <w:marBottom w:val="0"/>
          <w:divBdr>
            <w:top w:val="none" w:sz="0" w:space="0" w:color="auto"/>
            <w:left w:val="none" w:sz="0" w:space="0" w:color="auto"/>
            <w:bottom w:val="none" w:sz="0" w:space="0" w:color="auto"/>
            <w:right w:val="none" w:sz="0" w:space="0" w:color="auto"/>
          </w:divBdr>
        </w:div>
        <w:div w:id="1516458044">
          <w:marLeft w:val="640"/>
          <w:marRight w:val="0"/>
          <w:marTop w:val="0"/>
          <w:marBottom w:val="0"/>
          <w:divBdr>
            <w:top w:val="none" w:sz="0" w:space="0" w:color="auto"/>
            <w:left w:val="none" w:sz="0" w:space="0" w:color="auto"/>
            <w:bottom w:val="none" w:sz="0" w:space="0" w:color="auto"/>
            <w:right w:val="none" w:sz="0" w:space="0" w:color="auto"/>
          </w:divBdr>
        </w:div>
        <w:div w:id="1537352049">
          <w:marLeft w:val="640"/>
          <w:marRight w:val="0"/>
          <w:marTop w:val="0"/>
          <w:marBottom w:val="0"/>
          <w:divBdr>
            <w:top w:val="none" w:sz="0" w:space="0" w:color="auto"/>
            <w:left w:val="none" w:sz="0" w:space="0" w:color="auto"/>
            <w:bottom w:val="none" w:sz="0" w:space="0" w:color="auto"/>
            <w:right w:val="none" w:sz="0" w:space="0" w:color="auto"/>
          </w:divBdr>
        </w:div>
        <w:div w:id="2028945064">
          <w:marLeft w:val="640"/>
          <w:marRight w:val="0"/>
          <w:marTop w:val="0"/>
          <w:marBottom w:val="0"/>
          <w:divBdr>
            <w:top w:val="none" w:sz="0" w:space="0" w:color="auto"/>
            <w:left w:val="none" w:sz="0" w:space="0" w:color="auto"/>
            <w:bottom w:val="none" w:sz="0" w:space="0" w:color="auto"/>
            <w:right w:val="none" w:sz="0" w:space="0" w:color="auto"/>
          </w:divBdr>
        </w:div>
      </w:divsChild>
    </w:div>
    <w:div w:id="1841431555">
      <w:bodyDiv w:val="1"/>
      <w:marLeft w:val="0"/>
      <w:marRight w:val="0"/>
      <w:marTop w:val="0"/>
      <w:marBottom w:val="0"/>
      <w:divBdr>
        <w:top w:val="none" w:sz="0" w:space="0" w:color="auto"/>
        <w:left w:val="none" w:sz="0" w:space="0" w:color="auto"/>
        <w:bottom w:val="none" w:sz="0" w:space="0" w:color="auto"/>
        <w:right w:val="none" w:sz="0" w:space="0" w:color="auto"/>
      </w:divBdr>
    </w:div>
    <w:div w:id="1867478360">
      <w:bodyDiv w:val="1"/>
      <w:marLeft w:val="0"/>
      <w:marRight w:val="0"/>
      <w:marTop w:val="0"/>
      <w:marBottom w:val="0"/>
      <w:divBdr>
        <w:top w:val="none" w:sz="0" w:space="0" w:color="auto"/>
        <w:left w:val="none" w:sz="0" w:space="0" w:color="auto"/>
        <w:bottom w:val="none" w:sz="0" w:space="0" w:color="auto"/>
        <w:right w:val="none" w:sz="0" w:space="0" w:color="auto"/>
      </w:divBdr>
      <w:divsChild>
        <w:div w:id="1036850378">
          <w:marLeft w:val="640"/>
          <w:marRight w:val="0"/>
          <w:marTop w:val="0"/>
          <w:marBottom w:val="0"/>
          <w:divBdr>
            <w:top w:val="none" w:sz="0" w:space="0" w:color="auto"/>
            <w:left w:val="none" w:sz="0" w:space="0" w:color="auto"/>
            <w:bottom w:val="none" w:sz="0" w:space="0" w:color="auto"/>
            <w:right w:val="none" w:sz="0" w:space="0" w:color="auto"/>
          </w:divBdr>
        </w:div>
        <w:div w:id="657423246">
          <w:marLeft w:val="640"/>
          <w:marRight w:val="0"/>
          <w:marTop w:val="0"/>
          <w:marBottom w:val="0"/>
          <w:divBdr>
            <w:top w:val="none" w:sz="0" w:space="0" w:color="auto"/>
            <w:left w:val="none" w:sz="0" w:space="0" w:color="auto"/>
            <w:bottom w:val="none" w:sz="0" w:space="0" w:color="auto"/>
            <w:right w:val="none" w:sz="0" w:space="0" w:color="auto"/>
          </w:divBdr>
        </w:div>
        <w:div w:id="764497701">
          <w:marLeft w:val="640"/>
          <w:marRight w:val="0"/>
          <w:marTop w:val="0"/>
          <w:marBottom w:val="0"/>
          <w:divBdr>
            <w:top w:val="none" w:sz="0" w:space="0" w:color="auto"/>
            <w:left w:val="none" w:sz="0" w:space="0" w:color="auto"/>
            <w:bottom w:val="none" w:sz="0" w:space="0" w:color="auto"/>
            <w:right w:val="none" w:sz="0" w:space="0" w:color="auto"/>
          </w:divBdr>
        </w:div>
        <w:div w:id="1606188055">
          <w:marLeft w:val="640"/>
          <w:marRight w:val="0"/>
          <w:marTop w:val="0"/>
          <w:marBottom w:val="0"/>
          <w:divBdr>
            <w:top w:val="none" w:sz="0" w:space="0" w:color="auto"/>
            <w:left w:val="none" w:sz="0" w:space="0" w:color="auto"/>
            <w:bottom w:val="none" w:sz="0" w:space="0" w:color="auto"/>
            <w:right w:val="none" w:sz="0" w:space="0" w:color="auto"/>
          </w:divBdr>
        </w:div>
        <w:div w:id="979266480">
          <w:marLeft w:val="640"/>
          <w:marRight w:val="0"/>
          <w:marTop w:val="0"/>
          <w:marBottom w:val="0"/>
          <w:divBdr>
            <w:top w:val="none" w:sz="0" w:space="0" w:color="auto"/>
            <w:left w:val="none" w:sz="0" w:space="0" w:color="auto"/>
            <w:bottom w:val="none" w:sz="0" w:space="0" w:color="auto"/>
            <w:right w:val="none" w:sz="0" w:space="0" w:color="auto"/>
          </w:divBdr>
        </w:div>
        <w:div w:id="1649892653">
          <w:marLeft w:val="640"/>
          <w:marRight w:val="0"/>
          <w:marTop w:val="0"/>
          <w:marBottom w:val="0"/>
          <w:divBdr>
            <w:top w:val="none" w:sz="0" w:space="0" w:color="auto"/>
            <w:left w:val="none" w:sz="0" w:space="0" w:color="auto"/>
            <w:bottom w:val="none" w:sz="0" w:space="0" w:color="auto"/>
            <w:right w:val="none" w:sz="0" w:space="0" w:color="auto"/>
          </w:divBdr>
        </w:div>
        <w:div w:id="697662956">
          <w:marLeft w:val="640"/>
          <w:marRight w:val="0"/>
          <w:marTop w:val="0"/>
          <w:marBottom w:val="0"/>
          <w:divBdr>
            <w:top w:val="none" w:sz="0" w:space="0" w:color="auto"/>
            <w:left w:val="none" w:sz="0" w:space="0" w:color="auto"/>
            <w:bottom w:val="none" w:sz="0" w:space="0" w:color="auto"/>
            <w:right w:val="none" w:sz="0" w:space="0" w:color="auto"/>
          </w:divBdr>
        </w:div>
        <w:div w:id="1804300933">
          <w:marLeft w:val="640"/>
          <w:marRight w:val="0"/>
          <w:marTop w:val="0"/>
          <w:marBottom w:val="0"/>
          <w:divBdr>
            <w:top w:val="none" w:sz="0" w:space="0" w:color="auto"/>
            <w:left w:val="none" w:sz="0" w:space="0" w:color="auto"/>
            <w:bottom w:val="none" w:sz="0" w:space="0" w:color="auto"/>
            <w:right w:val="none" w:sz="0" w:space="0" w:color="auto"/>
          </w:divBdr>
        </w:div>
        <w:div w:id="324170140">
          <w:marLeft w:val="640"/>
          <w:marRight w:val="0"/>
          <w:marTop w:val="0"/>
          <w:marBottom w:val="0"/>
          <w:divBdr>
            <w:top w:val="none" w:sz="0" w:space="0" w:color="auto"/>
            <w:left w:val="none" w:sz="0" w:space="0" w:color="auto"/>
            <w:bottom w:val="none" w:sz="0" w:space="0" w:color="auto"/>
            <w:right w:val="none" w:sz="0" w:space="0" w:color="auto"/>
          </w:divBdr>
        </w:div>
        <w:div w:id="321473816">
          <w:marLeft w:val="640"/>
          <w:marRight w:val="0"/>
          <w:marTop w:val="0"/>
          <w:marBottom w:val="0"/>
          <w:divBdr>
            <w:top w:val="none" w:sz="0" w:space="0" w:color="auto"/>
            <w:left w:val="none" w:sz="0" w:space="0" w:color="auto"/>
            <w:bottom w:val="none" w:sz="0" w:space="0" w:color="auto"/>
            <w:right w:val="none" w:sz="0" w:space="0" w:color="auto"/>
          </w:divBdr>
        </w:div>
        <w:div w:id="855734483">
          <w:marLeft w:val="640"/>
          <w:marRight w:val="0"/>
          <w:marTop w:val="0"/>
          <w:marBottom w:val="0"/>
          <w:divBdr>
            <w:top w:val="none" w:sz="0" w:space="0" w:color="auto"/>
            <w:left w:val="none" w:sz="0" w:space="0" w:color="auto"/>
            <w:bottom w:val="none" w:sz="0" w:space="0" w:color="auto"/>
            <w:right w:val="none" w:sz="0" w:space="0" w:color="auto"/>
          </w:divBdr>
        </w:div>
        <w:div w:id="1609659313">
          <w:marLeft w:val="640"/>
          <w:marRight w:val="0"/>
          <w:marTop w:val="0"/>
          <w:marBottom w:val="0"/>
          <w:divBdr>
            <w:top w:val="none" w:sz="0" w:space="0" w:color="auto"/>
            <w:left w:val="none" w:sz="0" w:space="0" w:color="auto"/>
            <w:bottom w:val="none" w:sz="0" w:space="0" w:color="auto"/>
            <w:right w:val="none" w:sz="0" w:space="0" w:color="auto"/>
          </w:divBdr>
        </w:div>
        <w:div w:id="1886716128">
          <w:marLeft w:val="640"/>
          <w:marRight w:val="0"/>
          <w:marTop w:val="0"/>
          <w:marBottom w:val="0"/>
          <w:divBdr>
            <w:top w:val="none" w:sz="0" w:space="0" w:color="auto"/>
            <w:left w:val="none" w:sz="0" w:space="0" w:color="auto"/>
            <w:bottom w:val="none" w:sz="0" w:space="0" w:color="auto"/>
            <w:right w:val="none" w:sz="0" w:space="0" w:color="auto"/>
          </w:divBdr>
        </w:div>
        <w:div w:id="268589586">
          <w:marLeft w:val="640"/>
          <w:marRight w:val="0"/>
          <w:marTop w:val="0"/>
          <w:marBottom w:val="0"/>
          <w:divBdr>
            <w:top w:val="none" w:sz="0" w:space="0" w:color="auto"/>
            <w:left w:val="none" w:sz="0" w:space="0" w:color="auto"/>
            <w:bottom w:val="none" w:sz="0" w:space="0" w:color="auto"/>
            <w:right w:val="none" w:sz="0" w:space="0" w:color="auto"/>
          </w:divBdr>
        </w:div>
        <w:div w:id="112721998">
          <w:marLeft w:val="640"/>
          <w:marRight w:val="0"/>
          <w:marTop w:val="0"/>
          <w:marBottom w:val="0"/>
          <w:divBdr>
            <w:top w:val="none" w:sz="0" w:space="0" w:color="auto"/>
            <w:left w:val="none" w:sz="0" w:space="0" w:color="auto"/>
            <w:bottom w:val="none" w:sz="0" w:space="0" w:color="auto"/>
            <w:right w:val="none" w:sz="0" w:space="0" w:color="auto"/>
          </w:divBdr>
        </w:div>
        <w:div w:id="1004742838">
          <w:marLeft w:val="640"/>
          <w:marRight w:val="0"/>
          <w:marTop w:val="0"/>
          <w:marBottom w:val="0"/>
          <w:divBdr>
            <w:top w:val="none" w:sz="0" w:space="0" w:color="auto"/>
            <w:left w:val="none" w:sz="0" w:space="0" w:color="auto"/>
            <w:bottom w:val="none" w:sz="0" w:space="0" w:color="auto"/>
            <w:right w:val="none" w:sz="0" w:space="0" w:color="auto"/>
          </w:divBdr>
        </w:div>
        <w:div w:id="1560894616">
          <w:marLeft w:val="640"/>
          <w:marRight w:val="0"/>
          <w:marTop w:val="0"/>
          <w:marBottom w:val="0"/>
          <w:divBdr>
            <w:top w:val="none" w:sz="0" w:space="0" w:color="auto"/>
            <w:left w:val="none" w:sz="0" w:space="0" w:color="auto"/>
            <w:bottom w:val="none" w:sz="0" w:space="0" w:color="auto"/>
            <w:right w:val="none" w:sz="0" w:space="0" w:color="auto"/>
          </w:divBdr>
        </w:div>
        <w:div w:id="1568764373">
          <w:marLeft w:val="640"/>
          <w:marRight w:val="0"/>
          <w:marTop w:val="0"/>
          <w:marBottom w:val="0"/>
          <w:divBdr>
            <w:top w:val="none" w:sz="0" w:space="0" w:color="auto"/>
            <w:left w:val="none" w:sz="0" w:space="0" w:color="auto"/>
            <w:bottom w:val="none" w:sz="0" w:space="0" w:color="auto"/>
            <w:right w:val="none" w:sz="0" w:space="0" w:color="auto"/>
          </w:divBdr>
        </w:div>
        <w:div w:id="757362757">
          <w:marLeft w:val="640"/>
          <w:marRight w:val="0"/>
          <w:marTop w:val="0"/>
          <w:marBottom w:val="0"/>
          <w:divBdr>
            <w:top w:val="none" w:sz="0" w:space="0" w:color="auto"/>
            <w:left w:val="none" w:sz="0" w:space="0" w:color="auto"/>
            <w:bottom w:val="none" w:sz="0" w:space="0" w:color="auto"/>
            <w:right w:val="none" w:sz="0" w:space="0" w:color="auto"/>
          </w:divBdr>
        </w:div>
        <w:div w:id="1100637423">
          <w:marLeft w:val="640"/>
          <w:marRight w:val="0"/>
          <w:marTop w:val="0"/>
          <w:marBottom w:val="0"/>
          <w:divBdr>
            <w:top w:val="none" w:sz="0" w:space="0" w:color="auto"/>
            <w:left w:val="none" w:sz="0" w:space="0" w:color="auto"/>
            <w:bottom w:val="none" w:sz="0" w:space="0" w:color="auto"/>
            <w:right w:val="none" w:sz="0" w:space="0" w:color="auto"/>
          </w:divBdr>
        </w:div>
        <w:div w:id="970984633">
          <w:marLeft w:val="640"/>
          <w:marRight w:val="0"/>
          <w:marTop w:val="0"/>
          <w:marBottom w:val="0"/>
          <w:divBdr>
            <w:top w:val="none" w:sz="0" w:space="0" w:color="auto"/>
            <w:left w:val="none" w:sz="0" w:space="0" w:color="auto"/>
            <w:bottom w:val="none" w:sz="0" w:space="0" w:color="auto"/>
            <w:right w:val="none" w:sz="0" w:space="0" w:color="auto"/>
          </w:divBdr>
        </w:div>
        <w:div w:id="435559952">
          <w:marLeft w:val="640"/>
          <w:marRight w:val="0"/>
          <w:marTop w:val="0"/>
          <w:marBottom w:val="0"/>
          <w:divBdr>
            <w:top w:val="none" w:sz="0" w:space="0" w:color="auto"/>
            <w:left w:val="none" w:sz="0" w:space="0" w:color="auto"/>
            <w:bottom w:val="none" w:sz="0" w:space="0" w:color="auto"/>
            <w:right w:val="none" w:sz="0" w:space="0" w:color="auto"/>
          </w:divBdr>
        </w:div>
      </w:divsChild>
    </w:div>
    <w:div w:id="1950505366">
      <w:bodyDiv w:val="1"/>
      <w:marLeft w:val="0"/>
      <w:marRight w:val="0"/>
      <w:marTop w:val="0"/>
      <w:marBottom w:val="0"/>
      <w:divBdr>
        <w:top w:val="none" w:sz="0" w:space="0" w:color="auto"/>
        <w:left w:val="none" w:sz="0" w:space="0" w:color="auto"/>
        <w:bottom w:val="none" w:sz="0" w:space="0" w:color="auto"/>
        <w:right w:val="none" w:sz="0" w:space="0" w:color="auto"/>
      </w:divBdr>
      <w:divsChild>
        <w:div w:id="794300527">
          <w:marLeft w:val="0"/>
          <w:marRight w:val="0"/>
          <w:marTop w:val="0"/>
          <w:marBottom w:val="0"/>
          <w:divBdr>
            <w:top w:val="none" w:sz="0" w:space="0" w:color="auto"/>
            <w:left w:val="none" w:sz="0" w:space="0" w:color="auto"/>
            <w:bottom w:val="none" w:sz="0" w:space="0" w:color="auto"/>
            <w:right w:val="none" w:sz="0" w:space="0" w:color="auto"/>
          </w:divBdr>
          <w:divsChild>
            <w:div w:id="951405094">
              <w:marLeft w:val="0"/>
              <w:marRight w:val="0"/>
              <w:marTop w:val="0"/>
              <w:marBottom w:val="0"/>
              <w:divBdr>
                <w:top w:val="none" w:sz="0" w:space="0" w:color="auto"/>
                <w:left w:val="none" w:sz="0" w:space="0" w:color="auto"/>
                <w:bottom w:val="none" w:sz="0" w:space="0" w:color="auto"/>
                <w:right w:val="none" w:sz="0" w:space="0" w:color="auto"/>
              </w:divBdr>
              <w:divsChild>
                <w:div w:id="1844588011">
                  <w:marLeft w:val="0"/>
                  <w:marRight w:val="0"/>
                  <w:marTop w:val="0"/>
                  <w:marBottom w:val="0"/>
                  <w:divBdr>
                    <w:top w:val="none" w:sz="0" w:space="0" w:color="auto"/>
                    <w:left w:val="none" w:sz="0" w:space="0" w:color="auto"/>
                    <w:bottom w:val="none" w:sz="0" w:space="0" w:color="auto"/>
                    <w:right w:val="none" w:sz="0" w:space="0" w:color="auto"/>
                  </w:divBdr>
                  <w:divsChild>
                    <w:div w:id="1002706902">
                      <w:marLeft w:val="0"/>
                      <w:marRight w:val="0"/>
                      <w:marTop w:val="0"/>
                      <w:marBottom w:val="0"/>
                      <w:divBdr>
                        <w:top w:val="none" w:sz="0" w:space="0" w:color="auto"/>
                        <w:left w:val="none" w:sz="0" w:space="0" w:color="auto"/>
                        <w:bottom w:val="none" w:sz="0" w:space="0" w:color="auto"/>
                        <w:right w:val="none" w:sz="0" w:space="0" w:color="auto"/>
                      </w:divBdr>
                      <w:divsChild>
                        <w:div w:id="2032488852">
                          <w:marLeft w:val="0"/>
                          <w:marRight w:val="0"/>
                          <w:marTop w:val="0"/>
                          <w:marBottom w:val="0"/>
                          <w:divBdr>
                            <w:top w:val="none" w:sz="0" w:space="0" w:color="auto"/>
                            <w:left w:val="none" w:sz="0" w:space="0" w:color="auto"/>
                            <w:bottom w:val="none" w:sz="0" w:space="0" w:color="auto"/>
                            <w:right w:val="none" w:sz="0" w:space="0" w:color="auto"/>
                          </w:divBdr>
                          <w:divsChild>
                            <w:div w:id="712656924">
                              <w:marLeft w:val="0"/>
                              <w:marRight w:val="0"/>
                              <w:marTop w:val="0"/>
                              <w:marBottom w:val="0"/>
                              <w:divBdr>
                                <w:top w:val="none" w:sz="0" w:space="0" w:color="auto"/>
                                <w:left w:val="none" w:sz="0" w:space="0" w:color="auto"/>
                                <w:bottom w:val="none" w:sz="0" w:space="0" w:color="auto"/>
                                <w:right w:val="none" w:sz="0" w:space="0" w:color="auto"/>
                              </w:divBdr>
                              <w:divsChild>
                                <w:div w:id="404449155">
                                  <w:marLeft w:val="0"/>
                                  <w:marRight w:val="0"/>
                                  <w:marTop w:val="0"/>
                                  <w:marBottom w:val="0"/>
                                  <w:divBdr>
                                    <w:top w:val="none" w:sz="0" w:space="0" w:color="auto"/>
                                    <w:left w:val="none" w:sz="0" w:space="0" w:color="auto"/>
                                    <w:bottom w:val="none" w:sz="0" w:space="0" w:color="auto"/>
                                    <w:right w:val="none" w:sz="0" w:space="0" w:color="auto"/>
                                  </w:divBdr>
                                  <w:divsChild>
                                    <w:div w:id="1623224452">
                                      <w:marLeft w:val="0"/>
                                      <w:marRight w:val="0"/>
                                      <w:marTop w:val="0"/>
                                      <w:marBottom w:val="0"/>
                                      <w:divBdr>
                                        <w:top w:val="none" w:sz="0" w:space="0" w:color="auto"/>
                                        <w:left w:val="none" w:sz="0" w:space="0" w:color="auto"/>
                                        <w:bottom w:val="none" w:sz="0" w:space="0" w:color="auto"/>
                                        <w:right w:val="none" w:sz="0" w:space="0" w:color="auto"/>
                                      </w:divBdr>
                                      <w:divsChild>
                                        <w:div w:id="1614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219283">
      <w:bodyDiv w:val="1"/>
      <w:marLeft w:val="0"/>
      <w:marRight w:val="0"/>
      <w:marTop w:val="0"/>
      <w:marBottom w:val="0"/>
      <w:divBdr>
        <w:top w:val="none" w:sz="0" w:space="0" w:color="auto"/>
        <w:left w:val="none" w:sz="0" w:space="0" w:color="auto"/>
        <w:bottom w:val="none" w:sz="0" w:space="0" w:color="auto"/>
        <w:right w:val="none" w:sz="0" w:space="0" w:color="auto"/>
      </w:divBdr>
      <w:divsChild>
        <w:div w:id="529296692">
          <w:marLeft w:val="640"/>
          <w:marRight w:val="0"/>
          <w:marTop w:val="0"/>
          <w:marBottom w:val="0"/>
          <w:divBdr>
            <w:top w:val="none" w:sz="0" w:space="0" w:color="auto"/>
            <w:left w:val="none" w:sz="0" w:space="0" w:color="auto"/>
            <w:bottom w:val="none" w:sz="0" w:space="0" w:color="auto"/>
            <w:right w:val="none" w:sz="0" w:space="0" w:color="auto"/>
          </w:divBdr>
        </w:div>
        <w:div w:id="429204519">
          <w:marLeft w:val="640"/>
          <w:marRight w:val="0"/>
          <w:marTop w:val="0"/>
          <w:marBottom w:val="0"/>
          <w:divBdr>
            <w:top w:val="none" w:sz="0" w:space="0" w:color="auto"/>
            <w:left w:val="none" w:sz="0" w:space="0" w:color="auto"/>
            <w:bottom w:val="none" w:sz="0" w:space="0" w:color="auto"/>
            <w:right w:val="none" w:sz="0" w:space="0" w:color="auto"/>
          </w:divBdr>
        </w:div>
        <w:div w:id="1954439528">
          <w:marLeft w:val="640"/>
          <w:marRight w:val="0"/>
          <w:marTop w:val="0"/>
          <w:marBottom w:val="0"/>
          <w:divBdr>
            <w:top w:val="none" w:sz="0" w:space="0" w:color="auto"/>
            <w:left w:val="none" w:sz="0" w:space="0" w:color="auto"/>
            <w:bottom w:val="none" w:sz="0" w:space="0" w:color="auto"/>
            <w:right w:val="none" w:sz="0" w:space="0" w:color="auto"/>
          </w:divBdr>
        </w:div>
        <w:div w:id="2005935518">
          <w:marLeft w:val="640"/>
          <w:marRight w:val="0"/>
          <w:marTop w:val="0"/>
          <w:marBottom w:val="0"/>
          <w:divBdr>
            <w:top w:val="none" w:sz="0" w:space="0" w:color="auto"/>
            <w:left w:val="none" w:sz="0" w:space="0" w:color="auto"/>
            <w:bottom w:val="none" w:sz="0" w:space="0" w:color="auto"/>
            <w:right w:val="none" w:sz="0" w:space="0" w:color="auto"/>
          </w:divBdr>
        </w:div>
        <w:div w:id="1119954294">
          <w:marLeft w:val="640"/>
          <w:marRight w:val="0"/>
          <w:marTop w:val="0"/>
          <w:marBottom w:val="0"/>
          <w:divBdr>
            <w:top w:val="none" w:sz="0" w:space="0" w:color="auto"/>
            <w:left w:val="none" w:sz="0" w:space="0" w:color="auto"/>
            <w:bottom w:val="none" w:sz="0" w:space="0" w:color="auto"/>
            <w:right w:val="none" w:sz="0" w:space="0" w:color="auto"/>
          </w:divBdr>
        </w:div>
        <w:div w:id="1090807106">
          <w:marLeft w:val="640"/>
          <w:marRight w:val="0"/>
          <w:marTop w:val="0"/>
          <w:marBottom w:val="0"/>
          <w:divBdr>
            <w:top w:val="none" w:sz="0" w:space="0" w:color="auto"/>
            <w:left w:val="none" w:sz="0" w:space="0" w:color="auto"/>
            <w:bottom w:val="none" w:sz="0" w:space="0" w:color="auto"/>
            <w:right w:val="none" w:sz="0" w:space="0" w:color="auto"/>
          </w:divBdr>
        </w:div>
        <w:div w:id="1253274556">
          <w:marLeft w:val="640"/>
          <w:marRight w:val="0"/>
          <w:marTop w:val="0"/>
          <w:marBottom w:val="0"/>
          <w:divBdr>
            <w:top w:val="none" w:sz="0" w:space="0" w:color="auto"/>
            <w:left w:val="none" w:sz="0" w:space="0" w:color="auto"/>
            <w:bottom w:val="none" w:sz="0" w:space="0" w:color="auto"/>
            <w:right w:val="none" w:sz="0" w:space="0" w:color="auto"/>
          </w:divBdr>
        </w:div>
        <w:div w:id="184485632">
          <w:marLeft w:val="640"/>
          <w:marRight w:val="0"/>
          <w:marTop w:val="0"/>
          <w:marBottom w:val="0"/>
          <w:divBdr>
            <w:top w:val="none" w:sz="0" w:space="0" w:color="auto"/>
            <w:left w:val="none" w:sz="0" w:space="0" w:color="auto"/>
            <w:bottom w:val="none" w:sz="0" w:space="0" w:color="auto"/>
            <w:right w:val="none" w:sz="0" w:space="0" w:color="auto"/>
          </w:divBdr>
        </w:div>
        <w:div w:id="251162985">
          <w:marLeft w:val="640"/>
          <w:marRight w:val="0"/>
          <w:marTop w:val="0"/>
          <w:marBottom w:val="0"/>
          <w:divBdr>
            <w:top w:val="none" w:sz="0" w:space="0" w:color="auto"/>
            <w:left w:val="none" w:sz="0" w:space="0" w:color="auto"/>
            <w:bottom w:val="none" w:sz="0" w:space="0" w:color="auto"/>
            <w:right w:val="none" w:sz="0" w:space="0" w:color="auto"/>
          </w:divBdr>
        </w:div>
        <w:div w:id="1933471790">
          <w:marLeft w:val="640"/>
          <w:marRight w:val="0"/>
          <w:marTop w:val="0"/>
          <w:marBottom w:val="0"/>
          <w:divBdr>
            <w:top w:val="none" w:sz="0" w:space="0" w:color="auto"/>
            <w:left w:val="none" w:sz="0" w:space="0" w:color="auto"/>
            <w:bottom w:val="none" w:sz="0" w:space="0" w:color="auto"/>
            <w:right w:val="none" w:sz="0" w:space="0" w:color="auto"/>
          </w:divBdr>
        </w:div>
        <w:div w:id="1227839474">
          <w:marLeft w:val="640"/>
          <w:marRight w:val="0"/>
          <w:marTop w:val="0"/>
          <w:marBottom w:val="0"/>
          <w:divBdr>
            <w:top w:val="none" w:sz="0" w:space="0" w:color="auto"/>
            <w:left w:val="none" w:sz="0" w:space="0" w:color="auto"/>
            <w:bottom w:val="none" w:sz="0" w:space="0" w:color="auto"/>
            <w:right w:val="none" w:sz="0" w:space="0" w:color="auto"/>
          </w:divBdr>
        </w:div>
        <w:div w:id="1929804851">
          <w:marLeft w:val="640"/>
          <w:marRight w:val="0"/>
          <w:marTop w:val="0"/>
          <w:marBottom w:val="0"/>
          <w:divBdr>
            <w:top w:val="none" w:sz="0" w:space="0" w:color="auto"/>
            <w:left w:val="none" w:sz="0" w:space="0" w:color="auto"/>
            <w:bottom w:val="none" w:sz="0" w:space="0" w:color="auto"/>
            <w:right w:val="none" w:sz="0" w:space="0" w:color="auto"/>
          </w:divBdr>
        </w:div>
        <w:div w:id="1585456155">
          <w:marLeft w:val="640"/>
          <w:marRight w:val="0"/>
          <w:marTop w:val="0"/>
          <w:marBottom w:val="0"/>
          <w:divBdr>
            <w:top w:val="none" w:sz="0" w:space="0" w:color="auto"/>
            <w:left w:val="none" w:sz="0" w:space="0" w:color="auto"/>
            <w:bottom w:val="none" w:sz="0" w:space="0" w:color="auto"/>
            <w:right w:val="none" w:sz="0" w:space="0" w:color="auto"/>
          </w:divBdr>
        </w:div>
        <w:div w:id="1165972617">
          <w:marLeft w:val="640"/>
          <w:marRight w:val="0"/>
          <w:marTop w:val="0"/>
          <w:marBottom w:val="0"/>
          <w:divBdr>
            <w:top w:val="none" w:sz="0" w:space="0" w:color="auto"/>
            <w:left w:val="none" w:sz="0" w:space="0" w:color="auto"/>
            <w:bottom w:val="none" w:sz="0" w:space="0" w:color="auto"/>
            <w:right w:val="none" w:sz="0" w:space="0" w:color="auto"/>
          </w:divBdr>
        </w:div>
        <w:div w:id="746070442">
          <w:marLeft w:val="640"/>
          <w:marRight w:val="0"/>
          <w:marTop w:val="0"/>
          <w:marBottom w:val="0"/>
          <w:divBdr>
            <w:top w:val="none" w:sz="0" w:space="0" w:color="auto"/>
            <w:left w:val="none" w:sz="0" w:space="0" w:color="auto"/>
            <w:bottom w:val="none" w:sz="0" w:space="0" w:color="auto"/>
            <w:right w:val="none" w:sz="0" w:space="0" w:color="auto"/>
          </w:divBdr>
        </w:div>
        <w:div w:id="152644288">
          <w:marLeft w:val="640"/>
          <w:marRight w:val="0"/>
          <w:marTop w:val="0"/>
          <w:marBottom w:val="0"/>
          <w:divBdr>
            <w:top w:val="none" w:sz="0" w:space="0" w:color="auto"/>
            <w:left w:val="none" w:sz="0" w:space="0" w:color="auto"/>
            <w:bottom w:val="none" w:sz="0" w:space="0" w:color="auto"/>
            <w:right w:val="none" w:sz="0" w:space="0" w:color="auto"/>
          </w:divBdr>
        </w:div>
        <w:div w:id="220100730">
          <w:marLeft w:val="640"/>
          <w:marRight w:val="0"/>
          <w:marTop w:val="0"/>
          <w:marBottom w:val="0"/>
          <w:divBdr>
            <w:top w:val="none" w:sz="0" w:space="0" w:color="auto"/>
            <w:left w:val="none" w:sz="0" w:space="0" w:color="auto"/>
            <w:bottom w:val="none" w:sz="0" w:space="0" w:color="auto"/>
            <w:right w:val="none" w:sz="0" w:space="0" w:color="auto"/>
          </w:divBdr>
        </w:div>
        <w:div w:id="2101633153">
          <w:marLeft w:val="640"/>
          <w:marRight w:val="0"/>
          <w:marTop w:val="0"/>
          <w:marBottom w:val="0"/>
          <w:divBdr>
            <w:top w:val="none" w:sz="0" w:space="0" w:color="auto"/>
            <w:left w:val="none" w:sz="0" w:space="0" w:color="auto"/>
            <w:bottom w:val="none" w:sz="0" w:space="0" w:color="auto"/>
            <w:right w:val="none" w:sz="0" w:space="0" w:color="auto"/>
          </w:divBdr>
        </w:div>
        <w:div w:id="1605720772">
          <w:marLeft w:val="640"/>
          <w:marRight w:val="0"/>
          <w:marTop w:val="0"/>
          <w:marBottom w:val="0"/>
          <w:divBdr>
            <w:top w:val="none" w:sz="0" w:space="0" w:color="auto"/>
            <w:left w:val="none" w:sz="0" w:space="0" w:color="auto"/>
            <w:bottom w:val="none" w:sz="0" w:space="0" w:color="auto"/>
            <w:right w:val="none" w:sz="0" w:space="0" w:color="auto"/>
          </w:divBdr>
        </w:div>
        <w:div w:id="1135489421">
          <w:marLeft w:val="640"/>
          <w:marRight w:val="0"/>
          <w:marTop w:val="0"/>
          <w:marBottom w:val="0"/>
          <w:divBdr>
            <w:top w:val="none" w:sz="0" w:space="0" w:color="auto"/>
            <w:left w:val="none" w:sz="0" w:space="0" w:color="auto"/>
            <w:bottom w:val="none" w:sz="0" w:space="0" w:color="auto"/>
            <w:right w:val="none" w:sz="0" w:space="0" w:color="auto"/>
          </w:divBdr>
        </w:div>
        <w:div w:id="204686017">
          <w:marLeft w:val="640"/>
          <w:marRight w:val="0"/>
          <w:marTop w:val="0"/>
          <w:marBottom w:val="0"/>
          <w:divBdr>
            <w:top w:val="none" w:sz="0" w:space="0" w:color="auto"/>
            <w:left w:val="none" w:sz="0" w:space="0" w:color="auto"/>
            <w:bottom w:val="none" w:sz="0" w:space="0" w:color="auto"/>
            <w:right w:val="none" w:sz="0" w:space="0" w:color="auto"/>
          </w:divBdr>
        </w:div>
        <w:div w:id="70927281">
          <w:marLeft w:val="640"/>
          <w:marRight w:val="0"/>
          <w:marTop w:val="0"/>
          <w:marBottom w:val="0"/>
          <w:divBdr>
            <w:top w:val="none" w:sz="0" w:space="0" w:color="auto"/>
            <w:left w:val="none" w:sz="0" w:space="0" w:color="auto"/>
            <w:bottom w:val="none" w:sz="0" w:space="0" w:color="auto"/>
            <w:right w:val="none" w:sz="0" w:space="0" w:color="auto"/>
          </w:divBdr>
        </w:div>
      </w:divsChild>
    </w:div>
    <w:div w:id="2034111302">
      <w:bodyDiv w:val="1"/>
      <w:marLeft w:val="0"/>
      <w:marRight w:val="0"/>
      <w:marTop w:val="0"/>
      <w:marBottom w:val="0"/>
      <w:divBdr>
        <w:top w:val="none" w:sz="0" w:space="0" w:color="auto"/>
        <w:left w:val="none" w:sz="0" w:space="0" w:color="auto"/>
        <w:bottom w:val="none" w:sz="0" w:space="0" w:color="auto"/>
        <w:right w:val="none" w:sz="0" w:space="0" w:color="auto"/>
      </w:divBdr>
      <w:divsChild>
        <w:div w:id="65418090">
          <w:marLeft w:val="640"/>
          <w:marRight w:val="0"/>
          <w:marTop w:val="0"/>
          <w:marBottom w:val="0"/>
          <w:divBdr>
            <w:top w:val="none" w:sz="0" w:space="0" w:color="auto"/>
            <w:left w:val="none" w:sz="0" w:space="0" w:color="auto"/>
            <w:bottom w:val="none" w:sz="0" w:space="0" w:color="auto"/>
            <w:right w:val="none" w:sz="0" w:space="0" w:color="auto"/>
          </w:divBdr>
        </w:div>
        <w:div w:id="183835004">
          <w:marLeft w:val="640"/>
          <w:marRight w:val="0"/>
          <w:marTop w:val="0"/>
          <w:marBottom w:val="0"/>
          <w:divBdr>
            <w:top w:val="none" w:sz="0" w:space="0" w:color="auto"/>
            <w:left w:val="none" w:sz="0" w:space="0" w:color="auto"/>
            <w:bottom w:val="none" w:sz="0" w:space="0" w:color="auto"/>
            <w:right w:val="none" w:sz="0" w:space="0" w:color="auto"/>
          </w:divBdr>
        </w:div>
        <w:div w:id="836506722">
          <w:marLeft w:val="640"/>
          <w:marRight w:val="0"/>
          <w:marTop w:val="0"/>
          <w:marBottom w:val="0"/>
          <w:divBdr>
            <w:top w:val="none" w:sz="0" w:space="0" w:color="auto"/>
            <w:left w:val="none" w:sz="0" w:space="0" w:color="auto"/>
            <w:bottom w:val="none" w:sz="0" w:space="0" w:color="auto"/>
            <w:right w:val="none" w:sz="0" w:space="0" w:color="auto"/>
          </w:divBdr>
        </w:div>
        <w:div w:id="1931114827">
          <w:marLeft w:val="640"/>
          <w:marRight w:val="0"/>
          <w:marTop w:val="0"/>
          <w:marBottom w:val="0"/>
          <w:divBdr>
            <w:top w:val="none" w:sz="0" w:space="0" w:color="auto"/>
            <w:left w:val="none" w:sz="0" w:space="0" w:color="auto"/>
            <w:bottom w:val="none" w:sz="0" w:space="0" w:color="auto"/>
            <w:right w:val="none" w:sz="0" w:space="0" w:color="auto"/>
          </w:divBdr>
        </w:div>
        <w:div w:id="1340160730">
          <w:marLeft w:val="640"/>
          <w:marRight w:val="0"/>
          <w:marTop w:val="0"/>
          <w:marBottom w:val="0"/>
          <w:divBdr>
            <w:top w:val="none" w:sz="0" w:space="0" w:color="auto"/>
            <w:left w:val="none" w:sz="0" w:space="0" w:color="auto"/>
            <w:bottom w:val="none" w:sz="0" w:space="0" w:color="auto"/>
            <w:right w:val="none" w:sz="0" w:space="0" w:color="auto"/>
          </w:divBdr>
        </w:div>
        <w:div w:id="1701129254">
          <w:marLeft w:val="640"/>
          <w:marRight w:val="0"/>
          <w:marTop w:val="0"/>
          <w:marBottom w:val="0"/>
          <w:divBdr>
            <w:top w:val="none" w:sz="0" w:space="0" w:color="auto"/>
            <w:left w:val="none" w:sz="0" w:space="0" w:color="auto"/>
            <w:bottom w:val="none" w:sz="0" w:space="0" w:color="auto"/>
            <w:right w:val="none" w:sz="0" w:space="0" w:color="auto"/>
          </w:divBdr>
        </w:div>
        <w:div w:id="1399203731">
          <w:marLeft w:val="640"/>
          <w:marRight w:val="0"/>
          <w:marTop w:val="0"/>
          <w:marBottom w:val="0"/>
          <w:divBdr>
            <w:top w:val="none" w:sz="0" w:space="0" w:color="auto"/>
            <w:left w:val="none" w:sz="0" w:space="0" w:color="auto"/>
            <w:bottom w:val="none" w:sz="0" w:space="0" w:color="auto"/>
            <w:right w:val="none" w:sz="0" w:space="0" w:color="auto"/>
          </w:divBdr>
        </w:div>
        <w:div w:id="1135756543">
          <w:marLeft w:val="640"/>
          <w:marRight w:val="0"/>
          <w:marTop w:val="0"/>
          <w:marBottom w:val="0"/>
          <w:divBdr>
            <w:top w:val="none" w:sz="0" w:space="0" w:color="auto"/>
            <w:left w:val="none" w:sz="0" w:space="0" w:color="auto"/>
            <w:bottom w:val="none" w:sz="0" w:space="0" w:color="auto"/>
            <w:right w:val="none" w:sz="0" w:space="0" w:color="auto"/>
          </w:divBdr>
        </w:div>
        <w:div w:id="128788178">
          <w:marLeft w:val="640"/>
          <w:marRight w:val="0"/>
          <w:marTop w:val="0"/>
          <w:marBottom w:val="0"/>
          <w:divBdr>
            <w:top w:val="none" w:sz="0" w:space="0" w:color="auto"/>
            <w:left w:val="none" w:sz="0" w:space="0" w:color="auto"/>
            <w:bottom w:val="none" w:sz="0" w:space="0" w:color="auto"/>
            <w:right w:val="none" w:sz="0" w:space="0" w:color="auto"/>
          </w:divBdr>
        </w:div>
        <w:div w:id="1349870919">
          <w:marLeft w:val="640"/>
          <w:marRight w:val="0"/>
          <w:marTop w:val="0"/>
          <w:marBottom w:val="0"/>
          <w:divBdr>
            <w:top w:val="none" w:sz="0" w:space="0" w:color="auto"/>
            <w:left w:val="none" w:sz="0" w:space="0" w:color="auto"/>
            <w:bottom w:val="none" w:sz="0" w:space="0" w:color="auto"/>
            <w:right w:val="none" w:sz="0" w:space="0" w:color="auto"/>
          </w:divBdr>
        </w:div>
        <w:div w:id="2038921825">
          <w:marLeft w:val="640"/>
          <w:marRight w:val="0"/>
          <w:marTop w:val="0"/>
          <w:marBottom w:val="0"/>
          <w:divBdr>
            <w:top w:val="none" w:sz="0" w:space="0" w:color="auto"/>
            <w:left w:val="none" w:sz="0" w:space="0" w:color="auto"/>
            <w:bottom w:val="none" w:sz="0" w:space="0" w:color="auto"/>
            <w:right w:val="none" w:sz="0" w:space="0" w:color="auto"/>
          </w:divBdr>
        </w:div>
        <w:div w:id="234821890">
          <w:marLeft w:val="640"/>
          <w:marRight w:val="0"/>
          <w:marTop w:val="0"/>
          <w:marBottom w:val="0"/>
          <w:divBdr>
            <w:top w:val="none" w:sz="0" w:space="0" w:color="auto"/>
            <w:left w:val="none" w:sz="0" w:space="0" w:color="auto"/>
            <w:bottom w:val="none" w:sz="0" w:space="0" w:color="auto"/>
            <w:right w:val="none" w:sz="0" w:space="0" w:color="auto"/>
          </w:divBdr>
        </w:div>
        <w:div w:id="1709407332">
          <w:marLeft w:val="640"/>
          <w:marRight w:val="0"/>
          <w:marTop w:val="0"/>
          <w:marBottom w:val="0"/>
          <w:divBdr>
            <w:top w:val="none" w:sz="0" w:space="0" w:color="auto"/>
            <w:left w:val="none" w:sz="0" w:space="0" w:color="auto"/>
            <w:bottom w:val="none" w:sz="0" w:space="0" w:color="auto"/>
            <w:right w:val="none" w:sz="0" w:space="0" w:color="auto"/>
          </w:divBdr>
        </w:div>
        <w:div w:id="977342277">
          <w:marLeft w:val="640"/>
          <w:marRight w:val="0"/>
          <w:marTop w:val="0"/>
          <w:marBottom w:val="0"/>
          <w:divBdr>
            <w:top w:val="none" w:sz="0" w:space="0" w:color="auto"/>
            <w:left w:val="none" w:sz="0" w:space="0" w:color="auto"/>
            <w:bottom w:val="none" w:sz="0" w:space="0" w:color="auto"/>
            <w:right w:val="none" w:sz="0" w:space="0" w:color="auto"/>
          </w:divBdr>
        </w:div>
        <w:div w:id="1640065297">
          <w:marLeft w:val="640"/>
          <w:marRight w:val="0"/>
          <w:marTop w:val="0"/>
          <w:marBottom w:val="0"/>
          <w:divBdr>
            <w:top w:val="none" w:sz="0" w:space="0" w:color="auto"/>
            <w:left w:val="none" w:sz="0" w:space="0" w:color="auto"/>
            <w:bottom w:val="none" w:sz="0" w:space="0" w:color="auto"/>
            <w:right w:val="none" w:sz="0" w:space="0" w:color="auto"/>
          </w:divBdr>
        </w:div>
        <w:div w:id="1381515160">
          <w:marLeft w:val="640"/>
          <w:marRight w:val="0"/>
          <w:marTop w:val="0"/>
          <w:marBottom w:val="0"/>
          <w:divBdr>
            <w:top w:val="none" w:sz="0" w:space="0" w:color="auto"/>
            <w:left w:val="none" w:sz="0" w:space="0" w:color="auto"/>
            <w:bottom w:val="none" w:sz="0" w:space="0" w:color="auto"/>
            <w:right w:val="none" w:sz="0" w:space="0" w:color="auto"/>
          </w:divBdr>
        </w:div>
        <w:div w:id="945767791">
          <w:marLeft w:val="640"/>
          <w:marRight w:val="0"/>
          <w:marTop w:val="0"/>
          <w:marBottom w:val="0"/>
          <w:divBdr>
            <w:top w:val="none" w:sz="0" w:space="0" w:color="auto"/>
            <w:left w:val="none" w:sz="0" w:space="0" w:color="auto"/>
            <w:bottom w:val="none" w:sz="0" w:space="0" w:color="auto"/>
            <w:right w:val="none" w:sz="0" w:space="0" w:color="auto"/>
          </w:divBdr>
        </w:div>
        <w:div w:id="1630436552">
          <w:marLeft w:val="640"/>
          <w:marRight w:val="0"/>
          <w:marTop w:val="0"/>
          <w:marBottom w:val="0"/>
          <w:divBdr>
            <w:top w:val="none" w:sz="0" w:space="0" w:color="auto"/>
            <w:left w:val="none" w:sz="0" w:space="0" w:color="auto"/>
            <w:bottom w:val="none" w:sz="0" w:space="0" w:color="auto"/>
            <w:right w:val="none" w:sz="0" w:space="0" w:color="auto"/>
          </w:divBdr>
        </w:div>
        <w:div w:id="638876434">
          <w:marLeft w:val="640"/>
          <w:marRight w:val="0"/>
          <w:marTop w:val="0"/>
          <w:marBottom w:val="0"/>
          <w:divBdr>
            <w:top w:val="none" w:sz="0" w:space="0" w:color="auto"/>
            <w:left w:val="none" w:sz="0" w:space="0" w:color="auto"/>
            <w:bottom w:val="none" w:sz="0" w:space="0" w:color="auto"/>
            <w:right w:val="none" w:sz="0" w:space="0" w:color="auto"/>
          </w:divBdr>
        </w:div>
        <w:div w:id="455220891">
          <w:marLeft w:val="640"/>
          <w:marRight w:val="0"/>
          <w:marTop w:val="0"/>
          <w:marBottom w:val="0"/>
          <w:divBdr>
            <w:top w:val="none" w:sz="0" w:space="0" w:color="auto"/>
            <w:left w:val="none" w:sz="0" w:space="0" w:color="auto"/>
            <w:bottom w:val="none" w:sz="0" w:space="0" w:color="auto"/>
            <w:right w:val="none" w:sz="0" w:space="0" w:color="auto"/>
          </w:divBdr>
        </w:div>
        <w:div w:id="617638792">
          <w:marLeft w:val="640"/>
          <w:marRight w:val="0"/>
          <w:marTop w:val="0"/>
          <w:marBottom w:val="0"/>
          <w:divBdr>
            <w:top w:val="none" w:sz="0" w:space="0" w:color="auto"/>
            <w:left w:val="none" w:sz="0" w:space="0" w:color="auto"/>
            <w:bottom w:val="none" w:sz="0" w:space="0" w:color="auto"/>
            <w:right w:val="none" w:sz="0" w:space="0" w:color="auto"/>
          </w:divBdr>
        </w:div>
        <w:div w:id="1805728544">
          <w:marLeft w:val="640"/>
          <w:marRight w:val="0"/>
          <w:marTop w:val="0"/>
          <w:marBottom w:val="0"/>
          <w:divBdr>
            <w:top w:val="none" w:sz="0" w:space="0" w:color="auto"/>
            <w:left w:val="none" w:sz="0" w:space="0" w:color="auto"/>
            <w:bottom w:val="none" w:sz="0" w:space="0" w:color="auto"/>
            <w:right w:val="none" w:sz="0" w:space="0" w:color="auto"/>
          </w:divBdr>
        </w:div>
        <w:div w:id="1695501180">
          <w:marLeft w:val="640"/>
          <w:marRight w:val="0"/>
          <w:marTop w:val="0"/>
          <w:marBottom w:val="0"/>
          <w:divBdr>
            <w:top w:val="none" w:sz="0" w:space="0" w:color="auto"/>
            <w:left w:val="none" w:sz="0" w:space="0" w:color="auto"/>
            <w:bottom w:val="none" w:sz="0" w:space="0" w:color="auto"/>
            <w:right w:val="none" w:sz="0" w:space="0" w:color="auto"/>
          </w:divBdr>
        </w:div>
      </w:divsChild>
    </w:div>
    <w:div w:id="2120562442">
      <w:bodyDiv w:val="1"/>
      <w:marLeft w:val="0"/>
      <w:marRight w:val="0"/>
      <w:marTop w:val="0"/>
      <w:marBottom w:val="0"/>
      <w:divBdr>
        <w:top w:val="none" w:sz="0" w:space="0" w:color="auto"/>
        <w:left w:val="none" w:sz="0" w:space="0" w:color="auto"/>
        <w:bottom w:val="none" w:sz="0" w:space="0" w:color="auto"/>
        <w:right w:val="none" w:sz="0" w:space="0" w:color="auto"/>
      </w:divBdr>
      <w:divsChild>
        <w:div w:id="1137378051">
          <w:marLeft w:val="640"/>
          <w:marRight w:val="0"/>
          <w:marTop w:val="0"/>
          <w:marBottom w:val="0"/>
          <w:divBdr>
            <w:top w:val="none" w:sz="0" w:space="0" w:color="auto"/>
            <w:left w:val="none" w:sz="0" w:space="0" w:color="auto"/>
            <w:bottom w:val="none" w:sz="0" w:space="0" w:color="auto"/>
            <w:right w:val="none" w:sz="0" w:space="0" w:color="auto"/>
          </w:divBdr>
        </w:div>
        <w:div w:id="111096332">
          <w:marLeft w:val="640"/>
          <w:marRight w:val="0"/>
          <w:marTop w:val="0"/>
          <w:marBottom w:val="0"/>
          <w:divBdr>
            <w:top w:val="none" w:sz="0" w:space="0" w:color="auto"/>
            <w:left w:val="none" w:sz="0" w:space="0" w:color="auto"/>
            <w:bottom w:val="none" w:sz="0" w:space="0" w:color="auto"/>
            <w:right w:val="none" w:sz="0" w:space="0" w:color="auto"/>
          </w:divBdr>
        </w:div>
        <w:div w:id="362174533">
          <w:marLeft w:val="640"/>
          <w:marRight w:val="0"/>
          <w:marTop w:val="0"/>
          <w:marBottom w:val="0"/>
          <w:divBdr>
            <w:top w:val="none" w:sz="0" w:space="0" w:color="auto"/>
            <w:left w:val="none" w:sz="0" w:space="0" w:color="auto"/>
            <w:bottom w:val="none" w:sz="0" w:space="0" w:color="auto"/>
            <w:right w:val="none" w:sz="0" w:space="0" w:color="auto"/>
          </w:divBdr>
        </w:div>
        <w:div w:id="1955405098">
          <w:marLeft w:val="640"/>
          <w:marRight w:val="0"/>
          <w:marTop w:val="0"/>
          <w:marBottom w:val="0"/>
          <w:divBdr>
            <w:top w:val="none" w:sz="0" w:space="0" w:color="auto"/>
            <w:left w:val="none" w:sz="0" w:space="0" w:color="auto"/>
            <w:bottom w:val="none" w:sz="0" w:space="0" w:color="auto"/>
            <w:right w:val="none" w:sz="0" w:space="0" w:color="auto"/>
          </w:divBdr>
        </w:div>
        <w:div w:id="1418556692">
          <w:marLeft w:val="640"/>
          <w:marRight w:val="0"/>
          <w:marTop w:val="0"/>
          <w:marBottom w:val="0"/>
          <w:divBdr>
            <w:top w:val="none" w:sz="0" w:space="0" w:color="auto"/>
            <w:left w:val="none" w:sz="0" w:space="0" w:color="auto"/>
            <w:bottom w:val="none" w:sz="0" w:space="0" w:color="auto"/>
            <w:right w:val="none" w:sz="0" w:space="0" w:color="auto"/>
          </w:divBdr>
        </w:div>
        <w:div w:id="976304232">
          <w:marLeft w:val="640"/>
          <w:marRight w:val="0"/>
          <w:marTop w:val="0"/>
          <w:marBottom w:val="0"/>
          <w:divBdr>
            <w:top w:val="none" w:sz="0" w:space="0" w:color="auto"/>
            <w:left w:val="none" w:sz="0" w:space="0" w:color="auto"/>
            <w:bottom w:val="none" w:sz="0" w:space="0" w:color="auto"/>
            <w:right w:val="none" w:sz="0" w:space="0" w:color="auto"/>
          </w:divBdr>
        </w:div>
        <w:div w:id="326246171">
          <w:marLeft w:val="640"/>
          <w:marRight w:val="0"/>
          <w:marTop w:val="0"/>
          <w:marBottom w:val="0"/>
          <w:divBdr>
            <w:top w:val="none" w:sz="0" w:space="0" w:color="auto"/>
            <w:left w:val="none" w:sz="0" w:space="0" w:color="auto"/>
            <w:bottom w:val="none" w:sz="0" w:space="0" w:color="auto"/>
            <w:right w:val="none" w:sz="0" w:space="0" w:color="auto"/>
          </w:divBdr>
        </w:div>
        <w:div w:id="1849900207">
          <w:marLeft w:val="640"/>
          <w:marRight w:val="0"/>
          <w:marTop w:val="0"/>
          <w:marBottom w:val="0"/>
          <w:divBdr>
            <w:top w:val="none" w:sz="0" w:space="0" w:color="auto"/>
            <w:left w:val="none" w:sz="0" w:space="0" w:color="auto"/>
            <w:bottom w:val="none" w:sz="0" w:space="0" w:color="auto"/>
            <w:right w:val="none" w:sz="0" w:space="0" w:color="auto"/>
          </w:divBdr>
        </w:div>
        <w:div w:id="575171218">
          <w:marLeft w:val="640"/>
          <w:marRight w:val="0"/>
          <w:marTop w:val="0"/>
          <w:marBottom w:val="0"/>
          <w:divBdr>
            <w:top w:val="none" w:sz="0" w:space="0" w:color="auto"/>
            <w:left w:val="none" w:sz="0" w:space="0" w:color="auto"/>
            <w:bottom w:val="none" w:sz="0" w:space="0" w:color="auto"/>
            <w:right w:val="none" w:sz="0" w:space="0" w:color="auto"/>
          </w:divBdr>
        </w:div>
        <w:div w:id="347563578">
          <w:marLeft w:val="640"/>
          <w:marRight w:val="0"/>
          <w:marTop w:val="0"/>
          <w:marBottom w:val="0"/>
          <w:divBdr>
            <w:top w:val="none" w:sz="0" w:space="0" w:color="auto"/>
            <w:left w:val="none" w:sz="0" w:space="0" w:color="auto"/>
            <w:bottom w:val="none" w:sz="0" w:space="0" w:color="auto"/>
            <w:right w:val="none" w:sz="0" w:space="0" w:color="auto"/>
          </w:divBdr>
        </w:div>
        <w:div w:id="1477799301">
          <w:marLeft w:val="640"/>
          <w:marRight w:val="0"/>
          <w:marTop w:val="0"/>
          <w:marBottom w:val="0"/>
          <w:divBdr>
            <w:top w:val="none" w:sz="0" w:space="0" w:color="auto"/>
            <w:left w:val="none" w:sz="0" w:space="0" w:color="auto"/>
            <w:bottom w:val="none" w:sz="0" w:space="0" w:color="auto"/>
            <w:right w:val="none" w:sz="0" w:space="0" w:color="auto"/>
          </w:divBdr>
        </w:div>
        <w:div w:id="869418749">
          <w:marLeft w:val="640"/>
          <w:marRight w:val="0"/>
          <w:marTop w:val="0"/>
          <w:marBottom w:val="0"/>
          <w:divBdr>
            <w:top w:val="none" w:sz="0" w:space="0" w:color="auto"/>
            <w:left w:val="none" w:sz="0" w:space="0" w:color="auto"/>
            <w:bottom w:val="none" w:sz="0" w:space="0" w:color="auto"/>
            <w:right w:val="none" w:sz="0" w:space="0" w:color="auto"/>
          </w:divBdr>
        </w:div>
        <w:div w:id="1836873826">
          <w:marLeft w:val="640"/>
          <w:marRight w:val="0"/>
          <w:marTop w:val="0"/>
          <w:marBottom w:val="0"/>
          <w:divBdr>
            <w:top w:val="none" w:sz="0" w:space="0" w:color="auto"/>
            <w:left w:val="none" w:sz="0" w:space="0" w:color="auto"/>
            <w:bottom w:val="none" w:sz="0" w:space="0" w:color="auto"/>
            <w:right w:val="none" w:sz="0" w:space="0" w:color="auto"/>
          </w:divBdr>
        </w:div>
        <w:div w:id="1948393577">
          <w:marLeft w:val="640"/>
          <w:marRight w:val="0"/>
          <w:marTop w:val="0"/>
          <w:marBottom w:val="0"/>
          <w:divBdr>
            <w:top w:val="none" w:sz="0" w:space="0" w:color="auto"/>
            <w:left w:val="none" w:sz="0" w:space="0" w:color="auto"/>
            <w:bottom w:val="none" w:sz="0" w:space="0" w:color="auto"/>
            <w:right w:val="none" w:sz="0" w:space="0" w:color="auto"/>
          </w:divBdr>
        </w:div>
        <w:div w:id="12806694">
          <w:marLeft w:val="640"/>
          <w:marRight w:val="0"/>
          <w:marTop w:val="0"/>
          <w:marBottom w:val="0"/>
          <w:divBdr>
            <w:top w:val="none" w:sz="0" w:space="0" w:color="auto"/>
            <w:left w:val="none" w:sz="0" w:space="0" w:color="auto"/>
            <w:bottom w:val="none" w:sz="0" w:space="0" w:color="auto"/>
            <w:right w:val="none" w:sz="0" w:space="0" w:color="auto"/>
          </w:divBdr>
        </w:div>
        <w:div w:id="1579636162">
          <w:marLeft w:val="640"/>
          <w:marRight w:val="0"/>
          <w:marTop w:val="0"/>
          <w:marBottom w:val="0"/>
          <w:divBdr>
            <w:top w:val="none" w:sz="0" w:space="0" w:color="auto"/>
            <w:left w:val="none" w:sz="0" w:space="0" w:color="auto"/>
            <w:bottom w:val="none" w:sz="0" w:space="0" w:color="auto"/>
            <w:right w:val="none" w:sz="0" w:space="0" w:color="auto"/>
          </w:divBdr>
        </w:div>
        <w:div w:id="524515108">
          <w:marLeft w:val="640"/>
          <w:marRight w:val="0"/>
          <w:marTop w:val="0"/>
          <w:marBottom w:val="0"/>
          <w:divBdr>
            <w:top w:val="none" w:sz="0" w:space="0" w:color="auto"/>
            <w:left w:val="none" w:sz="0" w:space="0" w:color="auto"/>
            <w:bottom w:val="none" w:sz="0" w:space="0" w:color="auto"/>
            <w:right w:val="none" w:sz="0" w:space="0" w:color="auto"/>
          </w:divBdr>
        </w:div>
        <w:div w:id="1256017170">
          <w:marLeft w:val="640"/>
          <w:marRight w:val="0"/>
          <w:marTop w:val="0"/>
          <w:marBottom w:val="0"/>
          <w:divBdr>
            <w:top w:val="none" w:sz="0" w:space="0" w:color="auto"/>
            <w:left w:val="none" w:sz="0" w:space="0" w:color="auto"/>
            <w:bottom w:val="none" w:sz="0" w:space="0" w:color="auto"/>
            <w:right w:val="none" w:sz="0" w:space="0" w:color="auto"/>
          </w:divBdr>
        </w:div>
        <w:div w:id="1468159704">
          <w:marLeft w:val="640"/>
          <w:marRight w:val="0"/>
          <w:marTop w:val="0"/>
          <w:marBottom w:val="0"/>
          <w:divBdr>
            <w:top w:val="none" w:sz="0" w:space="0" w:color="auto"/>
            <w:left w:val="none" w:sz="0" w:space="0" w:color="auto"/>
            <w:bottom w:val="none" w:sz="0" w:space="0" w:color="auto"/>
            <w:right w:val="none" w:sz="0" w:space="0" w:color="auto"/>
          </w:divBdr>
        </w:div>
        <w:div w:id="778329043">
          <w:marLeft w:val="640"/>
          <w:marRight w:val="0"/>
          <w:marTop w:val="0"/>
          <w:marBottom w:val="0"/>
          <w:divBdr>
            <w:top w:val="none" w:sz="0" w:space="0" w:color="auto"/>
            <w:left w:val="none" w:sz="0" w:space="0" w:color="auto"/>
            <w:bottom w:val="none" w:sz="0" w:space="0" w:color="auto"/>
            <w:right w:val="none" w:sz="0" w:space="0" w:color="auto"/>
          </w:divBdr>
        </w:div>
        <w:div w:id="1534417507">
          <w:marLeft w:val="640"/>
          <w:marRight w:val="0"/>
          <w:marTop w:val="0"/>
          <w:marBottom w:val="0"/>
          <w:divBdr>
            <w:top w:val="none" w:sz="0" w:space="0" w:color="auto"/>
            <w:left w:val="none" w:sz="0" w:space="0" w:color="auto"/>
            <w:bottom w:val="none" w:sz="0" w:space="0" w:color="auto"/>
            <w:right w:val="none" w:sz="0" w:space="0" w:color="auto"/>
          </w:divBdr>
        </w:div>
        <w:div w:id="550307393">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emf"/><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MIPLabCH/mCAP" TargetMode="Externa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 Id="rId8" Type="http://schemas.openxmlformats.org/officeDocument/2006/relationships/hyperlink" Target="mailto:LuigiFrancesco.Saccaro@unige.ch"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E7FDB0-5D17-DE4E-AFDF-C00A2FC56F93}">
  <we:reference id="wa104382081" version="1.55.1.0" store="en-GB" storeType="OMEX"/>
  <we:alternateReferences>
    <we:reference id="WA104382081" version="1.55.1.0" store="en-GB" storeType="OMEX"/>
  </we:alternateReferences>
  <we:properties>
    <we:property name="MENDELEY_CITATIONS" value="[{&quot;citationID&quot;:&quot;MENDELEY_CITATION_d9761bed-2aa4-4d0a-9725-b11fb304f02a&quot;,&quot;properties&quot;:{&quot;noteIndex&quot;:0},&quot;isEdited&quot;:false,&quot;manualOverride&quot;:{&quot;citeprocText&quot;:&quot;(1)&quot;,&quot;isManuallyOverridden&quot;:false,&quot;manualOverrideText&quot;:&quot;&quot;},&quot;citationTag&quot;:&quot;MENDELEY_CITATION_v3_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&quot;,&quot;citationItems&quot;:[{&quot;id&quot;:&quot;b50835c0-33d5-5158-87ee-195a454fa4a9&quot;,&quot;itemData&quot;:{&quot;DOI&quot;:&quot;10.1002/1097-4679(198909)45:5&lt;786::AID-JCLP2270450515&gt;3.0.CO;2-P&quot;,&quot;ISSN&quot;:&quot;10974679&quot;,&quot;PMID&quot;:&quot;2808736&quot;,&quot;abstract&quot;:&quot;A self‐report measure of changeable affect was developed, with a goal of identification of patterns of instability in mood. Scales measuring lability in anxiety, depression, anger, and hypomania, and labile shifts between anxiety and depression and hypomania and depression were constructed. These scales were then evaluated for internal consistency, retest reliability, score stability across samples, and for discriminant validity through assessment of association with measures of dysphoria and intensity of affect. The final versions of the scales are short scales that yield highly stable estimates of affect lability. It was noted that these scales are highly correlated in unselected students and it is believed that ongoing research with clinical populations will better allow for determination of the independence of these scales. Copyright © 1989 Wiley Periodicals, Inc., A Wiley Company&quot;,&quot;author&quot;:[{&quot;dropping-particle&quot;:&quot;&quot;,&quot;family&quot;:&quot;Harvey&quot;,&quot;given&quot;:&quot;Philip D.&quot;,&quot;non-dropping-particle&quot;:&quot;&quot;,&quot;parse-names&quot;:false,&quot;suffix&quot;:&quot;&quot;},{&quot;dropping-particle&quot;:&quot;&quot;,&quot;family&quot;:&quot;Greenberg&quot;,&quot;given&quot;:&quot;Barbara R.&quot;,&quot;non-dropping-particle&quot;:&quot;&quot;,&quot;parse-names&quot;:false,&quot;suffix&quot;:&quot;&quot;},{&quot;dropping-particle&quot;:&quot;&quot;,&quot;family&quot;:&quot;Serper&quot;,&quot;given&quot;:&quot;Mark R.&quot;,&quot;non-dropping-particle&quot;:&quot;&quot;,&quot;parse-names&quot;:false,&quot;suffix&quot;:&quot;&quot;}],&quot;container-title&quot;:&quot;Journal of Clinical Psychology&quot;,&quot;id&quot;:&quot;b50835c0-33d5-5158-87ee-195a454fa4a9&quot;,&quot;issue&quot;:&quot;5&quot;,&quot;issued&quot;:{&quot;date-parts&quot;:[[&quot;1989&quot;]]},&quot;page&quot;:&quot;786-793&quot;,&quot;title&quot;:&quot;The affective lability scales: Development, reliability, and validity&quot;,&quot;type&quot;:&quot;article-journal&quot;,&quot;volume&quot;:&quot;45&quot;,&quot;container-title-short&quot;:&quot;J Clin Psychol&quot;},&quot;uris&quot;:[&quot;http://www.mendeley.com/documents/?uuid=72b6899d-f292-4319-927f-ac30024640ec&quot;],&quot;isTemporary&quot;:false,&quot;legacyDesktopId&quot;:&quot;72b6899d-f292-4319-927f-ac30024640ec&quot;}]},{&quot;citationID&quot;:&quot;MENDELEY_CITATION_baa5d042-bc0c-48f7-ba74-f4698f77bf06&quot;,&quot;properties&quot;:{&quot;noteIndex&quot;:0},&quot;isEdited&quot;:false,&quot;manualOverride&quot;:{&quot;citeprocText&quot;:&quot;(2)&quot;,&quot;isManuallyOverridden&quot;:false,&quot;manualOverrideText&quot;:&quot;&quot;},&quot;citationTag&quot;:&quot;MENDELEY_CITATION_v3_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&quot;,&quot;citationItems&quot;:[{&quot;id&quot;:&quot;0ee41d28-c7fd-598d-95fa-24644fee77b8&quot;,&quot;itemData&quot;:{&quot;DOI&quot;:&quot;https://doi.org/10.1016/S0191-8869(00)00113-6&quot;,&quot;ISSN&quot;:&quot;0191-8869&quot;,&quot;abstract&quot;:&quot;A new questionnaire, named the Cognitive Emotion Regulation Questionnaire, has been constructed, measuring nine cognitive coping strategies people tend to use after having experienced negative life events. A test–retest design was used to study the psychometric properties and relationships with measures of depression and anxiety among 547 high school youngsters. Principal component analyses supported the allocation of items to subscales, while alphas of most subscales exceeded 0.80. Cognitive coping strategies were found to play an important role in the relationship between the experience of negative life events and the reporting of symptoms of depression and anxiety. The results suggest that cognitive coping strategies may be a valuable context of prevention and intervention&quot;,&quot;author&quot;:[{&quot;dropping-particle&quot;:&quot;&quot;,&quot;family&quot;:&quot;Garnefski&quot;,&quot;given&quot;:&quot;N&quot;,&quot;non-dropping-particle&quot;:&quot;&quot;,&quot;parse-names&quot;:false,&quot;suffix&quot;:&quot;&quot;},{&quot;dropping-particle&quot;:&quot;&quot;,&quot;family&quot;:&quot;Kraaij&quot;,&quot;given&quot;:&quot;V&quot;,&quot;non-dropping-particle&quot;:&quot;&quot;,&quot;parse-names&quot;:false,&quot;suffix&quot;:&quot;&quot;},{&quot;dropping-particle&quot;:&quot;&quot;,&quot;family&quot;:&quot;Spinhoven&quot;,&quot;given&quot;:&quot;P&quot;,&quot;non-dropping-particle&quot;:&quot;&quot;,&quot;parse-names&quot;:false,&quot;suffix&quot;:&quot;&quot;}],&quot;container-title&quot;:&quot;Personality and Individual Differences&quot;,&quot;id&quot;:&quot;0ee41d28-c7fd-598d-95fa-24644fee77b8&quot;,&quot;issue&quot;:&quot;8&quot;,&quot;issued&quot;:{&quot;date-parts&quot;:[[&quot;2001&quot;]]},&quot;page&quot;:&quot;1311-1327&quot;,&quot;title&quot;:&quot;Negative life events, cognitive emotion regulation and emotional problems&quot;,&quot;type&quot;:&quot;article-journal&quot;,&quot;volume&quot;:&quot;30&quot;,&quot;container-title-short&quot;:&quot;Pers Individ Dif&quot;},&quot;uris&quot;:[&quot;http://www.mendeley.com/documents/?uuid=f1525c8f-281a-4254-93bf-de08695fa25f&quot;],&quot;isTemporary&quot;:false,&quot;legacyDesktopId&quot;:&quot;f1525c8f-281a-4254-93bf-de08695fa25f&quot;}]},{&quot;citationID&quot;:&quot;MENDELEY_CITATION_73a4fb4e-f073-47c5-b172-d2ad7f8fda7a&quot;,&quot;properties&quot;:{&quot;noteIndex&quot;:0},&quot;isEdited&quot;:false,&quot;manualOverride&quot;:{&quot;citeprocText&quot;:&quot;(3)&quot;,&quot;isManuallyOverridden&quot;:false,&quot;manualOverrideText&quot;:&quot;&quot;},&quot;citationTag&quot;:&quot;MENDELEY_CITATION_v3_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&quot;,&quot;citationItems&quot;:[{&quot;id&quot;:&quot;a1a0344e-1143-5f07-a891-0ff1dac914e7&quot;,&quot;itemData&quot;:{&quot;abstract&quot;:&quot;In an attempt to eliminate similar item content as an alternative explanation for the relation between depression and rumination, a secondary analysis was conducted using the data from S. Nolen-Hoeksema, J. Larson, and C. Grayson (1999). After constructing a measure of rumination unconfounded with depression content, support for a two factor model of rumination was found. These analyses indicate that the 2 components, reflective pondering and brooding, differentially relate to depression in terms of pre-dictive ability and gender difference mediation. The results presented here support the general premise of Nolen-Hoeksema's Response Styles Theory (S. Nolen-Hoeksema 1987) that rumination can contribute to more depressive symptoms and to the gender difference in depression, but suggest important refinements of the theory. Such refinements include the need to differentiate between the reflective pondering component of rumination and the brooding component in rumination research.&quot;,&quot;author&quot;:[{&quot;dropping-particle&quot;:&quot;&quot;,&quot;family&quot;:&quot;Treynor&quot;,&quot;given&quot;:&quot;Wendy&quot;,&quot;non-dropping-particle&quot;:&quot;&quot;,&quot;parse-names&quot;:false,&quot;suffix&quot;:&quot;&quot;},{&quot;dropping-particle&quot;:&quot;&quot;,&quot;family&quot;:&quot;Gonzalez&quot;,&quot;given&quot;:&quot;Richard&quot;,&quot;non-dropping-particle&quot;:&quot;&quot;,&quot;parse-names&quot;:false,&quot;suffix&quot;:&quot;&quot;},{&quot;dropping-particle&quot;:&quot;&quot;,&quot;family&quot;:&quot;Nolen-Hoeksema&quot;,&quot;given&quot;:&quot;Susan&quot;,&quot;non-dropping-particle&quot;:&quot;&quot;,&quot;parse-names&quot;:false,&quot;suffix&quot;:&quot;&quot;}],&quot;container-title&quot;:&quot;Cognitive Therapy and Research&quot;,&quot;id&quot;:&quot;a1a0344e-1143-5f07-a891-0ff1dac914e7&quot;,&quot;issue&quot;:&quot;3&quot;,&quot;issued&quot;:{&quot;date-parts&quot;:[[&quot;2003&quot;]]},&quot;page&quot;:&quot;247-259&quot;,&quot;title&quot;:&quot;Ruminative reconsiderd: A psychometric analysis&quot;,&quot;type&quot;:&quot;article-journal&quot;,&quot;volume&quot;:&quot;27&quot;,&quot;container-title-short&quot;:&quot;Cognit Ther Res&quot;},&quot;uris&quot;:[&quot;http://www.mendeley.com/documents/?uuid=55bf84a6-6a17-400f-b25d-0d4c1b72a8d7&quot;],&quot;isTemporary&quot;:false,&quot;legacyDesktopId&quot;:&quot;55bf84a6-6a17-400f-b25d-0d4c1b72a8d7&quot;}]},{&quot;citationID&quot;:&quot;MENDELEY_CITATION_2c5cc7da-dab0-4d96-b289-a1f51ec45f7a&quot;,&quot;properties&quot;:{&quot;noteIndex&quot;:0},&quot;isEdited&quot;:false,&quot;manualOverride&quot;:{&quot;isManuallyOverridden&quot;:false,&quot;citeprocText&quot;:&quot;(4)&quot;,&quot;manualOverrideText&quot;:&quot;&quot;},&quot;citationTag&quot;:&quot;MENDELEY_CITATION_v3_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&quot;,&quot;citationItems&quot;:[{&quot;id&quot;:&quot;20cc6e9a-d95e-3540-b21d-2ed6b28c807c&quot;,&quot;itemData&quot;:{&quot;type&quot;:&quot;article-journal&quot;,&quot;id&quot;:&quot;20cc6e9a-d95e-3540-b21d-2ed6b28c807c&quot;,&quot;title&quot;:&quot;Disentangling resting-state BOLD variability and PCC functional connectivity in 22q11.2 deletion syndrome&quot;,&quot;author&quot;:[{&quot;family&quot;:&quot;Zöller&quot;,&quot;given&quot;:&quot;Daniela&quot;,&quot;parse-names&quot;:false,&quot;dropping-particle&quot;:&quot;&quot;,&quot;non-dropping-particle&quot;:&quot;&quot;},{&quot;family&quot;:&quot;Schaer&quot;,&quot;given&quot;:&quot;Marie&quot;,&quot;parse-names&quot;:false,&quot;dropping-particle&quot;:&quot;&quot;,&quot;non-dropping-particle&quot;:&quot;&quot;},{&quot;family&quot;:&quot;Scariati&quot;,&quot;given&quot;:&quot;Elisa&quot;,&quot;parse-names&quot;:false,&quot;dropping-particle&quot;:&quot;&quot;,&quot;non-dropping-particle&quot;:&quot;&quot;},{&quot;family&quot;:&quot;Padula&quot;,&quot;given&quot;:&quot;Maria Carmela&quot;,&quot;parse-names&quot;:false,&quot;dropping-particle&quot;:&quot;&quot;,&quot;non-dropping-particle&quot;:&quot;&quot;},{&quot;family&quot;:&quot;Eliez&quot;,&quot;given&quot;:&quot;Stephan&quot;,&quot;parse-names&quot;:false,&quot;dropping-particle&quot;:&quot;&quot;,&quot;non-dropping-particle&quot;:&quot;&quot;},{&quot;family&quot;:&quot;Ville&quot;,&quot;given&quot;:&quot;Dimitri&quot;,&quot;parse-names&quot;:false,&quot;dropping-particle&quot;:&quot;&quot;,&quot;non-dropping-particle&quot;:&quot;Van De&quot;}],&quot;container-title&quot;:&quot;NeuroImage&quot;,&quot;container-title-short&quot;:&quot;Neuroimage&quot;,&quot;DOI&quot;:&quot;10.1016/j.neuroimage.2017.01.064&quot;,&quot;ISSN&quot;:&quot;10959572&quot;,&quot;PMID&quot;:&quot;28143774&quot;,&quot;issued&quot;:{&quot;date-parts&quot;:[[2017,4,1]]},&quot;page&quot;:&quot;85-97&quot;,&quot;abstract&quot;:&quot;Although often ignored in fMRI studies, moment-to-moment variability of blood oxygenation level dependent (BOLD) signals reveals important information about brain function. Indeed, higher brain signal variability has been associated with better cognitive performance in young adults compared to children and elderly adults. Functional connectivity, a very common approach in resting-state fMRI analysis, is scaled for variance. Thus, alterations might be confounded or driven by BOLD signal variance alterations. Chromosome 22q11.2 deletion syndrome (22q11.2DS) is a neurodevelopmental disorder that is associated with a vast cognitive and clinical phenotype. To date, several resting-state fMRI studies reported altered functional connectivity in 22q11.2DS, however BOLD signal variance has not yet been analyzed. Here, we employed PLS correlation analysis to reveal multivariate patterns of diagnosis-related alterations and age-relationship throughout the cortex of 50 patients between 9 and 25 years old and 50 healthy controls in the same age range. To address how functional connectivity in the default mode network is influenced by BOLD signal fluctuations, we conducted the same analysis on seed-to-voxel connectivity of the posterior cingulate cortex (PCC) and compared resulting brain patterns. BOLD signal variance was lower mainly in regions of the default mode network and in the dorsolateral prefrontal cortex, but higher in large parts of the temporal lobes. In those regions, BOLD signal variance was correlated with age in healthy controls, but not in patients, suggesting deviant developmental trajectories from child- to adulthood. Positive connectivity of the PCC within the default mode network as well as negative connectivity towards the frontoparietal network were weaker in patients with 22q11.2DS. We furthermore showed that lower functional connectivity of the PCC was not driven by higher BOLD signal variability. Our results confirm the strong implication of BOLD variance in aging and give an initial insight in its relationship with functional connectivity in the DMN.&quot;,&quot;publisher&quot;:&quot;Academic Press Inc.&quot;,&quot;volume&quot;:&quot;149&quot;},&quot;isTemporary&quot;:false}]},{&quot;citationID&quot;:&quot;MENDELEY_CITATION_0efa7246-9cdd-4385-80d3-03c52770ee61&quot;,&quot;properties&quot;:{&quot;noteIndex&quot;:0},&quot;isEdited&quot;:false,&quot;manualOverride&quot;:{&quot;isManuallyOverridden&quot;:false,&quot;citeprocText&quot;:&quot;(5)&quot;,&quot;manualOverrideText&quot;:&quot;&quot;},&quot;citationTag&quot;:&quot;MENDELEY_CITATION_v3_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&quot;,&quot;citationItems&quot;:[{&quot;id&quot;:&quot;ae982208-3ed9-34f5-9bec-a55f77019f51&quot;,&quot;itemData&quot;:{&quot;type&quot;:&quot;article-journal&quot;,&quot;id&quot;:&quot;ae982208-3ed9-34f5-9bec-a55f77019f51&quot;,&quot;title&quot;:&quot;Unified segmentation&quot;,&quot;author&quot;:[{&quot;family&quot;:&quot;Ashburner&quot;,&quot;given&quot;:&quot;John&quot;,&quot;parse-names&quot;:false,&quot;dropping-particle&quot;:&quot;&quot;,&quot;non-dropping-particle&quot;:&quot;&quot;},{&quot;family&quot;:&quot;Friston&quot;,&quot;given&quot;:&quot;Karl J.&quot;,&quot;parse-names&quot;:false,&quot;dropping-particle&quot;:&quot;&quot;,&quot;non-dropping-particle&quot;:&quot;&quot;}],&quot;container-title&quot;:&quot;NeuroImage&quot;,&quot;container-title-short&quot;:&quot;Neuroimage&quot;,&quot;DOI&quot;:&quot;10.1016/j.neuroimage.2005.02.018&quot;,&quot;ISSN&quot;:&quot;10538119&quot;,&quot;PMID&quot;:&quot;15955494&quot;,&quot;issued&quot;:{&quot;date-parts&quot;:[[2005,7,1]]},&quot;page&quot;:&quot;839-851&quot;,&quot;abstract&quot;:&quot;A probabilistic framework is presented that enables image registration, tissue classification, and bias correction to be combined within the same generative model. A derivation of a log-likelihood objective function for the unified model is provided. The model is based on a mixture of Gaussians and is extended to incorporate a smooth intensity variation and nonlinear registration with tissue probability maps. A strategy for optimising the model parameters is described, along with the requisite partial derivatives of the objective function. © 2005 Elsevier Inc. All rights reserved.&quot;,&quot;issue&quot;:&quot;3&quot;,&quot;volume&quot;:&quot;26&quot;},&quot;isTemporary&quot;:false}]},{&quot;citationID&quot;:&quot;MENDELEY_CITATION_f08cd4d4-cfb4-49ba-8e75-9b7f7b99988e&quot;,&quot;properties&quot;:{&quot;noteIndex&quot;:0},&quot;isEdited&quot;:false,&quot;manualOverride&quot;:{&quot;isManuallyOverridden&quot;:false,&quot;citeprocText&quot;:&quot;(6)&quot;,&quot;manualOverrideText&quot;:&quot;&quot;},&quot;citationTag&quot;:&quot;MENDELEY_CITATION_v3_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&quot;,&quot;citationItems&quot;:[{&quot;id&quot;:&quot;9e8499cc-3db2-377a-b37d-e952e80c0b31&quot;,&quot;itemData&quot;:{&quot;type&quot;:&quot;article-journal&quot;,&quot;id&quot;:&quot;9e8499cc-3db2-377a-b37d-e952e80c0b31&quot;,&quot;title&quot;:&quot;A fast diffeomorphic image registration algorithm&quot;,&quot;author&quot;:[{&quot;family&quot;:&quot;Ashburner&quot;,&quot;given&quot;:&quot;John&quot;,&quot;parse-names&quot;:false,&quot;dropping-particle&quot;:&quot;&quot;,&quot;non-dropping-particle&quot;:&quot;&quot;}],&quot;container-title&quot;:&quot;NeuroImage&quot;,&quot;container-title-short&quot;:&quot;Neuroimage&quot;,&quot;DOI&quot;:&quot;10.1016/j.neuroimage.2007.07.007&quot;,&quot;ISSN&quot;:&quot;10538119&quot;,&quot;PMID&quot;:&quot;17761438&quot;,&quot;issued&quot;:{&quot;date-parts&quot;:[[2007,10,15]]},&quot;page&quot;:&quot;95-113&quot;,&quot;abstract&quot;:&quot;This paper describes DARTEL, which is an algorithm for diffeomorphic image registration. It is implemented for both 2D and 3D image registration and has been formulated to include an option for estimating inverse consistent deformations. Nonlinear registration is considered as a local optimisation problem, which is solved using a Levenberg-Marquardt strategy. The necessary matrix solutions are obtained in reasonable time using a multigrid method. A constant Eulerian velocity framework is used, which allows a rapid scaling and squaring method to be used in the computations. DARTEL has been applied to intersubject registration of 471 whole brain images, and the resulting deformations were evaluated in terms of how well they encode the shape information necessary to separate male and female subjects and to predict the ages of the subjects. © 2007 Elsevier Inc. All rights reserved.&quot;,&quot;issue&quot;:&quot;1&quot;,&quot;volume&quot;:&quot;38&quot;},&quot;isTemporary&quot;:false}]},{&quot;citationID&quot;:&quot;MENDELEY_CITATION_bd5988d9-fb7a-4bac-a674-a0af9ec6e4a5&quot;,&quot;properties&quot;:{&quot;noteIndex&quot;:0},&quot;isEdited&quot;:false,&quot;manualOverride&quot;:{&quot;isManuallyOverridden&quot;:false,&quot;citeprocText&quot;:&quot;(7)&quot;,&quot;manualOverrideText&quot;:&quot;&quot;},&quot;citationTag&quot;:&quot;MENDELEY_CITATION_v3_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&quot;,&quot;citationItems&quot;:[{&quot;id&quot;:&quot;27e057ef-daa4-3356-ac1c-f3f40a89a17f&quot;,&quot;itemData&quot;:{&quot;type&quot;:&quot;article-journal&quot;,&quot;id&quot;:&quot;27e057ef-daa4-3356-ac1c-f3f40a89a17f&quot;,&quot;title&quot;:&quot;DPARSF: A MATLAB toolbox for \&quot;pipeline\&quot; data analysis of resting-state fMRI&quot;,&quot;author&quot;:[{&quot;family&quot;:&quot;Chao-Gan&quot;,&quot;given&quot;:&quot;Yan&quot;,&quot;parse-names&quot;:false,&quot;dropping-particle&quot;:&quot;&quot;,&quot;non-dropping-particle&quot;:&quot;&quot;},{&quot;family&quot;:&quot;Yu-Feng&quot;,&quot;given&quot;:&quot;Zang&quot;,&quot;parse-names&quot;:false,&quot;dropping-particle&quot;:&quot;&quot;,&quot;non-dropping-particle&quot;:&quot;&quot;}],&quot;container-title&quot;:&quot;Frontiers in Systems Neuroscience&quot;,&quot;container-title-short&quot;:&quot;Front Syst Neurosci&quot;,&quot;DOI&quot;:&quot;10.3389/fnsys.2010.00013&quot;,&quot;ISSN&quot;:&quot;16625137&quot;,&quot;issued&quot;:{&quot;date-parts&quot;:[[2010]]},&quot;abstract&quot;:&quot;Resting-state functional magnetic resonance imaging (fMRI) has attracted more and more attention because of its effectiveness, simplicity and non-invasiveness in exploration of the intrinsic functional architecture of the human brain. However, user-friendly toolbox for \&quot;pipeline\&quot; data analysis of resting-state fMRI is still lacking. Based on some functions in Statistical Parametric Mapping (SPM) and Resting-State fMRI Data Analysis Toolkit (REST), we have developed a MATLAB toolbox called Data Processing Assistant for Resting-State fMRI (DPARSF) for \&quot;pipeline\&quot; data analysis of resting-state fMRI. After the user arranges the Digital Imaging and Communications in Medicine (DICOM) files and click a few buttons to set parameters, DPARSF will then give all the preprocessed (slice timing, realign, normalize, smooth) data and results for functional connectivity, regional homogeneity, amplitude of lowfrequency fluctuation (ALFF), and fractional ALFF. DPARSF can also create a report for excluding subjects with excessive head motion and generate a set of pictures for easily checking the effect of normalization. In addition, users can also use DPARSF to extract time courses from regions of interest.&quot;,&quot;publisher&quot;:&quot;Frontiers Research Foundation&quot;,&quot;volume&quot;:&quot;4&quot;},&quot;isTemporary&quot;:false}]},{&quot;citationID&quot;:&quot;MENDELEY_CITATION_84b1679d-2588-4d9a-abaf-7e063a9210a4&quot;,&quot;properties&quot;:{&quot;noteIndex&quot;:0},&quot;isEdited&quot;:false,&quot;manualOverride&quot;:{&quot;isManuallyOverridden&quot;:false,&quot;citeprocText&quot;:&quot;(8)&quot;,&quot;manualOverrideText&quot;:&quot;&quot;},&quot;citationTag&quot;:&quot;MENDELEY_CITATION_v3_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&quot;,&quot;citationItems&quot;:[{&quot;id&quot;:&quot;21a02446-0575-3712-b9db-d78a2776a769&quot;,&quot;itemData&quot;:{&quot;type&quot;:&quot;article-journal&quot;,&quot;id&quot;:&quot;21a02446-0575-3712-b9db-d78a2776a769&quot;,&quot;title&quot;:&quot;Spurious but systematic correlations in functional connectivity MRI networks arise from subject motion&quot;,&quot;author&quot;:[{&quot;family&quot;:&quot;Power&quot;,&quot;given&quot;:&quot;Jonathan D.&quot;,&quot;parse-names&quot;:false,&quot;dropping-particle&quot;:&quot;&quot;,&quot;non-dropping-particle&quot;:&quot;&quot;},{&quot;family&quot;:&quot;Barnes&quot;,&quot;given&quot;:&quot;Kelly A.&quot;,&quot;parse-names&quot;:false,&quot;dropping-particle&quot;:&quot;&quot;,&quot;non-dropping-particle&quot;:&quot;&quot;},{&quot;family&quot;:&quot;Snyder&quot;,&quot;given&quot;:&quot;Abraham Z.&quot;,&quot;parse-names&quot;:false,&quot;dropping-particle&quot;:&quot;&quot;,&quot;non-dropping-particle&quot;:&quot;&quot;},{&quot;family&quot;:&quot;Schlaggar&quot;,&quot;given&quot;:&quot;Bradley L.&quot;,&quot;parse-names&quot;:false,&quot;dropping-particle&quot;:&quot;&quot;,&quot;non-dropping-particle&quot;:&quot;&quot;},{&quot;family&quot;:&quot;Petersen&quot;,&quot;given&quot;:&quot;Steven E.&quot;,&quot;parse-names&quot;:false,&quot;dropping-particle&quot;:&quot;&quot;,&quot;non-dropping-particle&quot;:&quot;&quot;}],&quot;container-title&quot;:&quot;NeuroImage&quot;,&quot;container-title-short&quot;:&quot;Neuroimage&quot;,&quot;DOI&quot;:&quot;10.1016/j.neuroimage.2011.10.018&quot;,&quot;ISSN&quot;:&quot;10538119&quot;,&quot;PMID&quot;:&quot;22019881&quot;,&quot;issued&quot;:{&quot;date-parts&quot;:[[2012,2,1]]},&quot;page&quot;:&quot;2142-2154&quot;,&quot;abstract&quot;:&quot;Here, we demonstrate that subject motion produces substantial changes in the timecourses of resting state functional connectivity MRI (rs-fcMRI) data despite compensatory spatial registration and regression of motion estimates from the data. These changes cause systematic but spurious correlation structures throughout the brain. Specifically, many long-distance correlations are decreased by subject motion, whereas many short-distance correlations are increased. These changes in rs-fcMRI correlations do not arise from, nor are they adequately countered by, some common functional connectivity processing steps. Two indices of data quality are proposed, and a simple method to reduce motion-related effects in rs-fcMRI analyses is demonstrated that should be flexibly implementable across a variety of software platforms. We demonstrate how application of this technique impacts our own data, modifying previous conclusions about brain development. These results suggest the need for greater care in dealing with subject motion, and the need to critically revisit previous rs-fcMRI work that may not have adequately controlled for effects of transient subject movements. © 2011 Elsevier Inc.&quot;,&quot;issue&quot;:&quot;3&quot;,&quot;volume&quot;:&quot;59&quot;},&quot;isTemporary&quot;:false}]},{&quot;citationID&quot;:&quot;MENDELEY_CITATION_38c146f0-5839-4d41-9797-0af40336e932&quot;,&quot;properties&quot;:{&quot;noteIndex&quot;:0},&quot;isEdited&quot;:false,&quot;manualOverride&quot;:{&quot;citeprocText&quot;:&quot;(9)&quot;,&quot;isManuallyOverridden&quot;:false,&quot;manualOverrideText&quot;:&quot;&quot;},&quot;citationTag&quot;:&quot;MENDELEY_CITATION_v3_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&quot;,&quot;citationItems&quot;:[{&quot;id&quot;:&quot;f3345c8c-a3a7-5b0c-9401-21854807fd8c&quot;,&quot;itemData&quot;:{&quot;DOI&quot;:&quot;10.1073/pnas.1705120114&quot;,&quot;ISSN&quot;:&quot;10916490&quot;,&quot;PMID&quot;:&quot;29087305&quot;,&quot;abstract&quot;:&quot;The brain recruits neuronal populations in a temporally coordinated manner in task and at rest. However, the extent to which large-scale networks exhibit their own organized temporal dynamics is unclear. We use an approach designed to find repeating network patterns in whole-brain resting fMRI data, where networks are defined as graphs of interacting brain areas. We find that the transitions between networks are nonrandom, with certain networks more likely to occur after others. Further, this nonrandom sequencing is itself hierarchically organized, revealing two distinct sets of networks, or metastates, that the brain has a tendency to cycle within. One metastate is associated with sensory and motor regions, and the other involves areas related to higher order cognition. Moreover, we find that the proportion of time that a subject spends in each brain network and metastate is a consistent subject-specific measure, is heritable, and shows a significant relationship with cognitive traits.&quot;,&quot;author&quot;:[{&quot;dropping-particle&quot;:&quot;&quot;,&quot;family&quot;:&quot;Vidaurre&quot;,&quot;given&quot;:&quot;Diego&quot;,&quot;non-dropping-particle&quot;:&quot;&quot;,&quot;parse-names&quot;:false,&quot;suffix&quot;:&quot;&quot;},{&quot;dropping-particle&quot;:&quot;&quot;,&quot;family&quot;:&quot;Smith&quot;,&quot;given&quot;:&quot;Stephen M.&quot;,&quot;non-dropping-particle&quot;:&quot;&quot;,&quot;parse-names&quot;:false,&quot;suffix&quot;:&quot;&quot;},{&quot;dropping-particle&quot;:&quot;&quot;,&quot;family&quot;:&quot;Woolrich&quot;,&quot;given&quot;:&quot;Mark W.&quot;,&quot;non-dropping-particle&quot;:&quot;&quot;,&quot;parse-names&quot;:false,&quot;suffix&quot;:&quot;&quot;}],&quot;container-title&quot;:&quot;Proceedings of the National Academy of Sciences of the United States of America&quot;,&quot;id&quot;:&quot;f3345c8c-a3a7-5b0c-9401-21854807fd8c&quot;,&quot;issue&quot;:&quot;48&quot;,&quot;issued&quot;:{&quot;date-parts&quot;:[[&quot;2017&quot;]]},&quot;page&quot;:&quot;12827-12832&quot;,&quot;title&quot;:&quot;Brain network dynamics are hierarchically organized in time&quot;,&quot;type&quot;:&quot;article-journal&quot;,&quot;volume&quot;:&quot;114&quot;,&quot;container-title-short&quot;:&quot;Proc Natl Acad Sci U S A&quot;},&quot;uris&quot;:[&quot;http://www.mendeley.com/documents/?uuid=27f1bfe3-713c-4e21-a8f9-62c86a78212e&quot;,&quot;http://www.mendeley.com/documents/?uuid=ba2f0f34-c054-431f-bcdc-e2185353ed20&quot;],&quot;isTemporary&quot;:false,&quot;legacyDesktopId&quot;:&quot;27f1bfe3-713c-4e21-a8f9-62c86a78212e&quot;}]},{&quot;citationID&quot;:&quot;MENDELEY_CITATION_f1aefe4f-e9c1-42f6-9566-2a3ad32f0922&quot;,&quot;properties&quot;:{&quot;noteIndex&quot;:0},&quot;isEdited&quot;:false,&quot;manualOverride&quot;:{&quot;citeprocText&quot;:&quot;(10)&quot;,&quot;isManuallyOverridden&quot;:false,&quot;manualOverrideText&quot;:&quot;&quot;},&quot;citationTag&quot;:&quot;MENDELEY_CITATION_v3_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&quot;,&quot;citationItems&quot;:[{&quot;id&quot;:&quot;80fe6685-1edf-58ef-bcbe-66a02ec59401&quot;,&quot;itemData&quot;:{&quot;DOI&quot;:&quot;10.1016/j.neuroimage.2018.01.041&quot;,&quot;ISSN&quot;:&quot;10959572&quot;,&quot;PMID&quot;:&quot;29355767&quot;,&quot;abstract&quot;:&quot;The brain is a complex system that integrates and processes information across multiple time scales by dynamically coordinating activities over brain regions and circuits. Correlations in resting-state functional magnetic resonance imaging (rsfMRI) signals have been widely used to infer functional connectivity of the brain, providing a metric of functional associations that reflects a temporal average over an entire scan (typically several minutes or longer). Not until recently was the study of dynamic brain interactions at much shorter time scales (seconds to minutes) considered for inference of functional connectivity. One method proposed for this objective seeks to identify and extract recurring co-activation patterns (CAPs) that represent instantaneous brain configurations at single time points. Here, we review the development and recent advancement of CAP methodology and other closely related approaches, as well as their applications and associated findings. We also discuss the potential neural origins and behavioral relevance of CAPs, along with methodological issues and future research directions in the analysis of fMRI co-activation patterns.&quot;,&quot;author&quot;:[{&quot;dropping-particle&quot;:&quot;&quot;,&quot;family&quot;:&quot;Liu&quot;,&quot;given&quot;:&quot;Xiao&quot;,&quot;non-dropping-particle&quot;:&quot;&quot;,&quot;parse-names&quot;:false,&quot;suffix&quot;:&quot;&quot;},{&quot;dropping-particle&quot;:&quot;&quot;,&quot;family&quot;:&quot;Zhang&quot;,&quot;given&quot;:&quot;Nanyin&quot;,&quot;non-dropping-particle&quot;:&quot;&quot;,&quot;parse-names&quot;:false,&quot;suffix&quot;:&quot;&quot;},{&quot;dropping-particle&quot;:&quot;&quot;,&quot;family&quot;:&quot;Chang&quot;,&quot;given&quot;:&quot;Catie&quot;,&quot;non-dropping-particle&quot;:&quot;&quot;,&quot;parse-names&quot;:false,&quot;suffix&quot;:&quot;&quot;},{&quot;dropping-particle&quot;:&quot;&quot;,&quot;family&quot;:&quot;Duyn&quot;,&quot;given&quot;:&quot;Jeff H.&quot;,&quot;non-dropping-particle&quot;:&quot;&quot;,&quot;parse-names&quot;:false,&quot;suffix&quot;:&quot;&quot;}],&quot;container-title&quot;:&quot;NeuroImage&quot;,&quot;id&quot;:&quot;80fe6685-1edf-58ef-bcbe-66a02ec59401&quot;,&quot;issue&quot;:&quot;February&quot;,&quot;issued&quot;:{&quot;date-parts&quot;:[[&quot;2018&quot;]]},&quot;page&quot;:&quot;485-494&quot;,&quot;publisher&quot;:&quot;Elsevier Ltd&quot;,&quot;title&quot;:&quot;Co-activation patterns in resting-state fMRI signals&quot;,&quot;type&quot;:&quot;article-journal&quot;,&quot;volume&quot;:&quot;180&quot;,&quot;container-title-short&quot;:&quot;Neuroimage&quot;},&quot;uris&quot;:[&quot;http://www.mendeley.com/documents/?uuid=4acc7ef7-13f4-403f-a5fc-1ae316010b34&quot;],&quot;isTemporary&quot;:false,&quot;legacyDesktopId&quot;:&quot;4acc7ef7-13f4-403f-a5fc-1ae316010b34&quot;}]},{&quot;citationID&quot;:&quot;MENDELEY_CITATION_e6f62af1-efad-4805-839c-a47435999d24&quot;,&quot;properties&quot;:{&quot;noteIndex&quot;:0},&quot;isEdited&quot;:false,&quot;manualOverride&quot;:{&quot;citeprocText&quot;:&quot;(10,11)&quot;,&quot;isManuallyOverridden&quot;:false,&quot;manualOverrideText&quot;:&quot;&quot;},&quot;citationTag&quot;:&quot;MENDELEY_CITATION_v3_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&quot;,&quot;citationItems&quot;:[{&quot;id&quot;:&quot;6f4ecda3-6e00-587e-8f34-d00ec77e448f&quot;,&quot;itemData&quot;:{&quot;DOI&quot;:&quot;https://doi.org/10.1016/j.neuroimage.2020.116621&quot;,&quot;ISSN&quot;:&quot;1053-8119&quot;,&quot;abstract&quot;:&quot;Functional magnetic resonance imaging provides rich spatio-temporal data of human brain activity during task and rest. Many recent efforts have focussed on characterising dynamics of brain activity. One notable instance is co-activation pattern (CAP) analysis, a frame-wise analytical approach that disentangles the different functional brain networks interacting with a user-defined seed region. While promising applications in various clinical settings have been demonstrated, there is not yet any centralised, publicly accessible resource to facilitate the deployment of the technique. Here, we release a working version of TbCAPs, a new toolbox for CAP analysis, which includes all steps of the analytical pipeline, introduces new methodological developments that build on already existing concepts, and enables a facilitated inspection of CAPs and resulting metrics of brain dynamics. The toolbox is available on a public academic repository at https://c4science.ch/source/CAP_Toolbox.git. In addition, to illustrate the feasibility and usefulness of our pipeline, we describe an application to the study of human cognition. CAPs are constructed from resting-state fMRI using as seed the right dorsolateral prefrontal cortex, and, in a separate sample, we successfully predict a behavioural measure of continuous attentional performance from the metrics of CAP dynamics (R ​= ​0.59).&quot;,&quot;author&quot;:[{&quot;dropping-particle&quot;:&quot;&quot;,&quot;family&quot;:&quot;Bolton&quot;,&quot;given&quot;:&quot;Thomas A.W.&quot;,&quot;non-dropping-particle&quot;:&quot;&quot;,&quot;parse-names&quot;:false,&quot;suffix&quot;:&quot;&quot;},{&quot;dropping-particle&quot;:&quot;&quot;,&quot;family&quot;:&quot;Tuleasca&quot;,&quot;given&quot;:&quot;Constantin&quot;,&quot;non-dropping-particle&quot;:&quot;&quot;,&quot;parse-names&quot;:false,&quot;suffix&quot;:&quot;&quot;},{&quot;dropping-particle&quot;:&quot;&quot;,&quot;family&quot;:&quot;Wotruba&quot;,&quot;given&quot;:&quot;Diana&quot;,&quot;non-dropping-particle&quot;:&quot;&quot;,&quot;parse-names&quot;:false,&quot;suffix&quot;:&quot;&quot;},{&quot;dropping-particle&quot;:&quot;&quot;,&quot;family&quot;:&quot;Rey&quot;,&quot;given&quot;:&quot;Gwladys&quot;,&quot;non-dropping-particle&quot;:&quot;&quot;,&quot;parse-names&quot;:false,&quot;suffix&quot;:&quot;&quot;},{&quot;dropping-particle&quot;:&quot;&quot;,&quot;family&quot;:&quot;Dhanis&quot;,&quot;given&quot;:&quot;Herberto&quot;,&quot;non-dropping-particle&quot;:&quot;&quot;,&quot;parse-names&quot;:false,&quot;suffix&quot;:&quot;&quot;},{&quot;dropping-particle&quot;:&quot;&quot;,&quot;family&quot;:&quot;Gauthier&quot;,&quot;given&quot;:&quot;Baptiste&quot;,&quot;non-dropping-particle&quot;:&quot;&quot;,&quot;parse-names&quot;:false,&quot;suffix&quot;:&quot;&quot;},{&quot;dropping-particle&quot;:&quot;&quot;,&quot;family&quot;:&quot;Delavari&quot;,&quot;given&quot;:&quot;Farnaz&quot;,&quot;non-dropping-particle&quot;:&quot;&quot;,&quot;parse-names&quot;:false,&quot;suffix&quot;:&quot;&quot;},{&quot;dropping-particle&quot;:&quot;&quot;,&quot;family&quot;:&quot;Morgenroth&quot;,&quot;given&quot;:&quot;Elenor&quot;,&quot;non-dropping-particle&quot;:&quot;&quot;,&quot;parse-names&quot;:false,&quot;suffix&quot;:&quot;&quot;},{&quot;dropping-particle&quot;:&quot;&quot;,&quot;family&quot;:&quot;Gaviria&quot;,&quot;given&quot;:&quot;Julian&quot;,&quot;non-dropping-particle&quot;:&quot;&quot;,&quot;parse-names&quot;:false,&quot;suffix&quot;:&quot;&quot;},{&quot;dropping-particle&quot;:&quot;&quot;,&quot;family&quot;:&quot;Blondiaux&quot;,&quot;given&quot;:&quot;Eva&quot;,&quot;non-dropping-particle&quot;:&quot;&quot;,&quot;parse-names&quot;:false,&quot;suffix&quot;:&quot;&quot;},{&quot;dropping-particle&quot;:&quot;&quot;,&quot;family&quot;:&quot;Smigielski&quot;,&quot;given&quot;:&quot;Lukasz&quot;,&quot;non-dropping-particle&quot;:&quot;&quot;,&quot;parse-names&quot;:false,&quot;suffix&quot;:&quot;&quot;},{&quot;dropping-particle&quot;:&quot;&quot;,&quot;family&quot;:&quot;Ville&quot;,&quot;given&quot;:&quot;Dimitri&quot;,&quot;non-dropping-particle&quot;:&quot;Van De&quot;,&quot;parse-names&quot;:false,&quot;suffix&quot;:&quot;&quot;}],&quot;container-title&quot;:&quot;NeuroImage&quot;,&quot;id&quot;:&quot;6f4ecda3-6e00-587e-8f34-d00ec77e448f&quot;,&quot;issued&quot;:{&quot;date-parts&quot;:[[&quot;2020&quot;]]},&quot;page&quot;:&quot;116621&quot;,&quot;title&quot;:&quot;TbCAPs: A toolbox for co-activation pattern analysis&quot;,&quot;type&quot;:&quot;article-journal&quot;,&quot;volume&quot;:&quot;211&quot;,&quot;container-title-short&quot;:&quot;Neuroimage&quot;},&quot;uris&quot;:[&quot;http://www.mendeley.com/documents/?uuid=06f62a9a-1d42-4b1e-9d51-e0d2275e1475&quot;],&quot;isTemporary&quot;:false,&quot;legacyDesktopId&quot;:&quot;06f62a9a-1d42-4b1e-9d51-e0d2275e1475&quot;},{&quot;id&quot;:&quot;80fe6685-1edf-58ef-bcbe-66a02ec59401&quot;,&quot;itemData&quot;:{&quot;DOI&quot;:&quot;10.1016/j.neuroimage.2018.01.041&quot;,&quot;ISSN&quot;:&quot;10959572&quot;,&quot;PMID&quot;:&quot;29355767&quot;,&quot;abstract&quot;:&quot;The brain is a complex system that integrates and processes information across multiple time scales by dynamically coordinating activities over brain regions and circuits. Correlations in resting-state functional magnetic resonance imaging (rsfMRI) signals have been widely used to infer functional connectivity of the brain, providing a metric of functional associations that reflects a temporal average over an entire scan (typically several minutes or longer). Not until recently was the study of dynamic brain interactions at much shorter time scales (seconds to minutes) considered for inference of functional connectivity. One method proposed for this objective seeks to identify and extract recurring co-activation patterns (CAPs) that represent instantaneous brain configurations at single time points. Here, we review the development and recent advancement of CAP methodology and other closely related approaches, as well as their applications and associated findings. We also discuss the potential neural origins and behavioral relevance of CAPs, along with methodological issues and future research directions in the analysis of fMRI co-activation patterns.&quot;,&quot;author&quot;:[{&quot;dropping-particle&quot;:&quot;&quot;,&quot;family&quot;:&quot;Liu&quot;,&quot;given&quot;:&quot;Xiao&quot;,&quot;non-dropping-particle&quot;:&quot;&quot;,&quot;parse-names&quot;:false,&quot;suffix&quot;:&quot;&quot;},{&quot;dropping-particle&quot;:&quot;&quot;,&quot;family&quot;:&quot;Zhang&quot;,&quot;given&quot;:&quot;Nanyin&quot;,&quot;non-dropping-particle&quot;:&quot;&quot;,&quot;parse-names&quot;:false,&quot;suffix&quot;:&quot;&quot;},{&quot;dropping-particle&quot;:&quot;&quot;,&quot;family&quot;:&quot;Chang&quot;,&quot;given&quot;:&quot;Catie&quot;,&quot;non-dropping-particle&quot;:&quot;&quot;,&quot;parse-names&quot;:false,&quot;suffix&quot;:&quot;&quot;},{&quot;dropping-particle&quot;:&quot;&quot;,&quot;family&quot;:&quot;Duyn&quot;,&quot;given&quot;:&quot;Jeff H.&quot;,&quot;non-dropping-particle&quot;:&quot;&quot;,&quot;parse-names&quot;:false,&quot;suffix&quot;:&quot;&quot;}],&quot;container-title&quot;:&quot;NeuroImage&quot;,&quot;id&quot;:&quot;80fe6685-1edf-58ef-bcbe-66a02ec59401&quot;,&quot;issue&quot;:&quot;February&quot;,&quot;issued&quot;:{&quot;date-parts&quot;:[[&quot;2018&quot;]]},&quot;page&quot;:&quot;485-494&quot;,&quot;publisher&quot;:&quot;Elsevier Ltd&quot;,&quot;title&quot;:&quot;Co-activation patterns in resting-state fMRI signals&quot;,&quot;type&quot;:&quot;article-journal&quot;,&quot;volume&quot;:&quot;180&quot;,&quot;container-title-short&quot;:&quot;Neuroimage&quot;},&quot;uris&quot;:[&quot;http://www.mendeley.com/documents/?uuid=4acc7ef7-13f4-403f-a5fc-1ae316010b34&quot;],&quot;isTemporary&quot;:false,&quot;legacyDesktopId&quot;:&quot;4acc7ef7-13f4-403f-a5fc-1ae316010b34&quot;}]},{&quot;citationID&quot;:&quot;MENDELEY_CITATION_00a930d1-6960-4baa-ac62-bc8b16dc9673&quot;,&quot;properties&quot;:{&quot;noteIndex&quot;:0},&quot;isEdited&quot;:false,&quot;manualOverride&quot;:{&quot;citeprocText&quot;:&quot;(11,12)&quot;,&quot;isManuallyOverridden&quot;:false,&quot;manualOverrideText&quot;:&quot;&quot;},&quot;citationTag&quot;:&quot;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&quot;,&quot;citationItems&quot;:[{&quot;id&quot;:&quot;df767e64-4fd4-5921-91d5-23086ce55fbf&quot;,&quot;itemData&quot;:{&quot;DOI&quot;:&quot;10.1038/s41386-021-01038-x&quot;,&quot;ISSN&quot;:&quot;1740634X&quot;,&quot;PMID&quot;:&quot;34099869&quot;,&quot;abstract&quot;:&quot;Alterations in activity and connectivity of brain circuits implicated in emotion processing and emotion regulation have been observed during resting-state for different clinical phases of bipolar disorders (BD), but longitudinal investigations across different mood states in the same patients are still rare. Furthermore, measuring dynamics of functional connectivity patterns offers a powerful method to explore changes in the brain’s intrinsic functional organization across mood states. We used a novel co-activation pattern (CAP) analysis to explore the dynamics of amygdala connectivity at rest in a cohort of 20 BD patients prospectively followed-up and scanned across distinct mood states: euthymia (20 patients; 39 sessions), depression (12 patients; 18 sessions), or mania/hypomania (14 patients; 18 sessions). We compared them to 41 healthy controls scanned once or twice (55 sessions). We characterized temporal aspects of dynamic fluctuations in amygdala connectivity over the whole brain as a function of current mood. We identified six distinct networks describing amygdala connectivity, among which an interoceptive-sensorimotor CAP exhibited more frequent occurrences during hypomania compared to other mood states, and predicted more severe symptoms of irritability and motor agitation. In contrast, a default-mode CAP exhibited more frequent occurrences during depression compared to other mood states and compared to controls, with a positive association with depression severity. Our results reveal distinctive interactions between amygdala and distributed brain networks in different mood states, and foster research on interoception and default-mode systems especially during the manic and depressive phase, respectively. Our study also demonstrates the benefits of assessing brain dynamics in BD.&quot;,&quot;author&quot;:[{&quot;dropping-particle&quot;:&quot;&quot;,&quot;family&quot;:&quot;Rey&quot;,&quot;given&quot;:&quot;Gwladys&quot;,&quot;non-dropping-particle&quot;:&quot;&quot;,&quot;parse-names&quot;:false,&quot;suffix&quot;:&quot;&quot;},{&quot;dropping-particle&quot;:&quot;&quot;,&quot;family&quot;:&quot;Bolton&quot;,&quot;given&quot;:&quot;Thomas A.W.&quot;,&quot;non-dropping-particle&quot;:&quot;&quot;,&quot;parse-names&quot;:false,&quot;suffix&quot;:&quot;&quot;},{&quot;dropping-particle&quot;:&quot;&quot;,&quot;family&quot;:&quot;Gaviria&quot;,&quot;given&quot;:&quot;Julian&quot;,&quot;non-dropping-particle&quot;:&quot;&quot;,&quot;parse-names&quot;:false,&quot;suffix&quot;:&quot;&quot;},{&quot;dropping-particle&quot;:&quot;&quot;,&quot;family&quot;:&quot;Piguet&quot;,&quot;given&quot;:&quot;Camille&quot;,&quot;non-dropping-particle&quot;:&quot;&quot;,&quot;parse-names&quot;:false,&quot;suffix&quot;:&quot;&quot;},{&quot;dropping-particle&quot;:&quot;&quot;,&quot;family&quot;:&quot;Preti&quot;,&quot;given&quot;:&quot;Maria Giulia&quot;,&quot;non-dropping-particle&quot;:&quot;&quot;,&quot;parse-names&quot;:false,&quot;suffix&quot;:&quot;&quot;},{&quot;dropping-particle&quot;:&quot;&quot;,&quot;family&quot;:&quot;Favre&quot;,&quot;given&quot;:&quot;Sophie&quot;,&quot;non-dropping-particle&quot;:&quot;&quot;,&quot;parse-names&quot;:false,&quot;suffix&quot;:&quot;&quot;},{&quot;dropping-particle&quot;:&quot;&quot;,&quot;family&quot;:&quot;Aubry&quot;,&quot;given&quot;:&quot;Jean Michel&quot;,&quot;non-dropping-particle&quot;:&quot;&quot;,&quot;parse-names&quot;:false,&quot;suffix&quot;:&quot;&quot;},{&quot;dropping-particle&quot;:&quot;&quot;,&quot;family&quot;:&quot;Ville&quot;,&quot;given&quot;:&quot;Dimitri&quot;,&quot;non-dropping-particle&quot;:&quot;Van De&quot;,&quot;parse-names&quot;:false,&quot;suffix&quot;:&quot;&quot;},{&quot;dropping-particle&quot;:&quot;&quot;,&quot;family&quot;:&quot;Vuilleumier&quot;,&quot;given&quot;:&quot;Patrik&quot;,&quot;non-dropping-particle&quot;:&quot;&quot;,&quot;parse-names&quot;:false,&quot;suffix&quot;:&quot;&quot;}],&quot;container-title&quot;:&quot;Neuropsychopharmacology&quot;,&quot;id&quot;:&quot;df767e64-4fd4-5921-91d5-23086ce55fbf&quot;,&quot;issue&quot;:&quot;9&quot;,&quot;issued&quot;:{&quot;date-parts&quot;:[[&quot;2021&quot;]]},&quot;page&quot;:&quot;1693-1701&quot;,&quot;title&quot;:&quot;Dynamics of amygdala connectivity in bipolar disorders: a longitudinal study across mood states&quot;,&quot;type&quot;:&quot;article-journal&quot;,&quot;volume&quot;:&quot;46&quot;,&quot;container-title-short&quot;:&quot;&quot;},&quot;uris&quot;:[&quot;http://www.mendeley.com/documents/?uuid=82e9c7a3-3230-4eb1-870d-6fa50f0511fa&quot;],&quot;isTemporary&quot;:false,&quot;legacyDesktopId&quot;:&quot;82e9c7a3-3230-4eb1-870d-6fa50f0511fa&quot;},{&quot;id&quot;:&quot;6f4ecda3-6e00-587e-8f34-d00ec77e448f&quot;,&quot;itemData&quot;:{&quot;DOI&quot;:&quot;https://doi.org/10.1016/j.neuroimage.2020.116621&quot;,&quot;ISSN&quot;:&quot;1053-8119&quot;,&quot;abstract&quot;:&quot;Functional magnetic resonance imaging provides rich spatio-temporal data of human brain activity during task and rest. Many recent efforts have focussed on characterising dynamics of brain activity. One notable instance is co-activation pattern (CAP) analysis, a frame-wise analytical approach that disentangles the different functional brain networks interacting with a user-defined seed region. While promising applications in various clinical settings have been demonstrated, there is not yet any centralised, publicly accessible resource to facilitate the deployment of the technique. Here, we release a working version of TbCAPs, a new toolbox for CAP analysis, which includes all steps of the analytical pipeline, introduces new methodological developments that build on already existing concepts, and enables a facilitated inspection of CAPs and resulting metrics of brain dynamics. The toolbox is available on a public academic repository at https://c4science.ch/source/CAP_Toolbox.git. In addition, to illustrate the feasibility and usefulness of our pipeline, we describe an application to the study of human cognition. CAPs are constructed from resting-state fMRI using as seed the right dorsolateral prefrontal cortex, and, in a separate sample, we successfully predict a behavioural measure of continuous attentional performance from the metrics of CAP dynamics (R ​= ​0.59).&quot;,&quot;author&quot;:[{&quot;dropping-particle&quot;:&quot;&quot;,&quot;family&quot;:&quot;Bolton&quot;,&quot;given&quot;:&quot;Thomas A.W.&quot;,&quot;non-dropping-particle&quot;:&quot;&quot;,&quot;parse-names&quot;:false,&quot;suffix&quot;:&quot;&quot;},{&quot;dropping-particle&quot;:&quot;&quot;,&quot;family&quot;:&quot;Tuleasca&quot;,&quot;given&quot;:&quot;Constantin&quot;,&quot;non-dropping-particle&quot;:&quot;&quot;,&quot;parse-names&quot;:false,&quot;suffix&quot;:&quot;&quot;},{&quot;dropping-particle&quot;:&quot;&quot;,&quot;family&quot;:&quot;Wotruba&quot;,&quot;given&quot;:&quot;Diana&quot;,&quot;non-dropping-particle&quot;:&quot;&quot;,&quot;parse-names&quot;:false,&quot;suffix&quot;:&quot;&quot;},{&quot;dropping-particle&quot;:&quot;&quot;,&quot;family&quot;:&quot;Rey&quot;,&quot;given&quot;:&quot;Gwladys&quot;,&quot;non-dropping-particle&quot;:&quot;&quot;,&quot;parse-names&quot;:false,&quot;suffix&quot;:&quot;&quot;},{&quot;dropping-particle&quot;:&quot;&quot;,&quot;family&quot;:&quot;Dhanis&quot;,&quot;given&quot;:&quot;Herberto&quot;,&quot;non-dropping-particle&quot;:&quot;&quot;,&quot;parse-names&quot;:false,&quot;suffix&quot;:&quot;&quot;},{&quot;dropping-particle&quot;:&quot;&quot;,&quot;family&quot;:&quot;Gauthier&quot;,&quot;given&quot;:&quot;Baptiste&quot;,&quot;non-dropping-particle&quot;:&quot;&quot;,&quot;parse-names&quot;:false,&quot;suffix&quot;:&quot;&quot;},{&quot;dropping-particle&quot;:&quot;&quot;,&quot;family&quot;:&quot;Delavari&quot;,&quot;given&quot;:&quot;Farnaz&quot;,&quot;non-dropping-particle&quot;:&quot;&quot;,&quot;parse-names&quot;:false,&quot;suffix&quot;:&quot;&quot;},{&quot;dropping-particle&quot;:&quot;&quot;,&quot;family&quot;:&quot;Morgenroth&quot;,&quot;given&quot;:&quot;Elenor&quot;,&quot;non-dropping-particle&quot;:&quot;&quot;,&quot;parse-names&quot;:false,&quot;suffix&quot;:&quot;&quot;},{&quot;dropping-particle&quot;:&quot;&quot;,&quot;family&quot;:&quot;Gaviria&quot;,&quot;given&quot;:&quot;Julian&quot;,&quot;non-dropping-particle&quot;:&quot;&quot;,&quot;parse-names&quot;:false,&quot;suffix&quot;:&quot;&quot;},{&quot;dropping-particle&quot;:&quot;&quot;,&quot;family&quot;:&quot;Blondiaux&quot;,&quot;given&quot;:&quot;Eva&quot;,&quot;non-dropping-particle&quot;:&quot;&quot;,&quot;parse-names&quot;:false,&quot;suffix&quot;:&quot;&quot;},{&quot;dropping-particle&quot;:&quot;&quot;,&quot;family&quot;:&quot;Smigielski&quot;,&quot;given&quot;:&quot;Lukasz&quot;,&quot;non-dropping-particle&quot;:&quot;&quot;,&quot;parse-names&quot;:false,&quot;suffix&quot;:&quot;&quot;},{&quot;dropping-particle&quot;:&quot;&quot;,&quot;family&quot;:&quot;Ville&quot;,&quot;given&quot;:&quot;Dimitri&quot;,&quot;non-dropping-particle&quot;:&quot;Van De&quot;,&quot;parse-names&quot;:false,&quot;suffix&quot;:&quot;&quot;}],&quot;container-title&quot;:&quot;NeuroImage&quot;,&quot;id&quot;:&quot;6f4ecda3-6e00-587e-8f34-d00ec77e448f&quot;,&quot;issued&quot;:{&quot;date-parts&quot;:[[&quot;2020&quot;]]},&quot;page&quot;:&quot;116621&quot;,&quot;title&quot;:&quot;TbCAPs: A toolbox for co-activation pattern analysis&quot;,&quot;type&quot;:&quot;article-journal&quot;,&quot;volume&quot;:&quot;211&quot;,&quot;container-title-short&quot;:&quot;Neuroimage&quot;},&quot;uris&quot;:[&quot;http://www.mendeley.com/documents/?uuid=06f62a9a-1d42-4b1e-9d51-e0d2275e1475&quot;],&quot;isTemporary&quot;:false,&quot;legacyDesktopId&quot;:&quot;06f62a9a-1d42-4b1e-9d51-e0d2275e1475&quot;}]},{&quot;citationID&quot;:&quot;MENDELEY_CITATION_3e6d4c08-7427-4752-b21a-2db405b71e64&quot;,&quot;properties&quot;:{&quot;noteIndex&quot;:0},&quot;isEdited&quot;:false,&quot;manualOverride&quot;:{&quot;citeprocText&quot;:&quot;(13)&quot;,&quot;isManuallyOverridden&quot;:false,&quot;manualOverrideText&quot;:&quot;&quot;},&quot;citationTag&quot;:&quot;MENDELEY_CITATION_v3_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&quot;,&quot;citationItems&quot;:[{&quot;id&quot;:&quot;b172d5a9-1b39-55de-8aae-ca5859fbf88e&quot;,&quot;itemData&quot;:{&quot;DOI&quot;:&quot;10.3389/fphys.2020.00066&quot;,&quot;ISSN&quot;:&quot;1664042X&quot;,&quot;abstract&quot;:&quot;Emerging evidence has attributed altered network coordination between the default mode, central executive, and salience networks (DMN/CEN/SAL) to disturbances seen in schizophrenia, but little is known for at-risk psychosis stages. Moreover, pinpointing impairments in specific network-to-network interactions, although essential to resolve possibly distinct harbingers of conversion to clinically diagnosed schizophrenia, remains particularly challenging. We addressed this by a dynamic approach to functional connectivity, where right anterior insula brain interactions were examined through co-activation pattern (CAP) analysis. We utilized resting-state fMRI in 19 subjects suffering from subthreshold delusions and hallucinations (UHR), 28 at-risk for psychosis with basic symptoms describing only self-experienced subclinical disturbances (BS), and 29 healthy controls (CTR) matched for age, gender, handedness, and intelligence. We extracted the most recurring CAPs, compared their relative occurrence and average dwell time to probe their temporal expression, and quantified occurrence balance to assess the putative loss of competing relationships. Our findings substantiate the pivotal role of the right anterior insula in governing CEN-to-DMN transitions, which appear dysfunctional prior to the onset of psychosis, especially when first attenuated psychotic symptoms occur. In UHR subjects, it is longer active in concert with the DMN and there is a loss of competition between a SAL/DMN state, and a state with insula/CEN activation paralleled by DMN deactivation. These features suggest that abnormal network switching disrupts one's capacity to distinguish between the internal world and external environment, which is accompanied by inflexibility and an excessive awareness to internal processes reflected by prolonged expression of the right anterior insula-default mode co-activation pattern.&quot;,&quot;author&quot;:[{&quot;dropping-particle&quot;:&quot;&quot;,&quot;family&quot;:&quot;Bolton&quot;,&quot;given&quot;:&quot;Thomas A.W.&quot;,&quot;non-dropping-particle&quot;:&quot;&quot;,&quot;parse-names&quot;:false,&quot;suffix&quot;:&quot;&quot;},{&quot;dropping-particle&quot;:&quot;&quot;,&quot;family&quot;:&quot;Wotruba&quot;,&quot;given&quot;:&quot;Diana&quot;,&quot;non-dropping-particle&quot;:&quot;&quot;,&quot;parse-names&quot;:false,&quot;suffix&quot;:&quot;&quot;},{&quot;dropping-particle&quot;:&quot;&quot;,&quot;family&quot;:&quot;Buechler&quot;,&quot;given&quot;:&quot;Roman&quot;,&quot;non-dropping-particle&quot;:&quot;&quot;,&quot;parse-names&quot;:false,&quot;suffix&quot;:&quot;&quot;},{&quot;dropping-particle&quot;:&quot;&quot;,&quot;family&quot;:&quot;Theodoridou&quot;,&quot;given&quot;:&quot;Anastasia&quot;,&quot;non-dropping-particle&quot;:&quot;&quot;,&quot;parse-names&quot;:false,&quot;suffix&quot;:&quot;&quot;},{&quot;dropping-particle&quot;:&quot;&quot;,&quot;family&quot;:&quot;Michels&quot;,&quot;given&quot;:&quot;Lars&quot;,&quot;non-dropping-particle&quot;:&quot;&quot;,&quot;parse-names&quot;:false,&quot;suffix&quot;:&quot;&quot;},{&quot;dropping-particle&quot;:&quot;&quot;,&quot;family&quot;:&quot;Kollias&quot;,&quot;given&quot;:&quot;Spyros&quot;,&quot;non-dropping-particle&quot;:&quot;&quot;,&quot;parse-names&quot;:false,&quot;suffix&quot;:&quot;&quot;},{&quot;dropping-particle&quot;:&quot;&quot;,&quot;family&quot;:&quot;Rössler&quot;,&quot;given&quot;:&quot;Wulf&quot;,&quot;non-dropping-particle&quot;:&quot;&quot;,&quot;parse-names&quot;:false,&quot;suffix&quot;:&quot;&quot;},{&quot;dropping-particle&quot;:&quot;&quot;,&quot;family&quot;:&quot;Heekeren&quot;,&quot;given&quot;:&quot;Karsten&quot;,&quot;non-dropping-particle&quot;:&quot;&quot;,&quot;parse-names&quot;:false,&quot;suffix&quot;:&quot;&quot;},{&quot;dropping-particle&quot;:&quot;&quot;,&quot;family&quot;:&quot;Ville&quot;,&quot;given&quot;:&quot;Dimitri&quot;,&quot;non-dropping-particle&quot;:&quot;Van De&quot;,&quot;parse-names&quot;:false,&quot;suffix&quot;:&quot;&quot;}],&quot;container-title&quot;:&quot;Frontiers in Physiology&quot;,&quot;id&quot;:&quot;b172d5a9-1b39-55de-8aae-ca5859fbf88e&quot;,&quot;issue&quot;:&quot;February&quot;,&quot;issued&quot;:{&quot;date-parts&quot;:[[&quot;2020&quot;]]},&quot;page&quot;:&quot;1-10&quot;,&quot;title&quot;:&quot;Triple Network Model Dynamically Revisited: Lower Salience Network State Switching in Pre-psychosis&quot;,&quot;type&quot;:&quot;article-journal&quot;,&quot;volume&quot;:&quot;11&quot;,&quot;container-title-short&quot;:&quot;Front Physiol&quot;},&quot;uris&quot;:[&quot;http://www.mendeley.com/documents/?uuid=09f16822-d3f2-4b71-98d6-f6228657e60d&quot;],&quot;isTemporary&quot;:false,&quot;legacyDesktopId&quot;:&quot;09f16822-d3f2-4b71-98d6-f6228657e60d&quot;}]},{&quot;citationID&quot;:&quot;MENDELEY_CITATION_de743e6d-3bdf-4318-9208-b4f71f2287f7&quot;,&quot;properties&quot;:{&quot;noteIndex&quot;:0},&quot;isEdited&quot;:false,&quot;manualOverride&quot;:{&quot;isManuallyOverridden&quot;:false,&quot;citeprocText&quot;:&quot;(14)&quot;,&quot;manualOverrideText&quot;:&quot;&quot;},&quot;citationTag&quot;:&quot;MENDELEY_CITATION_v3_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&quot;,&quot;citationItems&quot;:[{&quot;id&quot;:&quot;a71a3f92-a2bd-300e-a396-7fc9885a90ff&quot;,&quot;itemData&quot;:{&quot;type&quot;:&quot;article-journal&quot;,&quot;id&quot;:&quot;a71a3f92-a2bd-300e-a396-7fc9885a90ff&quot;,&quot;title&quot;:&quot;Thalamic contributions to psychosis susceptibility: Evidence from co-activation patterns accounting for intra-seed spatial variability (µCAPs)&quot;,&quot;author&quot;:[{&quot;family&quot;:&quot;Delavari&quot;,&quot;given&quot;:&quot;Farnaz&quot;,&quot;parse-names&quot;:false,&quot;dropping-particle&quot;:&quot;&quot;,&quot;non-dropping-particle&quot;:&quot;&quot;},{&quot;family&quot;:&quot;Sandini&quot;,&quot;given&quot;:&quot;Corrado&quot;,&quot;parse-names&quot;:false,&quot;dropping-particle&quot;:&quot;&quot;,&quot;non-dropping-particle&quot;:&quot;&quot;},{&quot;family&quot;:&quot;Kojovic&quot;,&quot;given&quot;:&quot;Nada&quot;,&quot;parse-names&quot;:false,&quot;dropping-particle&quot;:&quot;&quot;,&quot;non-dropping-particle&quot;:&quot;&quot;},{&quot;family&quot;:&quot;Saccaro&quot;,&quot;given&quot;:&quot;Luigi F&quot;,&quot;parse-names&quot;:false,&quot;dropping-particle&quot;:&quot;&quot;,&quot;non-dropping-particle&quot;:&quot;&quot;},{&quot;family&quot;:&quot;Eliez&quot;,&quot;given&quot;:&quot;Stephan&quot;,&quot;parse-names&quot;:false,&quot;dropping-particle&quot;:&quot;&quot;,&quot;non-dropping-particle&quot;:&quot;&quot;},{&quot;family&quot;:&quot;Ville&quot;,&quot;given&quot;:&quot;Dimitri&quot;,&quot;parse-names&quot;:false,&quot;dropping-particle&quot;:&quot;&quot;,&quot;non-dropping-particle&quot;:&quot;Van De&quot;},{&quot;family&quot;:&quot;Bolton&quot;,&quot;given&quot;:&quot;Thomas A W&quot;,&quot;parse-names&quot;:false,&quot;dropping-particle&quot;:&quot;&quot;,&quot;non-dropping-particle&quot;:&quot;&quot;}],&quot;DOI&quot;:&quot;10.1101/2023.05.23.541896&quot;,&quot;URL&quot;:&quot;https://doi.org/10.1101/2023.05.23.541896&quot;,&quot;container-title-short&quot;:&quot;&quot;},&quot;isTemporary&quot;:false}]},{&quot;citationID&quot;:&quot;MENDELEY_CITATION_c714651c-0c3e-4778-8e88-d27ee2486f37&quot;,&quot;properties&quot;:{&quot;noteIndex&quot;:0},&quot;isEdited&quot;:false,&quot;manualOverride&quot;:{&quot;isManuallyOverridden&quot;:false,&quot;citeprocText&quot;:&quot;(15,16)&quot;,&quot;manualOverrideText&quot;:&quot;&quot;},&quot;citationTag&quot;:&quot;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&quot;,&quot;citationItems&quot;:[{&quot;id&quot;:&quot;66cad946-9be5-32e8-90e9-71d40c60de5d&quot;,&quot;itemData&quot;:{&quot;type&quot;:&quot;article-journal&quot;,&quot;id&quot;:&quot;66cad946-9be5-32e8-90e9-71d40c60de5d&quot;,&quot;title&quot;:&quot;Dynamic functional brain networks underlying the temporal inertia of negative emotions&quot;,&quot;author&quot;:[{&quot;family&quot;:&quot;Gaviria&quot;,&quot;given&quot;:&quot;Julian&quot;,&quot;parse-names&quot;:false,&quot;dropping-particle&quot;:&quot;&quot;,&quot;non-dropping-particle&quot;:&quot;&quot;},{&quot;family&quot;:&quot;Rey&quot;,&quot;given&quot;:&quot;Gwladys&quot;,&quot;parse-names&quot;:false,&quot;dropping-particle&quot;:&quot;&quot;,&quot;non-dropping-particle&quot;:&quot;&quot;},{&quot;family&quot;:&quot;Bolton&quot;,&quot;given&quot;:&quot;Thomas&quot;,&quot;parse-names&quot;:false,&quot;dropping-particle&quot;:&quot;&quot;,&quot;non-dropping-particle&quot;:&quot;&quot;},{&quot;family&quot;:&quot;Ville&quot;,&quot;given&quot;:&quot;Dimitri&quot;,&quot;parse-names&quot;:false,&quot;dropping-particle&quot;:&quot;Van De&quot;,&quot;non-dropping-particle&quot;:&quot;&quot;},{&quot;family&quot;:&quot;Vuilleumier&quot;,&quot;given&quot;:&quot;Patrik&quot;,&quot;parse-names&quot;:false,&quot;dropping-particle&quot;:&quot;&quot;,&quot;non-dropping-particle&quot;:&quot;&quot;}],&quot;container-title&quot;:&quot;NeuroImage&quot;,&quot;container-title-short&quot;:&quot;Neuroimage&quot;,&quot;DOI&quot;:&quot;10.1016/j.neuroimage.2021.118377&quot;,&quot;ISSN&quot;:&quot;10959572&quot;,&quot;PMID&quot;:&quot;34256139&quot;,&quot;issued&quot;:{&quot;date-parts&quot;:[[2021,10,15]]},&quot;abstract&quot;:&quot;Affective inertia represents the lasting impact of transient emotions at one time point on affective state at a subsequent time point. Here we describe the neural underpinnings of inertia following negative emotions elicited by sad events in movies. Using a co-activation pattern analysis of dynamic functional connectivity, we examined the temporal expression and reciprocal interactions among brain-wide networks during movies and subsequent resting periods in twenty healthy subjects. Our findings revealed distinctive spatiotemporal expression of visual (VIS), default mode (DMN), central executive (CEN), and frontoparietal control (FPCN) networks both in negative movies and in rest periods following these movies. We also identified different reciprocal relationships among these networks, in transitions from movie to rest. While FPCN and DMN expression increased during and after negative movies, respectively, FPCN occurrences during the movie predicted lower DMN and higher CEN expression during subsequent rest after neutral movies, but this relationship was reversed after the elicitation of negative emotions. Changes in FPCN and DMN activity correlated with more negative subjective affect. These findings provide new insights into the transient interactions of intrinsic brain networks underpinning the inertia of negative emotions. More specifically, they describe a major role of FPCN in emotion elicitation processes, with prolonged impact on DMN activity in subsequent rest, presumably involved in emotion regulation and restoration of homeostatic balance after negative events.&quot;,&quot;publisher&quot;:&quot;Academic Press Inc.&quot;,&quot;volume&quot;:&quot;240&quot;},&quot;isTemporary&quot;:false},{&quot;id&quot;:&quot;9cd0044a-8dd6-31a2-90f6-3dbea43d18e5&quot;,&quot;itemData&quot;:{&quot;type&quot;:&quot;article-journal&quot;,&quot;id&quot;:&quot;9cd0044a-8dd6-31a2-90f6-3dbea43d18e5&quot;,&quot;title&quot;:&quot;TbCAPs: A toolbox for co-activation pattern analysis&quot;,&quot;author&quot;:[{&quot;family&quot;:&quot;Bolton&quot;,&quot;given&quot;:&quot;Thomas A W&quot;,&quot;parse-names&quot;:false,&quot;dropping-particle&quot;:&quot;&quot;,&quot;non-dropping-particle&quot;:&quot;&quot;},{&quot;family&quot;:&quot;Tuleasca&quot;,&quot;given&quot;:&quot;Constantin&quot;,&quot;parse-names&quot;:false,&quot;dropping-particle&quot;:&quot;&quot;,&quot;non-dropping-particle&quot;:&quot;&quot;},{&quot;family&quot;:&quot;Wotruba&quot;,&quot;given&quot;:&quot;Diana&quot;,&quot;parse-names&quot;:false,&quot;dropping-particle&quot;:&quot;&quot;,&quot;non-dropping-particle&quot;:&quot;&quot;},{&quot;family&quot;:&quot;Rey&quot;,&quot;given&quot;:&quot;Gwladys&quot;,&quot;parse-names&quot;:false,&quot;dropping-particle&quot;:&quot;&quot;,&quot;non-dropping-particle&quot;:&quot;&quot;},{&quot;family&quot;:&quot;Dhanis&quot;,&quot;given&quot;:&quot;Herberto&quot;,&quot;parse-names&quot;:false,&quot;dropping-particle&quot;:&quot;&quot;,&quot;non-dropping-particle&quot;:&quot;&quot;},{&quot;family&quot;:&quot;Gauthier&quot;,&quot;given&quot;:&quot;Baptiste&quot;,&quot;parse-names&quot;:false,&quot;dropping-particle&quot;:&quot;&quot;,&quot;non-dropping-particle&quot;:&quot;&quot;},{&quot;family&quot;:&quot;Delavari&quot;,&quot;given&quot;:&quot;Farnaz&quot;,&quot;parse-names&quot;:false,&quot;dropping-particle&quot;:&quot;&quot;,&quot;non-dropping-particle&quot;:&quot;&quot;},{&quot;family&quot;:&quot;Morgenroth&quot;,&quot;given&quot;:&quot;Elenor&quot;,&quot;parse-names&quot;:false,&quot;dropping-particle&quot;:&quot;&quot;,&quot;non-dropping-particle&quot;:&quot;&quot;},{&quot;family&quot;:&quot;Gaviria&quot;,&quot;given&quot;:&quot;Julian&quot;,&quot;parse-names&quot;:false,&quot;dropping-particle&quot;:&quot;&quot;,&quot;non-dropping-particle&quot;:&quot;&quot;},{&quot;family&quot;:&quot;Blondiaux&quot;,&quot;given&quot;:&quot;Eva&quot;,&quot;parse-names&quot;:false,&quot;dropping-particle&quot;:&quot;&quot;,&quot;non-dropping-particle&quot;:&quot;&quot;},{&quot;family&quot;:&quot;Smigielski&quot;,&quot;given&quot;:&quot;Lukasz&quot;,&quot;parse-names&quot;:false,&quot;dropping-particle&quot;:&quot;&quot;,&quot;non-dropping-particle&quot;:&quot;&quot;},{&quot;family&quot;:&quot;Ville&quot;,&quot;given&quot;:&quot;Dimitri&quot;,&quot;parse-names&quot;:false,&quot;dropping-particle&quot;:&quot;&quot;,&quot;non-dropping-particle&quot;:&quot;Van De&quot;}],&quot;container-title&quot;:&quot;NeuroImage&quot;,&quot;container-title-short&quot;:&quot;Neuroimage&quot;,&quot;DOI&quot;:&quot;https://doi.org/10.1016/j.neuroimage.2020.116621&quot;,&quot;ISSN&quot;:&quot;1053-8119&quot;,&quot;URL&quot;:&quot;https://www.sciencedirect.com/science/article/pii/S1053811920301087&quot;,&quot;issued&quot;:{&quot;date-parts&quot;:[[2020]]},&quot;page&quot;:&quot;116621&quot;,&quot;abstract&quot;:&quot;Functional magnetic resonance imaging provides rich spatio-temporal data of human brain activity during task and rest. Many recent efforts have focussed on characterising dynamics of brain activity. One notable instance is co-activation pattern (CAP) analysis, a frame-wise analytical approach that disentangles the different functional brain networks interacting with a user-defined seed region. While promising applications in various clinical settings have been demonstrated, there is not yet any centralised, publicly accessible resource to facilitate the deployment of the technique. Here, we release a working version of TbCAPs, a new toolbox for CAP analysis, which includes all steps of the analytical pipeline, introduces new methodological developments that build on already existing concepts, and enables a facilitated inspection of CAPs and resulting metrics of brain dynamics. The toolbox is available on a public academic repository at https://c4science.ch/source/CAP_Toolbox.git. In addition, to illustrate the feasibility and usefulness of our pipeline, we describe an application to the study of human cognition. CAPs are constructed from resting-state fMRI using as seed the right dorsolateral prefrontal cortex, and, in a separate sample, we successfully predict a behavioural measure of continuous attentional performance from the metrics of CAP dynamics (R ​= ​0.59).&quot;,&quot;volume&quot;:&quot;211&quot;},&quot;isTemporary&quot;:false}]},{&quot;citationID&quot;:&quot;MENDELEY_CITATION_405e9fe9-3d70-48ad-9d13-65e8d07c440b&quot;,&quot;properties&quot;:{&quot;noteIndex&quot;:0},&quot;isEdited&quot;:false,&quot;manualOverride&quot;:{&quot;isManuallyOverridden&quot;:false,&quot;citeprocText&quot;:&quot;(17)&quot;,&quot;manualOverrideText&quot;:&quot;&quot;},&quot;citationTag&quot;:&quot;MENDELEY_CITATION_v3_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&quot;,&quot;citationItems&quot;:[{&quot;id&quot;:&quot;342359f8-4c1b-3dc2-ac0d-a1e29fb7fa74&quot;,&quot;itemData&quot;:{&quot;type&quot;:&quot;article-journal&quot;,&quot;id&quot;:&quot;342359f8-4c1b-3dc2-ac0d-a1e29fb7fa74&quot;,&quot;title&quot;:&quot;Variants of the hungarian method for assignment problems&quot;,&quot;author&quot;:[{&quot;family&quot;:&quot;Kuhn&quot;,&quot;given&quot;:&quot;H. W.&quot;,&quot;parse-names&quot;:false,&quot;dropping-particle&quot;:&quot;&quot;,&quot;non-dropping-particle&quot;:&quot;&quot;}],&quot;container-title&quot;:&quot;Naval Research Logistics Quarterly&quot;,&quot;DOI&quot;:&quot;10.1002/nav.3800030404&quot;,&quot;ISSN&quot;:&quot;00281441&quot;,&quot;issued&quot;:{&quot;date-parts&quot;:[[1956,12]]},&quot;page&quot;:&quot;253-258&quot;,&quot;abstract&quot;:&quot;1. INTRODUCTION based on the work of D. Konig and J. Egervgry. In one possible interpretation, an assignment problem asks for the best assignment of a set of persons to a set of jobs, where the feasible assignments are ranked by the total scores or ratings of the workers in the jobs to which they are assigned. It is a special case of the transportation problem, which asks for the allocation of a homogeneous commodity from given supplies ...&quot;,&quot;publisher&quot;:&quot;Wiley&quot;,&quot;issue&quot;:&quot;4&quot;,&quot;volume&quot;:&quot;3&quot;,&quot;container-title-short&quot;:&quot;&quot;},&quot;isTemporary&quot;:false}]},{&quot;citationID&quot;:&quot;MENDELEY_CITATION_52be6f27-c730-4ada-9c4c-0de359cbd906&quot;,&quot;properties&quot;:{&quot;noteIndex&quot;:0},&quot;isEdited&quot;:false,&quot;manualOverride&quot;:{&quot;isManuallyOverridden&quot;:false,&quot;citeprocText&quot;:&quot;(8)&quot;,&quot;manualOverrideText&quot;:&quot;&quot;},&quot;citationItems&quot;:[{&quot;id&quot;:&quot;21a02446-0575-3712-b9db-d78a2776a769&quot;,&quot;itemData&quot;:{&quot;type&quot;:&quot;article-journal&quot;,&quot;id&quot;:&quot;21a02446-0575-3712-b9db-d78a2776a769&quot;,&quot;title&quot;:&quot;Spurious but systematic correlations in functional connectivity MRI networks arise from subject motion&quot;,&quot;author&quot;:[{&quot;family&quot;:&quot;Power&quot;,&quot;given&quot;:&quot;Jonathan D.&quot;,&quot;parse-names&quot;:false,&quot;dropping-particle&quot;:&quot;&quot;,&quot;non-dropping-particle&quot;:&quot;&quot;},{&quot;family&quot;:&quot;Barnes&quot;,&quot;given&quot;:&quot;Kelly A.&quot;,&quot;parse-names&quot;:false,&quot;dropping-particle&quot;:&quot;&quot;,&quot;non-dropping-particle&quot;:&quot;&quot;},{&quot;family&quot;:&quot;Snyder&quot;,&quot;given&quot;:&quot;Abraham Z.&quot;,&quot;parse-names&quot;:false,&quot;dropping-particle&quot;:&quot;&quot;,&quot;non-dropping-particle&quot;:&quot;&quot;},{&quot;family&quot;:&quot;Schlaggar&quot;,&quot;given&quot;:&quot;Bradley L.&quot;,&quot;parse-names&quot;:false,&quot;dropping-particle&quot;:&quot;&quot;,&quot;non-dropping-particle&quot;:&quot;&quot;},{&quot;family&quot;:&quot;Petersen&quot;,&quot;given&quot;:&quot;Steven E.&quot;,&quot;parse-names&quot;:false,&quot;dropping-particle&quot;:&quot;&quot;,&quot;non-dropping-particle&quot;:&quot;&quot;}],&quot;container-title&quot;:&quot;NeuroImage&quot;,&quot;container-title-short&quot;:&quot;Neuroimage&quot;,&quot;DOI&quot;:&quot;10.1016/j.neuroimage.2011.10.018&quot;,&quot;ISSN&quot;:&quot;10538119&quot;,&quot;PMID&quot;:&quot;22019881&quot;,&quot;issued&quot;:{&quot;date-parts&quot;:[[2012,2,1]]},&quot;page&quot;:&quot;2142-2154&quot;,&quot;abstract&quot;:&quot;Here, we demonstrate that subject motion produces substantial changes in the timecourses of resting state functional connectivity MRI (rs-fcMRI) data despite compensatory spatial registration and regression of motion estimates from the data. These changes cause systematic but spurious correlation structures throughout the brain. Specifically, many long-distance correlations are decreased by subject motion, whereas many short-distance correlations are increased. These changes in rs-fcMRI correlations do not arise from, nor are they adequately countered by, some common functional connectivity processing steps. Two indices of data quality are proposed, and a simple method to reduce motion-related effects in rs-fcMRI analyses is demonstrated that should be flexibly implementable across a variety of software platforms. We demonstrate how application of this technique impacts our own data, modifying previous conclusions about brain development. These results suggest the need for greater care in dealing with subject motion, and the need to critically revisit previous rs-fcMRI work that may not have adequately controlled for effects of transient subject movements. © 2011 Elsevier Inc.&quot;,&quot;issue&quot;:&quot;3&quot;,&quot;volume&quot;:&quot;59&quot;},&quot;isTemporary&quot;:false}],&quot;citationTag&quot;:&quot;MENDELEY_CITATION_v3_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&quot;},{&quot;citationID&quot;:&quot;MENDELEY_CITATION_c9009768-8110-4fcb-8ab2-2572334dfe63&quot;,&quot;properties&quot;:{&quot;noteIndex&quot;:0},&quot;isEdited&quot;:false,&quot;manualOverride&quot;:{&quot;isManuallyOverridden&quot;:false,&quot;citeprocText&quot;:&quot;(8)&quot;,&quot;manualOverrideText&quot;:&quot;&quot;},&quot;citationItems&quot;:[{&quot;id&quot;:&quot;21a02446-0575-3712-b9db-d78a2776a769&quot;,&quot;itemData&quot;:{&quot;type&quot;:&quot;article-journal&quot;,&quot;id&quot;:&quot;21a02446-0575-3712-b9db-d78a2776a769&quot;,&quot;title&quot;:&quot;Spurious but systematic correlations in functional connectivity MRI networks arise from subject motion&quot;,&quot;author&quot;:[{&quot;family&quot;:&quot;Power&quot;,&quot;given&quot;:&quot;Jonathan D.&quot;,&quot;parse-names&quot;:false,&quot;dropping-particle&quot;:&quot;&quot;,&quot;non-dropping-particle&quot;:&quot;&quot;},{&quot;family&quot;:&quot;Barnes&quot;,&quot;given&quot;:&quot;Kelly A.&quot;,&quot;parse-names&quot;:false,&quot;dropping-particle&quot;:&quot;&quot;,&quot;non-dropping-particle&quot;:&quot;&quot;},{&quot;family&quot;:&quot;Snyder&quot;,&quot;given&quot;:&quot;Abraham Z.&quot;,&quot;parse-names&quot;:false,&quot;dropping-particle&quot;:&quot;&quot;,&quot;non-dropping-particle&quot;:&quot;&quot;},{&quot;family&quot;:&quot;Schlaggar&quot;,&quot;given&quot;:&quot;Bradley L.&quot;,&quot;parse-names&quot;:false,&quot;dropping-particle&quot;:&quot;&quot;,&quot;non-dropping-particle&quot;:&quot;&quot;},{&quot;family&quot;:&quot;Petersen&quot;,&quot;given&quot;:&quot;Steven E.&quot;,&quot;parse-names&quot;:false,&quot;dropping-particle&quot;:&quot;&quot;,&quot;non-dropping-particle&quot;:&quot;&quot;}],&quot;container-title&quot;:&quot;NeuroImage&quot;,&quot;container-title-short&quot;:&quot;Neuroimage&quot;,&quot;DOI&quot;:&quot;10.1016/j.neuroimage.2011.10.018&quot;,&quot;ISSN&quot;:&quot;10538119&quot;,&quot;PMID&quot;:&quot;22019881&quot;,&quot;issued&quot;:{&quot;date-parts&quot;:[[2012,2,1]]},&quot;page&quot;:&quot;2142-2154&quot;,&quot;abstract&quot;:&quot;Here, we demonstrate that subject motion produces substantial changes in the timecourses of resting state functional connectivity MRI (rs-fcMRI) data despite compensatory spatial registration and regression of motion estimates from the data. These changes cause systematic but spurious correlation structures throughout the brain. Specifically, many long-distance correlations are decreased by subject motion, whereas many short-distance correlations are increased. These changes in rs-fcMRI correlations do not arise from, nor are they adequately countered by, some common functional connectivity processing steps. Two indices of data quality are proposed, and a simple method to reduce motion-related effects in rs-fcMRI analyses is demonstrated that should be flexibly implementable across a variety of software platforms. We demonstrate how application of this technique impacts our own data, modifying previous conclusions about brain development. These results suggest the need for greater care in dealing with subject motion, and the need to critically revisit previous rs-fcMRI work that may not have adequately controlled for effects of transient subject movements. © 2011 Elsevier Inc.&quot;,&quot;issue&quot;:&quot;3&quot;,&quot;volume&quot;:&quot;59&quot;},&quot;isTemporary&quot;:false}],&quot;citationTag&quot;:&quot;MENDELEY_CITATION_v3_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&quot;},{&quot;citationID&quot;:&quot;MENDELEY_CITATION_be262715-f8e6-453a-9561-6f6927b6f7a3&quot;,&quot;properties&quot;:{&quot;noteIndex&quot;:0},&quot;isEdited&quot;:false,&quot;manualOverride&quot;:{&quot;isManuallyOverridden&quot;:false,&quot;citeprocText&quot;:&quot;(18)&quot;,&quot;manualOverrideText&quot;:&quot;&quot;},&quot;citationTag&quot;:&quot;MENDELEY_CITATION_v3_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&quot;,&quot;citationItems&quot;:[{&quot;id&quot;:&quot;8f6455a0-f4e0-3a4e-987b-79cdfcfd4e98&quot;,&quot;itemData&quot;:{&quot;type&quot;:&quot;article-journal&quot;,&quot;id&quot;:&quot;8f6455a0-f4e0-3a4e-987b-79cdfcfd4e98&quot;,&quot;title&quot;:&quot;Dynamic functional hippocampal markers of residual depressive symptoms in euthymic bipolar disorder&quot;,&quot;author&quot;:[{&quot;family&quot;:&quot;Saccaro&quot;,&quot;given&quot;:&quot;Luigi F.&quot;,&quot;parse-names&quot;:false,&quot;dropping-particle&quot;:&quot;&quot;,&quot;non-dropping-particle&quot;:&quot;&quot;},{&quot;family&quot;:&quot;Gaviria&quot;,&quot;given&quot;:&quot;Julian&quot;,&quot;parse-names&quot;:false,&quot;dropping-particle&quot;:&quot;&quot;,&quot;non-dropping-particle&quot;:&quot;&quot;},{&quot;family&quot;:&quot;Ville&quot;,&quot;given&quot;:&quot;Dimitri&quot;,&quot;parse-names&quot;:false,&quot;dropping-particle&quot;:&quot;Van De&quot;,&quot;non-dropping-particle&quot;:&quot;&quot;},{&quot;family&quot;:&quot;Piguet&quot;,&quot;given&quot;:&quot;Camille&quot;,&quot;parse-names&quot;:false,&quot;dropping-particle&quot;:&quot;&quot;,&quot;non-dropping-particle&quot;:&quot;&quot;}],&quot;container-title&quot;:&quot;Brain and Behavior&quot;,&quot;container-title-short&quot;:&quot;Brain Behav&quot;,&quot;DOI&quot;:&quot;10.1002/brb3.3010&quot;,&quot;ISSN&quot;:&quot;21623279&quot;,&quot;PMID&quot;:&quot;37062926&quot;,&quot;issued&quot;:{&quot;date-parts&quot;:[[2023,6,1]]},&quot;abstract&quot;:&quot;Objectives: : Bipolar disorder (BD) is a severe, chronic, affective disorder characterized by recurrent switching between mood states, psychomotor and cognitive symptoms, which can linger in euthymic states as residual symptoms. Hippocampal alterations may play a key role in the neural processing of BD symptoms. However, its dynamic functional connectivity (dFC) remains unclear. Therefore, the present study explores hippocampal dFC in relation to BD symptoms. Methods: : We assessed hippocampus-based dFC coactivation patterns (CAPs) on resting-state fMRI data of 25 euthymic BD patients and 25 age- and sex-matched healthy controls (HC). Results: : Bilateral hippocampal dFC with somatomotor networks (SMN) was reduced in BD, compared to HC, while at the same time dFC between the left hippocampus and midcingulo-insular salience system (SN) was higher in BD. Correlational analysis between CAPs and clinical scores revealed that dFC between the bilateral hippocampus and the default-like network (DMN) correlated with depression scores in BD. Furthermore, pathological hyperconnectivity between the default mode network (DMN) and SMN and the frontoparietal network (FPN) was modulated by the same depression scores in BD. Conclusions: : Overall, we observed alterations of large-scale functional brain networks associated with decreased flexibility in cognitive control, salience detection, and emotion processing in BD. Additionally, the present study provides new insights on the neural architecture underlying a self-centered perspective on the environment in BD patients. dFC markers may improve detection, treatment, and follow-up of BD patients and of disabling residual depressive symptoms in particular.&quot;,&quot;publisher&quot;:&quot;John Wiley and Sons Ltd&quot;,&quot;issue&quot;:&quot;6&quot;,&quot;volume&quot;:&quot;13&quot;},&quot;isTemporary&quot;:false}]},{&quot;citationID&quot;:&quot;MENDELEY_CITATION_ecb4cf8c-34c3-45f3-8d58-38cac78f2800&quot;,&quot;properties&quot;:{&quot;noteIndex&quot;:0},&quot;isEdited&quot;:false,&quot;manualOverride&quot;:{&quot;citeprocText&quot;:&quot;(19)&quot;,&quot;isManuallyOverridden&quot;:false,&quot;manualOverrideText&quot;:&quot;&quot;},&quot;citationTag&quot;:&quot;MENDELEY_CITATION_v3_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&quot;,&quot;citationItems&quot;:[{&quot;id&quot;:&quot;3fb65b2f-a170-5ed4-8f8e-e699dc4926db&quot;,&quot;itemData&quot;:{&quot;DOI&quot;:&quot;10.1016/j.pscychresns.2021.111419&quot;,&quot;ISSN&quot;:&quot;18727506&quot;,&quot;PMID&quot;:&quot;34847405&quot;,&quot;abstract&quot;:&quot;Individuals with bipolar disorder (BP) show abnormalities in the default mode network (DMN), a brain network active at rest and during self-referential cognition. In healthy individuals, the DMN is anti-correlated (strongly negatively correlated) with the task positive network (TPN), a brain network that is active during attention demanding tasks. Mindfulness has been linked to changes in DMN connectivity. We investigated the effects of mindfulness-based cognitive therapy (MBCT) versus supportive psychotherapy (SP) on the relationship between these two networks in individuals with BP. We identified differences in BOLD resting state DMN-TPN connectivity between healthy controls (HC; n = 22) and individuals with DSM-IV BP before treatment (n = 22) using a seed region in the dorsolateral prefrontal cortex (DLPFC), a key TPN node. We then explored changes in DMN-TPN connectivity after 12 weeks of MBCT or SP. Before treatment, BP individuals showed positively correlated activity and the HC group showed negatively correlated activity between the DLPFC and the posterior cingulate cortex (PCC). After treatment, BP individuals who received MBCT showed negatively correlated DLPFC-PCC activity. BP individuals who received SP did not show a significant change. Mindfulness-based cognitive therapy can restore the anti-correlation between the DMN and TPN in individuals with BP.&quot;,&quot;author&quot;:[{&quot;dropping-particle&quot;:&quot;&quot;,&quot;family&quot;:&quot;Chou&quot;,&quot;given&quot;:&quot;Tina&quot;,&quot;non-dropping-particle&quot;:&quot;&quot;,&quot;parse-names&quot;:false,&quot;suffix&quot;:&quot;&quot;},{&quot;dropping-particle&quot;:&quot;&quot;,&quot;family&quot;:&quot;Dougherty&quot;,&quot;given&quot;:&quot;Darin D.&quot;,&quot;non-dropping-particle&quot;:&quot;&quot;,&quot;parse-names&quot;:false,&quot;suffix&quot;:&quot;&quot;},{&quot;dropping-particle&quot;:&quot;&quot;,&quot;family&quot;:&quot;Nierenberg&quot;,&quot;given&quot;:&quot;Andrew A.&quot;,&quot;non-dropping-particle&quot;:&quot;&quot;,&quot;parse-names&quot;:false,&quot;suffix&quot;:&quot;&quot;},{&quot;dropping-particle&quot;:&quot;&quot;,&quot;family&quot;:&quot;Deckersbach&quot;,&quot;given&quot;:&quot;Thilo&quot;,&quot;non-dropping-particle&quot;:&quot;&quot;,&quot;parse-names&quot;:false,&quot;suffix&quot;:&quot;&quot;}],&quot;container-title&quot;:&quot;Psychiatry Research - Neuroimaging&quot;,&quot;id&quot;:&quot;3fb65b2f-a170-5ed4-8f8e-e699dc4926db&quot;,&quot;issue&quot;:&quot;July 2021&quot;,&quot;issued&quot;:{&quot;date-parts&quot;:[[&quot;2022&quot;]]},&quot;page&quot;:&quot;111419&quot;,&quot;publisher&quot;:&quot;Elsevier B.V.&quot;,&quot;title&quot;:&quot;Restoration of default mode network and task positive network anti-correlation associated with mindfulness-based cognitive therapy for bipolar disorder&quot;,&quot;type&quot;:&quot;article-journal&quot;,&quot;volume&quot;:&quot;319&quot;,&quot;container-title-short&quot;:&quot;Psychiatry Res Neuroimaging&quot;},&quot;uris&quot;:[&quot;http://www.mendeley.com/documents/?uuid=8d57d8cf-b5b2-431c-b0e9-8062075423d3&quot;],&quot;isTemporary&quot;:false,&quot;legacyDesktopId&quot;:&quot;8d57d8cf-b5b2-431c-b0e9-8062075423d3&quot;}]},{&quot;citationID&quot;:&quot;MENDELEY_CITATION_8b386cf5-f22d-45b9-9a84-717fc8fa5b85&quot;,&quot;properties&quot;:{&quot;noteIndex&quot;:0},&quot;isEdited&quot;:false,&quot;manualOverride&quot;:{&quot;citeprocText&quot;:&quot;(20)&quot;,&quot;isManuallyOverridden&quot;:false,&quot;manualOverrideText&quot;:&quot;&quot;},&quot;citationTag&quot;:&quot;MENDELEY_CITATION_v3_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&quot;,&quot;citationItems&quot;:[{&quot;id&quot;:&quot;24991913-f962-52df-8ef0-cc092513397e&quot;,&quot;itemData&quot;:{&quot;DOI&quot;:&quot;10.1503/jpn.170175&quot;,&quot;ISSN&quot;:&quot;14882434&quot;,&quot;PMID&quot;:&quot;30125243&quot;,&quot;abstract&quot;:&quot;Background: Bipolar disorder is chronic and debilitating. Studies investigating resting-state functional connectivity in individuals with bipolar disorder may help to inform neurobiological models of illness. Methods: We conducted a systematic review with the following goals: to summarize the literature on resting-state functional connectivity in bipolar disorder during clinical remission (euthymia) compared with healthy controls; to critically appraise the literature and research gaps; and to propose directions for future research. We searched PubMed/MEDLINE, Embase, PsycINFO, CINAHL and grey literature up to April 2017. Results: Twenty-three studies were included. The most consistent finding was the absence of differences in resting-state functional connectivity of the default mode network (DMN), fronto-parietal network (FPN) and salience network (SN) between people with bipolar disorder and controls, using independent component analysis. However, 2 studies in people with bipolar disorder who were positive for psychosis history reported DMN hypoconnectivity. Studies using seed-based analysis largely reported aberrant resting-state functional connectivity with the amygdala, ventrolateral prefrontal cortex, cingulate cortex and medial prefrontal cortex in people with bipolar disorder compared with controls. Few studies used regional homogeneity or amplitude of low-frequency fluctuations. Limitations: We found heterogeneity in the analysis methods used. Conclusion: Stability of the DMN, FPN and SN may reflect a state of remission. Further, DMN hypoconnectivity may reflect a positive history of psychosis in patients with bipolar disorder compared with controls, highlighting a potentially different neural phenotype of psychosis in people with bipolar disorder. Resting-state functional connectivity changes between the amygdala, prefrontal cortex and cingulate cortex may reflect a neural correlate of subthreshold symptoms experienced in bipolar disorder euthymia, the trait-based pathophysiology of bipolar disorder and/or a compensatory mechanism to maintain a state of euthymia.&quot;,&quot;author&quot;:[{&quot;dropping-particle&quot;:&quot;&quot;,&quot;family&quot;:&quot;Syan&quot;,&quot;given&quot;:&quot;Sabrina K.&quot;,&quot;non-dropping-particle&quot;:&quot;&quot;,&quot;parse-names&quot;:false,&quot;suffix&quot;:&quot;&quot;},{&quot;dropping-particle&quot;:&quot;&quot;,&quot;family&quot;:&quot;Smith&quot;,&quot;given&quot;:&quot;Mara&quot;,&quot;non-dropping-particle&quot;:&quot;&quot;,&quot;parse-names&quot;:false,&quot;suffix&quot;:&quot;&quot;},{&quot;dropping-particle&quot;:&quot;&quot;,&quot;family&quot;:&quot;Frey&quot;,&quot;given&quot;:&quot;Benicio N.&quot;,&quot;non-dropping-particle&quot;:&quot;&quot;,&quot;parse-names&quot;:false,&quot;suffix&quot;:&quot;&quot;},{&quot;dropping-particle&quot;:&quot;&quot;,&quot;family&quot;:&quot;Remtulla&quot;,&quot;given&quot;:&quot;Raheem&quot;,&quot;non-dropping-particle&quot;:&quot;&quot;,&quot;parse-names&quot;:false,&quot;suffix&quot;:&quot;&quot;},{&quot;dropping-particle&quot;:&quot;&quot;,&quot;family&quot;:&quot;Kapczinski&quot;,&quot;given&quot;:&quot;Flavio&quot;,&quot;non-dropping-particle&quot;:&quot;&quot;,&quot;parse-names&quot;:false,&quot;suffix&quot;:&quot;&quot;},{&quot;dropping-particle&quot;:&quot;&quot;,&quot;family&quot;:&quot;Hall&quot;,&quot;given&quot;:&quot;Geoffrey B.C.&quot;,&quot;non-dropping-particle&quot;:&quot;&quot;,&quot;parse-names&quot;:false,&quot;suffix&quot;:&quot;&quot;},{&quot;dropping-particle&quot;:&quot;&quot;,&quot;family&quot;:&quot;Minuzzi&quot;,&quot;given&quot;:&quot;Luciano&quot;,&quot;non-dropping-particle&quot;:&quot;&quot;,&quot;parse-names&quot;:false,&quot;suffix&quot;:&quot;&quot;}],&quot;container-title&quot;:&quot;Journal of Psychiatry and Neuroscience&quot;,&quot;id&quot;:&quot;24991913-f962-52df-8ef0-cc092513397e&quot;,&quot;issue&quot;:&quot;5&quot;,&quot;issued&quot;:{&quot;date-parts&quot;:[[&quot;2018&quot;]]},&quot;page&quot;:&quot;298-316&quot;,&quot;title&quot;:&quot;Resting-state functional connectivity in individuals with bipolar disorder during clinical remission: A systematic review&quot;,&quot;type&quot;:&quot;article-journal&quot;,&quot;volume&quot;:&quot;43&quot;,&quot;container-title-short&quot;:&quot;&quot;},&quot;uris&quot;:[&quot;http://www.mendeley.com/documents/?uuid=7321c009-2717-4ef4-975c-b2a99e4ed0a5&quot;],&quot;isTemporary&quot;:false,&quot;legacyDesktopId&quot;:&quot;7321c009-2717-4ef4-975c-b2a99e4ed0a5&quot;}]},{&quot;citationID&quot;:&quot;MENDELEY_CITATION_f7c501f7-659f-41fd-8ee7-2764d3ba83f5&quot;,&quot;properties&quot;:{&quot;noteIndex&quot;:0},&quot;isEdited&quot;:false,&quot;manualOverride&quot;:{&quot;citeprocText&quot;:&quot;(21)&quot;,&quot;isManuallyOverridden&quot;:false,&quot;manualOverrideText&quot;:&quot;&quot;},&quot;citationTag&quot;:&quot;MENDELEY_CITATION_v3_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&quot;,&quot;citationItems&quot;:[{&quot;id&quot;:&quot;0b5aad00-1379-5503-b4ae-b840099713c6&quot;,&quot;itemData&quot;:{&quot;DOI&quot;:&quot;10.1016/j.nicl.2021.102833&quot;,&quot;ISSN&quot;:&quot;22131582&quot;,&quot;PMID&quot;:&quot;34619652&quot;,&quot;abstract&quot;:&quot;Spontaneous fluctuations in the blood oxygenation level dependent signal measured through resting-state functional magnetic resonance imaging have been corroborated to aggregate into multiple functional networks. Abnormal resting brain activity is observed in mood disorder patients, however with inconsistent results. How do such alterations relate to clinical symptoms; e.g., level of depression and rumination tendencies? Here we recovered spatially and temporally overlapping functional networks from 31 mood disorder patients and healthy controls during rest, by applying novel methods that identify transient changes in spontaneous brain activity. Our unique approach disentangles the dynamic engagement of resting-state networks unconstrained by the slow hemodynamic response. This time-varying characterization provides moment-to-moment information about functional networks in terms of their durations and dynamic coupling, and offers novel evidence for selective contributions to particular clinical symptoms. Patients showed increased duration of default-mode network (DMN), increased duration and occurrence of posterior DMN as well as insula- and amygdala-centered networks, but decreased occurrence of visual and anterior salience networks. Coupling between limbic (insula and amygdala) networks was also reduced. Depression level modulated DMN duration, whereas intrusive thoughts correlated with occurrence of insula and posterior DMN. Anatomical network organization was similar to controls. In sum, altered brain dynamics in mood disorder patients appear to mediate distinct clinical dimensions including increased self-processing, and decreased attention to external world.&quot;,&quot;author&quot;:[{&quot;dropping-particle&quot;:&quot;&quot;,&quot;family&quot;:&quot;Piguet&quot;,&quot;given&quot;:&quot;Camille&quot;,&quot;non-dropping-particle&quot;:&quot;&quot;,&quot;parse-names&quot;:false,&quot;suffix&quot;:&quot;&quot;},{&quot;dropping-particle&quot;:&quot;&quot;,&quot;family&quot;:&quot;Karahanoğlu&quot;,&quot;given&quot;:&quot;Fikret Işık&quot;,&quot;non-dropping-particle&quot;:&quot;&quot;,&quot;parse-names&quot;:false,&quot;suffix&quot;:&quot;&quot;},{&quot;dropping-particle&quot;:&quot;&quot;,&quot;family&quot;:&quot;Saccaro&quot;,&quot;given&quot;:&quot;Luigi Francesco&quot;,&quot;non-dropping-particle&quot;:&quot;&quot;,&quot;parse-names&quot;:false,&quot;suffix&quot;:&quot;&quot;},{&quot;dropping-particle&quot;:&quot;&quot;,&quot;family&quot;:&quot;Ville&quot;,&quot;given&quot;:&quot;Dimitri&quot;,&quot;non-dropping-particle&quot;:&quot;Van De&quot;,&quot;parse-names&quot;:false,&quot;suffix&quot;:&quot;&quot;},{&quot;dropping-particle&quot;:&quot;&quot;,&quot;family&quot;:&quot;Vuilleumier&quot;,&quot;given&quot;:&quot;Patrik&quot;,&quot;non-dropping-particle&quot;:&quot;&quot;,&quot;parse-names&quot;:false,&quot;suffix&quot;:&quot;&quot;}],&quot;container-title&quot;:&quot;NeuroImage: Clinical&quot;,&quot;id&quot;:&quot;0b5aad00-1379-5503-b4ae-b840099713c6&quot;,&quot;issued&quot;:{&quot;date-parts&quot;:[[&quot;2021&quot;]]},&quot;title&quot;:&quot;Mood disorders disrupt the functional dynamics, not spatial organization of brain resting state networks&quot;,&quot;type&quot;:&quot;article-journal&quot;,&quot;volume&quot;:&quot;32&quot;,&quot;container-title-short&quot;:&quot;Neuroimage Clin&quot;},&quot;uris&quot;:[&quot;http://www.mendeley.com/documents/?uuid=db851f30-dfa5-4ed2-81eb-4dd3cd059865&quot;],&quot;isTemporary&quot;:false,&quot;legacyDesktopId&quot;:&quot;db851f30-dfa5-4ed2-81eb-4dd3cd059865&quot;}]},{&quot;citationID&quot;:&quot;MENDELEY_CITATION_aafeff38-b465-47ff-be99-e5c2faa07b14&quot;,&quot;properties&quot;:{&quot;noteIndex&quot;:0},&quot;isEdited&quot;:false,&quot;manualOverride&quot;:{&quot;isManuallyOverridden&quot;:false,&quot;citeprocText&quot;:&quot;(22)&quot;,&quot;manualOverrideText&quot;:&quot;&quot;},&quot;citationTag&quot;:&quot;MENDELEY_CITATION_v3_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&quot;,&quot;citationItems&quot;:[{&quot;id&quot;:&quot;d1e66f19-9443-3ea3-8277-aeaa3ca1a5c0&quot;,&quot;itemData&quot;:{&quot;type&quot;:&quot;article-journal&quot;,&quot;id&quot;:&quot;d1e66f19-9443-3ea3-8277-aeaa3ca1a5c0&quot;,&quot;title&quot;:&quot;Functional parcellation of the hippocampus from resting-state dynamic functional connectivity&quot;,&quot;author&quot;:[{&quot;family&quot;:&quot;Zhong&quot;,&quot;given&quot;:&quot;Qi&quot;,&quot;parse-names&quot;:false,&quot;dropping-particle&quot;:&quot;&quot;,&quot;non-dropping-particle&quot;:&quot;&quot;},{&quot;family&quot;:&quot;Xu&quot;,&quot;given&quot;:&quot;Huaze&quot;,&quot;parse-names&quot;:false,&quot;dropping-particle&quot;:&quot;&quot;,&quot;non-dropping-particle&quot;:&quot;&quot;},{&quot;family&quot;:&quot;Qin&quot;,&quot;given&quot;:&quot;Jian&quot;,&quot;parse-names&quot;:false,&quot;dropping-particle&quot;:&quot;&quot;,&quot;non-dropping-particle&quot;:&quot;&quot;},{&quot;family&quot;:&quot;Zeng&quot;,&quot;given&quot;:&quot;Ling Li&quot;,&quot;parse-names&quot;:false,&quot;dropping-particle&quot;:&quot;&quot;,&quot;non-dropping-particle&quot;:&quot;&quot;},{&quot;family&quot;:&quot;Hu&quot;,&quot;given&quot;:&quot;Dewen&quot;,&quot;parse-names&quot;:false,&quot;dropping-particle&quot;:&quot;&quot;,&quot;non-dropping-particle&quot;:&quot;&quot;},{&quot;family&quot;:&quot;Shen&quot;,&quot;given&quot;:&quot;Hui&quot;,&quot;parse-names&quot;:false,&quot;dropping-particle&quot;:&quot;&quot;,&quot;non-dropping-particle&quot;:&quot;&quot;}],&quot;container-title&quot;:&quot;Brain Research&quot;,&quot;container-title-short&quot;:&quot;Brain Res&quot;,&quot;DOI&quot;:&quot;10.1016/j.brainres.2019.03.023&quot;,&quot;ISSN&quot;:&quot;18726240&quot;,&quot;PMID&quot;:&quot;30910629&quot;,&quot;issued&quot;:{&quot;date-parts&quot;:[[2019,7,15]]},&quot;page&quot;:&quot;165-175&quot;,&quot;abstract&quot;:&quot;The hippocampus consists of functionally and structurally heterogeneous regions that are involved in multiple functions such as learning and memory. Previous studies on connectivity-based functional subdivisions of the hippocampus, however, overlooked the dynamic nature of resting-state functional connectivity (FC). In this study, we selected 50 subjects with the lowest head motion from the Human Connectome Project dataset and performed a two-stage spectral clustering technique to windowed FC correlations for identifying the potential covariant structures during the spontaneous fluctuation of hippocampal-cortical FC. The obtained covariant structures were believed to be functionally homogeneous by coupling with whole-brain regions in all transient connectivity states and consequently subdivided the left and right hippocampus into six and five functional subregions, respectively. Further, we demonstrated that this dynamic-FC-derived hippocampal parcellation exhibited significantly improved reproducibility of segmented subregions across subjects compared with static FC analysis. The findings extend our understanding to the functional organization within the hippocampus and provide a more comprehensive view of the functional flexibility of the hippocampus over time.&quot;,&quot;publisher&quot;:&quot;Elsevier B.V.&quot;,&quot;volume&quot;:&quot;1715&quot;},&quot;isTemporary&quot;:false}]}]"/>
    <we:property name="MENDELEY_CITATIONS_LOCALE_CODE" value="&quot;en-US&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9F3B5-A93C-4576-860A-576AEB4B1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87</Pages>
  <Words>55459</Words>
  <Characters>316122</Characters>
  <Application>Microsoft Office Word</Application>
  <DocSecurity>0</DocSecurity>
  <Lines>2634</Lines>
  <Paragraphs>741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370840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Francesco Saccaro</dc:creator>
  <cp:keywords/>
  <dc:description/>
  <cp:lastModifiedBy>Luigi Saccaro</cp:lastModifiedBy>
  <cp:revision>11</cp:revision>
  <cp:lastPrinted>2026-06-01T16:14:00Z</cp:lastPrinted>
  <dcterms:created xsi:type="dcterms:W3CDTF">2026-06-01T16:15:00Z</dcterms:created>
  <dcterms:modified xsi:type="dcterms:W3CDTF">2026-07-21T09:14:00Z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http://www.zotero.org/styles/biomedicines</vt:lpwstr>
  </property>
  <property fmtid="{D5CDD505-2E9C-101B-9397-08002B2CF9AE}" pid="7" name="Mendeley Recent Style Name 2_1">
    <vt:lpwstr>Biomedicines</vt:lpwstr>
  </property>
  <property fmtid="{D5CDD505-2E9C-101B-9397-08002B2CF9AE}" pid="8" name="Mendeley Recent Style Id 3_1">
    <vt:lpwstr>http://www.zotero.org/styles/brain-research-bulletin</vt:lpwstr>
  </property>
  <property fmtid="{D5CDD505-2E9C-101B-9397-08002B2CF9AE}" pid="9" name="Mendeley Recent Style Name 3_1">
    <vt:lpwstr>Brain Research Bulletin</vt:lpwstr>
  </property>
  <property fmtid="{D5CDD505-2E9C-101B-9397-08002B2CF9AE}" pid="10" name="Mendeley Recent Style Id 4_1">
    <vt:lpwstr>http://csl.mendeley.com/styles/501086271/chicago-author-date</vt:lpwstr>
  </property>
  <property fmtid="{D5CDD505-2E9C-101B-9397-08002B2CF9AE}" pid="11" name="Mendeley Recent Style Name 4_1">
    <vt:lpwstr>Chicago Manual of Style 17th edition (author-date) - luigi f saccaro</vt:lpwstr>
  </property>
  <property fmtid="{D5CDD505-2E9C-101B-9397-08002B2CF9AE}" pid="12" name="Mendeley Recent Style Id 5_1">
    <vt:lpwstr>https://csl.mendeley.com/styles/501086271/elsevier-harvard</vt:lpwstr>
  </property>
  <property fmtid="{D5CDD505-2E9C-101B-9397-08002B2CF9AE}" pid="13" name="Mendeley Recent Style Name 5_1">
    <vt:lpwstr>Elsevier - Harvard (with titles) - luigi f saccaro 23 agosto</vt:lpwstr>
  </property>
  <property fmtid="{D5CDD505-2E9C-101B-9397-08002B2CF9AE}" pid="14" name="Mendeley Recent Style Id 6_1">
    <vt:lpwstr>http://csl.mendeley.com/styles/501086271/elsevier-harvard</vt:lpwstr>
  </property>
  <property fmtid="{D5CDD505-2E9C-101B-9397-08002B2CF9AE}" pid="15" name="Mendeley Recent Style Name 6_1">
    <vt:lpwstr>Elsevier - Harvard (with titles) - luigi f saccaro 23 agosto</vt:lpwstr>
  </property>
  <property fmtid="{D5CDD505-2E9C-101B-9397-08002B2CF9AE}" pid="16" name="Mendeley Recent Style Id 7_1">
    <vt:lpwstr>http://www.zotero.org/styles/journal-of-neurology</vt:lpwstr>
  </property>
  <property fmtid="{D5CDD505-2E9C-101B-9397-08002B2CF9AE}" pid="17" name="Mendeley Recent Style Name 7_1">
    <vt:lpwstr>Journal of Neurology</vt:lpwstr>
  </property>
  <property fmtid="{D5CDD505-2E9C-101B-9397-08002B2CF9AE}" pid="18" name="Mendeley Recent Style Id 8_1">
    <vt:lpwstr>http://www.zotero.org/styles/neurology</vt:lpwstr>
  </property>
  <property fmtid="{D5CDD505-2E9C-101B-9397-08002B2CF9AE}" pid="19" name="Mendeley Recent Style Name 8_1">
    <vt:lpwstr>Neurology</vt:lpwstr>
  </property>
  <property fmtid="{D5CDD505-2E9C-101B-9397-08002B2CF9AE}" pid="20" name="Mendeley Recent Style Id 9_1">
    <vt:lpwstr>http://www.zotero.org/styles/springer-vancouver-brackets</vt:lpwstr>
  </property>
  <property fmtid="{D5CDD505-2E9C-101B-9397-08002B2CF9AE}" pid="21" name="Mendeley Recent Style Name 9_1">
    <vt:lpwstr>Springer - Vancouver (brackets)</vt:lpwstr>
  </property>
  <property fmtid="{D5CDD505-2E9C-101B-9397-08002B2CF9AE}" pid="22" name="Mendeley Document_1">
    <vt:lpwstr>True</vt:lpwstr>
  </property>
  <property fmtid="{D5CDD505-2E9C-101B-9397-08002B2CF9AE}" pid="23" name="Mendeley Unique User Id_1">
    <vt:lpwstr>fdf18979-ac78-33ab-99e3-4b58129e8125</vt:lpwstr>
  </property>
  <property fmtid="{D5CDD505-2E9C-101B-9397-08002B2CF9AE}" pid="24" name="Mendeley Citation Style_1">
    <vt:lpwstr>http://www.zotero.org/styles/american-medical-association</vt:lpwstr>
  </property>
  <property fmtid="{D5CDD505-2E9C-101B-9397-08002B2CF9AE}" pid="25" name="ZOTERO_PREF_1">
    <vt:lpwstr>&lt;data data-version="3" zotero-version="6.0.37"&gt;&lt;session id="DuZYWuLC"/&gt;&lt;style id="http://www.zotero.org/styles/biological-psychiatry" hasBibliography="1" bibliographyStyleHasBeenSet="1"/&gt;&lt;prefs&gt;&lt;pref name="fieldType" value="Field"/&gt;&lt;pref name="automaticJo</vt:lpwstr>
  </property>
  <property fmtid="{D5CDD505-2E9C-101B-9397-08002B2CF9AE}" pid="26" name="ZOTERO_PREF_2">
    <vt:lpwstr>urnalAbbreviations" value="true"/&gt;&lt;/prefs&gt;&lt;/data&gt;</vt:lpwstr>
  </property>
</Properties>
</file>