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ADC7E" w14:textId="77777777" w:rsidR="00110315" w:rsidRPr="00CD2448" w:rsidRDefault="00110315" w:rsidP="00E40B13">
      <w:pPr>
        <w:spacing w:line="276" w:lineRule="auto"/>
        <w:jc w:val="right"/>
        <w:rPr>
          <w:rFonts w:ascii="Arial" w:hAnsi="Arial" w:cs="Arial"/>
          <w:i/>
          <w:iCs/>
          <w:color w:val="000000" w:themeColor="text1"/>
          <w:sz w:val="20"/>
          <w:szCs w:val="20"/>
        </w:rPr>
      </w:pPr>
      <w:bookmarkStart w:id="0" w:name="OLE_LINK22"/>
      <w:r w:rsidRPr="00CD2448">
        <w:rPr>
          <w:rFonts w:ascii="Arial" w:hAnsi="Arial" w:cs="Arial"/>
          <w:i/>
          <w:iCs/>
          <w:color w:val="000000" w:themeColor="text1"/>
          <w:sz w:val="20"/>
          <w:szCs w:val="20"/>
        </w:rPr>
        <w:t xml:space="preserve">Jones et al — Convergent Neuroimmune Signaling Underlying Rapid </w:t>
      </w:r>
    </w:p>
    <w:p w14:paraId="58906B54" w14:textId="35E20EB4" w:rsidR="00110315" w:rsidRPr="00CD2448" w:rsidRDefault="00110315" w:rsidP="00E40B13">
      <w:pPr>
        <w:spacing w:line="276" w:lineRule="auto"/>
        <w:jc w:val="right"/>
        <w:rPr>
          <w:rFonts w:ascii="Arial" w:hAnsi="Arial" w:cs="Arial"/>
          <w:i/>
          <w:iCs/>
          <w:color w:val="000000" w:themeColor="text1"/>
          <w:sz w:val="20"/>
          <w:szCs w:val="20"/>
        </w:rPr>
      </w:pPr>
      <w:r w:rsidRPr="00CD2448">
        <w:rPr>
          <w:rFonts w:ascii="Arial" w:hAnsi="Arial" w:cs="Arial"/>
          <w:i/>
          <w:iCs/>
          <w:color w:val="000000" w:themeColor="text1"/>
          <w:sz w:val="20"/>
          <w:szCs w:val="20"/>
        </w:rPr>
        <w:t>Antidepressant Response to Ketamine and Psychedelics</w:t>
      </w:r>
    </w:p>
    <w:bookmarkEnd w:id="0"/>
    <w:p w14:paraId="2AB58ECD" w14:textId="77777777" w:rsidR="00110315" w:rsidRPr="00CD2448" w:rsidRDefault="00110315" w:rsidP="007F3F8E">
      <w:pPr>
        <w:jc w:val="both"/>
        <w:rPr>
          <w:rFonts w:ascii="Arial" w:hAnsi="Arial" w:cs="Arial"/>
          <w:color w:val="000000" w:themeColor="text1"/>
          <w:sz w:val="22"/>
          <w:szCs w:val="22"/>
          <w:u w:val="single"/>
        </w:rPr>
      </w:pPr>
    </w:p>
    <w:p w14:paraId="27B38A90" w14:textId="0A2CDA56" w:rsidR="00D03530" w:rsidRPr="00CD2448" w:rsidRDefault="001B4263" w:rsidP="007F3F8E">
      <w:pPr>
        <w:jc w:val="both"/>
        <w:rPr>
          <w:rFonts w:ascii="Arial" w:hAnsi="Arial" w:cs="Arial"/>
          <w:b/>
          <w:bCs/>
          <w:color w:val="000000" w:themeColor="text1"/>
          <w:sz w:val="32"/>
          <w:szCs w:val="32"/>
        </w:rPr>
      </w:pPr>
      <w:r w:rsidRPr="00CD2448">
        <w:rPr>
          <w:rFonts w:ascii="Arial" w:hAnsi="Arial" w:cs="Arial"/>
          <w:b/>
          <w:bCs/>
          <w:color w:val="000000" w:themeColor="text1"/>
          <w:sz w:val="32"/>
          <w:szCs w:val="32"/>
        </w:rPr>
        <w:t>SUPPLEMENT</w:t>
      </w:r>
    </w:p>
    <w:p w14:paraId="2266F17F" w14:textId="77777777" w:rsidR="007524D6" w:rsidRPr="00CD2448" w:rsidRDefault="007524D6" w:rsidP="007F3F8E">
      <w:pPr>
        <w:jc w:val="both"/>
        <w:rPr>
          <w:rFonts w:ascii="Arial" w:hAnsi="Arial" w:cs="Arial"/>
          <w:color w:val="000000" w:themeColor="text1"/>
          <w:sz w:val="32"/>
          <w:szCs w:val="32"/>
          <w:u w:val="single"/>
        </w:rPr>
      </w:pPr>
    </w:p>
    <w:p w14:paraId="2DD77375" w14:textId="03C1C21F" w:rsidR="00D03530" w:rsidRPr="00CD2448" w:rsidRDefault="007524D6" w:rsidP="00415257">
      <w:pPr>
        <w:rPr>
          <w:rFonts w:ascii="Arial" w:hAnsi="Arial" w:cs="Arial"/>
          <w:b/>
          <w:bCs/>
          <w:color w:val="000000" w:themeColor="text1"/>
          <w:sz w:val="28"/>
          <w:szCs w:val="28"/>
        </w:rPr>
      </w:pPr>
      <w:r w:rsidRPr="00CD2448">
        <w:rPr>
          <w:rFonts w:ascii="Arial" w:hAnsi="Arial" w:cs="Arial"/>
          <w:b/>
          <w:bCs/>
          <w:color w:val="000000" w:themeColor="text1"/>
          <w:sz w:val="28"/>
          <w:szCs w:val="28"/>
        </w:rPr>
        <w:t xml:space="preserve">Supplementary </w:t>
      </w:r>
      <w:r w:rsidR="00D03530" w:rsidRPr="00CD2448">
        <w:rPr>
          <w:rFonts w:ascii="Arial" w:hAnsi="Arial" w:cs="Arial"/>
          <w:b/>
          <w:bCs/>
          <w:color w:val="000000" w:themeColor="text1"/>
          <w:sz w:val="28"/>
          <w:szCs w:val="28"/>
        </w:rPr>
        <w:t>Methods</w:t>
      </w:r>
    </w:p>
    <w:p w14:paraId="3D750B5F" w14:textId="77777777" w:rsidR="00D03530" w:rsidRPr="00CD2448" w:rsidRDefault="00D03530" w:rsidP="00415257">
      <w:pPr>
        <w:rPr>
          <w:rFonts w:ascii="Arial" w:hAnsi="Arial" w:cs="Arial"/>
          <w:color w:val="000000" w:themeColor="text1"/>
          <w:sz w:val="22"/>
          <w:szCs w:val="22"/>
        </w:rPr>
      </w:pPr>
    </w:p>
    <w:p w14:paraId="4E421A5F" w14:textId="5A045A19"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Generation of</w:t>
      </w:r>
      <w:r w:rsidR="00EC3417" w:rsidRPr="00CD2448">
        <w:rPr>
          <w:rFonts w:ascii="Arial" w:hAnsi="Arial" w:cs="Arial"/>
          <w:i/>
          <w:iCs/>
          <w:color w:val="000000" w:themeColor="text1"/>
          <w:sz w:val="22"/>
          <w:szCs w:val="22"/>
        </w:rPr>
        <w:t xml:space="preserve"> </w:t>
      </w:r>
      <w:r w:rsidR="008005DA" w:rsidRPr="00CD2448">
        <w:rPr>
          <w:rFonts w:ascii="Arial" w:hAnsi="Arial" w:cs="Arial"/>
          <w:i/>
          <w:iCs/>
          <w:color w:val="000000" w:themeColor="text1"/>
          <w:sz w:val="22"/>
          <w:szCs w:val="22"/>
        </w:rPr>
        <w:t>In</w:t>
      </w:r>
      <w:r w:rsidR="00EC3417" w:rsidRPr="00CD2448">
        <w:rPr>
          <w:rFonts w:ascii="Arial" w:hAnsi="Arial" w:cs="Arial"/>
          <w:i/>
          <w:iCs/>
          <w:color w:val="000000" w:themeColor="text1"/>
          <w:sz w:val="22"/>
          <w:szCs w:val="22"/>
        </w:rPr>
        <w:t xml:space="preserve">duced </w:t>
      </w:r>
      <w:r w:rsidR="008005DA" w:rsidRPr="00CD2448">
        <w:rPr>
          <w:rFonts w:ascii="Arial" w:hAnsi="Arial" w:cs="Arial"/>
          <w:i/>
          <w:iCs/>
          <w:color w:val="000000" w:themeColor="text1"/>
          <w:sz w:val="22"/>
          <w:szCs w:val="22"/>
        </w:rPr>
        <w:t>P</w:t>
      </w:r>
      <w:r w:rsidR="00EC3417" w:rsidRPr="00CD2448">
        <w:rPr>
          <w:rFonts w:ascii="Arial" w:hAnsi="Arial" w:cs="Arial"/>
          <w:i/>
          <w:iCs/>
          <w:color w:val="000000" w:themeColor="text1"/>
          <w:sz w:val="22"/>
          <w:szCs w:val="22"/>
        </w:rPr>
        <w:t xml:space="preserve">luripotent </w:t>
      </w:r>
      <w:r w:rsidR="008005DA" w:rsidRPr="00CD2448">
        <w:rPr>
          <w:rFonts w:ascii="Arial" w:hAnsi="Arial" w:cs="Arial"/>
          <w:i/>
          <w:iCs/>
          <w:color w:val="000000" w:themeColor="text1"/>
          <w:sz w:val="22"/>
          <w:szCs w:val="22"/>
        </w:rPr>
        <w:t>S</w:t>
      </w:r>
      <w:r w:rsidR="00EC3417" w:rsidRPr="00CD2448">
        <w:rPr>
          <w:rFonts w:ascii="Arial" w:hAnsi="Arial" w:cs="Arial"/>
          <w:i/>
          <w:iCs/>
          <w:color w:val="000000" w:themeColor="text1"/>
          <w:sz w:val="22"/>
          <w:szCs w:val="22"/>
        </w:rPr>
        <w:t xml:space="preserve">tem </w:t>
      </w:r>
      <w:r w:rsidR="008005DA" w:rsidRPr="00CD2448">
        <w:rPr>
          <w:rFonts w:ascii="Arial" w:hAnsi="Arial" w:cs="Arial"/>
          <w:i/>
          <w:iCs/>
          <w:color w:val="000000" w:themeColor="text1"/>
          <w:sz w:val="22"/>
          <w:szCs w:val="22"/>
        </w:rPr>
        <w:t>C</w:t>
      </w:r>
      <w:r w:rsidR="00EC3417" w:rsidRPr="00CD2448">
        <w:rPr>
          <w:rFonts w:ascii="Arial" w:hAnsi="Arial" w:cs="Arial"/>
          <w:i/>
          <w:iCs/>
          <w:color w:val="000000" w:themeColor="text1"/>
          <w:sz w:val="22"/>
          <w:szCs w:val="22"/>
        </w:rPr>
        <w:t>ell (</w:t>
      </w:r>
      <w:r w:rsidRPr="00CD2448">
        <w:rPr>
          <w:rFonts w:ascii="Arial" w:hAnsi="Arial" w:cs="Arial"/>
          <w:i/>
          <w:iCs/>
          <w:color w:val="000000" w:themeColor="text1"/>
          <w:sz w:val="22"/>
          <w:szCs w:val="22"/>
        </w:rPr>
        <w:t>iPSC</w:t>
      </w:r>
      <w:r w:rsidR="00EC3417" w:rsidRPr="00CD2448">
        <w:rPr>
          <w:rFonts w:ascii="Arial" w:hAnsi="Arial" w:cs="Arial"/>
          <w:i/>
          <w:iCs/>
          <w:color w:val="000000" w:themeColor="text1"/>
          <w:sz w:val="22"/>
          <w:szCs w:val="22"/>
        </w:rPr>
        <w:t>)</w:t>
      </w:r>
      <w:r w:rsidRPr="00CD2448">
        <w:rPr>
          <w:rFonts w:ascii="Arial" w:hAnsi="Arial" w:cs="Arial"/>
          <w:i/>
          <w:iCs/>
          <w:color w:val="000000" w:themeColor="text1"/>
          <w:sz w:val="22"/>
          <w:szCs w:val="22"/>
        </w:rPr>
        <w:t xml:space="preserve">-derived </w:t>
      </w:r>
      <w:r w:rsidR="00681FFA" w:rsidRPr="00CD2448">
        <w:rPr>
          <w:rFonts w:ascii="Arial" w:hAnsi="Arial" w:cs="Arial"/>
          <w:i/>
          <w:iCs/>
          <w:color w:val="000000" w:themeColor="text1"/>
          <w:sz w:val="22"/>
          <w:szCs w:val="22"/>
        </w:rPr>
        <w:t>N</w:t>
      </w:r>
      <w:r w:rsidRPr="00CD2448">
        <w:rPr>
          <w:rFonts w:ascii="Arial" w:hAnsi="Arial" w:cs="Arial"/>
          <w:i/>
          <w:iCs/>
          <w:color w:val="000000" w:themeColor="text1"/>
          <w:sz w:val="22"/>
          <w:szCs w:val="22"/>
        </w:rPr>
        <w:t>eurons</w:t>
      </w:r>
    </w:p>
    <w:p w14:paraId="58FA86B3" w14:textId="46CE2E2C" w:rsidR="00D03530"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In accordance with National Institutes of Health (NIH) ethical guidelines, peripheral blood mononuclear cells were collected from </w:t>
      </w:r>
      <w:r w:rsidR="00DA110D" w:rsidRPr="00CD2448">
        <w:rPr>
          <w:rFonts w:ascii="Arial" w:hAnsi="Arial" w:cs="Arial"/>
          <w:color w:val="000000" w:themeColor="text1"/>
          <w:sz w:val="22"/>
          <w:szCs w:val="22"/>
        </w:rPr>
        <w:t xml:space="preserve">individuals </w:t>
      </w:r>
      <w:r w:rsidRPr="00CD2448">
        <w:rPr>
          <w:rFonts w:ascii="Arial" w:hAnsi="Arial" w:cs="Arial"/>
          <w:color w:val="000000" w:themeColor="text1"/>
          <w:sz w:val="22"/>
          <w:szCs w:val="22"/>
        </w:rPr>
        <w:t xml:space="preserve">with </w:t>
      </w:r>
      <w:r w:rsidR="00DA110D" w:rsidRPr="00CD2448">
        <w:rPr>
          <w:rFonts w:ascii="Arial" w:hAnsi="Arial" w:cs="Arial"/>
          <w:color w:val="000000" w:themeColor="text1"/>
          <w:sz w:val="22"/>
          <w:szCs w:val="22"/>
        </w:rPr>
        <w:t>treatment-resistant depression (</w:t>
      </w:r>
      <w:r w:rsidRPr="00CD2448">
        <w:rPr>
          <w:rFonts w:ascii="Arial" w:hAnsi="Arial" w:cs="Arial"/>
          <w:color w:val="000000" w:themeColor="text1"/>
          <w:sz w:val="22"/>
          <w:szCs w:val="22"/>
        </w:rPr>
        <w:t>TRD</w:t>
      </w:r>
      <w:r w:rsidR="00DA110D"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(n=5) who were enrolled in a crossover trial at the NIH Clinical Center </w:t>
      </w:r>
      <w:bookmarkStart w:id="1" w:name="OLE_LINK21"/>
      <w:r w:rsidRPr="00CD2448">
        <w:rPr>
          <w:rFonts w:ascii="Arial" w:hAnsi="Arial" w:cs="Arial"/>
          <w:color w:val="000000" w:themeColor="text1"/>
          <w:sz w:val="22"/>
          <w:szCs w:val="22"/>
        </w:rPr>
        <w:t xml:space="preserve">(NCT02484456). </w:t>
      </w:r>
      <w:bookmarkEnd w:id="1"/>
      <w:r w:rsidRPr="00CD2448">
        <w:rPr>
          <w:rFonts w:ascii="Arial" w:hAnsi="Arial" w:cs="Arial"/>
          <w:color w:val="000000" w:themeColor="text1"/>
          <w:sz w:val="22"/>
          <w:szCs w:val="22"/>
        </w:rPr>
        <w:t xml:space="preserve">The study protocol was approved by the Institutional Review Board, and written informed consent was obtained from all participants prior to any study procedures. </w:t>
      </w:r>
      <w:r w:rsidR="00DA110D" w:rsidRPr="00CD2448">
        <w:rPr>
          <w:rFonts w:ascii="Arial" w:hAnsi="Arial" w:cs="Arial"/>
          <w:color w:val="000000" w:themeColor="text1"/>
          <w:sz w:val="22"/>
          <w:szCs w:val="22"/>
        </w:rPr>
        <w:t>F</w:t>
      </w:r>
      <w:r w:rsidRPr="00CD2448">
        <w:rPr>
          <w:rFonts w:ascii="Arial" w:hAnsi="Arial" w:cs="Arial"/>
          <w:color w:val="000000" w:themeColor="text1"/>
          <w:sz w:val="22"/>
          <w:szCs w:val="22"/>
        </w:rPr>
        <w:t xml:space="preserve">ibroblasts </w:t>
      </w:r>
      <w:r w:rsidR="00DA110D" w:rsidRPr="00CD2448">
        <w:rPr>
          <w:rFonts w:ascii="Arial" w:hAnsi="Arial" w:cs="Arial"/>
          <w:color w:val="000000" w:themeColor="text1"/>
          <w:sz w:val="22"/>
          <w:szCs w:val="22"/>
        </w:rPr>
        <w:t xml:space="preserve">obtained from healthy volunteers (HVs) </w:t>
      </w:r>
      <w:r w:rsidRPr="00CD2448">
        <w:rPr>
          <w:rFonts w:ascii="Arial" w:hAnsi="Arial" w:cs="Arial"/>
          <w:color w:val="000000" w:themeColor="text1"/>
          <w:sz w:val="22"/>
          <w:szCs w:val="22"/>
        </w:rPr>
        <w:t xml:space="preserve">(n=5) were also collected for reprogramming following standard procurement procedures. All </w:t>
      </w:r>
      <w:r w:rsidR="001A0252" w:rsidRPr="00CD2448">
        <w:rPr>
          <w:rFonts w:ascii="Arial" w:hAnsi="Arial" w:cs="Arial"/>
          <w:color w:val="000000" w:themeColor="text1"/>
          <w:sz w:val="22"/>
          <w:szCs w:val="22"/>
        </w:rPr>
        <w:t xml:space="preserve">participants </w:t>
      </w:r>
      <w:r w:rsidRPr="00CD2448">
        <w:rPr>
          <w:rFonts w:ascii="Arial" w:hAnsi="Arial" w:cs="Arial"/>
          <w:color w:val="000000" w:themeColor="text1"/>
          <w:sz w:val="22"/>
          <w:szCs w:val="22"/>
        </w:rPr>
        <w:t xml:space="preserve">were female and ranged in age between 20-68. </w:t>
      </w:r>
      <w:r w:rsidR="008115F6" w:rsidRPr="00CD2448">
        <w:rPr>
          <w:rFonts w:ascii="Arial" w:hAnsi="Arial" w:cs="Arial"/>
          <w:color w:val="000000" w:themeColor="text1"/>
          <w:sz w:val="22"/>
          <w:szCs w:val="22"/>
        </w:rPr>
        <w:t xml:space="preserve">Additional demographic characteristics </w:t>
      </w:r>
      <w:r w:rsidRPr="00CD2448">
        <w:rPr>
          <w:rFonts w:ascii="Arial" w:hAnsi="Arial" w:cs="Arial"/>
          <w:color w:val="000000" w:themeColor="text1"/>
          <w:sz w:val="22"/>
          <w:szCs w:val="22"/>
        </w:rPr>
        <w:t xml:space="preserve">can be found in </w:t>
      </w:r>
      <w:r w:rsidRPr="00CD2448">
        <w:rPr>
          <w:rFonts w:ascii="Arial" w:hAnsi="Arial" w:cs="Arial"/>
          <w:b/>
          <w:bCs/>
          <w:color w:val="000000" w:themeColor="text1"/>
          <w:sz w:val="22"/>
          <w:szCs w:val="22"/>
        </w:rPr>
        <w:t xml:space="preserve">Supplementary Table </w:t>
      </w:r>
      <w:r w:rsidR="006F2136" w:rsidRPr="00CD2448">
        <w:rPr>
          <w:rFonts w:ascii="Arial" w:hAnsi="Arial" w:cs="Arial"/>
          <w:b/>
          <w:bCs/>
          <w:color w:val="000000" w:themeColor="text1"/>
          <w:sz w:val="22"/>
          <w:szCs w:val="22"/>
        </w:rPr>
        <w:t>S</w:t>
      </w:r>
      <w:r w:rsidRPr="00CD2448">
        <w:rPr>
          <w:rFonts w:ascii="Arial" w:hAnsi="Arial" w:cs="Arial"/>
          <w:b/>
          <w:bCs/>
          <w:color w:val="000000" w:themeColor="text1"/>
          <w:sz w:val="22"/>
          <w:szCs w:val="22"/>
        </w:rPr>
        <w:t>1</w:t>
      </w:r>
      <w:r w:rsidRPr="00CD2448">
        <w:rPr>
          <w:rFonts w:ascii="Arial" w:hAnsi="Arial" w:cs="Arial"/>
          <w:color w:val="000000" w:themeColor="text1"/>
          <w:sz w:val="22"/>
          <w:szCs w:val="22"/>
        </w:rPr>
        <w:t>. </w:t>
      </w:r>
    </w:p>
    <w:p w14:paraId="2C4CF3F2" w14:textId="17283BD8" w:rsidR="00D03530"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iPSCs were reprogrammed at the National Heart, Lung, and Blood Institute (NHLBI/NIH) iPSC Core Facility using non-integration (Sendai virus) methods.</w:t>
      </w:r>
      <w:r w:rsidR="009B52D5" w:rsidRPr="00CD2448">
        <w:rPr>
          <w:rFonts w:ascii="Arial" w:hAnsi="Arial" w:cs="Arial"/>
          <w:color w:val="000000" w:themeColor="text1"/>
          <w:sz w:val="22"/>
          <w:szCs w:val="22"/>
        </w:rPr>
        <w:t xml:space="preserve"> Lines were authenticated via expression of pluripotency markers</w:t>
      </w:r>
      <w:r w:rsidR="00DF16BD" w:rsidRPr="00CD2448">
        <w:rPr>
          <w:rFonts w:ascii="Arial" w:hAnsi="Arial" w:cs="Arial"/>
          <w:color w:val="000000" w:themeColor="text1"/>
          <w:sz w:val="22"/>
          <w:szCs w:val="22"/>
        </w:rPr>
        <w:t xml:space="preserve"> and</w:t>
      </w:r>
      <w:r w:rsidR="009B52D5" w:rsidRPr="00CD2448">
        <w:rPr>
          <w:rFonts w:ascii="Arial" w:hAnsi="Arial" w:cs="Arial"/>
          <w:color w:val="000000" w:themeColor="text1"/>
          <w:sz w:val="22"/>
          <w:szCs w:val="22"/>
        </w:rPr>
        <w:t xml:space="preserve"> </w:t>
      </w:r>
      <w:proofErr w:type="gramStart"/>
      <w:r w:rsidR="009B52D5" w:rsidRPr="00CD2448">
        <w:rPr>
          <w:rFonts w:ascii="Arial" w:hAnsi="Arial" w:cs="Arial"/>
          <w:color w:val="000000" w:themeColor="text1"/>
          <w:sz w:val="22"/>
          <w:szCs w:val="22"/>
        </w:rPr>
        <w:t>karyotyping, and</w:t>
      </w:r>
      <w:proofErr w:type="gramEnd"/>
      <w:r w:rsidR="009B52D5" w:rsidRPr="00CD2448">
        <w:rPr>
          <w:rFonts w:ascii="Arial" w:hAnsi="Arial" w:cs="Arial"/>
          <w:color w:val="000000" w:themeColor="text1"/>
          <w:sz w:val="22"/>
          <w:szCs w:val="22"/>
        </w:rPr>
        <w:t xml:space="preserve"> </w:t>
      </w:r>
      <w:r w:rsidR="00DF16BD" w:rsidRPr="00CD2448">
        <w:rPr>
          <w:rFonts w:ascii="Arial" w:hAnsi="Arial" w:cs="Arial"/>
          <w:color w:val="000000" w:themeColor="text1"/>
          <w:sz w:val="22"/>
          <w:szCs w:val="22"/>
        </w:rPr>
        <w:t xml:space="preserve">were </w:t>
      </w:r>
      <w:r w:rsidR="009B52D5" w:rsidRPr="00CD2448">
        <w:rPr>
          <w:rFonts w:ascii="Arial" w:hAnsi="Arial" w:cs="Arial"/>
          <w:color w:val="000000" w:themeColor="text1"/>
          <w:sz w:val="22"/>
          <w:szCs w:val="22"/>
        </w:rPr>
        <w:t>consistently confirmed to be mycoplasma-free.</w:t>
      </w:r>
      <w:r w:rsidRPr="00CD2448">
        <w:rPr>
          <w:rFonts w:ascii="Arial" w:hAnsi="Arial" w:cs="Arial"/>
          <w:color w:val="000000" w:themeColor="text1"/>
          <w:sz w:val="22"/>
          <w:szCs w:val="22"/>
        </w:rPr>
        <w:t xml:space="preserve"> The </w:t>
      </w:r>
      <w:proofErr w:type="spellStart"/>
      <w:r w:rsidRPr="00CD2448">
        <w:rPr>
          <w:rFonts w:ascii="Arial" w:hAnsi="Arial" w:cs="Arial"/>
          <w:color w:val="000000" w:themeColor="text1"/>
          <w:sz w:val="22"/>
          <w:szCs w:val="22"/>
        </w:rPr>
        <w:t>STEMdiff</w:t>
      </w:r>
      <w:proofErr w:type="spellEnd"/>
      <w:r w:rsidRPr="00CD2448">
        <w:rPr>
          <w:rFonts w:ascii="Arial" w:hAnsi="Arial" w:cs="Arial"/>
          <w:color w:val="000000" w:themeColor="text1"/>
          <w:sz w:val="22"/>
          <w:szCs w:val="22"/>
        </w:rPr>
        <w:t>™ embryoid body protocol was followed for 19 days to develop single-cell neural progenitor cells (NPCs). Neural induction was confirmed through visual inspection, and neural rosettes were selected. Cells were seeded onto PLO/laminin-coated dishes (half with poly-L-lysine coated coverslips) at a density of 1.5 x 10</w:t>
      </w:r>
      <w:r w:rsidRPr="00CD2448">
        <w:rPr>
          <w:rFonts w:ascii="Arial" w:hAnsi="Arial" w:cs="Arial"/>
          <w:color w:val="000000" w:themeColor="text1"/>
          <w:sz w:val="22"/>
          <w:szCs w:val="22"/>
          <w:vertAlign w:val="superscript"/>
        </w:rPr>
        <w:t>6</w:t>
      </w:r>
      <w:r w:rsidRPr="00CD2448">
        <w:rPr>
          <w:rFonts w:ascii="Arial" w:hAnsi="Arial" w:cs="Arial"/>
          <w:color w:val="000000" w:themeColor="text1"/>
          <w:sz w:val="22"/>
          <w:szCs w:val="22"/>
        </w:rPr>
        <w:t xml:space="preserve">  cells/cm</w:t>
      </w:r>
      <w:r w:rsidRPr="00CD2448">
        <w:rPr>
          <w:rFonts w:ascii="Arial" w:hAnsi="Arial" w:cs="Arial"/>
          <w:color w:val="000000" w:themeColor="text1"/>
          <w:sz w:val="22"/>
          <w:szCs w:val="22"/>
          <w:vertAlign w:val="superscript"/>
        </w:rPr>
        <w:t>2</w:t>
      </w:r>
      <w:r w:rsidRPr="00CD2448">
        <w:rPr>
          <w:rFonts w:ascii="Arial" w:hAnsi="Arial" w:cs="Arial"/>
          <w:color w:val="000000" w:themeColor="text1"/>
          <w:sz w:val="22"/>
          <w:szCs w:val="22"/>
        </w:rPr>
        <w:t xml:space="preserve">. The cells were incubated at 37°C with 5% circulating CO2 and supplemented with </w:t>
      </w:r>
      <w:proofErr w:type="spellStart"/>
      <w:r w:rsidRPr="00CD2448">
        <w:rPr>
          <w:rFonts w:ascii="Arial" w:hAnsi="Arial" w:cs="Arial"/>
          <w:color w:val="000000" w:themeColor="text1"/>
          <w:sz w:val="22"/>
          <w:szCs w:val="22"/>
        </w:rPr>
        <w:t>BrainPhysTM</w:t>
      </w:r>
      <w:proofErr w:type="spellEnd"/>
      <w:r w:rsidRPr="00CD2448">
        <w:rPr>
          <w:rFonts w:ascii="Arial" w:hAnsi="Arial" w:cs="Arial"/>
          <w:color w:val="000000" w:themeColor="text1"/>
          <w:sz w:val="22"/>
          <w:szCs w:val="22"/>
        </w:rPr>
        <w:t xml:space="preserve"> Neuronal Medium, 1% N2 Supplement-A, 2% </w:t>
      </w:r>
      <w:proofErr w:type="spellStart"/>
      <w:r w:rsidRPr="00CD2448">
        <w:rPr>
          <w:rFonts w:ascii="Arial" w:hAnsi="Arial" w:cs="Arial"/>
          <w:color w:val="000000" w:themeColor="text1"/>
          <w:sz w:val="22"/>
          <w:szCs w:val="22"/>
        </w:rPr>
        <w:t>Neurocult</w:t>
      </w:r>
      <w:proofErr w:type="spellEnd"/>
      <w:r w:rsidRPr="00CD2448">
        <w:rPr>
          <w:rFonts w:ascii="Arial" w:hAnsi="Arial" w:cs="Arial"/>
          <w:color w:val="000000" w:themeColor="text1"/>
          <w:sz w:val="22"/>
          <w:szCs w:val="22"/>
        </w:rPr>
        <w:t xml:space="preserve">™ SM1 Neuronal Supplement, 20ng/ml </w:t>
      </w:r>
      <w:r w:rsidR="00B66392" w:rsidRPr="00CD2448">
        <w:rPr>
          <w:rFonts w:ascii="Arial" w:hAnsi="Arial" w:cs="Arial"/>
          <w:color w:val="000000" w:themeColor="text1"/>
          <w:sz w:val="22"/>
          <w:szCs w:val="22"/>
        </w:rPr>
        <w:t xml:space="preserve">glial-derived </w:t>
      </w:r>
      <w:r w:rsidR="00156459" w:rsidRPr="00CD2448">
        <w:rPr>
          <w:rFonts w:ascii="Arial" w:hAnsi="Arial" w:cs="Arial"/>
          <w:color w:val="000000" w:themeColor="text1"/>
          <w:sz w:val="22"/>
          <w:szCs w:val="22"/>
        </w:rPr>
        <w:t>neurotrophic</w:t>
      </w:r>
      <w:r w:rsidR="00B66392" w:rsidRPr="00CD2448">
        <w:rPr>
          <w:rFonts w:ascii="Arial" w:hAnsi="Arial" w:cs="Arial"/>
          <w:color w:val="000000" w:themeColor="text1"/>
          <w:sz w:val="22"/>
          <w:szCs w:val="22"/>
        </w:rPr>
        <w:t xml:space="preserve"> factor (</w:t>
      </w:r>
      <w:r w:rsidRPr="00CD2448">
        <w:rPr>
          <w:rFonts w:ascii="Arial" w:hAnsi="Arial" w:cs="Arial"/>
          <w:color w:val="000000" w:themeColor="text1"/>
          <w:sz w:val="22"/>
          <w:szCs w:val="22"/>
        </w:rPr>
        <w:t>GDNF</w:t>
      </w:r>
      <w:r w:rsidR="00B66392"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20ng/ml </w:t>
      </w:r>
      <w:r w:rsidR="00B66392" w:rsidRPr="00CD2448">
        <w:rPr>
          <w:rFonts w:ascii="Arial" w:hAnsi="Arial" w:cs="Arial"/>
          <w:color w:val="000000" w:themeColor="text1"/>
          <w:sz w:val="22"/>
          <w:szCs w:val="22"/>
        </w:rPr>
        <w:t>brain-derived neurotrophic factor (</w:t>
      </w:r>
      <w:r w:rsidRPr="00CD2448">
        <w:rPr>
          <w:rFonts w:ascii="Arial" w:hAnsi="Arial" w:cs="Arial"/>
          <w:color w:val="000000" w:themeColor="text1"/>
          <w:sz w:val="22"/>
          <w:szCs w:val="22"/>
        </w:rPr>
        <w:t>BDNF</w:t>
      </w:r>
      <w:r w:rsidR="00B66392"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1mM </w:t>
      </w:r>
      <w:proofErr w:type="spellStart"/>
      <w:r w:rsidRPr="00CD2448">
        <w:rPr>
          <w:rFonts w:ascii="Arial" w:hAnsi="Arial" w:cs="Arial"/>
          <w:color w:val="000000" w:themeColor="text1"/>
          <w:sz w:val="22"/>
          <w:szCs w:val="22"/>
        </w:rPr>
        <w:t>Dibutyryl</w:t>
      </w:r>
      <w:proofErr w:type="spellEnd"/>
      <w:r w:rsidRPr="00CD2448">
        <w:rPr>
          <w:rFonts w:ascii="Arial" w:hAnsi="Arial" w:cs="Arial"/>
          <w:color w:val="000000" w:themeColor="text1"/>
          <w:sz w:val="22"/>
          <w:szCs w:val="22"/>
        </w:rPr>
        <w:t>-</w:t>
      </w:r>
      <w:r w:rsidR="00B66392" w:rsidRPr="00CD2448">
        <w:rPr>
          <w:rFonts w:ascii="Arial" w:hAnsi="Arial" w:cs="Arial"/>
          <w:color w:val="000000" w:themeColor="text1"/>
          <w:sz w:val="22"/>
          <w:szCs w:val="22"/>
        </w:rPr>
        <w:t>cyclic adenosine monophosphate (</w:t>
      </w:r>
      <w:r w:rsidRPr="00CD2448">
        <w:rPr>
          <w:rFonts w:ascii="Arial" w:hAnsi="Arial" w:cs="Arial"/>
          <w:color w:val="000000" w:themeColor="text1"/>
          <w:sz w:val="22"/>
          <w:szCs w:val="22"/>
        </w:rPr>
        <w:t>cAMP</w:t>
      </w:r>
      <w:r w:rsidR="00B66392"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and 200nM </w:t>
      </w:r>
      <w:r w:rsidR="00B66392" w:rsidRPr="00CD2448">
        <w:rPr>
          <w:rFonts w:ascii="Arial" w:hAnsi="Arial" w:cs="Arial"/>
          <w:color w:val="000000" w:themeColor="text1"/>
          <w:sz w:val="22"/>
          <w:szCs w:val="22"/>
        </w:rPr>
        <w:t>a</w:t>
      </w:r>
      <w:r w:rsidRPr="00CD2448">
        <w:rPr>
          <w:rFonts w:ascii="Arial" w:hAnsi="Arial" w:cs="Arial"/>
          <w:color w:val="000000" w:themeColor="text1"/>
          <w:sz w:val="22"/>
          <w:szCs w:val="22"/>
        </w:rPr>
        <w:t xml:space="preserve">scorbic </w:t>
      </w:r>
      <w:r w:rsidR="00B66392" w:rsidRPr="00CD2448">
        <w:rPr>
          <w:rFonts w:ascii="Arial" w:hAnsi="Arial" w:cs="Arial"/>
          <w:color w:val="000000" w:themeColor="text1"/>
          <w:sz w:val="22"/>
          <w:szCs w:val="22"/>
        </w:rPr>
        <w:t>a</w:t>
      </w:r>
      <w:r w:rsidRPr="00CD2448">
        <w:rPr>
          <w:rFonts w:ascii="Arial" w:hAnsi="Arial" w:cs="Arial"/>
          <w:color w:val="000000" w:themeColor="text1"/>
          <w:sz w:val="22"/>
          <w:szCs w:val="22"/>
        </w:rPr>
        <w:t>cid for 10 weeks with half-medium changes every two days to generate primary cortical neurons. At 10 weeks, iPSC-derived neurons are able to form synapses and have spontaneous synaptic activity alongside other neuronal markers of maturity</w:t>
      </w:r>
      <w:r w:rsidR="006E6397"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ExcludeYear="1"&gt;&lt;Author&gt;Bardy&lt;/Author&gt;&lt;Year&gt;2015&lt;/Year&gt;&lt;RecNum&gt;100&lt;/RecNum&gt;&lt;DisplayText&gt;[1]&lt;/DisplayText&gt;&lt;record&gt;&lt;rec-number&gt;100&lt;/rec-number&gt;&lt;foreign-keys&gt;&lt;key app="EN" db-id="dzsadpavbdaf27ef9zmxw006vzddp0epfpxa" timestamp="1759239055"&gt;100&lt;/key&gt;&lt;/foreign-keys&gt;&lt;ref-type name="Journal Article"&gt;17&lt;/ref-type&gt;&lt;contributors&gt;&lt;authors&gt;&lt;author&gt;Bardy, C.&lt;/author&gt;&lt;author&gt;van den Hurk, M.&lt;/author&gt;&lt;author&gt;Eames, T.&lt;/author&gt;&lt;author&gt;Marchand, C.&lt;/author&gt;&lt;author&gt;Hernandex, R.V.&lt;/author&gt;&lt;author&gt;Kellogg, M.&lt;/author&gt;&lt;author&gt;Gorris, M.&lt;/author&gt;&lt;author&gt;Galet, B.&lt;/author&gt;&lt;author&gt;Palomares, V.&lt;/author&gt;&lt;author&gt;Brown, J.&lt;/author&gt;&lt;author&gt;Bang, A.G.&lt;/author&gt;&lt;author&gt;Mertens, J.&lt;/author&gt;&lt;author&gt;Böhnke, L.&lt;/author&gt;&lt;author&gt;Boyer, L.&lt;/author&gt;&lt;author&gt;Simon, S.&lt;/author&gt;&lt;author&gt;Gage, F.H.&lt;/author&gt;&lt;/authors&gt;&lt;/contributors&gt;&lt;titles&gt;&lt;title&gt;Neuronal medium that supports basic synaptic functions and activity of human neurons in vitro&lt;/title&gt;&lt;secondary-title&gt;Proc Natl Acad Sci&lt;/secondary-title&gt;&lt;/titles&gt;&lt;periodical&gt;&lt;full-title&gt;Proc Natl Acad Sci&lt;/full-title&gt;&lt;/periodical&gt;&lt;pages&gt;E2725-E2734&lt;/pages&gt;&lt;volume&gt;112&lt;/volume&gt;&lt;dates&gt;&lt;year&gt;2015&lt;/year&gt;&lt;/dates&gt;&lt;urls&gt;&lt;/urls&gt;&lt;/record&gt;&lt;/Cite&gt;&lt;/EndNote&gt;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All cell lines expressed pluripotency markers and were consistently assessed to be mycoplasma-free. At 10 weeks, </w:t>
      </w:r>
      <w:r w:rsidR="00776C71" w:rsidRPr="00CD2448">
        <w:rPr>
          <w:rFonts w:ascii="Arial" w:hAnsi="Arial" w:cs="Arial"/>
          <w:color w:val="000000" w:themeColor="text1"/>
          <w:sz w:val="22"/>
          <w:szCs w:val="22"/>
        </w:rPr>
        <w:t xml:space="preserve">the </w:t>
      </w:r>
      <w:r w:rsidRPr="00CD2448">
        <w:rPr>
          <w:rFonts w:ascii="Arial" w:hAnsi="Arial" w:cs="Arial"/>
          <w:color w:val="000000" w:themeColor="text1"/>
          <w:sz w:val="22"/>
          <w:szCs w:val="22"/>
        </w:rPr>
        <w:t>maturity of cortical neurons was confirmed via immunocytochemical staining for MAP2, PSD-95, and β-tubulin III. A CCK-8 cell counting kit was used to determine viability. At 10 weeks maturity, primary cortical neurons were treated with an acetonitrile vehicle (0.1%), (</w:t>
      </w:r>
      <w:r w:rsidRPr="00CD2448">
        <w:rPr>
          <w:rFonts w:ascii="Arial" w:hAnsi="Arial" w:cs="Arial"/>
          <w:i/>
          <w:iCs/>
          <w:color w:val="000000" w:themeColor="text1"/>
          <w:sz w:val="22"/>
          <w:szCs w:val="22"/>
        </w:rPr>
        <w:t>2R,6R</w:t>
      </w:r>
      <w:r w:rsidRPr="00CD2448">
        <w:rPr>
          <w:rFonts w:ascii="Arial" w:hAnsi="Arial" w:cs="Arial"/>
          <w:color w:val="000000" w:themeColor="text1"/>
          <w:sz w:val="22"/>
          <w:szCs w:val="22"/>
        </w:rPr>
        <w:t>)-</w:t>
      </w:r>
      <w:proofErr w:type="spellStart"/>
      <w:r w:rsidR="00FC403C" w:rsidRPr="00CD2448">
        <w:rPr>
          <w:rFonts w:ascii="Arial" w:hAnsi="Arial" w:cs="Arial"/>
          <w:color w:val="000000" w:themeColor="text1"/>
          <w:sz w:val="22"/>
          <w:szCs w:val="22"/>
        </w:rPr>
        <w:t>hydroxynorketamine</w:t>
      </w:r>
      <w:proofErr w:type="spellEnd"/>
      <w:r w:rsidR="00FC403C"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HNK</w:t>
      </w:r>
      <w:r w:rsidR="00FC403C"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(1 </w:t>
      </w:r>
      <w:proofErr w:type="spellStart"/>
      <w:r w:rsidRPr="00CD2448">
        <w:rPr>
          <w:rFonts w:ascii="Arial" w:hAnsi="Arial" w:cs="Arial"/>
          <w:color w:val="000000" w:themeColor="text1"/>
          <w:sz w:val="22"/>
          <w:szCs w:val="22"/>
        </w:rPr>
        <w:t>uM</w:t>
      </w:r>
      <w:proofErr w:type="spellEnd"/>
      <w:r w:rsidRPr="00CD2448">
        <w:rPr>
          <w:rFonts w:ascii="Arial" w:hAnsi="Arial" w:cs="Arial"/>
          <w:color w:val="000000" w:themeColor="text1"/>
          <w:sz w:val="22"/>
          <w:szCs w:val="22"/>
        </w:rPr>
        <w:t xml:space="preserve">), ketamine (1 </w:t>
      </w:r>
      <w:proofErr w:type="spellStart"/>
      <w:r w:rsidRPr="00CD2448">
        <w:rPr>
          <w:rFonts w:ascii="Arial" w:hAnsi="Arial" w:cs="Arial"/>
          <w:color w:val="000000" w:themeColor="text1"/>
          <w:sz w:val="22"/>
          <w:szCs w:val="22"/>
        </w:rPr>
        <w:t>uM</w:t>
      </w:r>
      <w:proofErr w:type="spellEnd"/>
      <w:r w:rsidRPr="00CD2448">
        <w:rPr>
          <w:rFonts w:ascii="Arial" w:hAnsi="Arial" w:cs="Arial"/>
          <w:color w:val="000000" w:themeColor="text1"/>
          <w:sz w:val="22"/>
          <w:szCs w:val="22"/>
        </w:rPr>
        <w:t xml:space="preserve">), lysergic acid diethylamide (LSD) (10 </w:t>
      </w:r>
      <w:proofErr w:type="spellStart"/>
      <w:r w:rsidRPr="00CD2448">
        <w:rPr>
          <w:rFonts w:ascii="Arial" w:hAnsi="Arial" w:cs="Arial"/>
          <w:color w:val="000000" w:themeColor="text1"/>
          <w:sz w:val="22"/>
          <w:szCs w:val="22"/>
        </w:rPr>
        <w:t>uM</w:t>
      </w:r>
      <w:proofErr w:type="spellEnd"/>
      <w:r w:rsidRPr="00CD2448">
        <w:rPr>
          <w:rFonts w:ascii="Arial" w:hAnsi="Arial" w:cs="Arial"/>
          <w:color w:val="000000" w:themeColor="text1"/>
          <w:sz w:val="22"/>
          <w:szCs w:val="22"/>
        </w:rPr>
        <w:t xml:space="preserve">), or psilocybin (10 </w:t>
      </w:r>
      <w:proofErr w:type="spellStart"/>
      <w:r w:rsidRPr="00CD2448">
        <w:rPr>
          <w:rFonts w:ascii="Arial" w:hAnsi="Arial" w:cs="Arial"/>
          <w:color w:val="000000" w:themeColor="text1"/>
          <w:sz w:val="22"/>
          <w:szCs w:val="22"/>
        </w:rPr>
        <w:t>uM</w:t>
      </w:r>
      <w:proofErr w:type="spellEnd"/>
      <w:r w:rsidRPr="00CD2448">
        <w:rPr>
          <w:rFonts w:ascii="Arial" w:hAnsi="Arial" w:cs="Arial"/>
          <w:color w:val="000000" w:themeColor="text1"/>
          <w:sz w:val="22"/>
          <w:szCs w:val="22"/>
        </w:rPr>
        <w:t xml:space="preserve">) for 24 hours. Concentrations were chosen based on ranges </w:t>
      </w:r>
      <w:r w:rsidR="0030731F" w:rsidRPr="00CD2448">
        <w:rPr>
          <w:rFonts w:ascii="Arial" w:hAnsi="Arial" w:cs="Arial"/>
          <w:color w:val="000000" w:themeColor="text1"/>
          <w:sz w:val="22"/>
          <w:szCs w:val="22"/>
        </w:rPr>
        <w:t xml:space="preserve">used </w:t>
      </w:r>
      <w:r w:rsidRPr="00CD2448">
        <w:rPr>
          <w:rFonts w:ascii="Arial" w:hAnsi="Arial" w:cs="Arial"/>
          <w:color w:val="000000" w:themeColor="text1"/>
          <w:sz w:val="22"/>
          <w:szCs w:val="22"/>
        </w:rPr>
        <w:t>in previous research</w:t>
      </w:r>
      <w:r w:rsidR="0030731F" w:rsidRPr="00CD2448">
        <w:rPr>
          <w:rFonts w:ascii="Arial" w:hAnsi="Arial" w:cs="Arial"/>
          <w:color w:val="000000" w:themeColor="text1"/>
          <w:sz w:val="22"/>
          <w:szCs w:val="22"/>
        </w:rPr>
        <w:t xml:space="preserve"> studies</w:t>
      </w:r>
      <w:r w:rsidR="006E6397"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PEVuZE5vdGU+PENpdGUgRXhjbHVkZVllYXI9IjEiPjxBdXRob3I+Q2F2YWxsZXJpPC9BdXRob3I+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</w:fldData>
        </w:fldChar>
      </w:r>
      <w:r w:rsidR="008D0B4D" w:rsidRPr="00CD2448">
        <w:rPr>
          <w:rFonts w:ascii="Arial" w:eastAsiaTheme="minorHAnsi" w:hAnsi="Arial" w:cs="Arial"/>
          <w:color w:val="000000" w:themeColor="text1"/>
          <w:sz w:val="22"/>
          <w:szCs w:val="22"/>
          <w14:ligatures w14:val="standardContextual"/>
        </w:rPr>
        <w:instrText xml:space="preserve"> ADDIN EN.CITE </w:instrText>
      </w:r>
      <w:r w:rsidR="008D0B4D"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PEVuZE5vdGU+PENpdGUgRXhjbHVkZVllYXI9IjEiPjxBdXRob3I+Q2F2YWxsZXJpPC9BdXRob3I+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</w:fldData>
        </w:fldChar>
      </w:r>
      <w:r w:rsidR="008D0B4D" w:rsidRPr="00CD2448">
        <w:rPr>
          <w:rFonts w:ascii="Arial" w:eastAsiaTheme="minorHAnsi" w:hAnsi="Arial" w:cs="Arial"/>
          <w:color w:val="000000" w:themeColor="text1"/>
          <w:sz w:val="22"/>
          <w:szCs w:val="22"/>
          <w14:ligatures w14:val="standardContextual"/>
        </w:rPr>
        <w:instrText xml:space="preserve"> ADDIN EN.CITE.DATA </w:instrText>
      </w:r>
      <w:r w:rsidR="008D0B4D" w:rsidRPr="00CD2448">
        <w:rPr>
          <w:rFonts w:ascii="Arial" w:eastAsiaTheme="minorHAnsi" w:hAnsi="Arial" w:cs="Arial"/>
          <w:color w:val="000000" w:themeColor="text1"/>
          <w:sz w:val="22"/>
          <w:szCs w:val="22"/>
          <w14:ligatures w14:val="standardContextual"/>
        </w:rPr>
      </w:r>
      <w:r w:rsidR="008D0B4D" w:rsidRPr="00CD2448">
        <w:rPr>
          <w:rFonts w:ascii="Arial" w:eastAsiaTheme="minorHAnsi" w:hAnsi="Arial" w:cs="Arial"/>
          <w:color w:val="000000" w:themeColor="text1"/>
          <w:sz w:val="22"/>
          <w:szCs w:val="22"/>
          <w14:ligatures w14:val="standardContextual"/>
        </w:rPr>
        <w:fldChar w:fldCharType="end"/>
      </w:r>
      <w:r w:rsidR="00C770C0" w:rsidRPr="00CD2448">
        <w:rPr>
          <w:rFonts w:ascii="Arial" w:eastAsiaTheme="minorHAnsi" w:hAnsi="Arial" w:cs="Arial"/>
          <w:color w:val="000000" w:themeColor="text1"/>
          <w:sz w:val="22"/>
          <w:szCs w:val="22"/>
          <w14:ligatures w14:val="standardContextual"/>
        </w:rPr>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 3]</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w:t>
      </w:r>
    </w:p>
    <w:p w14:paraId="1F3750E6" w14:textId="77777777" w:rsidR="00D03530" w:rsidRPr="00CD2448" w:rsidRDefault="00D03530" w:rsidP="00415257">
      <w:pPr>
        <w:rPr>
          <w:rFonts w:ascii="Arial" w:hAnsi="Arial" w:cs="Arial"/>
          <w:i/>
          <w:iCs/>
          <w:color w:val="000000" w:themeColor="text1"/>
          <w:sz w:val="22"/>
          <w:szCs w:val="22"/>
        </w:rPr>
      </w:pPr>
    </w:p>
    <w:p w14:paraId="2827540F" w14:textId="77777777"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Bulk RNA-Sequencing of iPSC-Derived Neurons</w:t>
      </w:r>
    </w:p>
    <w:p w14:paraId="07D08863" w14:textId="346AAC54" w:rsidR="00D03530"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For bulk RNA experiments, RNA was immediately isolated following treatment using the Qiagen RNeasy Kit, and RNA purity was confirmed using the </w:t>
      </w:r>
      <w:proofErr w:type="spellStart"/>
      <w:r w:rsidRPr="00CD2448">
        <w:rPr>
          <w:rFonts w:ascii="Arial" w:hAnsi="Arial" w:cs="Arial"/>
          <w:color w:val="000000" w:themeColor="text1"/>
          <w:sz w:val="22"/>
          <w:szCs w:val="22"/>
        </w:rPr>
        <w:t>NanoDrop</w:t>
      </w:r>
      <w:proofErr w:type="spellEnd"/>
      <w:r w:rsidRPr="00CD2448">
        <w:rPr>
          <w:rFonts w:ascii="Arial" w:hAnsi="Arial" w:cs="Arial"/>
          <w:color w:val="000000" w:themeColor="text1"/>
          <w:sz w:val="22"/>
          <w:szCs w:val="22"/>
        </w:rPr>
        <w:t xml:space="preserve"> spectrophotometer. After isolation, purified RNA was frozen and shipped to </w:t>
      </w:r>
      <w:proofErr w:type="spellStart"/>
      <w:r w:rsidRPr="00CD2448">
        <w:rPr>
          <w:rFonts w:ascii="Arial" w:hAnsi="Arial" w:cs="Arial"/>
          <w:color w:val="000000" w:themeColor="text1"/>
          <w:sz w:val="22"/>
          <w:szCs w:val="22"/>
        </w:rPr>
        <w:t>Novogene</w:t>
      </w:r>
      <w:proofErr w:type="spellEnd"/>
      <w:r w:rsidRPr="00CD2448">
        <w:rPr>
          <w:rFonts w:ascii="Arial" w:hAnsi="Arial" w:cs="Arial"/>
          <w:color w:val="000000" w:themeColor="text1"/>
          <w:sz w:val="22"/>
          <w:szCs w:val="22"/>
        </w:rPr>
        <w:t xml:space="preserve"> for sample processing. </w:t>
      </w:r>
      <w:r w:rsidR="009657F2" w:rsidRPr="00CD2448">
        <w:rPr>
          <w:rFonts w:ascii="Arial" w:hAnsi="Arial" w:cs="Arial"/>
          <w:color w:val="000000" w:themeColor="text1"/>
          <w:sz w:val="22"/>
          <w:szCs w:val="22"/>
        </w:rPr>
        <w:t xml:space="preserve">Two </w:t>
      </w:r>
      <w:r w:rsidRPr="00CD2448">
        <w:rPr>
          <w:rFonts w:ascii="Arial" w:hAnsi="Arial" w:cs="Arial"/>
          <w:color w:val="000000" w:themeColor="text1"/>
          <w:sz w:val="22"/>
          <w:szCs w:val="22"/>
        </w:rPr>
        <w:t xml:space="preserve">x 150 base pair reads were processed on the </w:t>
      </w:r>
      <w:proofErr w:type="spellStart"/>
      <w:r w:rsidRPr="00CD2448">
        <w:rPr>
          <w:rFonts w:ascii="Arial" w:hAnsi="Arial" w:cs="Arial"/>
          <w:color w:val="000000" w:themeColor="text1"/>
          <w:sz w:val="22"/>
          <w:szCs w:val="22"/>
        </w:rPr>
        <w:t>NovaSeq</w:t>
      </w:r>
      <w:proofErr w:type="spellEnd"/>
      <w:r w:rsidRPr="00CD2448">
        <w:rPr>
          <w:rFonts w:ascii="Arial" w:hAnsi="Arial" w:cs="Arial"/>
          <w:color w:val="000000" w:themeColor="text1"/>
          <w:sz w:val="22"/>
          <w:szCs w:val="22"/>
        </w:rPr>
        <w:t xml:space="preserve"> X Plus Series. </w:t>
      </w:r>
      <w:proofErr w:type="spellStart"/>
      <w:r w:rsidRPr="00CD2448">
        <w:rPr>
          <w:rFonts w:ascii="Arial" w:hAnsi="Arial" w:cs="Arial"/>
          <w:color w:val="000000" w:themeColor="text1"/>
          <w:sz w:val="22"/>
          <w:szCs w:val="22"/>
        </w:rPr>
        <w:t>FastQ</w:t>
      </w:r>
      <w:proofErr w:type="spellEnd"/>
      <w:r w:rsidRPr="00CD2448">
        <w:rPr>
          <w:rFonts w:ascii="Arial" w:hAnsi="Arial" w:cs="Arial"/>
          <w:color w:val="000000" w:themeColor="text1"/>
          <w:sz w:val="22"/>
          <w:szCs w:val="22"/>
        </w:rPr>
        <w:t xml:space="preserve"> files were downloaded and aligned to human GRCh38 build using STAR</w:t>
      </w:r>
      <w:r w:rsidR="00E9360C" w:rsidRPr="00CD2448">
        <w:rPr>
          <w:rFonts w:ascii="Arial" w:eastAsiaTheme="minorHAnsi" w:hAnsi="Arial" w:cs="Arial"/>
          <w:color w:val="000000" w:themeColor="text1"/>
          <w:sz w:val="22"/>
          <w:szCs w:val="22"/>
          <w14:ligatures w14:val="standardContextual"/>
        </w:rPr>
        <w:t xml:space="preserve"> </w:t>
      </w:r>
      <w:r w:rsidR="00E9360C"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&lt;EndNote&gt;&lt;Cite&gt;&lt;Author&gt;Dobin&lt;/Author&gt;&lt;Year&gt;2013&lt;/Year&gt;&lt;RecNum&gt;101&lt;/RecNum&gt;&lt;DisplayText&gt;[4]&lt;/DisplayText&gt;&lt;record&gt;&lt;rec-number&gt;101&lt;/rec-number&gt;&lt;foreign-keys&gt;&lt;key app="EN" db-id="dzsadpavbdaf27ef9zmxw006vzddp0epfpxa" timestamp="1759239155"&gt;101&lt;/key&gt;&lt;/foreign-keys&gt;&lt;ref-type name="Journal Article"&gt;17&lt;/ref-type&gt;&lt;contributors&gt;&lt;authors&gt;&lt;author&gt;Dobin, A.&lt;/author&gt;&lt;author&gt;Davis, C.A.&lt;/author&gt;&lt;author&gt;Schlesinger, F.&lt;/author&gt;&lt;author&gt;Drenkow, J.&lt;/author&gt;&lt;author&gt;Zaleski, C.&lt;/author&gt;&lt;author&gt;Jha, S.&lt;/author&gt;&lt;author&gt;Batut, P.&lt;/author&gt;&lt;author&gt;Chaisson, M.&lt;/author&gt;&lt;author&gt;Gingeras, T.R.&lt;/author&gt;&lt;/authors&gt;&lt;/contributors&gt;&lt;titles&gt;&lt;title&gt;STAR: ultrafast universal RNA-seq aligner&lt;/title&gt;&lt;secondary-title&gt;Bioinformatics&lt;/secondary-title&gt;&lt;/titles&gt;&lt;periodical&gt;&lt;full-title&gt;Bioinformatics&lt;/full-title&gt;&lt;/periodical&gt;&lt;pages&gt;15-21&lt;/pages&gt;&lt;volume&gt;29&lt;/volume&gt;&lt;dates&gt;&lt;year&gt;2013&lt;/year&gt;&lt;/dates&gt;&lt;urls&gt;&lt;/urls&gt;&lt;/record&gt;&lt;/Cite&gt;&lt;/EndNote&gt;</w:instrText>
      </w:r>
      <w:r w:rsidR="00E9360C"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[4]</w:t>
      </w:r>
      <w:r w:rsidR="00E9360C"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To quantify gene expression</w:t>
      </w:r>
      <w:r w:rsidR="009657F2"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raw counts were generated with </w:t>
      </w:r>
      <w:proofErr w:type="spellStart"/>
      <w:r w:rsidRPr="00CD2448">
        <w:rPr>
          <w:rFonts w:ascii="Arial" w:hAnsi="Arial" w:cs="Arial"/>
          <w:color w:val="000000" w:themeColor="text1"/>
          <w:sz w:val="22"/>
          <w:szCs w:val="22"/>
        </w:rPr>
        <w:t>featureCounts</w:t>
      </w:r>
      <w:proofErr w:type="spellEnd"/>
      <w:r w:rsidR="006E6397"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ExcludeYear="1"&gt;&lt;Author&gt;Liao&lt;/Author&gt;&lt;Year&gt;2014&lt;/Year&gt;&lt;RecNum&gt;25&lt;/RecNum&gt;&lt;DisplayText&gt;[5]&lt;/DisplayText&gt;&lt;record&gt;&lt;rec-number&gt;25&lt;/rec-number&gt;&lt;foreign-keys&gt;&lt;key app="EN" db-id="dzsadpavbdaf27ef9zmxw006vzddp0epfpxa" timestamp="1759159643"&gt;25&lt;/key&gt;&lt;/foreign-keys&gt;&lt;ref-type name="Journal Article"&gt;17&lt;/ref-type&gt;&lt;contributors&gt;&lt;authors&gt;&lt;author&gt;Liao, Yang&lt;/author&gt;&lt;author&gt;Smyth, Gordon K.&lt;/author&gt;&lt;author&gt;Shi, Wei&lt;/author&gt;&lt;/authors&gt;&lt;/contributors&gt;&lt;titles&gt;&lt;title&gt;featureCounts: an efficient general purpose program for assigning sequence reads to genomic features&lt;/title&gt;&lt;secondary-title&gt;Bioinformatics&lt;/secondary-title&gt;&lt;short-title&gt;featureCounts&lt;/short-title&gt;&lt;/titles&gt;&lt;periodical&gt;&lt;full-title&gt;Bioinformatics&lt;/full-title&gt;&lt;/periodical&gt;&lt;pages&gt;923-930&lt;/pages&gt;&lt;volume&gt;30&lt;/volume&gt;&lt;dates&gt;&lt;year&gt;2014&lt;/year&gt;&lt;/dates&gt;&lt;urls&gt;&lt;related-urls&gt;&lt;url&gt;https://dx.doi.org/10.1093/bioinformatics/btt656&lt;/url&gt;&lt;/related-urls&gt;&lt;/urls&gt;&lt;remote-database-provider&gt;academic.oup.com&lt;/remote-database-provider&gt;&lt;language&gt;en&lt;/language&gt;&lt;access-date&gt;2025/04/13/13:54:10&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[5]</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Ribosomal and mitochondrial genes were filtered for downstream analysis. Given the differences in cell lineage (fibroblasts and </w:t>
      </w:r>
      <w:r w:rsidR="00182BEE" w:rsidRPr="00CD2448">
        <w:rPr>
          <w:rFonts w:ascii="Arial" w:hAnsi="Arial" w:cs="Arial"/>
          <w:color w:val="000000" w:themeColor="text1"/>
          <w:sz w:val="22"/>
          <w:szCs w:val="22"/>
        </w:rPr>
        <w:t>peripheral blood mononuclear cells (</w:t>
      </w:r>
      <w:r w:rsidRPr="00CD2448">
        <w:rPr>
          <w:rFonts w:ascii="Arial" w:hAnsi="Arial" w:cs="Arial"/>
          <w:color w:val="000000" w:themeColor="text1"/>
          <w:sz w:val="22"/>
          <w:szCs w:val="22"/>
        </w:rPr>
        <w:t>PBMCs</w:t>
      </w:r>
      <w:r w:rsidR="00182BEE"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f</w:t>
      </w:r>
      <w:r w:rsidR="00327E42" w:rsidRPr="00CD2448">
        <w:rPr>
          <w:rFonts w:ascii="Arial" w:hAnsi="Arial" w:cs="Arial"/>
          <w:color w:val="000000" w:themeColor="text1"/>
          <w:sz w:val="22"/>
          <w:szCs w:val="22"/>
        </w:rPr>
        <w:t>rom</w:t>
      </w:r>
      <w:r w:rsidRPr="00CD2448">
        <w:rPr>
          <w:rFonts w:ascii="Arial" w:hAnsi="Arial" w:cs="Arial"/>
          <w:color w:val="000000" w:themeColor="text1"/>
          <w:sz w:val="22"/>
          <w:szCs w:val="22"/>
        </w:rPr>
        <w:t xml:space="preserve"> TRD </w:t>
      </w:r>
      <w:r w:rsidR="00327E42" w:rsidRPr="00CD2448">
        <w:rPr>
          <w:rFonts w:ascii="Arial" w:hAnsi="Arial" w:cs="Arial"/>
          <w:color w:val="000000" w:themeColor="text1"/>
          <w:sz w:val="22"/>
          <w:szCs w:val="22"/>
        </w:rPr>
        <w:t xml:space="preserve">participants </w:t>
      </w:r>
      <w:r w:rsidRPr="00CD2448">
        <w:rPr>
          <w:rFonts w:ascii="Arial" w:hAnsi="Arial" w:cs="Arial"/>
          <w:color w:val="000000" w:themeColor="text1"/>
          <w:sz w:val="22"/>
          <w:szCs w:val="22"/>
        </w:rPr>
        <w:t>and H</w:t>
      </w:r>
      <w:r w:rsidR="00327E42" w:rsidRPr="00CD2448">
        <w:rPr>
          <w:rFonts w:ascii="Arial" w:hAnsi="Arial" w:cs="Arial"/>
          <w:color w:val="000000" w:themeColor="text1"/>
          <w:sz w:val="22"/>
          <w:szCs w:val="22"/>
        </w:rPr>
        <w:t>Vs,</w:t>
      </w:r>
      <w:r w:rsidRPr="00CD2448">
        <w:rPr>
          <w:rFonts w:ascii="Arial" w:hAnsi="Arial" w:cs="Arial"/>
          <w:color w:val="000000" w:themeColor="text1"/>
          <w:sz w:val="22"/>
          <w:szCs w:val="22"/>
        </w:rPr>
        <w:t xml:space="preserve"> respectively), diagnosis was</w:t>
      </w:r>
      <w:r w:rsidR="00A05810" w:rsidRPr="00CD2448">
        <w:rPr>
          <w:rFonts w:ascii="Arial" w:hAnsi="Arial" w:cs="Arial"/>
          <w:color w:val="000000" w:themeColor="text1"/>
          <w:sz w:val="22"/>
          <w:szCs w:val="22"/>
        </w:rPr>
        <w:t xml:space="preserve"> conservatively</w:t>
      </w:r>
      <w:r w:rsidRPr="00CD2448">
        <w:rPr>
          <w:rFonts w:ascii="Arial" w:hAnsi="Arial" w:cs="Arial"/>
          <w:color w:val="000000" w:themeColor="text1"/>
          <w:sz w:val="22"/>
          <w:szCs w:val="22"/>
        </w:rPr>
        <w:t xml:space="preserve"> treated as a random effect in data processing </w:t>
      </w:r>
      <w:r w:rsidR="00A05810" w:rsidRPr="00CD2448">
        <w:rPr>
          <w:rFonts w:ascii="Arial" w:hAnsi="Arial" w:cs="Arial"/>
          <w:color w:val="000000" w:themeColor="text1"/>
          <w:sz w:val="22"/>
          <w:szCs w:val="22"/>
        </w:rPr>
        <w:t xml:space="preserve">(based on recommendations by Hoffman </w:t>
      </w:r>
      <w:r w:rsidR="00CB17F3" w:rsidRPr="00CD2448">
        <w:rPr>
          <w:rFonts w:ascii="Arial" w:hAnsi="Arial" w:cs="Arial"/>
          <w:color w:val="000000" w:themeColor="text1"/>
          <w:sz w:val="22"/>
          <w:szCs w:val="22"/>
        </w:rPr>
        <w:t>and colleagues</w:t>
      </w:r>
      <w:r w:rsidR="006914AE" w:rsidRPr="00CD2448">
        <w:rPr>
          <w:rFonts w:ascii="Arial" w:eastAsiaTheme="minorHAnsi" w:hAnsi="Arial" w:cs="Arial"/>
          <w:color w:val="000000" w:themeColor="text1"/>
          <w:sz w:val="22"/>
          <w:szCs w:val="22"/>
          <w14:ligatures w14:val="standardContextual"/>
        </w:rPr>
        <w:t xml:space="preserve"> </w:t>
      </w:r>
      <w:r w:rsidR="006914AE"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&lt;EndNote&gt;&lt;Cite&gt;&lt;Author&gt;Hoffman&lt;/Author&gt;&lt;Year&gt;2021&lt;/Year&gt;&lt;RecNum&gt;26&lt;/RecNum&gt;&lt;DisplayText&gt;[6]&lt;/DisplayText&gt;&lt;record&gt;&lt;rec-number&gt;26&lt;/rec-number&gt;&lt;foreign-keys&gt;&lt;key app="EN" db-id="dzsadpavbdaf27ef9zmxw006vzddp0epfpxa" timestamp="1759159643"&gt;26&lt;/key&gt;&lt;/foreign-keys&gt;&lt;ref-type name="Journal Article"&gt;17&lt;/ref-type&gt;&lt;contributors&gt;&lt;authors&gt;&lt;author&gt;Hoffman, Gabriel E&lt;/author&gt;&lt;author&gt;Roussos, Panos&lt;/author&gt;&lt;/authors&gt;&lt;/contributors&gt;&lt;titles&gt;&lt;title&gt;Dream: powerful differential expression analysis for repeated measures designs&lt;/title&gt;&lt;secondary-title&gt;Bioinformatics&lt;/secondary-title&gt;&lt;/titles&gt;&lt;periodical&gt;&lt;full-title&gt;Bioinformatics&lt;/full-title&gt;&lt;/periodical&gt;&lt;pages&gt;192-201&lt;/pages&gt;&lt;volume&gt;37&lt;/volume&gt;&lt;number&gt;2&lt;/number&gt;&lt;dates&gt;&lt;year&gt;2021&lt;/year&gt;&lt;/dates&gt;&lt;isbn&gt;1367-4803&lt;/isbn&gt;&lt;urls&gt;&lt;related-urls&gt;&lt;url&gt;https://academic.oup.com/bioinformatics/article/37/2/192/5878955&lt;/url&gt;&lt;/related-urls&gt;&lt;/urls&gt;&lt;electronic-resource-num&gt;10.1093/bioinformatics/btaa687&lt;/electronic-resource-num&gt;&lt;/record&gt;&lt;/Cite&gt;&lt;/EndNote&gt;</w:instrText>
      </w:r>
      <w:r w:rsidR="006914AE"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[6]</w:t>
      </w:r>
      <w:r w:rsidR="006914AE" w:rsidRPr="00CD2448">
        <w:rPr>
          <w:rFonts w:ascii="Arial" w:eastAsiaTheme="minorHAnsi" w:hAnsi="Arial" w:cs="Arial"/>
          <w:color w:val="000000" w:themeColor="text1"/>
          <w:sz w:val="22"/>
          <w:szCs w:val="22"/>
          <w14:ligatures w14:val="standardContextual"/>
        </w:rPr>
        <w:fldChar w:fldCharType="end"/>
      </w:r>
      <w:r w:rsidR="0065567A" w:rsidRPr="00CD2448">
        <w:rPr>
          <w:rFonts w:ascii="Arial" w:eastAsiaTheme="minorHAnsi" w:hAnsi="Arial" w:cs="Arial"/>
          <w:color w:val="000000" w:themeColor="text1"/>
          <w:sz w:val="22"/>
          <w:szCs w:val="22"/>
          <w14:ligatures w14:val="standardContextual"/>
        </w:rPr>
        <w:t>)</w:t>
      </w:r>
      <w:r w:rsidR="00A05810"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 xml:space="preserve">to infer </w:t>
      </w:r>
      <w:r w:rsidR="00A05810" w:rsidRPr="00CD2448">
        <w:rPr>
          <w:rFonts w:ascii="Arial" w:hAnsi="Arial" w:cs="Arial"/>
          <w:color w:val="000000" w:themeColor="text1"/>
          <w:sz w:val="22"/>
          <w:szCs w:val="22"/>
        </w:rPr>
        <w:t xml:space="preserve">robust </w:t>
      </w:r>
      <w:r w:rsidRPr="00CD2448">
        <w:rPr>
          <w:rFonts w:ascii="Arial" w:hAnsi="Arial" w:cs="Arial"/>
          <w:color w:val="000000" w:themeColor="text1"/>
          <w:sz w:val="22"/>
          <w:szCs w:val="22"/>
        </w:rPr>
        <w:t>conclusions regarding treatment effect</w:t>
      </w:r>
      <w:r w:rsidR="00A05810" w:rsidRPr="00CD2448">
        <w:rPr>
          <w:rFonts w:ascii="Arial" w:hAnsi="Arial" w:cs="Arial"/>
          <w:color w:val="000000" w:themeColor="text1"/>
          <w:sz w:val="22"/>
          <w:szCs w:val="22"/>
        </w:rPr>
        <w:t xml:space="preserve">s </w:t>
      </w:r>
      <w:r w:rsidRPr="00CD2448">
        <w:rPr>
          <w:rFonts w:ascii="Arial" w:hAnsi="Arial" w:cs="Arial"/>
          <w:color w:val="000000" w:themeColor="text1"/>
          <w:sz w:val="22"/>
          <w:szCs w:val="22"/>
        </w:rPr>
        <w:t xml:space="preserve">across cell lines. Significant contributors to variance </w:t>
      </w:r>
      <w:r w:rsidR="00266C65"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as determined by </w:t>
      </w:r>
      <w:proofErr w:type="spellStart"/>
      <w:r w:rsidR="007F07C4" w:rsidRPr="00CD2448">
        <w:rPr>
          <w:rFonts w:ascii="Arial" w:hAnsi="Arial" w:cs="Arial"/>
          <w:i/>
          <w:iCs/>
          <w:color w:val="000000" w:themeColor="text1"/>
          <w:sz w:val="22"/>
          <w:szCs w:val="22"/>
        </w:rPr>
        <w:t>v</w:t>
      </w:r>
      <w:r w:rsidRPr="00CD2448">
        <w:rPr>
          <w:rFonts w:ascii="Arial" w:hAnsi="Arial" w:cs="Arial"/>
          <w:i/>
          <w:iCs/>
          <w:color w:val="000000" w:themeColor="text1"/>
          <w:sz w:val="22"/>
          <w:szCs w:val="22"/>
        </w:rPr>
        <w:t>ariancePartition</w:t>
      </w:r>
      <w:proofErr w:type="spellEnd"/>
      <w:r w:rsidR="006E6397"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ExcludeYear="1"&gt;&lt;Author&gt;Hoffman&lt;/Author&gt;&lt;Year&gt;2016&lt;/Year&gt;&lt;RecNum&gt;102&lt;/RecNum&gt;&lt;DisplayText&gt;[7]&lt;/DisplayText&gt;&lt;record&gt;&lt;rec-number&gt;102&lt;/rec-number&gt;&lt;foreign-keys&gt;&lt;key app="EN" db-id="dzsadpavbdaf27ef9zmxw006vzddp0epfpxa" timestamp="1759239214"&gt;102&lt;/key&gt;&lt;/foreign-keys&gt;&lt;ref-type name="Journal Article"&gt;17&lt;/ref-type&gt;&lt;contributors&gt;&lt;authors&gt;&lt;author&gt;Hoffman, Gabriel E&lt;/author&gt;&lt;author&gt;Schadt, E.E.&lt;/author&gt;&lt;/authors&gt;&lt;/contributors&gt;&lt;titles&gt;&lt;title&gt;variancePartition: interpreting drivers of variation in complex gene expression studies&lt;/title&gt;&lt;secondary-title&gt;BMC Bioinformatics&lt;/secondary-title&gt;&lt;/titles&gt;&lt;periodical&gt;&lt;full-title&gt;BMC Bioinformatics&lt;/full-title&gt;&lt;/periodical&gt;&lt;pages&gt;483&lt;/pages&gt;&lt;volume&gt;17&lt;/volume&gt;&lt;dates&gt;&lt;year&gt;2016&lt;/year&gt;&lt;/dates&gt;&lt;urls&gt;&lt;/urls&gt;&lt;/record&gt;&lt;/Cite&gt;&lt;/EndNote&gt;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[7]</w:t>
      </w:r>
      <w:r w:rsidR="00C770C0" w:rsidRPr="00CD2448">
        <w:rPr>
          <w:rFonts w:ascii="Arial" w:eastAsiaTheme="minorHAnsi" w:hAnsi="Arial" w:cs="Arial"/>
          <w:color w:val="000000" w:themeColor="text1"/>
          <w:sz w:val="22"/>
          <w:szCs w:val="22"/>
          <w14:ligatures w14:val="standardContextual"/>
        </w:rPr>
        <w:fldChar w:fldCharType="end"/>
      </w:r>
      <w:r w:rsidR="0065567A" w:rsidRPr="00CD2448">
        <w:rPr>
          <w:rFonts w:ascii="Arial" w:hAnsi="Arial" w:cs="Arial"/>
          <w:color w:val="000000" w:themeColor="text1"/>
          <w:sz w:val="22"/>
          <w:szCs w:val="22"/>
        </w:rPr>
        <w:t>,</w:t>
      </w:r>
      <w:r w:rsidR="00266C65"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 xml:space="preserve">sequencing batch and </w:t>
      </w:r>
      <w:r w:rsidR="00A42254" w:rsidRPr="00CD2448">
        <w:rPr>
          <w:rFonts w:ascii="Arial" w:hAnsi="Arial" w:cs="Arial"/>
          <w:color w:val="000000" w:themeColor="text1"/>
          <w:sz w:val="22"/>
          <w:szCs w:val="22"/>
        </w:rPr>
        <w:t>donor</w:t>
      </w:r>
      <w:r w:rsidR="009876E0" w:rsidRPr="00CD2448">
        <w:rPr>
          <w:rFonts w:ascii="Arial" w:hAnsi="Arial" w:cs="Arial"/>
          <w:color w:val="000000" w:themeColor="text1"/>
          <w:sz w:val="22"/>
          <w:szCs w:val="22"/>
        </w:rPr>
        <w:t>)</w:t>
      </w:r>
      <w:r w:rsidRPr="00CD2448">
        <w:rPr>
          <w:rFonts w:ascii="Arial" w:hAnsi="Arial" w:cs="Arial"/>
          <w:color w:val="000000" w:themeColor="text1"/>
          <w:sz w:val="22"/>
          <w:szCs w:val="22"/>
        </w:rPr>
        <w:t>,</w:t>
      </w:r>
      <w:r w:rsidR="009876E0"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were also included as random effects</w:t>
      </w:r>
      <w:r w:rsidR="00E417B5" w:rsidRPr="00CD2448">
        <w:rPr>
          <w:rFonts w:ascii="Arial" w:hAnsi="Arial" w:cs="Arial"/>
          <w:color w:val="000000" w:themeColor="text1"/>
          <w:sz w:val="22"/>
          <w:szCs w:val="22"/>
        </w:rPr>
        <w:t xml:space="preserve"> (0 + </w:t>
      </w:r>
      <w:proofErr w:type="spellStart"/>
      <w:r w:rsidR="00E417B5" w:rsidRPr="00CD2448">
        <w:rPr>
          <w:rFonts w:ascii="Arial" w:hAnsi="Arial" w:cs="Arial"/>
          <w:color w:val="000000" w:themeColor="text1"/>
          <w:sz w:val="22"/>
          <w:szCs w:val="22"/>
        </w:rPr>
        <w:t>ExperimentConditions</w:t>
      </w:r>
      <w:proofErr w:type="spellEnd"/>
      <w:r w:rsidR="00E417B5" w:rsidRPr="00CD2448">
        <w:rPr>
          <w:rFonts w:ascii="Arial" w:hAnsi="Arial" w:cs="Arial"/>
          <w:color w:val="000000" w:themeColor="text1"/>
          <w:sz w:val="22"/>
          <w:szCs w:val="22"/>
        </w:rPr>
        <w:t xml:space="preserve"> + (1|Dx) + (1|SequencingBatch) + (1|CellLine))</w:t>
      </w:r>
      <w:r w:rsidRPr="00CD2448">
        <w:rPr>
          <w:rFonts w:ascii="Arial" w:hAnsi="Arial" w:cs="Arial"/>
          <w:color w:val="000000" w:themeColor="text1"/>
          <w:sz w:val="22"/>
          <w:szCs w:val="22"/>
        </w:rPr>
        <w:t xml:space="preserve">. After removal of </w:t>
      </w:r>
      <w:r w:rsidR="00266C65" w:rsidRPr="00CD2448">
        <w:rPr>
          <w:rFonts w:ascii="Arial" w:hAnsi="Arial" w:cs="Arial"/>
          <w:color w:val="000000" w:themeColor="text1"/>
          <w:sz w:val="22"/>
          <w:szCs w:val="22"/>
        </w:rPr>
        <w:t>minimally</w:t>
      </w:r>
      <w:r w:rsidRPr="00CD2448">
        <w:rPr>
          <w:rFonts w:ascii="Arial" w:hAnsi="Arial" w:cs="Arial"/>
          <w:color w:val="000000" w:themeColor="text1"/>
          <w:sz w:val="22"/>
          <w:szCs w:val="22"/>
        </w:rPr>
        <w:t xml:space="preserve"> expressed genes through </w:t>
      </w:r>
      <w:proofErr w:type="spellStart"/>
      <w:r w:rsidRPr="00CD2448">
        <w:rPr>
          <w:rFonts w:ascii="Arial" w:hAnsi="Arial" w:cs="Arial"/>
          <w:color w:val="000000" w:themeColor="text1"/>
          <w:sz w:val="22"/>
          <w:szCs w:val="22"/>
        </w:rPr>
        <w:t>edgeR</w:t>
      </w:r>
      <w:proofErr w:type="spellEnd"/>
      <w:r w:rsidRPr="00CD2448">
        <w:rPr>
          <w:rFonts w:ascii="Arial" w:hAnsi="Arial" w:cs="Arial"/>
          <w:color w:val="000000" w:themeColor="text1"/>
          <w:sz w:val="22"/>
          <w:szCs w:val="22"/>
        </w:rPr>
        <w:t xml:space="preserve"> (counts per million </w:t>
      </w:r>
      <w:r w:rsidR="00E130D4" w:rsidRPr="00CD2448">
        <w:rPr>
          <w:rFonts w:ascii="Arial" w:hAnsi="Arial" w:cs="Arial"/>
          <w:color w:val="000000" w:themeColor="text1"/>
          <w:sz w:val="22"/>
          <w:szCs w:val="22"/>
        </w:rPr>
        <w:t xml:space="preserve">&gt; </w:t>
      </w:r>
      <w:r w:rsidRPr="00CD2448">
        <w:rPr>
          <w:rFonts w:ascii="Arial" w:hAnsi="Arial" w:cs="Arial"/>
          <w:color w:val="000000" w:themeColor="text1"/>
          <w:sz w:val="22"/>
          <w:szCs w:val="22"/>
        </w:rPr>
        <w:t xml:space="preserve">0.1 in at least </w:t>
      </w:r>
      <w:r w:rsidR="00821925" w:rsidRPr="00CD2448">
        <w:rPr>
          <w:rFonts w:ascii="Arial" w:hAnsi="Arial" w:cs="Arial"/>
          <w:color w:val="000000" w:themeColor="text1"/>
          <w:sz w:val="22"/>
          <w:szCs w:val="22"/>
        </w:rPr>
        <w:t>five</w:t>
      </w:r>
      <w:r w:rsidRPr="00CD2448">
        <w:rPr>
          <w:rFonts w:ascii="Arial" w:hAnsi="Arial" w:cs="Arial"/>
          <w:color w:val="000000" w:themeColor="text1"/>
          <w:sz w:val="22"/>
          <w:szCs w:val="22"/>
        </w:rPr>
        <w:t xml:space="preserve"> samples), differential analysis</w:t>
      </w:r>
      <w:r w:rsidR="00E21CEB" w:rsidRPr="00CD2448">
        <w:rPr>
          <w:rFonts w:ascii="Arial" w:hAnsi="Arial" w:cs="Arial"/>
          <w:color w:val="000000" w:themeColor="text1"/>
          <w:sz w:val="22"/>
          <w:szCs w:val="22"/>
        </w:rPr>
        <w:t xml:space="preserve"> for drug (vs </w:t>
      </w:r>
      <w:r w:rsidR="00796190" w:rsidRPr="00CD2448">
        <w:rPr>
          <w:rFonts w:ascii="Arial" w:hAnsi="Arial" w:cs="Arial"/>
          <w:color w:val="000000" w:themeColor="text1"/>
          <w:sz w:val="22"/>
          <w:szCs w:val="22"/>
        </w:rPr>
        <w:t>v</w:t>
      </w:r>
      <w:r w:rsidR="00E21CEB" w:rsidRPr="00CD2448">
        <w:rPr>
          <w:rFonts w:ascii="Arial" w:hAnsi="Arial" w:cs="Arial"/>
          <w:color w:val="000000" w:themeColor="text1"/>
          <w:sz w:val="22"/>
          <w:szCs w:val="22"/>
        </w:rPr>
        <w:t>ehicle)</w:t>
      </w:r>
      <w:r w:rsidRPr="00CD2448">
        <w:rPr>
          <w:rFonts w:ascii="Arial" w:hAnsi="Arial" w:cs="Arial"/>
          <w:color w:val="000000" w:themeColor="text1"/>
          <w:sz w:val="22"/>
          <w:szCs w:val="22"/>
        </w:rPr>
        <w:t xml:space="preserve"> was conducted with </w:t>
      </w:r>
      <w:proofErr w:type="spellStart"/>
      <w:r w:rsidR="008D7CEB" w:rsidRPr="00CD2448">
        <w:rPr>
          <w:rFonts w:ascii="Arial" w:hAnsi="Arial" w:cs="Arial"/>
          <w:color w:val="000000" w:themeColor="text1"/>
          <w:sz w:val="22"/>
          <w:szCs w:val="22"/>
        </w:rPr>
        <w:t>L</w:t>
      </w:r>
      <w:r w:rsidR="00553F0F" w:rsidRPr="00CD2448">
        <w:rPr>
          <w:rFonts w:ascii="Arial" w:hAnsi="Arial" w:cs="Arial"/>
          <w:color w:val="000000" w:themeColor="text1"/>
          <w:sz w:val="22"/>
          <w:szCs w:val="22"/>
        </w:rPr>
        <w:t>imma</w:t>
      </w:r>
      <w:proofErr w:type="spellEnd"/>
      <w:r w:rsidR="00553F0F" w:rsidRPr="00CD2448">
        <w:rPr>
          <w:rFonts w:ascii="Arial" w:hAnsi="Arial" w:cs="Arial"/>
          <w:color w:val="000000" w:themeColor="text1"/>
          <w:sz w:val="22"/>
          <w:szCs w:val="22"/>
        </w:rPr>
        <w:t>/D</w:t>
      </w:r>
      <w:r w:rsidRPr="00CD2448">
        <w:rPr>
          <w:rFonts w:ascii="Arial" w:hAnsi="Arial" w:cs="Arial"/>
          <w:color w:val="000000" w:themeColor="text1"/>
          <w:sz w:val="22"/>
          <w:szCs w:val="22"/>
        </w:rPr>
        <w:t>ream</w:t>
      </w:r>
      <w:r w:rsidR="00553F0F" w:rsidRPr="00CD2448">
        <w:rPr>
          <w:rFonts w:ascii="Arial" w:hAnsi="Arial" w:cs="Arial"/>
          <w:color w:val="000000" w:themeColor="text1"/>
          <w:sz w:val="22"/>
          <w:szCs w:val="22"/>
        </w:rPr>
        <w:t xml:space="preserve"> to handle </w:t>
      </w:r>
      <w:r w:rsidR="00996CBC" w:rsidRPr="00CD2448">
        <w:rPr>
          <w:rFonts w:ascii="Arial" w:hAnsi="Arial" w:cs="Arial"/>
          <w:color w:val="000000" w:themeColor="text1"/>
          <w:sz w:val="22"/>
          <w:szCs w:val="22"/>
        </w:rPr>
        <w:t xml:space="preserve">the </w:t>
      </w:r>
      <w:r w:rsidR="00553F0F" w:rsidRPr="00CD2448">
        <w:rPr>
          <w:rFonts w:ascii="Arial" w:hAnsi="Arial" w:cs="Arial"/>
          <w:color w:val="000000" w:themeColor="text1"/>
          <w:sz w:val="22"/>
          <w:szCs w:val="22"/>
        </w:rPr>
        <w:t>mixed e</w:t>
      </w:r>
      <w:r w:rsidRPr="00CD2448">
        <w:rPr>
          <w:rFonts w:ascii="Arial" w:hAnsi="Arial" w:cs="Arial"/>
          <w:color w:val="000000" w:themeColor="text1"/>
          <w:sz w:val="22"/>
          <w:szCs w:val="22"/>
        </w:rPr>
        <w:t>ffects</w:t>
      </w:r>
      <w:r w:rsidR="006914AE" w:rsidRPr="00CD2448">
        <w:rPr>
          <w:rFonts w:ascii="Arial" w:hAnsi="Arial" w:cs="Arial"/>
          <w:color w:val="000000" w:themeColor="text1"/>
          <w:sz w:val="22"/>
          <w:szCs w:val="22"/>
        </w:rPr>
        <w:t xml:space="preserve"> </w:t>
      </w:r>
      <w:r w:rsidR="006914AE"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&lt;EndNote&gt;&lt;Cite&gt;&lt;Author&gt;Hoffman&lt;/Author&gt;&lt;Year&gt;2021&lt;/Year&gt;&lt;RecNum&gt;26&lt;/RecNum&gt;&lt;DisplayText&gt;[6]&lt;/DisplayText&gt;&lt;record&gt;&lt;rec-number&gt;26&lt;/rec-number&gt;&lt;foreign-keys&gt;&lt;key app="EN" db-id="dzsadpavbdaf27ef9zmxw006vzddp0epfpxa" timestamp="1759159643"&gt;26&lt;/key&gt;&lt;/foreign-keys&gt;&lt;ref-type name="Journal Article"&gt;17&lt;/ref-type&gt;&lt;contributors&gt;&lt;authors&gt;&lt;author&gt;Hoffman, Gabriel E&lt;/author&gt;&lt;author&gt;Roussos, Panos&lt;/author&gt;&lt;/authors&gt;&lt;/contributors&gt;&lt;titles&gt;&lt;title&gt;Dream: powerful differential expression analysis for repeated measures designs&lt;/title&gt;&lt;secondary-title&gt;Bioinformatics&lt;/secondary-title&gt;&lt;/titles&gt;&lt;periodical&gt;&lt;full-title&gt;Bioinformatics&lt;/full-title&gt;&lt;/periodical&gt;&lt;pages&gt;192-201&lt;/pages&gt;&lt;volume&gt;37&lt;/volume&gt;&lt;number&gt;2&lt;/number&gt;&lt;dates&gt;&lt;year&gt;2021&lt;/year&gt;&lt;/dates&gt;&lt;isbn&gt;1367-4803&lt;/isbn&gt;&lt;urls&gt;&lt;related-urls&gt;&lt;url&gt;https://academic.oup.com/bioinformatics/article/37/2/192/5878955&lt;/url&gt;&lt;/related-urls&gt;&lt;/urls&gt;&lt;electronic-resource-num&gt;10.1093/bioinformatics/btaa687&lt;/electronic-resource-num&gt;&lt;/record&gt;&lt;/Cite&gt;&lt;/EndNote&gt;</w:instrText>
      </w:r>
      <w:r w:rsidR="006914AE"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[6]</w:t>
      </w:r>
      <w:r w:rsidR="006914AE"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w:t>
      </w:r>
      <w:r w:rsidR="004E16E8" w:rsidRPr="00CD2448">
        <w:rPr>
          <w:rFonts w:ascii="Arial" w:hAnsi="Arial" w:cs="Arial"/>
          <w:color w:val="000000" w:themeColor="text1"/>
          <w:sz w:val="22"/>
          <w:szCs w:val="22"/>
        </w:rPr>
        <w:t xml:space="preserve">Pipeline-specific parameter choices can be found in the relevant sections of the </w:t>
      </w:r>
      <w:r w:rsidR="004E16E8" w:rsidRPr="00CD2448">
        <w:rPr>
          <w:rFonts w:ascii="Arial" w:hAnsi="Arial" w:cs="Arial"/>
          <w:i/>
          <w:iCs/>
          <w:color w:val="000000" w:themeColor="text1"/>
          <w:sz w:val="22"/>
          <w:szCs w:val="22"/>
        </w:rPr>
        <w:t>R</w:t>
      </w:r>
      <w:r w:rsidR="004E16E8" w:rsidRPr="00CD2448">
        <w:rPr>
          <w:rFonts w:ascii="Arial" w:hAnsi="Arial" w:cs="Arial"/>
          <w:color w:val="000000" w:themeColor="text1"/>
          <w:sz w:val="22"/>
          <w:szCs w:val="22"/>
        </w:rPr>
        <w:t xml:space="preserve"> markdown file attached as a supplement (</w:t>
      </w:r>
      <w:r w:rsidR="004E16E8" w:rsidRPr="00CD2448">
        <w:rPr>
          <w:rFonts w:ascii="Arial" w:hAnsi="Arial" w:cs="Arial"/>
          <w:b/>
          <w:bCs/>
          <w:color w:val="000000" w:themeColor="text1"/>
          <w:sz w:val="22"/>
          <w:szCs w:val="22"/>
        </w:rPr>
        <w:t>Supplementary File S2</w:t>
      </w:r>
      <w:r w:rsidR="00796190" w:rsidRPr="00CD2448">
        <w:rPr>
          <w:rFonts w:ascii="Arial" w:hAnsi="Arial" w:cs="Arial"/>
          <w:color w:val="000000" w:themeColor="text1"/>
          <w:sz w:val="22"/>
          <w:szCs w:val="22"/>
        </w:rPr>
        <w:t>)</w:t>
      </w:r>
      <w:r w:rsidR="004E16E8" w:rsidRPr="00CD2448">
        <w:rPr>
          <w:rFonts w:ascii="Arial" w:hAnsi="Arial" w:cs="Arial"/>
          <w:color w:val="000000" w:themeColor="text1"/>
          <w:sz w:val="22"/>
          <w:szCs w:val="22"/>
        </w:rPr>
        <w:t>.</w:t>
      </w:r>
    </w:p>
    <w:p w14:paraId="660CF5A2" w14:textId="77777777" w:rsidR="00D03530" w:rsidRPr="00CD2448" w:rsidRDefault="00D03530" w:rsidP="00415257">
      <w:pPr>
        <w:rPr>
          <w:rFonts w:ascii="Arial" w:hAnsi="Arial" w:cs="Arial"/>
          <w:color w:val="000000" w:themeColor="text1"/>
          <w:sz w:val="22"/>
          <w:szCs w:val="22"/>
        </w:rPr>
      </w:pPr>
    </w:p>
    <w:p w14:paraId="1A38467C" w14:textId="77777777"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 xml:space="preserve">Clinical Comparison with Cerebrospinal Fluid (CSF) Proteomics </w:t>
      </w:r>
    </w:p>
    <w:p w14:paraId="1A601B8F" w14:textId="2A7E8CFA" w:rsidR="008F2114"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As an exploratory analysis to determine whether changes observed in the iPSC-derived neurons </w:t>
      </w:r>
      <w:r w:rsidR="006D72EF" w:rsidRPr="00CD2448">
        <w:rPr>
          <w:rFonts w:ascii="Arial" w:hAnsi="Arial" w:cs="Arial"/>
          <w:color w:val="000000" w:themeColor="text1"/>
          <w:sz w:val="22"/>
          <w:szCs w:val="22"/>
        </w:rPr>
        <w:t xml:space="preserve">overlap </w:t>
      </w:r>
      <w:r w:rsidRPr="00CD2448">
        <w:rPr>
          <w:rFonts w:ascii="Arial" w:hAnsi="Arial" w:cs="Arial"/>
          <w:color w:val="000000" w:themeColor="text1"/>
          <w:sz w:val="22"/>
          <w:szCs w:val="22"/>
        </w:rPr>
        <w:t>central changes after ketamine administration in humans</w:t>
      </w:r>
      <w:r w:rsidR="00DC7876" w:rsidRPr="00CD2448">
        <w:rPr>
          <w:rFonts w:ascii="Arial" w:hAnsi="Arial" w:cs="Arial"/>
          <w:color w:val="000000" w:themeColor="text1"/>
          <w:sz w:val="22"/>
          <w:szCs w:val="22"/>
        </w:rPr>
        <w:t>, s</w:t>
      </w:r>
      <w:r w:rsidRPr="00CD2448">
        <w:rPr>
          <w:rFonts w:ascii="Arial" w:hAnsi="Arial" w:cs="Arial"/>
          <w:color w:val="000000" w:themeColor="text1"/>
          <w:sz w:val="22"/>
          <w:szCs w:val="22"/>
        </w:rPr>
        <w:t xml:space="preserve">ignificantly differentially expressed genes </w:t>
      </w:r>
      <w:r w:rsidRPr="00CD2448">
        <w:rPr>
          <w:rFonts w:ascii="Arial" w:hAnsi="Arial" w:cs="Arial"/>
          <w:color w:val="000000" w:themeColor="text1"/>
          <w:sz w:val="22"/>
          <w:szCs w:val="22"/>
        </w:rPr>
        <w:lastRenderedPageBreak/>
        <w:t>(DEGs) from the bulk RNA-seq from our iPSC-derived neurons were compared to CSF proteomics</w:t>
      </w:r>
      <w:r w:rsidR="00DC7876" w:rsidRPr="00CD2448">
        <w:rPr>
          <w:rFonts w:ascii="Arial" w:hAnsi="Arial" w:cs="Arial"/>
          <w:color w:val="000000" w:themeColor="text1"/>
          <w:sz w:val="22"/>
          <w:szCs w:val="22"/>
        </w:rPr>
        <w:t>; results from the original experiments have previously been published</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ExcludeYear="1"&gt;&lt;Author&gt;Moaddel&lt;/Author&gt;&lt;Year&gt;2023&lt;/Year&gt;&lt;RecNum&gt;27&lt;/RecNum&gt;&lt;DisplayText&gt;[8]&lt;/DisplayText&gt;&lt;record&gt;&lt;rec-number&gt;27&lt;/rec-number&gt;&lt;foreign-keys&gt;&lt;key app="EN" db-id="dzsadpavbdaf27ef9zmxw006vzddp0epfpxa" timestamp="1759159643"&gt;27&lt;/key&gt;&lt;/foreign-keys&gt;&lt;ref-type name="Journal Article"&gt;17&lt;/ref-type&gt;&lt;contributors&gt;&lt;authors&gt;&lt;author&gt;Moaddel, Ruin&lt;/author&gt;&lt;author&gt;Farmer, Cristan A.&lt;/author&gt;&lt;author&gt;Yavi, Mani&lt;/author&gt;&lt;author&gt;Kadriu, Bashkim&lt;/author&gt;&lt;author&gt;Zhu, Min&lt;/author&gt;&lt;author&gt;Fan, Jinshui&lt;/author&gt;&lt;author&gt;Chen, Qinghua&lt;/author&gt;&lt;author&gt;Lehrmann, Elin&lt;/author&gt;&lt;author&gt;Fantoni, Giovanna&lt;/author&gt;&lt;author&gt;De, Supriyo&lt;/author&gt;&lt;author&gt;Mazucanti, Caio H.&lt;/author&gt;&lt;author&gt;Acevedo-Diaz, Elia E.&lt;/author&gt;&lt;author&gt;Yuan, Peixiong&lt;/author&gt;&lt;author&gt;Gould, Todd D.&lt;/author&gt;&lt;author&gt;Park, Lawrence T.&lt;/author&gt;&lt;author&gt;Egan, Josephine M.&lt;/author&gt;&lt;author&gt;Ferrucci, Luigi&lt;/author&gt;&lt;author&gt;Zarate, Carlos A.&lt;/author&gt;&lt;/authors&gt;&lt;/contributors&gt;&lt;titles&gt;&lt;title&gt;Cerebrospinal fluid exploratory proteomics and ketamine metabolite pharmacokinetics in human volunteers after ketamine infusion&lt;/title&gt;&lt;secondary-title&gt;iScience&lt;/secondary-title&gt;&lt;alt-title&gt;iScience&lt;/alt-title&gt;&lt;/titles&gt;&lt;periodical&gt;&lt;full-title&gt;iScience&lt;/full-title&gt;&lt;abbr-1&gt;iScience&lt;/abbr-1&gt;&lt;/periodical&gt;&lt;alt-periodical&gt;&lt;full-title&gt;iScience&lt;/full-title&gt;&lt;abbr-1&gt;iScience&lt;/abbr-1&gt;&lt;/alt-periodical&gt;&lt;pages&gt;108527&lt;/pages&gt;&lt;volume&gt;26&lt;/volume&gt;&lt;number&gt;12&lt;/number&gt;&lt;dates&gt;&lt;year&gt;2023&lt;/year&gt;&lt;pub-dates&gt;&lt;date&gt;2023/11/23/&lt;/date&gt;&lt;/pub-dates&gt;&lt;/dates&gt;&lt;isbn&gt;2589-0042&lt;/isbn&gt;&lt;urls&gt;&lt;related-urls&gt;&lt;url&gt;https://www.ncbi.nlm.nih.gov/pmc/articles/PMC10755719/&lt;/url&gt;&lt;/related-urls&gt;&lt;/urls&gt;&lt;electronic-resource-num&gt;10.1016/j.isci.2023.108527&lt;/electronic-resource-num&gt;&lt;remote-database-provider&gt;PubMed Central&lt;/remote-database-provider&gt;&lt;access-date&gt;2024/04/02/21:41:55&lt;/access-date&gt;&lt;/record&gt;&lt;/Cite&gt;&lt;/EndNote&gt;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[8]</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Briefly, CSF proteomics were collected at multiple timepoints (40 min, 2 </w:t>
      </w:r>
      <w:proofErr w:type="spellStart"/>
      <w:r w:rsidRPr="00CD2448">
        <w:rPr>
          <w:rFonts w:ascii="Arial" w:hAnsi="Arial" w:cs="Arial"/>
          <w:color w:val="000000" w:themeColor="text1"/>
          <w:sz w:val="22"/>
          <w:szCs w:val="22"/>
        </w:rPr>
        <w:t>hrs</w:t>
      </w:r>
      <w:proofErr w:type="spellEnd"/>
      <w:r w:rsidRPr="00CD2448">
        <w:rPr>
          <w:rFonts w:ascii="Arial" w:hAnsi="Arial" w:cs="Arial"/>
          <w:color w:val="000000" w:themeColor="text1"/>
          <w:sz w:val="22"/>
          <w:szCs w:val="22"/>
        </w:rPr>
        <w:t xml:space="preserve">, 4 </w:t>
      </w:r>
      <w:proofErr w:type="spellStart"/>
      <w:r w:rsidRPr="00CD2448">
        <w:rPr>
          <w:rFonts w:ascii="Arial" w:hAnsi="Arial" w:cs="Arial"/>
          <w:color w:val="000000" w:themeColor="text1"/>
          <w:sz w:val="22"/>
          <w:szCs w:val="22"/>
        </w:rPr>
        <w:t>hrs</w:t>
      </w:r>
      <w:proofErr w:type="spellEnd"/>
      <w:r w:rsidRPr="00CD2448">
        <w:rPr>
          <w:rFonts w:ascii="Arial" w:hAnsi="Arial" w:cs="Arial"/>
          <w:color w:val="000000" w:themeColor="text1"/>
          <w:sz w:val="22"/>
          <w:szCs w:val="22"/>
        </w:rPr>
        <w:t xml:space="preserve">, 6 </w:t>
      </w:r>
      <w:proofErr w:type="spellStart"/>
      <w:r w:rsidRPr="00CD2448">
        <w:rPr>
          <w:rFonts w:ascii="Arial" w:hAnsi="Arial" w:cs="Arial"/>
          <w:color w:val="000000" w:themeColor="text1"/>
          <w:sz w:val="22"/>
          <w:szCs w:val="22"/>
        </w:rPr>
        <w:t>hrs</w:t>
      </w:r>
      <w:proofErr w:type="spellEnd"/>
      <w:r w:rsidRPr="00CD2448">
        <w:rPr>
          <w:rFonts w:ascii="Arial" w:hAnsi="Arial" w:cs="Arial"/>
          <w:color w:val="000000" w:themeColor="text1"/>
          <w:sz w:val="22"/>
          <w:szCs w:val="22"/>
        </w:rPr>
        <w:t xml:space="preserve">, 12 </w:t>
      </w:r>
      <w:proofErr w:type="spellStart"/>
      <w:r w:rsidRPr="00CD2448">
        <w:rPr>
          <w:rFonts w:ascii="Arial" w:hAnsi="Arial" w:cs="Arial"/>
          <w:color w:val="000000" w:themeColor="text1"/>
          <w:sz w:val="22"/>
          <w:szCs w:val="22"/>
        </w:rPr>
        <w:t>hrs</w:t>
      </w:r>
      <w:proofErr w:type="spellEnd"/>
      <w:r w:rsidRPr="00CD2448">
        <w:rPr>
          <w:rFonts w:ascii="Arial" w:hAnsi="Arial" w:cs="Arial"/>
          <w:color w:val="000000" w:themeColor="text1"/>
          <w:sz w:val="22"/>
          <w:szCs w:val="22"/>
        </w:rPr>
        <w:t xml:space="preserve">, and 24 </w:t>
      </w:r>
      <w:proofErr w:type="spellStart"/>
      <w:r w:rsidRPr="00CD2448">
        <w:rPr>
          <w:rFonts w:ascii="Arial" w:hAnsi="Arial" w:cs="Arial"/>
          <w:color w:val="000000" w:themeColor="text1"/>
          <w:sz w:val="22"/>
          <w:szCs w:val="22"/>
        </w:rPr>
        <w:t>hrs</w:t>
      </w:r>
      <w:proofErr w:type="spellEnd"/>
      <w:r w:rsidRPr="00CD2448">
        <w:rPr>
          <w:rFonts w:ascii="Arial" w:hAnsi="Arial" w:cs="Arial"/>
          <w:color w:val="000000" w:themeColor="text1"/>
          <w:sz w:val="22"/>
          <w:szCs w:val="22"/>
        </w:rPr>
        <w:t xml:space="preserve">) after a single intravenous infusion of racemic ketamine in </w:t>
      </w:r>
      <w:r w:rsidR="000B073D" w:rsidRPr="00CD2448">
        <w:rPr>
          <w:rFonts w:ascii="Arial" w:hAnsi="Arial" w:cs="Arial"/>
          <w:color w:val="000000" w:themeColor="text1"/>
          <w:sz w:val="22"/>
          <w:szCs w:val="22"/>
        </w:rPr>
        <w:t xml:space="preserve">nine HVs, yielding </w:t>
      </w:r>
      <w:r w:rsidRPr="00CD2448">
        <w:rPr>
          <w:rFonts w:ascii="Arial" w:hAnsi="Arial" w:cs="Arial"/>
          <w:color w:val="000000" w:themeColor="text1"/>
          <w:sz w:val="22"/>
          <w:szCs w:val="22"/>
        </w:rPr>
        <w:t xml:space="preserve">54 total CSF samples. Proteomics were performed using the </w:t>
      </w:r>
      <w:proofErr w:type="spellStart"/>
      <w:r w:rsidRPr="00CD2448">
        <w:rPr>
          <w:rFonts w:ascii="Arial" w:hAnsi="Arial" w:cs="Arial"/>
          <w:color w:val="000000" w:themeColor="text1"/>
          <w:sz w:val="22"/>
          <w:szCs w:val="22"/>
        </w:rPr>
        <w:t>Olink</w:t>
      </w:r>
      <w:proofErr w:type="spellEnd"/>
      <w:r w:rsidRPr="00CD2448">
        <w:rPr>
          <w:rFonts w:ascii="Arial" w:hAnsi="Arial" w:cs="Arial"/>
          <w:color w:val="000000" w:themeColor="text1"/>
          <w:sz w:val="22"/>
          <w:szCs w:val="22"/>
        </w:rPr>
        <w:t xml:space="preserve"> Explore platform (Inflammation I, Oncology I, Cardiometabolic I, and Neurology I reagent kits). </w:t>
      </w:r>
      <w:r w:rsidR="008F2114" w:rsidRPr="00CD2448">
        <w:rPr>
          <w:rFonts w:ascii="Arial" w:hAnsi="Arial" w:cs="Arial"/>
          <w:color w:val="000000" w:themeColor="text1"/>
          <w:sz w:val="22"/>
          <w:szCs w:val="22"/>
        </w:rPr>
        <w:t>We wanted to identify</w:t>
      </w:r>
      <w:r w:rsidRPr="00CD2448">
        <w:rPr>
          <w:rFonts w:ascii="Arial" w:hAnsi="Arial" w:cs="Arial"/>
          <w:color w:val="000000" w:themeColor="text1"/>
          <w:sz w:val="22"/>
          <w:szCs w:val="22"/>
        </w:rPr>
        <w:t xml:space="preserve"> overlapping iPSC targets across the putative rapid-acting agents </w:t>
      </w:r>
      <w:r w:rsidR="006962DF" w:rsidRPr="00CD2448">
        <w:rPr>
          <w:rFonts w:ascii="Arial" w:hAnsi="Arial" w:cs="Arial"/>
          <w:color w:val="000000" w:themeColor="text1"/>
          <w:sz w:val="22"/>
          <w:szCs w:val="22"/>
        </w:rPr>
        <w:t xml:space="preserve">that </w:t>
      </w:r>
      <w:r w:rsidRPr="00CD2448">
        <w:rPr>
          <w:rFonts w:ascii="Arial" w:hAnsi="Arial" w:cs="Arial"/>
          <w:color w:val="000000" w:themeColor="text1"/>
          <w:sz w:val="22"/>
          <w:szCs w:val="22"/>
        </w:rPr>
        <w:t xml:space="preserve">would correspond to </w:t>
      </w:r>
      <w:r w:rsidR="008F2114" w:rsidRPr="00CD2448">
        <w:rPr>
          <w:rFonts w:ascii="Arial" w:hAnsi="Arial" w:cs="Arial"/>
          <w:color w:val="000000" w:themeColor="text1"/>
          <w:sz w:val="22"/>
          <w:szCs w:val="22"/>
        </w:rPr>
        <w:t>a</w:t>
      </w:r>
      <w:r w:rsidRPr="00CD2448">
        <w:rPr>
          <w:rFonts w:ascii="Arial" w:hAnsi="Arial" w:cs="Arial"/>
          <w:color w:val="000000" w:themeColor="text1"/>
          <w:sz w:val="22"/>
          <w:szCs w:val="22"/>
        </w:rPr>
        <w:t xml:space="preserve"> “ground-truth”</w:t>
      </w:r>
      <w:r w:rsidR="008F2114" w:rsidRPr="00CD2448">
        <w:rPr>
          <w:rFonts w:ascii="Arial" w:hAnsi="Arial" w:cs="Arial"/>
          <w:color w:val="000000" w:themeColor="text1"/>
          <w:sz w:val="22"/>
          <w:szCs w:val="22"/>
        </w:rPr>
        <w:t xml:space="preserve"> dataset:</w:t>
      </w:r>
      <w:r w:rsidRPr="00CD2448">
        <w:rPr>
          <w:rFonts w:ascii="Arial" w:hAnsi="Arial" w:cs="Arial"/>
          <w:color w:val="000000" w:themeColor="text1"/>
          <w:sz w:val="22"/>
          <w:szCs w:val="22"/>
        </w:rPr>
        <w:t xml:space="preserve"> human</w:t>
      </w:r>
      <w:r w:rsidR="008F2114" w:rsidRPr="00CD2448">
        <w:rPr>
          <w:rFonts w:ascii="Arial" w:hAnsi="Arial" w:cs="Arial"/>
          <w:color w:val="000000" w:themeColor="text1"/>
          <w:sz w:val="22"/>
          <w:szCs w:val="22"/>
        </w:rPr>
        <w:t>, brain-adjacent (</w:t>
      </w:r>
      <w:r w:rsidRPr="00CD2448">
        <w:rPr>
          <w:rFonts w:ascii="Arial" w:hAnsi="Arial" w:cs="Arial"/>
          <w:color w:val="000000" w:themeColor="text1"/>
          <w:sz w:val="22"/>
          <w:szCs w:val="22"/>
        </w:rPr>
        <w:t>CSF</w:t>
      </w:r>
      <w:r w:rsidR="008F2114" w:rsidRPr="00CD2448">
        <w:rPr>
          <w:rFonts w:ascii="Arial" w:hAnsi="Arial" w:cs="Arial"/>
          <w:color w:val="000000" w:themeColor="text1"/>
          <w:sz w:val="22"/>
          <w:szCs w:val="22"/>
        </w:rPr>
        <w:t xml:space="preserve">) protein shifts following the most clinically established </w:t>
      </w:r>
      <w:r w:rsidR="00DC0E32" w:rsidRPr="00CD2448">
        <w:rPr>
          <w:rFonts w:ascii="Arial" w:hAnsi="Arial" w:cs="Arial"/>
          <w:color w:val="000000" w:themeColor="text1"/>
          <w:sz w:val="22"/>
          <w:szCs w:val="22"/>
        </w:rPr>
        <w:t>rapid-acting antidepressant (</w:t>
      </w:r>
      <w:r w:rsidR="008F2114" w:rsidRPr="00CD2448">
        <w:rPr>
          <w:rFonts w:ascii="Arial" w:hAnsi="Arial" w:cs="Arial"/>
          <w:color w:val="000000" w:themeColor="text1"/>
          <w:sz w:val="22"/>
          <w:szCs w:val="22"/>
        </w:rPr>
        <w:t>RAAD</w:t>
      </w:r>
      <w:r w:rsidR="00DC0E32" w:rsidRPr="00CD2448">
        <w:rPr>
          <w:rFonts w:ascii="Arial" w:hAnsi="Arial" w:cs="Arial"/>
          <w:color w:val="000000" w:themeColor="text1"/>
          <w:sz w:val="22"/>
          <w:szCs w:val="22"/>
        </w:rPr>
        <w:t>)</w:t>
      </w:r>
      <w:r w:rsidR="008F2114"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ketamine)</w:t>
      </w:r>
      <w:r w:rsidR="008F2114" w:rsidRPr="00CD2448">
        <w:rPr>
          <w:rFonts w:ascii="Arial" w:hAnsi="Arial" w:cs="Arial"/>
          <w:color w:val="000000" w:themeColor="text1"/>
          <w:sz w:val="22"/>
          <w:szCs w:val="22"/>
        </w:rPr>
        <w:t xml:space="preserve">. We also wanted to distinguish probable drug related effects from inflammatory signals known to be produced by spinal catheters </w:t>
      </w:r>
      <w:r w:rsidR="008F2114" w:rsidRPr="00CD2448">
        <w:rPr>
          <w:rFonts w:ascii="Arial" w:hAnsi="Arial" w:cs="Arial"/>
          <w:color w:val="000000" w:themeColor="text1"/>
          <w:sz w:val="22"/>
          <w:szCs w:val="22"/>
        </w:rPr>
        <w:fldChar w:fldCharType="begin"/>
      </w:r>
      <w:r w:rsidR="008D0B4D" w:rsidRPr="00CD2448">
        <w:rPr>
          <w:rFonts w:ascii="Arial" w:hAnsi="Arial" w:cs="Arial"/>
          <w:color w:val="000000" w:themeColor="text1"/>
          <w:sz w:val="22"/>
          <w:szCs w:val="22"/>
        </w:rPr>
        <w:instrText xml:space="preserve"> ADDIN EN.CITE &lt;EndNote&gt;&lt;Cite&gt;&lt;Author&gt;Yeager&lt;/Author&gt;&lt;Year&gt;1999&lt;/Year&gt;&lt;RecNum&gt;22&lt;/RecNum&gt;&lt;DisplayText&gt;[9]&lt;/DisplayText&gt;&lt;record&gt;&lt;rec-number&gt;22&lt;/rec-number&gt;&lt;foreign-keys&gt;&lt;key app="EN" db-id="dzsadpavbdaf27ef9zmxw006vzddp0epfpxa" timestamp="1759159643"&gt;22&lt;/key&gt;&lt;/foreign-keys&gt;&lt;ref-type name="Journal Article"&gt;17&lt;/ref-type&gt;&lt;contributors&gt;&lt;authors&gt;&lt;author&gt;Yeager, M.P.&lt;/author&gt;&lt;author&gt;Lunt, P.&lt;/author&gt;&lt;author&gt;Arruda, J.&lt;/author&gt;&lt;author&gt;Whalen, K.&lt;/author&gt;&lt;author&gt;Rose, R.&lt;/author&gt;&lt;author&gt;DeLeo, J.A.&lt;/author&gt;&lt;/authors&gt;&lt;/contributors&gt;&lt;titles&gt;&lt;title&gt;Cerebrospinal fluid cytokine levels after surgery with spinal or general anesthesia&lt;/title&gt;&lt;secondary-title&gt;Reg Anesth Pain Med&lt;/secondary-title&gt;&lt;/titles&gt;&lt;periodical&gt;&lt;full-title&gt;Reg Anesth Pain Med&lt;/full-title&gt;&lt;/periodical&gt;&lt;pages&gt;557-562&lt;/pages&gt;&lt;volume&gt;24&lt;/volume&gt;&lt;dates&gt;&lt;year&gt;1999&lt;/year&gt;&lt;/dates&gt;&lt;urls&gt;&lt;related-urls&gt;&lt;url&gt;https://www.sciencedirect.com/science/article/pii/S1098733999900494&lt;/url&gt;&lt;/related-urls&gt;&lt;/urls&gt;&lt;access-date&gt;2025/02/20/21:49:08&lt;/access-date&gt;&lt;/record&gt;&lt;/Cite&gt;&lt;/EndNote&gt;</w:instrText>
      </w:r>
      <w:r w:rsidR="008F2114" w:rsidRPr="00CD2448">
        <w:rPr>
          <w:rFonts w:ascii="Arial" w:hAnsi="Arial" w:cs="Arial"/>
          <w:color w:val="000000" w:themeColor="text1"/>
          <w:sz w:val="22"/>
          <w:szCs w:val="22"/>
        </w:rPr>
        <w:fldChar w:fldCharType="separate"/>
      </w:r>
      <w:r w:rsidR="008D0B4D" w:rsidRPr="00CD2448">
        <w:rPr>
          <w:rFonts w:ascii="Arial" w:hAnsi="Arial" w:cs="Arial"/>
          <w:noProof/>
          <w:color w:val="000000" w:themeColor="text1"/>
          <w:sz w:val="22"/>
          <w:szCs w:val="22"/>
        </w:rPr>
        <w:t>[9]</w:t>
      </w:r>
      <w:r w:rsidR="008F2114" w:rsidRPr="00CD2448">
        <w:rPr>
          <w:rFonts w:ascii="Arial" w:hAnsi="Arial" w:cs="Arial"/>
          <w:color w:val="000000" w:themeColor="text1"/>
          <w:sz w:val="22"/>
          <w:szCs w:val="22"/>
        </w:rPr>
        <w:fldChar w:fldCharType="end"/>
      </w:r>
      <w:r w:rsidR="008F2114" w:rsidRPr="00CD2448">
        <w:rPr>
          <w:rFonts w:ascii="Arial" w:hAnsi="Arial" w:cs="Arial"/>
          <w:color w:val="000000" w:themeColor="text1"/>
          <w:sz w:val="22"/>
          <w:szCs w:val="22"/>
        </w:rPr>
        <w:t xml:space="preserve">. </w:t>
      </w:r>
    </w:p>
    <w:p w14:paraId="7AD31973" w14:textId="72C15A7F" w:rsidR="00D03530" w:rsidRPr="00CD2448" w:rsidRDefault="008F2114"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 To avoid falsely eliminating meaningful biological signals during the first stage (see discussion), </w:t>
      </w:r>
      <w:r w:rsidR="002468B7" w:rsidRPr="00CD2448">
        <w:rPr>
          <w:rFonts w:ascii="Arial" w:hAnsi="Arial" w:cs="Arial"/>
          <w:color w:val="000000" w:themeColor="text1"/>
          <w:sz w:val="22"/>
          <w:szCs w:val="22"/>
        </w:rPr>
        <w:t xml:space="preserve">DEGs from the iPSC conditions were kept at uncorrected (p&lt;0.05), while </w:t>
      </w:r>
      <w:r w:rsidR="00D03530" w:rsidRPr="00CD2448">
        <w:rPr>
          <w:rFonts w:ascii="Arial" w:hAnsi="Arial" w:cs="Arial"/>
          <w:color w:val="000000" w:themeColor="text1"/>
          <w:sz w:val="22"/>
          <w:szCs w:val="22"/>
        </w:rPr>
        <w:t xml:space="preserve">differential CSF protein expression was </w:t>
      </w:r>
      <w:r w:rsidR="00A970DE" w:rsidRPr="00CD2448">
        <w:rPr>
          <w:rFonts w:ascii="Arial" w:hAnsi="Arial" w:cs="Arial"/>
          <w:color w:val="000000" w:themeColor="text1"/>
          <w:sz w:val="22"/>
          <w:szCs w:val="22"/>
        </w:rPr>
        <w:t>false discovery rate (</w:t>
      </w:r>
      <w:r w:rsidR="00D03530" w:rsidRPr="00CD2448">
        <w:rPr>
          <w:rFonts w:ascii="Arial" w:hAnsi="Arial" w:cs="Arial"/>
          <w:color w:val="000000" w:themeColor="text1"/>
          <w:sz w:val="22"/>
          <w:szCs w:val="22"/>
        </w:rPr>
        <w:t>FDR</w:t>
      </w:r>
      <w:r w:rsidR="00A970DE" w:rsidRPr="00CD2448">
        <w:rPr>
          <w:rFonts w:ascii="Arial" w:hAnsi="Arial" w:cs="Arial"/>
          <w:color w:val="000000" w:themeColor="text1"/>
          <w:sz w:val="22"/>
          <w:szCs w:val="22"/>
        </w:rPr>
        <w:t>)</w:t>
      </w:r>
      <w:r w:rsidR="00D03530" w:rsidRPr="00CD2448">
        <w:rPr>
          <w:rFonts w:ascii="Arial" w:hAnsi="Arial" w:cs="Arial"/>
          <w:color w:val="000000" w:themeColor="text1"/>
          <w:sz w:val="22"/>
          <w:szCs w:val="22"/>
        </w:rPr>
        <w:t>-corrected for significance</w:t>
      </w:r>
      <w:r w:rsidR="007B39CF" w:rsidRPr="00CD2448">
        <w:rPr>
          <w:rFonts w:ascii="Arial" w:hAnsi="Arial" w:cs="Arial"/>
          <w:color w:val="000000" w:themeColor="text1"/>
          <w:sz w:val="22"/>
          <w:szCs w:val="22"/>
        </w:rPr>
        <w:t xml:space="preserve">(reported in Moaddel and colleagues </w:t>
      </w:r>
      <w:r w:rsidR="007B39CF"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ExcludeYear="1"&gt;&lt;Author&gt;Moaddel&lt;/Author&gt;&lt;Year&gt;2023&lt;/Year&gt;&lt;RecNum&gt;27&lt;/RecNum&gt;&lt;DisplayText&gt;[8]&lt;/DisplayText&gt;&lt;record&gt;&lt;rec-number&gt;27&lt;/rec-number&gt;&lt;foreign-keys&gt;&lt;key app="EN" db-id="dzsadpavbdaf27ef9zmxw006vzddp0epfpxa" timestamp="1759159643"&gt;27&lt;/key&gt;&lt;/foreign-keys&gt;&lt;ref-type name="Journal Article"&gt;17&lt;/ref-type&gt;&lt;contributors&gt;&lt;authors&gt;&lt;author&gt;Moaddel, Ruin&lt;/author&gt;&lt;author&gt;Farmer, Cristan A.&lt;/author&gt;&lt;author&gt;Yavi, Mani&lt;/author&gt;&lt;author&gt;Kadriu, Bashkim&lt;/author&gt;&lt;author&gt;Zhu, Min&lt;/author&gt;&lt;author&gt;Fan, Jinshui&lt;/author&gt;&lt;author&gt;Chen, Qinghua&lt;/author&gt;&lt;author&gt;Lehrmann, Elin&lt;/author&gt;&lt;author&gt;Fantoni, Giovanna&lt;/author&gt;&lt;author&gt;De, Supriyo&lt;/author&gt;&lt;author&gt;Mazucanti, Caio H.&lt;/author&gt;&lt;author&gt;Acevedo-Diaz, Elia E.&lt;/author&gt;&lt;author&gt;Yuan, Peixiong&lt;/author&gt;&lt;author&gt;Gould, Todd D.&lt;/author&gt;&lt;author&gt;Park, Lawrence T.&lt;/author&gt;&lt;author&gt;Egan, Josephine M.&lt;/author&gt;&lt;author&gt;Ferrucci, Luigi&lt;/author&gt;&lt;author&gt;Zarate, Carlos A.&lt;/author&gt;&lt;/authors&gt;&lt;/contributors&gt;&lt;titles&gt;&lt;title&gt;Cerebrospinal fluid exploratory proteomics and ketamine metabolite pharmacokinetics in human volunteers after ketamine infusion&lt;/title&gt;&lt;secondary-title&gt;iScience&lt;/secondary-title&gt;&lt;alt-title&gt;iScience&lt;/alt-title&gt;&lt;/titles&gt;&lt;periodical&gt;&lt;full-title&gt;iScience&lt;/full-title&gt;&lt;abbr-1&gt;iScience&lt;/abbr-1&gt;&lt;/periodical&gt;&lt;alt-periodical&gt;&lt;full-title&gt;iScience&lt;/full-title&gt;&lt;abbr-1&gt;iScience&lt;/abbr-1&gt;&lt;/alt-periodical&gt;&lt;pages&gt;108527&lt;/pages&gt;&lt;volume&gt;26&lt;/volume&gt;&lt;number&gt;12&lt;/number&gt;&lt;dates&gt;&lt;year&gt;2023&lt;/year&gt;&lt;pub-dates&gt;&lt;date&gt;2023/11/23/&lt;/date&gt;&lt;/pub-dates&gt;&lt;/dates&gt;&lt;isbn&gt;2589-0042&lt;/isbn&gt;&lt;urls&gt;&lt;related-urls&gt;&lt;url&gt;https://www.ncbi.nlm.nih.gov/pmc/articles/PMC10755719/&lt;/url&gt;&lt;/related-urls&gt;&lt;/urls&gt;&lt;electronic-resource-num&gt;10.1016/j.isci.2023.108527&lt;/electronic-resource-num&gt;&lt;remote-database-provider&gt;PubMed Central&lt;/remote-database-provider&gt;&lt;access-date&gt;2024/04/02/21:41:55&lt;/access-date&gt;&lt;/record&gt;&lt;/Cite&gt;&lt;/EndNote&gt;</w:instrText>
      </w:r>
      <w:r w:rsidR="007B39CF"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[8]</w:t>
      </w:r>
      <w:r w:rsidR="007B39CF" w:rsidRPr="00CD2448">
        <w:rPr>
          <w:rFonts w:ascii="Arial" w:eastAsiaTheme="minorHAnsi" w:hAnsi="Arial" w:cs="Arial"/>
          <w:color w:val="000000" w:themeColor="text1"/>
          <w:sz w:val="22"/>
          <w:szCs w:val="22"/>
          <w14:ligatures w14:val="standardContextual"/>
        </w:rPr>
        <w:fldChar w:fldCharType="end"/>
      </w:r>
      <w:r w:rsidR="007B39CF" w:rsidRPr="00CD2448">
        <w:rPr>
          <w:rFonts w:ascii="Arial" w:hAnsi="Arial" w:cs="Arial"/>
          <w:color w:val="000000" w:themeColor="text1"/>
          <w:sz w:val="22"/>
          <w:szCs w:val="22"/>
        </w:rPr>
        <w:t xml:space="preserve">, </w:t>
      </w:r>
      <w:r w:rsidR="007B39CF" w:rsidRPr="00CD2448">
        <w:rPr>
          <w:rFonts w:ascii="Arial" w:hAnsi="Arial" w:cs="Arial"/>
          <w:b/>
          <w:bCs/>
          <w:color w:val="000000" w:themeColor="text1"/>
          <w:sz w:val="22"/>
          <w:szCs w:val="22"/>
        </w:rPr>
        <w:t>Table S5</w:t>
      </w:r>
      <w:r w:rsidR="007B39CF" w:rsidRPr="00CD2448">
        <w:rPr>
          <w:rFonts w:ascii="Arial" w:hAnsi="Arial" w:cs="Arial"/>
          <w:color w:val="000000" w:themeColor="text1"/>
          <w:sz w:val="22"/>
          <w:szCs w:val="22"/>
        </w:rPr>
        <w:t>)</w:t>
      </w:r>
      <w:r w:rsidR="00116B2A" w:rsidRPr="00CD2448">
        <w:rPr>
          <w:rFonts w:ascii="Arial" w:hAnsi="Arial" w:cs="Arial"/>
          <w:color w:val="000000" w:themeColor="text1"/>
          <w:sz w:val="22"/>
          <w:szCs w:val="22"/>
        </w:rPr>
        <w:t>. F</w:t>
      </w:r>
      <w:r w:rsidR="007B39CF" w:rsidRPr="00CD2448">
        <w:rPr>
          <w:rFonts w:ascii="Arial" w:hAnsi="Arial" w:cs="Arial"/>
          <w:color w:val="000000" w:themeColor="text1"/>
          <w:sz w:val="22"/>
          <w:szCs w:val="22"/>
        </w:rPr>
        <w:t xml:space="preserve">or the </w:t>
      </w:r>
      <w:proofErr w:type="spellStart"/>
      <w:r w:rsidR="007B39CF" w:rsidRPr="00CD2448">
        <w:rPr>
          <w:rFonts w:ascii="Arial" w:hAnsi="Arial" w:cs="Arial"/>
          <w:color w:val="000000" w:themeColor="text1"/>
          <w:sz w:val="22"/>
          <w:szCs w:val="22"/>
        </w:rPr>
        <w:t>Olink</w:t>
      </w:r>
      <w:proofErr w:type="spellEnd"/>
      <w:r w:rsidR="007B39CF" w:rsidRPr="00CD2448">
        <w:rPr>
          <w:rFonts w:ascii="Arial" w:hAnsi="Arial" w:cs="Arial"/>
          <w:color w:val="000000" w:themeColor="text1"/>
          <w:sz w:val="22"/>
          <w:szCs w:val="22"/>
        </w:rPr>
        <w:t xml:space="preserve"> Explore Platform, the limit of detection (LOD) for individual proteins was not considered in the present study, as it was originally included by the manufacturer for technical evaluation and not to determine biological relevancy. </w:t>
      </w:r>
      <w:r w:rsidR="00D03530" w:rsidRPr="00CD2448">
        <w:rPr>
          <w:rFonts w:ascii="Arial" w:hAnsi="Arial" w:cs="Arial"/>
          <w:color w:val="000000" w:themeColor="text1"/>
          <w:sz w:val="22"/>
          <w:szCs w:val="22"/>
        </w:rPr>
        <w:t xml:space="preserve">To characterize the biological </w:t>
      </w:r>
      <w:r w:rsidR="007447F1" w:rsidRPr="00CD2448">
        <w:rPr>
          <w:rFonts w:ascii="Arial" w:hAnsi="Arial" w:cs="Arial"/>
          <w:color w:val="000000" w:themeColor="text1"/>
          <w:sz w:val="22"/>
          <w:szCs w:val="22"/>
        </w:rPr>
        <w:t>relevance</w:t>
      </w:r>
      <w:r w:rsidR="00D03530" w:rsidRPr="00CD2448">
        <w:rPr>
          <w:rFonts w:ascii="Arial" w:hAnsi="Arial" w:cs="Arial"/>
          <w:color w:val="000000" w:themeColor="text1"/>
          <w:sz w:val="22"/>
          <w:szCs w:val="22"/>
        </w:rPr>
        <w:t xml:space="preserve"> of conserved mechanisms across agents, a core set of proteins </w:t>
      </w:r>
      <w:r w:rsidR="006C53D1" w:rsidRPr="00CD2448">
        <w:rPr>
          <w:rFonts w:ascii="Arial" w:hAnsi="Arial" w:cs="Arial"/>
          <w:color w:val="000000" w:themeColor="text1"/>
          <w:sz w:val="22"/>
          <w:szCs w:val="22"/>
        </w:rPr>
        <w:t xml:space="preserve">were identified </w:t>
      </w:r>
      <w:r w:rsidR="00D03530" w:rsidRPr="00CD2448">
        <w:rPr>
          <w:rFonts w:ascii="Arial" w:hAnsi="Arial" w:cs="Arial"/>
          <w:color w:val="000000" w:themeColor="text1"/>
          <w:sz w:val="22"/>
          <w:szCs w:val="22"/>
        </w:rPr>
        <w:t xml:space="preserve">that were differentially expressed across all four rapid-acting antidepressant conditions (ketamine, </w:t>
      </w:r>
      <w:r w:rsidR="003535FE" w:rsidRPr="00CD2448">
        <w:rPr>
          <w:rFonts w:ascii="Arial" w:hAnsi="Arial" w:cs="Arial"/>
          <w:color w:val="000000" w:themeColor="text1"/>
          <w:sz w:val="22"/>
          <w:szCs w:val="22"/>
        </w:rPr>
        <w:t>(2</w:t>
      </w:r>
      <w:r w:rsidR="003535FE" w:rsidRPr="00CD2448">
        <w:rPr>
          <w:rFonts w:ascii="Arial" w:hAnsi="Arial" w:cs="Arial"/>
          <w:i/>
          <w:iCs/>
          <w:color w:val="000000" w:themeColor="text1"/>
          <w:sz w:val="22"/>
          <w:szCs w:val="22"/>
        </w:rPr>
        <w:t>R</w:t>
      </w:r>
      <w:r w:rsidR="003535FE" w:rsidRPr="00CD2448">
        <w:rPr>
          <w:rFonts w:ascii="Arial" w:hAnsi="Arial" w:cs="Arial"/>
          <w:color w:val="000000" w:themeColor="text1"/>
          <w:sz w:val="22"/>
          <w:szCs w:val="22"/>
        </w:rPr>
        <w:t>,6</w:t>
      </w:r>
      <w:r w:rsidR="003535FE" w:rsidRPr="00CD2448">
        <w:rPr>
          <w:rFonts w:ascii="Arial" w:hAnsi="Arial" w:cs="Arial"/>
          <w:i/>
          <w:iCs/>
          <w:color w:val="000000" w:themeColor="text1"/>
          <w:sz w:val="22"/>
          <w:szCs w:val="22"/>
        </w:rPr>
        <w:t>R</w:t>
      </w:r>
      <w:r w:rsidR="003535FE" w:rsidRPr="00CD2448">
        <w:rPr>
          <w:rFonts w:ascii="Arial" w:hAnsi="Arial" w:cs="Arial"/>
          <w:color w:val="000000" w:themeColor="text1"/>
          <w:sz w:val="22"/>
          <w:szCs w:val="22"/>
        </w:rPr>
        <w:t>)-</w:t>
      </w:r>
      <w:r w:rsidR="00D03530" w:rsidRPr="00CD2448">
        <w:rPr>
          <w:rFonts w:ascii="Arial" w:hAnsi="Arial" w:cs="Arial"/>
          <w:color w:val="000000" w:themeColor="text1"/>
          <w:sz w:val="22"/>
          <w:szCs w:val="22"/>
        </w:rPr>
        <w:t xml:space="preserve">HNK, LSD, and psilocybin) in iPSC neurons </w:t>
      </w:r>
      <w:r w:rsidR="00B72A88" w:rsidRPr="00CD2448">
        <w:rPr>
          <w:rFonts w:ascii="Arial" w:hAnsi="Arial" w:cs="Arial"/>
          <w:color w:val="000000" w:themeColor="text1"/>
          <w:sz w:val="22"/>
          <w:szCs w:val="22"/>
        </w:rPr>
        <w:t xml:space="preserve">that </w:t>
      </w:r>
      <w:r w:rsidR="00D03530" w:rsidRPr="00CD2448">
        <w:rPr>
          <w:rFonts w:ascii="Arial" w:hAnsi="Arial" w:cs="Arial"/>
          <w:color w:val="000000" w:themeColor="text1"/>
          <w:sz w:val="22"/>
          <w:szCs w:val="22"/>
        </w:rPr>
        <w:t>also showed differential expression in CSF after ketamine administration. These overlapping proteins were then submitted to the STRING database (version 12.0) to identify protein-protein interactions and</w:t>
      </w:r>
      <w:r w:rsidR="00390CAD" w:rsidRPr="00CD2448">
        <w:rPr>
          <w:rFonts w:ascii="Arial" w:hAnsi="Arial" w:cs="Arial"/>
          <w:color w:val="000000" w:themeColor="text1"/>
          <w:sz w:val="22"/>
          <w:szCs w:val="22"/>
        </w:rPr>
        <w:t xml:space="preserve"> to</w:t>
      </w:r>
      <w:r w:rsidR="00D03530" w:rsidRPr="00CD2448">
        <w:rPr>
          <w:rFonts w:ascii="Arial" w:hAnsi="Arial" w:cs="Arial"/>
          <w:color w:val="000000" w:themeColor="text1"/>
          <w:sz w:val="22"/>
          <w:szCs w:val="22"/>
        </w:rPr>
        <w:t xml:space="preserve"> construct a functional network. Medium confidence (score &gt; 0.4) was used as the threshold for interaction, with all available interaction sources. The resulting network was imported into </w:t>
      </w:r>
      <w:proofErr w:type="spellStart"/>
      <w:r w:rsidR="00D03530" w:rsidRPr="00CD2448">
        <w:rPr>
          <w:rFonts w:ascii="Arial" w:hAnsi="Arial" w:cs="Arial"/>
          <w:color w:val="000000" w:themeColor="text1"/>
          <w:sz w:val="22"/>
          <w:szCs w:val="22"/>
        </w:rPr>
        <w:t>Cytoscape</w:t>
      </w:r>
      <w:proofErr w:type="spellEnd"/>
      <w:r w:rsidR="00D03530" w:rsidRPr="00CD2448">
        <w:rPr>
          <w:rFonts w:ascii="Arial" w:hAnsi="Arial" w:cs="Arial"/>
          <w:color w:val="000000" w:themeColor="text1"/>
          <w:sz w:val="22"/>
          <w:szCs w:val="22"/>
        </w:rPr>
        <w:t xml:space="preserve"> (version 3.10.3) for further topological analysis. Network centrality metrics including radiality, undirected edge count, and shortest path length were calculated to identify key hub proteins within the network</w:t>
      </w:r>
      <w:r w:rsidR="0011620B" w:rsidRPr="00CD2448">
        <w:rPr>
          <w:rFonts w:ascii="Arial" w:hAnsi="Arial" w:cs="Arial"/>
          <w:color w:val="000000" w:themeColor="text1"/>
          <w:sz w:val="22"/>
          <w:szCs w:val="22"/>
        </w:rPr>
        <w:t xml:space="preserve"> for plotting</w:t>
      </w:r>
      <w:r w:rsidR="00D03530" w:rsidRPr="00CD2448">
        <w:rPr>
          <w:rFonts w:ascii="Arial" w:hAnsi="Arial" w:cs="Arial"/>
          <w:color w:val="000000" w:themeColor="text1"/>
          <w:sz w:val="22"/>
          <w:szCs w:val="22"/>
        </w:rPr>
        <w:t>.</w:t>
      </w:r>
      <w:r w:rsidR="0011620B" w:rsidRPr="00CD2448">
        <w:rPr>
          <w:rFonts w:ascii="Arial" w:hAnsi="Arial" w:cs="Arial"/>
          <w:color w:val="000000" w:themeColor="text1"/>
          <w:sz w:val="22"/>
          <w:szCs w:val="22"/>
        </w:rPr>
        <w:t xml:space="preserve"> Additionally, for each metric, a </w:t>
      </w:r>
      <w:r w:rsidR="0011620B" w:rsidRPr="00CD2448">
        <w:rPr>
          <w:rFonts w:ascii="Arial" w:hAnsi="Arial" w:cs="Arial"/>
          <w:i/>
          <w:iCs/>
          <w:color w:val="000000" w:themeColor="text1"/>
          <w:sz w:val="22"/>
          <w:szCs w:val="22"/>
        </w:rPr>
        <w:t>z</w:t>
      </w:r>
      <w:r w:rsidR="0011620B" w:rsidRPr="00CD2448">
        <w:rPr>
          <w:rFonts w:ascii="Arial" w:hAnsi="Arial" w:cs="Arial"/>
          <w:color w:val="000000" w:themeColor="text1"/>
          <w:sz w:val="22"/>
          <w:szCs w:val="22"/>
        </w:rPr>
        <w:t xml:space="preserve">-score </w:t>
      </w:r>
      <w:r w:rsidR="00A65820" w:rsidRPr="00CD2448">
        <w:rPr>
          <w:rFonts w:ascii="Arial" w:hAnsi="Arial" w:cs="Arial"/>
          <w:color w:val="000000" w:themeColor="text1"/>
          <w:sz w:val="22"/>
          <w:szCs w:val="22"/>
        </w:rPr>
        <w:t xml:space="preserve">was calculated </w:t>
      </w:r>
      <w:r w:rsidR="0011620B" w:rsidRPr="00CD2448">
        <w:rPr>
          <w:rFonts w:ascii="Arial" w:hAnsi="Arial" w:cs="Arial"/>
          <w:color w:val="000000" w:themeColor="text1"/>
          <w:sz w:val="22"/>
          <w:szCs w:val="22"/>
        </w:rPr>
        <w:t>to standardize values across the network, enabling comparison of a protein’s centrality (“Betweenness</w:t>
      </w:r>
      <w:r w:rsidR="00D77F29" w:rsidRPr="00CD2448">
        <w:rPr>
          <w:rFonts w:ascii="Arial" w:hAnsi="Arial" w:cs="Arial"/>
          <w:color w:val="000000" w:themeColor="text1"/>
          <w:sz w:val="22"/>
          <w:szCs w:val="22"/>
        </w:rPr>
        <w:t>-</w:t>
      </w:r>
      <w:r w:rsidR="0011620B" w:rsidRPr="00CD2448">
        <w:rPr>
          <w:rFonts w:ascii="Arial" w:hAnsi="Arial" w:cs="Arial"/>
          <w:color w:val="000000" w:themeColor="text1"/>
          <w:sz w:val="22"/>
          <w:szCs w:val="22"/>
        </w:rPr>
        <w:t>Centrality”) and connectivity (“</w:t>
      </w:r>
      <w:bookmarkStart w:id="2" w:name="OLE_LINK32"/>
      <w:r w:rsidR="0011620B" w:rsidRPr="00CD2448">
        <w:rPr>
          <w:rFonts w:ascii="Arial" w:hAnsi="Arial" w:cs="Arial"/>
          <w:color w:val="000000" w:themeColor="text1"/>
          <w:sz w:val="22"/>
          <w:szCs w:val="22"/>
        </w:rPr>
        <w:t>Number</w:t>
      </w:r>
      <w:r w:rsidR="00D77F29" w:rsidRPr="00CD2448">
        <w:rPr>
          <w:rFonts w:ascii="Arial" w:hAnsi="Arial" w:cs="Arial"/>
          <w:color w:val="000000" w:themeColor="text1"/>
          <w:sz w:val="22"/>
          <w:szCs w:val="22"/>
        </w:rPr>
        <w:t>-</w:t>
      </w:r>
      <w:r w:rsidR="0011620B" w:rsidRPr="00CD2448">
        <w:rPr>
          <w:rFonts w:ascii="Arial" w:hAnsi="Arial" w:cs="Arial"/>
          <w:color w:val="000000" w:themeColor="text1"/>
          <w:sz w:val="22"/>
          <w:szCs w:val="22"/>
        </w:rPr>
        <w:t>Of</w:t>
      </w:r>
      <w:r w:rsidR="00D77F29" w:rsidRPr="00CD2448">
        <w:rPr>
          <w:rFonts w:ascii="Arial" w:hAnsi="Arial" w:cs="Arial"/>
          <w:color w:val="000000" w:themeColor="text1"/>
          <w:sz w:val="22"/>
          <w:szCs w:val="22"/>
        </w:rPr>
        <w:t>-</w:t>
      </w:r>
      <w:r w:rsidR="0011620B" w:rsidRPr="00CD2448">
        <w:rPr>
          <w:rFonts w:ascii="Arial" w:hAnsi="Arial" w:cs="Arial"/>
          <w:color w:val="000000" w:themeColor="text1"/>
          <w:sz w:val="22"/>
          <w:szCs w:val="22"/>
        </w:rPr>
        <w:t>Undirected</w:t>
      </w:r>
      <w:r w:rsidR="00D77F29" w:rsidRPr="00CD2448">
        <w:rPr>
          <w:rFonts w:ascii="Arial" w:hAnsi="Arial" w:cs="Arial"/>
          <w:color w:val="000000" w:themeColor="text1"/>
          <w:sz w:val="22"/>
          <w:szCs w:val="22"/>
        </w:rPr>
        <w:t>-</w:t>
      </w:r>
      <w:r w:rsidR="0011620B" w:rsidRPr="00CD2448">
        <w:rPr>
          <w:rFonts w:ascii="Arial" w:hAnsi="Arial" w:cs="Arial"/>
          <w:color w:val="000000" w:themeColor="text1"/>
          <w:sz w:val="22"/>
          <w:szCs w:val="22"/>
        </w:rPr>
        <w:t>Edges</w:t>
      </w:r>
      <w:bookmarkEnd w:id="2"/>
      <w:r w:rsidR="0011620B" w:rsidRPr="00CD2448">
        <w:rPr>
          <w:rFonts w:ascii="Arial" w:hAnsi="Arial" w:cs="Arial"/>
          <w:color w:val="000000" w:themeColor="text1"/>
          <w:sz w:val="22"/>
          <w:szCs w:val="22"/>
        </w:rPr>
        <w:t xml:space="preserve">”) relative to all others. The combined </w:t>
      </w:r>
      <w:r w:rsidR="0011620B" w:rsidRPr="00CD2448">
        <w:rPr>
          <w:rFonts w:ascii="Arial" w:hAnsi="Arial" w:cs="Arial"/>
          <w:i/>
          <w:iCs/>
          <w:color w:val="000000" w:themeColor="text1"/>
          <w:sz w:val="22"/>
          <w:szCs w:val="22"/>
        </w:rPr>
        <w:t>z</w:t>
      </w:r>
      <w:r w:rsidR="0011620B" w:rsidRPr="00CD2448">
        <w:rPr>
          <w:rFonts w:ascii="Arial" w:hAnsi="Arial" w:cs="Arial"/>
          <w:color w:val="000000" w:themeColor="text1"/>
          <w:sz w:val="22"/>
          <w:szCs w:val="22"/>
        </w:rPr>
        <w:t xml:space="preserve">-score (sum of both metric </w:t>
      </w:r>
      <w:r w:rsidR="0011620B" w:rsidRPr="00CD2448">
        <w:rPr>
          <w:rFonts w:ascii="Arial" w:hAnsi="Arial" w:cs="Arial"/>
          <w:i/>
          <w:iCs/>
          <w:color w:val="000000" w:themeColor="text1"/>
          <w:sz w:val="22"/>
          <w:szCs w:val="22"/>
        </w:rPr>
        <w:t>z</w:t>
      </w:r>
      <w:r w:rsidR="0011620B" w:rsidRPr="00CD2448">
        <w:rPr>
          <w:rFonts w:ascii="Arial" w:hAnsi="Arial" w:cs="Arial"/>
          <w:color w:val="000000" w:themeColor="text1"/>
          <w:sz w:val="22"/>
          <w:szCs w:val="22"/>
        </w:rPr>
        <w:t>-scores) yielded a holistic measure of network "importance", flagging proteins that are not only highly connected but also serve critical integrative roles. In this context, a high combined</w:t>
      </w:r>
      <w:r w:rsidR="0011620B" w:rsidRPr="00CD2448">
        <w:rPr>
          <w:rFonts w:ascii="Arial" w:hAnsi="Arial" w:cs="Arial"/>
          <w:i/>
          <w:iCs/>
          <w:color w:val="000000" w:themeColor="text1"/>
          <w:sz w:val="22"/>
          <w:szCs w:val="22"/>
        </w:rPr>
        <w:t xml:space="preserve"> z</w:t>
      </w:r>
      <w:r w:rsidR="0011620B" w:rsidRPr="00CD2448">
        <w:rPr>
          <w:rFonts w:ascii="Arial" w:hAnsi="Arial" w:cs="Arial"/>
          <w:color w:val="000000" w:themeColor="text1"/>
          <w:sz w:val="22"/>
          <w:szCs w:val="22"/>
        </w:rPr>
        <w:t xml:space="preserve">-score </w:t>
      </w:r>
      <w:r w:rsidR="002C748F" w:rsidRPr="00CD2448">
        <w:rPr>
          <w:rFonts w:ascii="Arial" w:hAnsi="Arial" w:cs="Arial"/>
          <w:color w:val="000000" w:themeColor="text1"/>
          <w:sz w:val="22"/>
          <w:szCs w:val="22"/>
        </w:rPr>
        <w:t xml:space="preserve">identifies </w:t>
      </w:r>
      <w:r w:rsidR="0011620B" w:rsidRPr="00CD2448">
        <w:rPr>
          <w:rFonts w:ascii="Arial" w:hAnsi="Arial" w:cs="Arial"/>
          <w:color w:val="000000" w:themeColor="text1"/>
          <w:sz w:val="22"/>
          <w:szCs w:val="22"/>
        </w:rPr>
        <w:t>putative network hubs or connectors that may exert disproportionate control or integration, highlighting them as potentially novel therapeutic or mechanistic targets in depression.</w:t>
      </w:r>
      <w:r w:rsidR="00D03530" w:rsidRPr="00CD2448">
        <w:rPr>
          <w:rFonts w:ascii="Arial" w:hAnsi="Arial" w:cs="Arial"/>
          <w:color w:val="000000" w:themeColor="text1"/>
          <w:sz w:val="22"/>
          <w:szCs w:val="22"/>
        </w:rPr>
        <w:t xml:space="preserve"> This approach allowed us to stratify the network into functional modules and identify potential signaling nodes critical to the rapid antidepressant response mechanism shared across these compounds.</w:t>
      </w:r>
      <w:r w:rsidR="00287C70" w:rsidRPr="00CD2448">
        <w:rPr>
          <w:rFonts w:ascii="Arial" w:hAnsi="Arial" w:cs="Arial"/>
          <w:color w:val="000000" w:themeColor="text1"/>
          <w:sz w:val="22"/>
          <w:szCs w:val="22"/>
        </w:rPr>
        <w:t xml:space="preserve"> </w:t>
      </w:r>
      <w:r w:rsidR="002C748F" w:rsidRPr="00CD2448">
        <w:rPr>
          <w:rFonts w:ascii="Arial" w:hAnsi="Arial" w:cs="Arial"/>
          <w:color w:val="000000" w:themeColor="text1"/>
          <w:sz w:val="22"/>
          <w:szCs w:val="22"/>
        </w:rPr>
        <w:t>For purposes of displaying on the plot (</w:t>
      </w:r>
      <w:r w:rsidR="002C748F" w:rsidRPr="00CD2448">
        <w:rPr>
          <w:rFonts w:ascii="Arial" w:hAnsi="Arial" w:cs="Arial"/>
          <w:b/>
          <w:bCs/>
          <w:color w:val="000000" w:themeColor="text1"/>
          <w:sz w:val="22"/>
          <w:szCs w:val="22"/>
        </w:rPr>
        <w:t>Fig</w:t>
      </w:r>
      <w:r w:rsidR="00DF7921" w:rsidRPr="00CD2448">
        <w:rPr>
          <w:rFonts w:ascii="Arial" w:hAnsi="Arial" w:cs="Arial"/>
          <w:b/>
          <w:bCs/>
          <w:color w:val="000000" w:themeColor="text1"/>
          <w:sz w:val="22"/>
          <w:szCs w:val="22"/>
        </w:rPr>
        <w:t>.</w:t>
      </w:r>
      <w:r w:rsidR="002C748F" w:rsidRPr="00CD2448">
        <w:rPr>
          <w:rFonts w:ascii="Arial" w:hAnsi="Arial" w:cs="Arial"/>
          <w:b/>
          <w:bCs/>
          <w:color w:val="000000" w:themeColor="text1"/>
          <w:sz w:val="22"/>
          <w:szCs w:val="22"/>
        </w:rPr>
        <w:t>2c</w:t>
      </w:r>
      <w:r w:rsidR="002C748F" w:rsidRPr="00CD2448">
        <w:rPr>
          <w:rFonts w:ascii="Arial" w:hAnsi="Arial" w:cs="Arial"/>
          <w:color w:val="000000" w:themeColor="text1"/>
          <w:sz w:val="22"/>
          <w:szCs w:val="22"/>
        </w:rPr>
        <w:t xml:space="preserve">), we labeled markers (n=17) that ranked in the top 10 in either combined </w:t>
      </w:r>
      <w:r w:rsidR="002C748F" w:rsidRPr="00CD2448">
        <w:rPr>
          <w:rFonts w:ascii="Arial" w:hAnsi="Arial" w:cs="Arial"/>
          <w:i/>
          <w:iCs/>
          <w:color w:val="000000" w:themeColor="text1"/>
          <w:sz w:val="22"/>
          <w:szCs w:val="22"/>
        </w:rPr>
        <w:t>z</w:t>
      </w:r>
      <w:r w:rsidR="002C748F" w:rsidRPr="00CD2448">
        <w:rPr>
          <w:rFonts w:ascii="Arial" w:hAnsi="Arial" w:cs="Arial"/>
          <w:color w:val="000000" w:themeColor="text1"/>
          <w:sz w:val="22"/>
          <w:szCs w:val="22"/>
        </w:rPr>
        <w:t xml:space="preserve">-score or Number-Of-Undirected-Edges—representing putative top regulators in the two separate hubs identified: the central immune hub (top left of </w:t>
      </w:r>
      <w:r w:rsidR="002C748F" w:rsidRPr="00CD2448">
        <w:rPr>
          <w:rFonts w:ascii="Arial" w:hAnsi="Arial" w:cs="Arial"/>
          <w:b/>
          <w:bCs/>
          <w:color w:val="000000" w:themeColor="text1"/>
          <w:sz w:val="22"/>
          <w:szCs w:val="22"/>
        </w:rPr>
        <w:t>Fig</w:t>
      </w:r>
      <w:r w:rsidR="00DF7921" w:rsidRPr="00CD2448">
        <w:rPr>
          <w:rFonts w:ascii="Arial" w:hAnsi="Arial" w:cs="Arial"/>
          <w:b/>
          <w:bCs/>
          <w:color w:val="000000" w:themeColor="text1"/>
          <w:sz w:val="22"/>
          <w:szCs w:val="22"/>
        </w:rPr>
        <w:t>.</w:t>
      </w:r>
      <w:r w:rsidR="002C748F" w:rsidRPr="00CD2448">
        <w:rPr>
          <w:rFonts w:ascii="Arial" w:hAnsi="Arial" w:cs="Arial"/>
          <w:b/>
          <w:bCs/>
          <w:color w:val="000000" w:themeColor="text1"/>
          <w:sz w:val="22"/>
          <w:szCs w:val="22"/>
        </w:rPr>
        <w:t>2c</w:t>
      </w:r>
      <w:r w:rsidR="002C748F" w:rsidRPr="00CD2448">
        <w:rPr>
          <w:rFonts w:ascii="Arial" w:hAnsi="Arial" w:cs="Arial"/>
          <w:color w:val="000000" w:themeColor="text1"/>
          <w:sz w:val="22"/>
          <w:szCs w:val="22"/>
        </w:rPr>
        <w:t xml:space="preserve">) and the peripheral insulin, folate, and plasticity hub (bottom right of </w:t>
      </w:r>
      <w:r w:rsidR="002C748F" w:rsidRPr="00CD2448">
        <w:rPr>
          <w:rFonts w:ascii="Arial" w:hAnsi="Arial" w:cs="Arial"/>
          <w:b/>
          <w:bCs/>
          <w:color w:val="000000" w:themeColor="text1"/>
          <w:sz w:val="22"/>
          <w:szCs w:val="22"/>
        </w:rPr>
        <w:t>Fig</w:t>
      </w:r>
      <w:r w:rsidR="00DF7921" w:rsidRPr="00CD2448">
        <w:rPr>
          <w:rFonts w:ascii="Arial" w:hAnsi="Arial" w:cs="Arial"/>
          <w:b/>
          <w:bCs/>
          <w:color w:val="000000" w:themeColor="text1"/>
          <w:sz w:val="22"/>
          <w:szCs w:val="22"/>
        </w:rPr>
        <w:t>.</w:t>
      </w:r>
      <w:r w:rsidR="002C748F" w:rsidRPr="00CD2448">
        <w:rPr>
          <w:rFonts w:ascii="Arial" w:hAnsi="Arial" w:cs="Arial"/>
          <w:b/>
          <w:bCs/>
          <w:color w:val="000000" w:themeColor="text1"/>
          <w:sz w:val="22"/>
          <w:szCs w:val="22"/>
        </w:rPr>
        <w:t>2c</w:t>
      </w:r>
      <w:r w:rsidR="002C748F" w:rsidRPr="00CD2448">
        <w:rPr>
          <w:rFonts w:ascii="Arial" w:hAnsi="Arial" w:cs="Arial"/>
          <w:color w:val="000000" w:themeColor="text1"/>
          <w:sz w:val="22"/>
          <w:szCs w:val="22"/>
        </w:rPr>
        <w:t xml:space="preserve">). </w:t>
      </w:r>
      <w:r w:rsidR="00D40AB2" w:rsidRPr="00CD2448">
        <w:rPr>
          <w:rFonts w:ascii="Arial" w:hAnsi="Arial" w:cs="Arial"/>
          <w:color w:val="000000" w:themeColor="text1"/>
          <w:sz w:val="22"/>
          <w:szCs w:val="22"/>
        </w:rPr>
        <w:t>Ingenuity pathway analysis (</w:t>
      </w:r>
      <w:r w:rsidR="00287C70" w:rsidRPr="00CD2448">
        <w:rPr>
          <w:rFonts w:ascii="Arial" w:hAnsi="Arial" w:cs="Arial"/>
          <w:color w:val="000000" w:themeColor="text1"/>
          <w:sz w:val="22"/>
          <w:szCs w:val="22"/>
        </w:rPr>
        <w:t>IPA</w:t>
      </w:r>
      <w:r w:rsidR="00D40AB2" w:rsidRPr="00CD2448">
        <w:rPr>
          <w:rFonts w:ascii="Arial" w:hAnsi="Arial" w:cs="Arial"/>
          <w:color w:val="000000" w:themeColor="text1"/>
          <w:sz w:val="22"/>
          <w:szCs w:val="22"/>
        </w:rPr>
        <w:t>)</w:t>
      </w:r>
      <w:r w:rsidR="00287C70" w:rsidRPr="00CD2448">
        <w:rPr>
          <w:rFonts w:ascii="Arial" w:hAnsi="Arial" w:cs="Arial"/>
          <w:color w:val="000000" w:themeColor="text1"/>
          <w:sz w:val="22"/>
          <w:szCs w:val="22"/>
        </w:rPr>
        <w:t xml:space="preserve"> was run on the </w:t>
      </w:r>
      <w:r w:rsidR="00E022A4" w:rsidRPr="00CD2448">
        <w:rPr>
          <w:rFonts w:ascii="Arial" w:hAnsi="Arial" w:cs="Arial"/>
          <w:color w:val="000000" w:themeColor="text1"/>
          <w:sz w:val="22"/>
          <w:szCs w:val="22"/>
        </w:rPr>
        <w:t xml:space="preserve">entire </w:t>
      </w:r>
      <w:r w:rsidR="00287C70" w:rsidRPr="00CD2448">
        <w:rPr>
          <w:rFonts w:ascii="Arial" w:hAnsi="Arial" w:cs="Arial"/>
          <w:color w:val="000000" w:themeColor="text1"/>
          <w:sz w:val="22"/>
          <w:szCs w:val="22"/>
        </w:rPr>
        <w:t xml:space="preserve">list of genes (agnostic to expression level between conditions) to probe pathway effects for the RAAD signature (n=103). </w:t>
      </w:r>
      <w:r w:rsidR="002C748F" w:rsidRPr="00CD2448">
        <w:rPr>
          <w:rFonts w:ascii="Arial" w:hAnsi="Arial" w:cs="Arial"/>
          <w:color w:val="000000" w:themeColor="text1"/>
          <w:sz w:val="22"/>
          <w:szCs w:val="22"/>
        </w:rPr>
        <w:t xml:space="preserve">This was done without expression, as choosing one of the values (either CSF protein or iPSC changes after RAADs) would in theory bias the data towards that drug, undermining our intention to identify shared pathways. </w:t>
      </w:r>
    </w:p>
    <w:p w14:paraId="0F8454CE" w14:textId="77777777" w:rsidR="00D03530" w:rsidRPr="00CD2448" w:rsidRDefault="00D03530" w:rsidP="00415257">
      <w:pPr>
        <w:rPr>
          <w:rFonts w:ascii="Arial" w:hAnsi="Arial" w:cs="Arial"/>
          <w:color w:val="000000" w:themeColor="text1"/>
          <w:sz w:val="22"/>
          <w:szCs w:val="22"/>
        </w:rPr>
      </w:pPr>
    </w:p>
    <w:p w14:paraId="62B61842" w14:textId="30B5D5D5"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 xml:space="preserve">Clinical Trial </w:t>
      </w:r>
      <w:r w:rsidR="00EE2BB6" w:rsidRPr="00CD2448">
        <w:rPr>
          <w:rFonts w:ascii="Arial" w:hAnsi="Arial" w:cs="Arial"/>
          <w:i/>
          <w:iCs/>
          <w:color w:val="000000" w:themeColor="text1"/>
          <w:sz w:val="22"/>
          <w:szCs w:val="22"/>
        </w:rPr>
        <w:t>of Ketamine in</w:t>
      </w:r>
      <w:r w:rsidRPr="00CD2448">
        <w:rPr>
          <w:rFonts w:ascii="Arial" w:hAnsi="Arial" w:cs="Arial"/>
          <w:i/>
          <w:iCs/>
          <w:color w:val="000000" w:themeColor="text1"/>
          <w:sz w:val="22"/>
          <w:szCs w:val="22"/>
        </w:rPr>
        <w:t xml:space="preserve"> TRD</w:t>
      </w:r>
      <w:r w:rsidR="00C74207" w:rsidRPr="00CD2448">
        <w:rPr>
          <w:rFonts w:ascii="Arial" w:hAnsi="Arial" w:cs="Arial"/>
          <w:i/>
          <w:iCs/>
          <w:color w:val="000000" w:themeColor="text1"/>
          <w:sz w:val="22"/>
          <w:szCs w:val="22"/>
        </w:rPr>
        <w:t xml:space="preserve"> (NCT00088699)</w:t>
      </w:r>
    </w:p>
    <w:p w14:paraId="34EC552A" w14:textId="12CDCFF7" w:rsidR="00682D26"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This </w:t>
      </w:r>
      <w:r w:rsidR="00652904" w:rsidRPr="00CD2448">
        <w:rPr>
          <w:rFonts w:ascii="Arial" w:hAnsi="Arial" w:cs="Arial"/>
          <w:color w:val="000000" w:themeColor="text1"/>
          <w:sz w:val="22"/>
          <w:szCs w:val="22"/>
        </w:rPr>
        <w:t xml:space="preserve">was a </w:t>
      </w:r>
      <w:r w:rsidRPr="00CD2448">
        <w:rPr>
          <w:rFonts w:ascii="Arial" w:hAnsi="Arial" w:cs="Arial"/>
          <w:color w:val="000000" w:themeColor="text1"/>
          <w:sz w:val="22"/>
          <w:szCs w:val="22"/>
        </w:rPr>
        <w:t xml:space="preserve">post-hoc analysis of a </w:t>
      </w:r>
      <w:bookmarkStart w:id="3" w:name="OLE_LINK24"/>
      <w:bookmarkStart w:id="4" w:name="OLE_LINK25"/>
      <w:r w:rsidR="00995EC4" w:rsidRPr="00CD2448">
        <w:rPr>
          <w:rFonts w:ascii="Arial" w:hAnsi="Arial" w:cs="Arial"/>
          <w:color w:val="000000" w:themeColor="text1"/>
          <w:sz w:val="22"/>
          <w:szCs w:val="22"/>
        </w:rPr>
        <w:t xml:space="preserve">previously conducted </w:t>
      </w:r>
      <w:r w:rsidRPr="00CD2448">
        <w:rPr>
          <w:rFonts w:ascii="Arial" w:hAnsi="Arial" w:cs="Arial"/>
          <w:color w:val="000000" w:themeColor="text1"/>
          <w:sz w:val="22"/>
          <w:szCs w:val="22"/>
        </w:rPr>
        <w:t>double-blind, placebo-controlled, randomized</w:t>
      </w:r>
      <w:r w:rsidR="000B410E"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crossover study (</w:t>
      </w:r>
      <w:bookmarkStart w:id="5" w:name="OLE_LINK38"/>
      <w:r w:rsidRPr="00CD2448">
        <w:rPr>
          <w:rFonts w:ascii="Arial" w:hAnsi="Arial" w:cs="Arial"/>
          <w:color w:val="000000" w:themeColor="text1"/>
          <w:sz w:val="22"/>
          <w:szCs w:val="22"/>
        </w:rPr>
        <w:t>NCT00088699</w:t>
      </w:r>
      <w:bookmarkEnd w:id="5"/>
      <w:r w:rsidRPr="00CD2448">
        <w:rPr>
          <w:rFonts w:ascii="Arial" w:hAnsi="Arial" w:cs="Arial"/>
          <w:color w:val="000000" w:themeColor="text1"/>
          <w:sz w:val="22"/>
          <w:szCs w:val="22"/>
        </w:rPr>
        <w:t>)</w:t>
      </w:r>
      <w:bookmarkEnd w:id="3"/>
      <w:r w:rsidRPr="00CD2448">
        <w:rPr>
          <w:rFonts w:ascii="Arial" w:hAnsi="Arial" w:cs="Arial"/>
          <w:color w:val="000000" w:themeColor="text1"/>
          <w:sz w:val="22"/>
          <w:szCs w:val="22"/>
        </w:rPr>
        <w:t xml:space="preserve"> </w:t>
      </w:r>
      <w:r w:rsidR="00652904" w:rsidRPr="00CD2448">
        <w:rPr>
          <w:rFonts w:ascii="Arial" w:hAnsi="Arial" w:cs="Arial"/>
          <w:color w:val="000000" w:themeColor="text1"/>
          <w:sz w:val="22"/>
          <w:szCs w:val="22"/>
        </w:rPr>
        <w:t xml:space="preserve">that included 39 </w:t>
      </w:r>
      <w:r w:rsidRPr="00CD2448">
        <w:rPr>
          <w:rFonts w:ascii="Arial" w:hAnsi="Arial" w:cs="Arial"/>
          <w:color w:val="000000" w:themeColor="text1"/>
          <w:sz w:val="22"/>
          <w:szCs w:val="22"/>
        </w:rPr>
        <w:t xml:space="preserve">participants with TRD </w:t>
      </w:r>
      <w:r w:rsidR="00652904" w:rsidRPr="00CD2448">
        <w:rPr>
          <w:rFonts w:ascii="Arial" w:hAnsi="Arial" w:cs="Arial"/>
          <w:color w:val="000000" w:themeColor="text1"/>
          <w:sz w:val="22"/>
          <w:szCs w:val="22"/>
        </w:rPr>
        <w:t>and 25 HVs; both groups</w:t>
      </w:r>
      <w:r w:rsidRPr="00CD2448">
        <w:rPr>
          <w:rFonts w:ascii="Arial" w:hAnsi="Arial" w:cs="Arial"/>
          <w:color w:val="000000" w:themeColor="text1"/>
          <w:sz w:val="22"/>
          <w:szCs w:val="22"/>
        </w:rPr>
        <w:t xml:space="preserve"> received a single intravenous infusion of ketamine (0.5 mg/kg) or saline placebo</w:t>
      </w:r>
      <w:bookmarkEnd w:id="4"/>
      <w:r w:rsidRPr="00CD2448">
        <w:rPr>
          <w:rFonts w:ascii="Arial" w:hAnsi="Arial" w:cs="Arial"/>
          <w:color w:val="000000" w:themeColor="text1"/>
          <w:sz w:val="22"/>
          <w:szCs w:val="22"/>
        </w:rPr>
        <w:t xml:space="preserve">. TRD </w:t>
      </w:r>
      <w:r w:rsidR="000B410E" w:rsidRPr="00CD2448">
        <w:rPr>
          <w:rFonts w:ascii="Arial" w:hAnsi="Arial" w:cs="Arial"/>
          <w:color w:val="000000" w:themeColor="text1"/>
          <w:sz w:val="22"/>
          <w:szCs w:val="22"/>
        </w:rPr>
        <w:t xml:space="preserve">participants </w:t>
      </w:r>
      <w:r w:rsidRPr="00CD2448">
        <w:rPr>
          <w:rFonts w:ascii="Arial" w:hAnsi="Arial" w:cs="Arial"/>
          <w:color w:val="000000" w:themeColor="text1"/>
          <w:sz w:val="22"/>
          <w:szCs w:val="22"/>
        </w:rPr>
        <w:t>were adults ages 18-65 who fulfilled DSM</w:t>
      </w:r>
      <w:r w:rsidR="007F3A68"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IV criteria for </w:t>
      </w:r>
      <w:r w:rsidR="007F3A68" w:rsidRPr="00CD2448">
        <w:rPr>
          <w:rFonts w:ascii="Arial" w:hAnsi="Arial" w:cs="Arial"/>
          <w:color w:val="000000" w:themeColor="text1"/>
          <w:sz w:val="22"/>
          <w:szCs w:val="22"/>
        </w:rPr>
        <w:t>major depressive disorder (</w:t>
      </w:r>
      <w:r w:rsidRPr="00CD2448">
        <w:rPr>
          <w:rFonts w:ascii="Arial" w:hAnsi="Arial" w:cs="Arial"/>
          <w:color w:val="000000" w:themeColor="text1"/>
          <w:sz w:val="22"/>
          <w:szCs w:val="22"/>
        </w:rPr>
        <w:t>MDD</w:t>
      </w:r>
      <w:r w:rsidR="007F3A68"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without psychotic features as assessed by the Structured Clinical Interview for Axis I DSM-IV Disorders (SCID)-Patient Version and</w:t>
      </w:r>
      <w:r w:rsidR="00A53CDC" w:rsidRPr="00CD2448">
        <w:rPr>
          <w:rFonts w:ascii="Arial" w:hAnsi="Arial" w:cs="Arial"/>
          <w:color w:val="000000" w:themeColor="text1"/>
          <w:sz w:val="22"/>
          <w:szCs w:val="22"/>
        </w:rPr>
        <w:t xml:space="preserve"> who</w:t>
      </w:r>
      <w:r w:rsidRPr="00CD2448">
        <w:rPr>
          <w:rFonts w:ascii="Arial" w:hAnsi="Arial" w:cs="Arial"/>
          <w:color w:val="000000" w:themeColor="text1"/>
          <w:sz w:val="22"/>
          <w:szCs w:val="22"/>
        </w:rPr>
        <w:t xml:space="preserve"> had not responded to at least </w:t>
      </w:r>
      <w:r w:rsidR="00867F37" w:rsidRPr="00CD2448">
        <w:rPr>
          <w:rFonts w:ascii="Arial" w:hAnsi="Arial" w:cs="Arial"/>
          <w:color w:val="000000" w:themeColor="text1"/>
          <w:sz w:val="22"/>
          <w:szCs w:val="22"/>
        </w:rPr>
        <w:t xml:space="preserve">two </w:t>
      </w:r>
      <w:r w:rsidRPr="00CD2448">
        <w:rPr>
          <w:rFonts w:ascii="Arial" w:hAnsi="Arial" w:cs="Arial"/>
          <w:color w:val="000000" w:themeColor="text1"/>
          <w:sz w:val="22"/>
          <w:szCs w:val="22"/>
        </w:rPr>
        <w:t>adequate antidepressant trial</w:t>
      </w:r>
      <w:r w:rsidR="007326C0" w:rsidRPr="00CD2448">
        <w:rPr>
          <w:rFonts w:ascii="Arial" w:hAnsi="Arial" w:cs="Arial"/>
          <w:color w:val="000000" w:themeColor="text1"/>
          <w:sz w:val="22"/>
          <w:szCs w:val="22"/>
        </w:rPr>
        <w:t>s</w:t>
      </w:r>
      <w:r w:rsidR="00F00CFE" w:rsidRPr="00CD2448">
        <w:rPr>
          <w:rFonts w:ascii="Arial" w:hAnsi="Arial" w:cs="Arial"/>
          <w:color w:val="000000" w:themeColor="text1"/>
          <w:sz w:val="22"/>
          <w:szCs w:val="22"/>
        </w:rPr>
        <w:t xml:space="preserve">, as assessed via </w:t>
      </w:r>
      <w:r w:rsidRPr="00CD2448">
        <w:rPr>
          <w:rFonts w:ascii="Arial" w:hAnsi="Arial" w:cs="Arial"/>
          <w:color w:val="000000" w:themeColor="text1"/>
          <w:sz w:val="22"/>
          <w:szCs w:val="22"/>
        </w:rPr>
        <w:t>the Antidepressant Treatment History Form</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ExcludeYear="1"&gt;&lt;Author&gt;Sackeim&lt;/Author&gt;&lt;Year&gt;2001&lt;/Year&gt;&lt;RecNum&gt;103&lt;/RecNum&gt;&lt;DisplayText&gt;[10]&lt;/DisplayText&gt;&lt;record&gt;&lt;rec-number&gt;103&lt;/rec-number&gt;&lt;foreign-keys&gt;&lt;key app="EN" db-id="dzsadpavbdaf27ef9zmxw006vzddp0epfpxa" timestamp="1759239301"&gt;103&lt;/key&gt;&lt;/foreign-keys&gt;&lt;ref-type name="Journal Article"&gt;17&lt;/ref-type&gt;&lt;contributors&gt;&lt;authors&gt;&lt;author&gt;Sackeim, H. A.&lt;/author&gt;&lt;/authors&gt;&lt;/contributors&gt;&lt;titles&gt;&lt;title&gt;The definition and meaning of treatment-resistant depression&lt;/title&gt;&lt;secondary-title&gt;J Clin Psychiatry&lt;/secondary-title&gt;&lt;/titles&gt;&lt;periodical&gt;&lt;full-title&gt;J Clin Psychiatry&lt;/full-title&gt;&lt;/periodical&gt;&lt;pages&gt;10-17&lt;/pages&gt;&lt;volume&gt;62 (Suppl 16)&lt;/volume&gt;&lt;dates&gt;&lt;year&gt;2001&lt;/year&gt;&lt;pub-dates&gt;&lt;date&gt;2001&lt;/date&gt;&lt;/pub-dates&gt;&lt;/dates&gt;&lt;isbn&gt;0160-6689&lt;/isbn&gt;&lt;urls&gt;&lt;/urls&gt;&lt;remote-database-name&gt;PubMed&lt;/remote-database-name&gt;&lt;language&gt;eng&lt;/languag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[10]</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w:t>
      </w:r>
      <w:r w:rsidRPr="00CD2448">
        <w:rPr>
          <w:rFonts w:ascii="Arial" w:eastAsia="Aptos" w:hAnsi="Arial" w:cs="Arial"/>
          <w:color w:val="000000" w:themeColor="text1"/>
          <w:sz w:val="22"/>
          <w:szCs w:val="22"/>
        </w:rPr>
        <w:t xml:space="preserve"> Patients were experiencing a current depressive episode lasting at least four weeks and were required to have a Montgomery-</w:t>
      </w:r>
      <w:proofErr w:type="spellStart"/>
      <w:r w:rsidRPr="00CD2448">
        <w:rPr>
          <w:rFonts w:ascii="Arial" w:eastAsia="Aptos" w:hAnsi="Arial" w:cs="Arial"/>
          <w:color w:val="000000" w:themeColor="text1"/>
          <w:sz w:val="22"/>
          <w:szCs w:val="22"/>
        </w:rPr>
        <w:t>Åsberg</w:t>
      </w:r>
      <w:proofErr w:type="spellEnd"/>
      <w:r w:rsidRPr="00CD2448">
        <w:rPr>
          <w:rFonts w:ascii="Arial" w:eastAsia="Aptos" w:hAnsi="Arial" w:cs="Arial"/>
          <w:color w:val="000000" w:themeColor="text1"/>
          <w:sz w:val="22"/>
          <w:szCs w:val="22"/>
        </w:rPr>
        <w:t xml:space="preserve"> Depression Rating Scale</w:t>
      </w:r>
      <w:r w:rsidRPr="00CD2448">
        <w:rPr>
          <w:rFonts w:ascii="Arial" w:hAnsi="Arial" w:cs="Arial"/>
          <w:color w:val="000000" w:themeColor="text1"/>
          <w:sz w:val="22"/>
          <w:szCs w:val="22"/>
        </w:rPr>
        <w:t xml:space="preserve"> (MADRS)</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ExcludeYear="1"&gt;&lt;Author&gt;Montgomery&lt;/Author&gt;&lt;Year&gt;1979&lt;/Year&gt;&lt;RecNum&gt;104&lt;/RecNum&gt;&lt;DisplayText&gt;[11]&lt;/DisplayText&gt;&lt;record&gt;&lt;rec-number&gt;104&lt;/rec-number&gt;&lt;foreign-keys&gt;&lt;key app="EN" db-id="dzsadpavbdaf27ef9zmxw006vzddp0epfpxa" timestamp="1759239327"&gt;104&lt;/key&gt;&lt;/foreign-keys&gt;&lt;ref-type name="Journal Article"&gt;17&lt;/ref-type&gt;&lt;contributors&gt;&lt;authors&gt;&lt;author&gt;Montgomery, Stuart A.&lt;/author&gt;&lt;author&gt;Åsberg, Marie&lt;/author&gt;&lt;/authors&gt;&lt;/contributors&gt;&lt;titles&gt;&lt;title&gt;A new depression scale designed to be sensitive to change&lt;/title&gt;&lt;secondary-title&gt;Br J Psychiatry&lt;/secondary-title&gt;&lt;/titles&gt;&lt;periodical&gt;&lt;full-title&gt;Br J Psychiatry&lt;/full-title&gt;&lt;/periodical&gt;&lt;pages&gt;382-389&lt;/pages&gt;&lt;volume&gt;134&lt;/volume&gt;&lt;number&gt;4&lt;/number&gt;&lt;dates&gt;&lt;year&gt;1979&lt;/year&gt;&lt;pub-dates&gt;&lt;date&gt;1979/4//&lt;/date&gt;&lt;/pub-dates&gt;&lt;/dates&gt;&lt;isbn&gt;0007-1250, 1472-1465&lt;/isbn&gt;&lt;urls&gt;&lt;/urls&gt;&lt;electronic-resource-num&gt;10.1192/bjp.134.4.382&lt;/electronic-resource-num&gt;&lt;remote-database-name&gt;DOI.org (Crossref)&lt;/remote-database-name&gt;&lt;language&gt;en&lt;/language&gt;&lt;/record&gt;&lt;/Cite&gt;&lt;/EndNote&gt;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[11]</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eastAsia="Aptos" w:hAnsi="Arial" w:cs="Arial"/>
          <w:color w:val="000000" w:themeColor="text1"/>
          <w:sz w:val="22"/>
          <w:szCs w:val="22"/>
        </w:rPr>
        <w:t xml:space="preserve"> ≥20 at baseline and before each infusion (</w:t>
      </w:r>
      <w:r w:rsidR="00C74207" w:rsidRPr="00CD2448">
        <w:rPr>
          <w:rFonts w:ascii="Arial" w:eastAsia="Aptos" w:hAnsi="Arial" w:cs="Arial"/>
          <w:b/>
          <w:bCs/>
          <w:color w:val="000000" w:themeColor="text1"/>
          <w:sz w:val="22"/>
          <w:szCs w:val="22"/>
        </w:rPr>
        <w:t>Table S3</w:t>
      </w:r>
      <w:r w:rsidRPr="00CD2448">
        <w:rPr>
          <w:rFonts w:ascii="Arial" w:eastAsia="Aptos" w:hAnsi="Arial" w:cs="Arial"/>
          <w:color w:val="000000" w:themeColor="text1"/>
          <w:sz w:val="22"/>
          <w:szCs w:val="22"/>
        </w:rPr>
        <w:t xml:space="preserve">). </w:t>
      </w:r>
      <w:r w:rsidR="00BA4E46" w:rsidRPr="00CD2448">
        <w:rPr>
          <w:rFonts w:ascii="Arial" w:eastAsia="Aptos" w:hAnsi="Arial" w:cs="Arial"/>
          <w:color w:val="000000" w:themeColor="text1"/>
          <w:sz w:val="22"/>
          <w:szCs w:val="22"/>
        </w:rPr>
        <w:t xml:space="preserve">Randomization was performed by the National Institutes of Health Clinical Center pharmacy department, all subjects, investigators, and raters were blind to group assignment. </w:t>
      </w:r>
      <w:r w:rsidRPr="00CD2448">
        <w:rPr>
          <w:rFonts w:ascii="Arial" w:eastAsia="Aptos" w:hAnsi="Arial" w:cs="Arial"/>
          <w:color w:val="000000" w:themeColor="text1"/>
          <w:sz w:val="22"/>
          <w:szCs w:val="22"/>
        </w:rPr>
        <w:t xml:space="preserve">Exclusion criteria included drug use (except caffeine/nicotine) within two weeks or a positive toxicology screen (except prescribed benzodiazepines), </w:t>
      </w:r>
      <w:r w:rsidR="00635906" w:rsidRPr="00CD2448">
        <w:rPr>
          <w:rFonts w:ascii="Arial" w:eastAsia="Aptos" w:hAnsi="Arial" w:cs="Arial"/>
          <w:color w:val="000000" w:themeColor="text1"/>
          <w:sz w:val="22"/>
          <w:szCs w:val="22"/>
        </w:rPr>
        <w:t>presence of any medical illness likely to alter brain morphology and/or physiology (</w:t>
      </w:r>
      <w:proofErr w:type="spellStart"/>
      <w:r w:rsidR="00635906" w:rsidRPr="00CD2448">
        <w:rPr>
          <w:rFonts w:ascii="Arial" w:eastAsia="Aptos" w:hAnsi="Arial" w:cs="Arial"/>
          <w:color w:val="000000" w:themeColor="text1"/>
          <w:sz w:val="22"/>
          <w:szCs w:val="22"/>
        </w:rPr>
        <w:t>e.g.,hypertension</w:t>
      </w:r>
      <w:proofErr w:type="spellEnd"/>
      <w:r w:rsidR="00635906" w:rsidRPr="00CD2448">
        <w:rPr>
          <w:rFonts w:ascii="Arial" w:eastAsia="Aptos" w:hAnsi="Arial" w:cs="Arial"/>
          <w:color w:val="000000" w:themeColor="text1"/>
          <w:sz w:val="22"/>
          <w:szCs w:val="22"/>
        </w:rPr>
        <w:t>, diabetes)</w:t>
      </w:r>
      <w:r w:rsidR="00B53F86" w:rsidRPr="00CD2448">
        <w:rPr>
          <w:rFonts w:ascii="Arial" w:eastAsia="Aptos" w:hAnsi="Arial" w:cs="Arial"/>
          <w:color w:val="000000" w:themeColor="text1"/>
          <w:sz w:val="22"/>
          <w:szCs w:val="22"/>
        </w:rPr>
        <w:t>,</w:t>
      </w:r>
      <w:r w:rsidR="00635906" w:rsidRPr="00CD2448">
        <w:rPr>
          <w:rFonts w:ascii="Arial" w:eastAsia="Aptos" w:hAnsi="Arial" w:cs="Arial"/>
          <w:color w:val="000000" w:themeColor="text1"/>
          <w:sz w:val="22"/>
          <w:szCs w:val="22"/>
        </w:rPr>
        <w:t xml:space="preserve"> even if controlled by medications</w:t>
      </w:r>
      <w:r w:rsidRPr="00CD2448">
        <w:rPr>
          <w:rFonts w:ascii="Arial" w:eastAsia="Aptos" w:hAnsi="Arial" w:cs="Arial"/>
          <w:color w:val="000000" w:themeColor="text1"/>
          <w:sz w:val="22"/>
          <w:szCs w:val="22"/>
        </w:rPr>
        <w:t>, abnormal screening laboratory results (</w:t>
      </w:r>
      <w:r w:rsidR="00383147" w:rsidRPr="00CD2448">
        <w:rPr>
          <w:rFonts w:ascii="Arial" w:eastAsia="Aptos" w:hAnsi="Arial" w:cs="Arial"/>
          <w:color w:val="000000" w:themeColor="text1"/>
          <w:sz w:val="22"/>
          <w:szCs w:val="22"/>
        </w:rPr>
        <w:t xml:space="preserve">listed </w:t>
      </w:r>
      <w:r w:rsidRPr="00CD2448">
        <w:rPr>
          <w:rFonts w:ascii="Arial" w:eastAsia="Aptos" w:hAnsi="Arial" w:cs="Arial"/>
          <w:color w:val="000000" w:themeColor="text1"/>
          <w:sz w:val="22"/>
          <w:szCs w:val="22"/>
        </w:rPr>
        <w:t>below), or significant suicidal/homicidal risk (MADRS suicidality score ≥5).</w:t>
      </w:r>
      <w:r w:rsidRPr="00CD2448">
        <w:rPr>
          <w:rFonts w:ascii="Arial" w:hAnsi="Arial" w:cs="Arial"/>
          <w:color w:val="000000" w:themeColor="text1"/>
          <w:sz w:val="22"/>
          <w:szCs w:val="22"/>
        </w:rPr>
        <w:t xml:space="preserve"> </w:t>
      </w:r>
      <w:r w:rsidRPr="00CD2448">
        <w:rPr>
          <w:rFonts w:ascii="Arial" w:eastAsia="Aptos" w:hAnsi="Arial" w:cs="Arial"/>
          <w:color w:val="000000" w:themeColor="text1"/>
          <w:sz w:val="22"/>
          <w:szCs w:val="22"/>
        </w:rPr>
        <w:t>All participants were medically evaluated (</w:t>
      </w:r>
      <w:r w:rsidR="004806EE" w:rsidRPr="00CD2448">
        <w:rPr>
          <w:rFonts w:ascii="Arial" w:eastAsia="Aptos" w:hAnsi="Arial" w:cs="Arial"/>
          <w:color w:val="000000" w:themeColor="text1"/>
          <w:sz w:val="22"/>
          <w:szCs w:val="22"/>
        </w:rPr>
        <w:t xml:space="preserve">medical </w:t>
      </w:r>
      <w:r w:rsidRPr="00CD2448">
        <w:rPr>
          <w:rFonts w:ascii="Arial" w:eastAsia="Aptos" w:hAnsi="Arial" w:cs="Arial"/>
          <w:color w:val="000000" w:themeColor="text1"/>
          <w:sz w:val="22"/>
          <w:szCs w:val="22"/>
        </w:rPr>
        <w:t xml:space="preserve">history, </w:t>
      </w:r>
      <w:r w:rsidR="004806EE" w:rsidRPr="00CD2448">
        <w:rPr>
          <w:rFonts w:ascii="Arial" w:eastAsia="Aptos" w:hAnsi="Arial" w:cs="Arial"/>
          <w:color w:val="000000" w:themeColor="text1"/>
          <w:sz w:val="22"/>
          <w:szCs w:val="22"/>
        </w:rPr>
        <w:t xml:space="preserve">physical </w:t>
      </w:r>
      <w:r w:rsidRPr="00CD2448">
        <w:rPr>
          <w:rFonts w:ascii="Arial" w:eastAsia="Aptos" w:hAnsi="Arial" w:cs="Arial"/>
          <w:color w:val="000000" w:themeColor="text1"/>
          <w:sz w:val="22"/>
          <w:szCs w:val="22"/>
        </w:rPr>
        <w:t xml:space="preserve">exam, urine toxicology, urinalysis, ECG, chest x-ray, complete </w:t>
      </w:r>
      <w:r w:rsidRPr="00CD2448">
        <w:rPr>
          <w:rFonts w:ascii="Arial" w:eastAsia="Aptos" w:hAnsi="Arial" w:cs="Arial"/>
          <w:color w:val="000000" w:themeColor="text1"/>
          <w:sz w:val="22"/>
          <w:szCs w:val="22"/>
        </w:rPr>
        <w:lastRenderedPageBreak/>
        <w:t>metabolic panel, complete blood count</w:t>
      </w:r>
      <w:r w:rsidR="00ED5808" w:rsidRPr="00CD2448">
        <w:rPr>
          <w:rFonts w:ascii="Arial" w:eastAsia="Aptos" w:hAnsi="Arial" w:cs="Arial"/>
          <w:color w:val="000000" w:themeColor="text1"/>
          <w:sz w:val="22"/>
          <w:szCs w:val="22"/>
        </w:rPr>
        <w:t xml:space="preserve"> (CBC)</w:t>
      </w:r>
      <w:r w:rsidRPr="00CD2448">
        <w:rPr>
          <w:rFonts w:ascii="Arial" w:eastAsia="Aptos" w:hAnsi="Arial" w:cs="Arial"/>
          <w:color w:val="000000" w:themeColor="text1"/>
          <w:sz w:val="22"/>
          <w:szCs w:val="22"/>
        </w:rPr>
        <w:t>, thyroid tests, cobalamin (B12), folate (B9) levels) and</w:t>
      </w:r>
      <w:r w:rsidR="004806EE" w:rsidRPr="00CD2448">
        <w:rPr>
          <w:rFonts w:ascii="Arial" w:eastAsia="Aptos" w:hAnsi="Arial" w:cs="Arial"/>
          <w:color w:val="000000" w:themeColor="text1"/>
          <w:sz w:val="22"/>
          <w:szCs w:val="22"/>
        </w:rPr>
        <w:t xml:space="preserve"> were</w:t>
      </w:r>
      <w:r w:rsidRPr="00CD2448">
        <w:rPr>
          <w:rFonts w:ascii="Arial" w:eastAsia="Aptos" w:hAnsi="Arial" w:cs="Arial"/>
          <w:color w:val="000000" w:themeColor="text1"/>
          <w:sz w:val="22"/>
          <w:szCs w:val="22"/>
        </w:rPr>
        <w:t xml:space="preserve"> deemed in good health. </w:t>
      </w:r>
      <w:r w:rsidR="00B53F86" w:rsidRPr="00CD2448">
        <w:rPr>
          <w:rFonts w:ascii="Arial" w:hAnsi="Arial" w:cs="Arial"/>
          <w:color w:val="000000" w:themeColor="text1"/>
          <w:sz w:val="22"/>
          <w:szCs w:val="22"/>
        </w:rPr>
        <w:t>The f</w:t>
      </w:r>
      <w:r w:rsidR="00635906" w:rsidRPr="00CD2448">
        <w:rPr>
          <w:rFonts w:ascii="Arial" w:hAnsi="Arial" w:cs="Arial"/>
          <w:color w:val="000000" w:themeColor="text1"/>
          <w:sz w:val="22"/>
          <w:szCs w:val="22"/>
        </w:rPr>
        <w:t>ull study protocol</w:t>
      </w:r>
      <w:r w:rsidR="004F00BF" w:rsidRPr="00CD2448">
        <w:rPr>
          <w:rFonts w:ascii="Arial" w:hAnsi="Arial" w:cs="Arial"/>
          <w:color w:val="000000" w:themeColor="text1"/>
          <w:sz w:val="22"/>
          <w:szCs w:val="22"/>
        </w:rPr>
        <w:t xml:space="preserve">, including all permissible medications (Appendix A) </w:t>
      </w:r>
      <w:r w:rsidR="00635906" w:rsidRPr="00CD2448">
        <w:rPr>
          <w:rFonts w:ascii="Arial" w:hAnsi="Arial" w:cs="Arial"/>
          <w:color w:val="000000" w:themeColor="text1"/>
          <w:sz w:val="22"/>
          <w:szCs w:val="22"/>
        </w:rPr>
        <w:t xml:space="preserve">can be accessed at: </w:t>
      </w:r>
      <w:hyperlink r:id="rId7" w:history="1">
        <w:r w:rsidR="00635906" w:rsidRPr="00CD2448">
          <w:rPr>
            <w:rStyle w:val="Hyperlink"/>
            <w:rFonts w:ascii="Arial" w:hAnsi="Arial" w:cs="Arial"/>
            <w:color w:val="000000" w:themeColor="text1"/>
            <w:sz w:val="22"/>
            <w:szCs w:val="22"/>
          </w:rPr>
          <w:t>https://cdn.clinicaltrials.gov/large-docs/99/NCT00088699/Prot_SAP_000.pdf</w:t>
        </w:r>
      </w:hyperlink>
      <w:r w:rsidR="004F00BF" w:rsidRPr="00CD2448">
        <w:rPr>
          <w:rFonts w:ascii="Arial" w:hAnsi="Arial" w:cs="Arial"/>
          <w:color w:val="000000" w:themeColor="text1"/>
          <w:sz w:val="22"/>
          <w:szCs w:val="22"/>
        </w:rPr>
        <w:t xml:space="preserve">. </w:t>
      </w:r>
      <w:r w:rsidR="004F00BF" w:rsidRPr="00CD2448">
        <w:rPr>
          <w:rFonts w:ascii="Arial" w:eastAsia="Aptos" w:hAnsi="Arial" w:cs="Arial"/>
          <w:color w:val="000000" w:themeColor="text1"/>
          <w:sz w:val="22"/>
          <w:szCs w:val="22"/>
        </w:rPr>
        <w:t>Psychiatric medications (and those prohibited in Appendix A</w:t>
      </w:r>
      <w:r w:rsidR="00B53F86" w:rsidRPr="00CD2448">
        <w:rPr>
          <w:rFonts w:ascii="Arial" w:eastAsia="Aptos" w:hAnsi="Arial" w:cs="Arial"/>
          <w:color w:val="000000" w:themeColor="text1"/>
          <w:sz w:val="22"/>
          <w:szCs w:val="22"/>
        </w:rPr>
        <w:t>,</w:t>
      </w:r>
      <w:r w:rsidR="004F00BF" w:rsidRPr="00CD2448">
        <w:rPr>
          <w:rFonts w:ascii="Arial" w:eastAsia="Aptos" w:hAnsi="Arial" w:cs="Arial"/>
          <w:color w:val="000000" w:themeColor="text1"/>
          <w:sz w:val="22"/>
          <w:szCs w:val="22"/>
        </w:rPr>
        <w:t xml:space="preserve"> above) were discontinued ≥2 weeks prior to beginning the study, except aripiprazole (≥3 weeks) and fluoxetine (≥5 weeks).</w:t>
      </w:r>
      <w:r w:rsidR="007365DB" w:rsidRPr="00CD2448">
        <w:rPr>
          <w:rFonts w:ascii="Arial" w:eastAsia="Aptos" w:hAnsi="Arial" w:cs="Arial"/>
          <w:color w:val="000000" w:themeColor="text1"/>
          <w:sz w:val="22"/>
          <w:szCs w:val="22"/>
        </w:rPr>
        <w:t xml:space="preserve"> </w:t>
      </w:r>
      <w:r w:rsidR="008B56B3" w:rsidRPr="00CD2448">
        <w:rPr>
          <w:rFonts w:ascii="Arial" w:eastAsia="Aptos" w:hAnsi="Arial" w:cs="Arial"/>
          <w:color w:val="000000" w:themeColor="text1"/>
          <w:sz w:val="22"/>
          <w:szCs w:val="22"/>
        </w:rPr>
        <w:t>Both TRD and HV participants</w:t>
      </w:r>
      <w:r w:rsidRPr="00CD2448">
        <w:rPr>
          <w:rFonts w:ascii="Arial" w:eastAsia="Aptos" w:hAnsi="Arial" w:cs="Arial"/>
          <w:color w:val="000000" w:themeColor="text1"/>
          <w:sz w:val="22"/>
          <w:szCs w:val="22"/>
        </w:rPr>
        <w:t xml:space="preserve"> were admitted to the National Institutes of Health (NIH) Clinical Center for the duration of the study. To control for circadian variation, blood draws and infusions were initiated at approximately equivalent times every morning. </w:t>
      </w:r>
      <w:r w:rsidR="00C30729" w:rsidRPr="00CD2448">
        <w:rPr>
          <w:rFonts w:ascii="Arial" w:eastAsia="Aptos" w:hAnsi="Arial" w:cs="Arial"/>
          <w:color w:val="000000" w:themeColor="text1"/>
          <w:sz w:val="22"/>
          <w:szCs w:val="22"/>
        </w:rPr>
        <w:t>Clinical rating scales (MADRS)</w:t>
      </w:r>
      <w:r w:rsidRPr="00CD2448">
        <w:rPr>
          <w:rFonts w:ascii="Arial" w:hAnsi="Arial" w:cs="Arial"/>
          <w:color w:val="000000" w:themeColor="text1"/>
          <w:sz w:val="22"/>
          <w:szCs w:val="22"/>
        </w:rPr>
        <w:t xml:space="preserve"> were administered at baseline, four-hours post</w:t>
      </w:r>
      <w:r w:rsidR="009A772E" w:rsidRPr="00CD2448">
        <w:rPr>
          <w:rFonts w:ascii="Arial" w:hAnsi="Arial" w:cs="Arial"/>
          <w:color w:val="000000" w:themeColor="text1"/>
          <w:sz w:val="22"/>
          <w:szCs w:val="22"/>
        </w:rPr>
        <w:t>-</w:t>
      </w:r>
      <w:r w:rsidRPr="00CD2448">
        <w:rPr>
          <w:rFonts w:ascii="Arial" w:hAnsi="Arial" w:cs="Arial"/>
          <w:color w:val="000000" w:themeColor="text1"/>
          <w:sz w:val="22"/>
          <w:szCs w:val="22"/>
        </w:rPr>
        <w:t>treatment (ketamine or placebo), and then one- and three-days post-treatment.</w:t>
      </w:r>
    </w:p>
    <w:p w14:paraId="5907E663" w14:textId="77777777" w:rsidR="00D03530" w:rsidRPr="00CD2448" w:rsidRDefault="00D03530" w:rsidP="00415257">
      <w:pPr>
        <w:rPr>
          <w:rFonts w:ascii="Arial" w:eastAsia="Aptos" w:hAnsi="Arial" w:cs="Arial"/>
          <w:color w:val="000000" w:themeColor="text1"/>
          <w:sz w:val="22"/>
          <w:szCs w:val="22"/>
        </w:rPr>
      </w:pPr>
    </w:p>
    <w:p w14:paraId="1F1E3E41" w14:textId="77777777"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Whole Blood Bulk RNA Sequencing (NCT00088699)</w:t>
      </w:r>
    </w:p>
    <w:p w14:paraId="508CA4F6" w14:textId="2C655B1D" w:rsidR="00D03530" w:rsidRPr="00CD2448" w:rsidRDefault="00D03530"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Transcriptomic data from a single sequencing batch (n=11 H</w:t>
      </w:r>
      <w:r w:rsidR="00E21709" w:rsidRPr="00CD2448">
        <w:rPr>
          <w:rFonts w:ascii="Arial" w:hAnsi="Arial" w:cs="Arial"/>
          <w:color w:val="000000" w:themeColor="text1"/>
          <w:sz w:val="22"/>
          <w:szCs w:val="22"/>
        </w:rPr>
        <w:t>V</w:t>
      </w:r>
      <w:r w:rsidR="009A772E"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w:t>
      </w:r>
      <w:r w:rsidR="00E21709" w:rsidRPr="00CD2448">
        <w:rPr>
          <w:rFonts w:ascii="Arial" w:hAnsi="Arial" w:cs="Arial"/>
          <w:color w:val="000000" w:themeColor="text1"/>
          <w:sz w:val="22"/>
          <w:szCs w:val="22"/>
        </w:rPr>
        <w:t>n=</w:t>
      </w:r>
      <w:r w:rsidRPr="00CD2448">
        <w:rPr>
          <w:rFonts w:ascii="Arial" w:hAnsi="Arial" w:cs="Arial"/>
          <w:color w:val="000000" w:themeColor="text1"/>
          <w:sz w:val="22"/>
          <w:szCs w:val="22"/>
        </w:rPr>
        <w:t xml:space="preserve">16 TRD) were collected at baseline and </w:t>
      </w:r>
      <w:r w:rsidR="002243A9" w:rsidRPr="00CD2448">
        <w:rPr>
          <w:rFonts w:ascii="Arial" w:hAnsi="Arial" w:cs="Arial"/>
          <w:color w:val="000000" w:themeColor="text1"/>
          <w:sz w:val="22"/>
          <w:szCs w:val="22"/>
        </w:rPr>
        <w:t>four</w:t>
      </w:r>
      <w:r w:rsidRPr="00CD2448">
        <w:rPr>
          <w:rFonts w:ascii="Arial" w:hAnsi="Arial" w:cs="Arial"/>
          <w:color w:val="000000" w:themeColor="text1"/>
          <w:sz w:val="22"/>
          <w:szCs w:val="22"/>
        </w:rPr>
        <w:t xml:space="preserve"> hours post</w:t>
      </w:r>
      <w:r w:rsidR="0062628B"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ketamine to assess early transcriptional changes associated with clinical response (50% MADRS reduction at 24 hours). RNA underwent initial quality control with a </w:t>
      </w:r>
      <w:proofErr w:type="spellStart"/>
      <w:r w:rsidRPr="00CD2448">
        <w:rPr>
          <w:rFonts w:ascii="Arial" w:hAnsi="Arial" w:cs="Arial"/>
          <w:color w:val="000000" w:themeColor="text1"/>
          <w:sz w:val="22"/>
          <w:szCs w:val="22"/>
        </w:rPr>
        <w:t>NanoDrop</w:t>
      </w:r>
      <w:proofErr w:type="spellEnd"/>
      <w:r w:rsidRPr="00CD2448">
        <w:rPr>
          <w:rFonts w:ascii="Arial" w:hAnsi="Arial" w:cs="Arial"/>
          <w:color w:val="000000" w:themeColor="text1"/>
          <w:sz w:val="22"/>
          <w:szCs w:val="22"/>
        </w:rPr>
        <w:t>™ spectrophotometer (</w:t>
      </w:r>
      <w:proofErr w:type="spellStart"/>
      <w:r w:rsidRPr="00CD2448">
        <w:rPr>
          <w:rFonts w:ascii="Arial" w:hAnsi="Arial" w:cs="Arial"/>
          <w:color w:val="000000" w:themeColor="text1"/>
          <w:sz w:val="22"/>
          <w:szCs w:val="22"/>
        </w:rPr>
        <w:t>Thermo</w:t>
      </w:r>
      <w:proofErr w:type="spellEnd"/>
      <w:r w:rsidRPr="00CD2448">
        <w:rPr>
          <w:rFonts w:ascii="Arial" w:hAnsi="Arial" w:cs="Arial"/>
          <w:color w:val="000000" w:themeColor="text1"/>
          <w:sz w:val="22"/>
          <w:szCs w:val="22"/>
        </w:rPr>
        <w:t xml:space="preserve"> Fisher Scientific) and an Agilent Bioanalyzer (Agilent Technologies). The mean RNA integrity number (RIN) across samples was 8.2, with a range between 7.5 and 9.2. Stranded library preparation was then performed using the Illumina Globin-Zero protocol</w:t>
      </w:r>
      <w:r w:rsidR="00A830EB">
        <w:rPr>
          <w:rFonts w:ascii="Arial" w:hAnsi="Arial" w:cs="Arial"/>
          <w:color w:val="000000" w:themeColor="text1"/>
          <w:sz w:val="22"/>
          <w:szCs w:val="22"/>
        </w:rPr>
        <w:t xml:space="preserve"> (</w:t>
      </w:r>
      <w:r w:rsidR="00A830EB" w:rsidRPr="00A830EB">
        <w:rPr>
          <w:rFonts w:ascii="Arial" w:hAnsi="Arial" w:cs="Arial"/>
          <w:color w:val="000000" w:themeColor="text1"/>
          <w:sz w:val="22"/>
          <w:szCs w:val="22"/>
        </w:rPr>
        <w:t>Ribo-Zero Plus</w:t>
      </w:r>
      <w:r w:rsidR="00A830EB">
        <w:rPr>
          <w:rFonts w:ascii="Arial" w:hAnsi="Arial" w:cs="Arial"/>
          <w:color w:val="000000" w:themeColor="text1"/>
          <w:sz w:val="22"/>
          <w:szCs w:val="22"/>
        </w:rPr>
        <w:t xml:space="preserve"> kit)</w:t>
      </w:r>
      <w:r w:rsidRPr="00CD2448">
        <w:rPr>
          <w:rFonts w:ascii="Arial" w:hAnsi="Arial" w:cs="Arial"/>
          <w:color w:val="000000" w:themeColor="text1"/>
          <w:sz w:val="22"/>
          <w:szCs w:val="22"/>
        </w:rPr>
        <w:t xml:space="preserve">, designed to remove both rRNA and globin mRNA, enhancing detection of relevant transcripts from whole blood. Sequencing was conducted on an Illumina HiSeq 2500 with a paired-end protocol (100–125 bp), targeting ~60 million reads per sample. Pre- and post-ketamine treatment samples were sequenced within the same flow cell to reduce batch effects in the longitudinal design. </w:t>
      </w:r>
      <w:proofErr w:type="spellStart"/>
      <w:r w:rsidRPr="00CD2448">
        <w:rPr>
          <w:rFonts w:ascii="Arial" w:hAnsi="Arial" w:cs="Arial"/>
          <w:color w:val="000000" w:themeColor="text1"/>
          <w:sz w:val="22"/>
          <w:szCs w:val="22"/>
        </w:rPr>
        <w:t>FastQ</w:t>
      </w:r>
      <w:proofErr w:type="spellEnd"/>
      <w:r w:rsidRPr="00CD2448">
        <w:rPr>
          <w:rFonts w:ascii="Arial" w:hAnsi="Arial" w:cs="Arial"/>
          <w:color w:val="000000" w:themeColor="text1"/>
          <w:sz w:val="22"/>
          <w:szCs w:val="22"/>
        </w:rPr>
        <w:t xml:space="preserve"> files were adapter-trimmed and assessed for quality with </w:t>
      </w:r>
      <w:proofErr w:type="spellStart"/>
      <w:r w:rsidRPr="00CD2448">
        <w:rPr>
          <w:rFonts w:ascii="Arial" w:hAnsi="Arial" w:cs="Arial"/>
          <w:color w:val="000000" w:themeColor="text1"/>
          <w:sz w:val="22"/>
          <w:szCs w:val="22"/>
        </w:rPr>
        <w:t>fastP</w:t>
      </w:r>
      <w:proofErr w:type="spellEnd"/>
      <w:r w:rsidRPr="00CD2448">
        <w:rPr>
          <w:rFonts w:ascii="Arial" w:hAnsi="Arial" w:cs="Arial"/>
          <w:color w:val="000000" w:themeColor="text1"/>
          <w:sz w:val="22"/>
          <w:szCs w:val="22"/>
        </w:rPr>
        <w:t xml:space="preserve"> and </w:t>
      </w:r>
      <w:proofErr w:type="spellStart"/>
      <w:r w:rsidRPr="00CD2448">
        <w:rPr>
          <w:rFonts w:ascii="Arial" w:hAnsi="Arial" w:cs="Arial"/>
          <w:color w:val="000000" w:themeColor="text1"/>
          <w:sz w:val="22"/>
          <w:szCs w:val="22"/>
        </w:rPr>
        <w:t>fastQC</w:t>
      </w:r>
      <w:proofErr w:type="spellEnd"/>
      <w:r w:rsidRPr="00CD2448">
        <w:rPr>
          <w:rFonts w:ascii="Arial" w:hAnsi="Arial" w:cs="Arial"/>
          <w:color w:val="000000" w:themeColor="text1"/>
          <w:sz w:val="22"/>
          <w:szCs w:val="22"/>
        </w:rPr>
        <w:t xml:space="preserve"> respectively</w:t>
      </w:r>
      <w:r w:rsidR="003E7128" w:rsidRPr="00CD2448">
        <w:rPr>
          <w:rFonts w:ascii="Arial" w:eastAsiaTheme="minorHAnsi" w:hAnsi="Arial" w:cs="Arial"/>
          <w:color w:val="000000" w:themeColor="text1"/>
          <w:sz w:val="22"/>
          <w:szCs w:val="22"/>
          <w14:ligatures w14:val="standardContextual"/>
        </w:rPr>
        <w:t xml:space="preserve"> </w:t>
      </w:r>
      <w:r w:rsidR="003E7128"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&lt;EndNote&gt;&lt;Cite&gt;&lt;Author&gt;Bioinformatics&lt;/Author&gt;&lt;RecNum&gt;105&lt;/RecNum&gt;&lt;DisplayText&gt;[12, 13]&lt;/DisplayText&gt;&lt;record&gt;&lt;rec-number&gt;105&lt;/rec-number&gt;&lt;foreign-keys&gt;&lt;key app="EN" db-id="dzsadpavbdaf27ef9zmxw006vzddp0epfpxa" timestamp="1759239438"&gt;105&lt;/key&gt;&lt;/foreign-keys&gt;&lt;ref-type name="Generic"&gt;13&lt;/ref-type&gt;&lt;contributors&gt;&lt;authors&gt;&lt;author&gt;Babraham Bioinformatics&lt;/author&gt;&lt;/authors&gt;&lt;/contributors&gt;&lt;titles&gt;&lt;title&gt;Fast QC: A quality control tool for high throughput sequence data. Available at: https://www.bioinformatics.babraham.ac.uk/projects/fastqc/&lt;/title&gt;&lt;/titles&gt;&lt;dates&gt;&lt;/dates&gt;&lt;urls&gt;&lt;/urls&gt;&lt;/record&gt;&lt;/Cite&gt;&lt;Cite&gt;&lt;Author&gt;Chen&lt;/Author&gt;&lt;Year&gt;2018&lt;/Year&gt;&lt;RecNum&gt;106&lt;/RecNum&gt;&lt;record&gt;&lt;rec-number&gt;106&lt;/rec-number&gt;&lt;foreign-keys&gt;&lt;key app="EN" db-id="dzsadpavbdaf27ef9zmxw006vzddp0epfpxa" timestamp="1759239590"&gt;106&lt;/key&gt;&lt;/foreign-keys&gt;&lt;ref-type name="Journal Article"&gt;17&lt;/ref-type&gt;&lt;contributors&gt;&lt;authors&gt;&lt;author&gt;Chen, S.&lt;/author&gt;&lt;author&gt;Zhou, Y.&lt;/author&gt;&lt;author&gt;Chen, Y.&lt;/author&gt;&lt;author&gt;Gu, J.&lt;/author&gt;&lt;/authors&gt;&lt;/contributors&gt;&lt;titles&gt;&lt;title&gt;fastp: an ultra-fast all-in-one FASTQ preprocessor&lt;/title&gt;&lt;secondary-title&gt;Bioinformatics&lt;/secondary-title&gt;&lt;/titles&gt;&lt;periodical&gt;&lt;full-title&gt;Bioinformatics&lt;/full-title&gt;&lt;/periodical&gt;&lt;pages&gt;i884-i890&lt;/pages&gt;&lt;volume&gt;34&lt;/volume&gt;&lt;dates&gt;&lt;year&gt;2018&lt;/year&gt;&lt;/dates&gt;&lt;urls&gt;&lt;/urls&gt;&lt;/record&gt;&lt;/Cite&gt;&lt;/EndNote&gt;</w:instrText>
      </w:r>
      <w:r w:rsidR="003E7128"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[12, 13]</w:t>
      </w:r>
      <w:r w:rsidR="003E7128"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w:t>
      </w:r>
      <w:r w:rsidR="004962C9" w:rsidRPr="00CD2448">
        <w:rPr>
          <w:rFonts w:ascii="Arial" w:hAnsi="Arial" w:cs="Arial"/>
          <w:color w:val="000000" w:themeColor="text1"/>
          <w:sz w:val="22"/>
          <w:szCs w:val="22"/>
        </w:rPr>
        <w:t xml:space="preserve">For this part of the analysis, both raw counts and transcripts per million (TPMs) were required to complete differential expression and deconvolution under the same alignment. </w:t>
      </w:r>
      <w:r w:rsidRPr="00CD2448">
        <w:rPr>
          <w:rFonts w:ascii="Arial" w:hAnsi="Arial" w:cs="Arial"/>
          <w:color w:val="000000" w:themeColor="text1"/>
          <w:sz w:val="22"/>
          <w:szCs w:val="22"/>
        </w:rPr>
        <w:t xml:space="preserve">Reads were </w:t>
      </w:r>
      <w:r w:rsidR="004962C9" w:rsidRPr="00CD2448">
        <w:rPr>
          <w:rFonts w:ascii="Arial" w:hAnsi="Arial" w:cs="Arial"/>
          <w:color w:val="000000" w:themeColor="text1"/>
          <w:sz w:val="22"/>
          <w:szCs w:val="22"/>
        </w:rPr>
        <w:t xml:space="preserve">thus </w:t>
      </w:r>
      <w:r w:rsidRPr="00CD2448">
        <w:rPr>
          <w:rFonts w:ascii="Arial" w:hAnsi="Arial" w:cs="Arial"/>
          <w:color w:val="000000" w:themeColor="text1"/>
          <w:sz w:val="22"/>
          <w:szCs w:val="22"/>
        </w:rPr>
        <w:t>mapped to the human GRCh38 reference genome using HISAT2</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ExcludeYear="1"&gt;&lt;Author&gt;Kim&lt;/Author&gt;&lt;Year&gt;2019&lt;/Year&gt;&lt;RecNum&gt;30&lt;/RecNum&gt;&lt;DisplayText&gt;[14]&lt;/DisplayText&gt;&lt;record&gt;&lt;rec-number&gt;30&lt;/rec-number&gt;&lt;foreign-keys&gt;&lt;key app="EN" db-id="dzsadpavbdaf27ef9zmxw006vzddp0epfpxa" timestamp="1759159643"&gt;30&lt;/key&gt;&lt;/foreign-keys&gt;&lt;ref-type name="Journal Article"&gt;17&lt;/ref-type&gt;&lt;contributors&gt;&lt;authors&gt;&lt;author&gt;Kim, Daehwan&lt;/author&gt;&lt;author&gt;Paggi, Joseph M.&lt;/author&gt;&lt;author&gt;Park, Chanhee&lt;/author&gt;&lt;author&gt;Bennett, Christopher&lt;/author&gt;&lt;author&gt;Salzberg, Steven L.&lt;/author&gt;&lt;/authors&gt;&lt;/contributors&gt;&lt;titles&gt;&lt;title&gt;Graph-based genome alignment and genotyping with HISAT2 and HISAT-genotype&lt;/title&gt;&lt;secondary-title&gt;Nat Biotechnol&lt;/secondary-title&gt;&lt;alt-title&gt;Nat Biotechnol&lt;/alt-title&gt;&lt;/titles&gt;&lt;periodical&gt;&lt;full-title&gt;Nature Biotechnology&lt;/full-title&gt;&lt;abbr-1&gt;Nat Biotechnol&lt;/abbr-1&gt;&lt;/periodical&gt;&lt;alt-periodical&gt;&lt;full-title&gt;Nature Biotechnology&lt;/full-title&gt;&lt;abbr-1&gt;Nat Biotechnol&lt;/abbr-1&gt;&lt;/alt-periodical&gt;&lt;pages&gt;907-915&lt;/pages&gt;&lt;volume&gt;37&lt;/volume&gt;&lt;number&gt;8&lt;/number&gt;&lt;keywords&gt;&lt;keyword&gt;Base Sequence&lt;/keyword&gt;&lt;keyword&gt;Benchmarking&lt;/keyword&gt;&lt;keyword&gt;Genetic Variation&lt;/keyword&gt;&lt;keyword&gt;Genetics research&lt;/keyword&gt;&lt;keyword&gt;Genome informatics&lt;/keyword&gt;&lt;keyword&gt;Genome, Human&lt;/keyword&gt;&lt;keyword&gt;Genomics&lt;/keyword&gt;&lt;keyword&gt;Genotype&lt;/keyword&gt;&lt;keyword&gt;Humans&lt;/keyword&gt;&lt;keyword&gt;Population genetics&lt;/keyword&gt;&lt;keyword&gt;Reproducibility of Results&lt;/keyword&gt;&lt;keyword&gt;Sequence Analysis, DNA&lt;/keyword&gt;&lt;keyword&gt;Sequence Analysis, RNA&lt;/keyword&gt;&lt;keyword&gt;Software&lt;/keyword&gt;&lt;/keywords&gt;&lt;dates&gt;&lt;year&gt;2019&lt;/year&gt;&lt;pub-dates&gt;&lt;date&gt;2019/08//&lt;/date&gt;&lt;/pub-dates&gt;&lt;/dates&gt;&lt;isbn&gt;1546-1696&lt;/isbn&gt;&lt;urls&gt;&lt;related-urls&gt;&lt;url&gt;https://www.nature.com/articles/s41587-019-0201-4&lt;/url&gt;&lt;url&gt;https://pmc.ncbi.nlm.nih.gov/articles/PMC7605509/pdf/nihms-1635086.pdf&lt;/url&gt;&lt;/related-urls&gt;&lt;/urls&gt;&lt;electronic-resource-num&gt;10.1038/s41587-019-0201-4&lt;/electronic-resource-num&gt;&lt;remote-database-provider&gt;www.nature.com&lt;/remote-database-provider&gt;&lt;language&gt;en&lt;/language&gt;&lt;access-date&gt;2025/03/09/11:58:55&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[14]</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w:t>
      </w:r>
      <w:r w:rsidR="00F12A42" w:rsidRPr="00CD2448">
        <w:rPr>
          <w:rFonts w:ascii="Arial" w:hAnsi="Arial" w:cs="Arial"/>
          <w:color w:val="000000" w:themeColor="text1"/>
          <w:sz w:val="22"/>
          <w:szCs w:val="22"/>
        </w:rPr>
        <w:t>(as opposed to the STAR/</w:t>
      </w:r>
      <w:proofErr w:type="spellStart"/>
      <w:r w:rsidR="00F12A42" w:rsidRPr="00CD2448">
        <w:rPr>
          <w:rFonts w:ascii="Arial" w:hAnsi="Arial" w:cs="Arial"/>
          <w:color w:val="000000" w:themeColor="text1"/>
          <w:sz w:val="22"/>
          <w:szCs w:val="22"/>
        </w:rPr>
        <w:t>featureCounts</w:t>
      </w:r>
      <w:proofErr w:type="spellEnd"/>
      <w:r w:rsidR="00F12A42" w:rsidRPr="00CD2448">
        <w:rPr>
          <w:rFonts w:ascii="Arial" w:hAnsi="Arial" w:cs="Arial"/>
          <w:color w:val="000000" w:themeColor="text1"/>
          <w:sz w:val="22"/>
          <w:szCs w:val="22"/>
        </w:rPr>
        <w:t xml:space="preserve"> pipeline above) </w:t>
      </w:r>
      <w:r w:rsidRPr="00CD2448">
        <w:rPr>
          <w:rFonts w:ascii="Arial" w:hAnsi="Arial" w:cs="Arial"/>
          <w:color w:val="000000" w:themeColor="text1"/>
          <w:sz w:val="22"/>
          <w:szCs w:val="22"/>
        </w:rPr>
        <w:t xml:space="preserve">with </w:t>
      </w:r>
      <w:proofErr w:type="spellStart"/>
      <w:r w:rsidRPr="00CD2448">
        <w:rPr>
          <w:rFonts w:ascii="Arial" w:hAnsi="Arial" w:cs="Arial"/>
          <w:color w:val="000000" w:themeColor="text1"/>
          <w:sz w:val="22"/>
          <w:szCs w:val="22"/>
        </w:rPr>
        <w:t>Ensembl</w:t>
      </w:r>
      <w:proofErr w:type="spellEnd"/>
      <w:r w:rsidRPr="00CD2448">
        <w:rPr>
          <w:rFonts w:ascii="Arial" w:hAnsi="Arial" w:cs="Arial"/>
          <w:color w:val="000000" w:themeColor="text1"/>
          <w:sz w:val="22"/>
          <w:szCs w:val="22"/>
        </w:rPr>
        <w:t xml:space="preserve"> (version 113) annotations</w:t>
      </w:r>
      <w:r w:rsidR="004962C9" w:rsidRPr="00CD2448">
        <w:rPr>
          <w:rFonts w:ascii="Arial" w:hAnsi="Arial" w:cs="Arial"/>
          <w:color w:val="000000" w:themeColor="text1"/>
          <w:sz w:val="22"/>
          <w:szCs w:val="22"/>
        </w:rPr>
        <w:t xml:space="preserve"> so that r</w:t>
      </w:r>
      <w:r w:rsidRPr="00CD2448">
        <w:rPr>
          <w:rFonts w:ascii="Arial" w:hAnsi="Arial" w:cs="Arial"/>
          <w:color w:val="000000" w:themeColor="text1"/>
          <w:sz w:val="22"/>
          <w:szCs w:val="22"/>
        </w:rPr>
        <w:t xml:space="preserve">aw count matrices and </w:t>
      </w:r>
      <w:r w:rsidR="004962C9" w:rsidRPr="00CD2448">
        <w:rPr>
          <w:rFonts w:ascii="Arial" w:hAnsi="Arial" w:cs="Arial"/>
          <w:color w:val="000000" w:themeColor="text1"/>
          <w:sz w:val="22"/>
          <w:szCs w:val="22"/>
        </w:rPr>
        <w:t xml:space="preserve">TPMs could be generated simultaneously via </w:t>
      </w:r>
      <w:proofErr w:type="spellStart"/>
      <w:r w:rsidRPr="00CD2448">
        <w:rPr>
          <w:rFonts w:ascii="Arial" w:hAnsi="Arial" w:cs="Arial"/>
          <w:color w:val="000000" w:themeColor="text1"/>
          <w:sz w:val="22"/>
          <w:szCs w:val="22"/>
        </w:rPr>
        <w:t>StringTie</w:t>
      </w:r>
      <w:proofErr w:type="spellEnd"/>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ExcludeYear="1"&gt;&lt;Author&gt;Chen&lt;/Author&gt;&lt;Year&gt;2018&lt;/Year&gt;&lt;RecNum&gt;106&lt;/RecNum&gt;&lt;DisplayText&gt;[13]&lt;/DisplayText&gt;&lt;record&gt;&lt;rec-number&gt;106&lt;/rec-number&gt;&lt;foreign-keys&gt;&lt;key app="EN" db-id="dzsadpavbdaf27ef9zmxw006vzddp0epfpxa" timestamp="1759239590"&gt;106&lt;/key&gt;&lt;/foreign-keys&gt;&lt;ref-type name="Journal Article"&gt;17&lt;/ref-type&gt;&lt;contributors&gt;&lt;authors&gt;&lt;author&gt;Chen, S.&lt;/author&gt;&lt;author&gt;Zhou, Y.&lt;/author&gt;&lt;author&gt;Chen, Y.&lt;/author&gt;&lt;author&gt;Gu, J.&lt;/author&gt;&lt;/authors&gt;&lt;/contributors&gt;&lt;titles&gt;&lt;title&gt;fastp: an ultra-fast all-in-one FASTQ preprocessor&lt;/title&gt;&lt;secondary-title&gt;Bioinformatics&lt;/secondary-title&gt;&lt;/titles&gt;&lt;periodical&gt;&lt;full-title&gt;Bioinformatics&lt;/full-title&gt;&lt;/periodical&gt;&lt;pages&gt;i884-i890&lt;/pages&gt;&lt;volume&gt;34&lt;/volume&gt;&lt;dates&gt;&lt;year&gt;2018&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[13]</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and Ballgown</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&lt;EndNote&gt;&lt;Cite&gt;&lt;Author&gt;Pertea&lt;/Author&gt;&lt;Year&gt;2016&lt;/Year&gt;&lt;RecNum&gt;107&lt;/RecNum&gt;&lt;DisplayText&gt;[15]&lt;/DisplayText&gt;&lt;record&gt;&lt;rec-number&gt;107&lt;/rec-number&gt;&lt;foreign-keys&gt;&lt;key app="EN" db-id="dzsadpavbdaf27ef9zmxw006vzddp0epfpxa" timestamp="1759239664"&gt;107&lt;/key&gt;&lt;/foreign-keys&gt;&lt;ref-type name="Journal Article"&gt;17&lt;/ref-type&gt;&lt;contributors&gt;&lt;authors&gt;&lt;author&gt;Pertea, M.&lt;/author&gt;&lt;author&gt;Kim, D.&lt;/author&gt;&lt;author&gt;Pertea, G.M.&lt;/author&gt;&lt;author&gt;Leek, J.T.&lt;/author&gt;&lt;author&gt;Salzber, S.L.&lt;/author&gt;&lt;/authors&gt;&lt;/contributors&gt;&lt;titles&gt;&lt;title&gt;Transcript-level expression analysis of RNA-seq experiments with HISAT, StringTie and Ballgown&lt;/title&gt;&lt;secondary-title&gt;Nat Protoc&lt;/secondary-title&gt;&lt;/titles&gt;&lt;periodical&gt;&lt;full-title&gt;Nat Protoc&lt;/full-title&gt;&lt;/periodical&gt;&lt;pages&gt;1650-1667&lt;/pages&gt;&lt;volume&gt;11&lt;/volume&gt;&lt;dates&gt;&lt;year&gt;2016&lt;/year&gt;&lt;/dates&gt;&lt;urls&gt;&lt;/urls&gt;&lt;/record&gt;&lt;/Cite&gt;&lt;/EndNote&gt;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[15]</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for downstream analysis. </w:t>
      </w:r>
      <w:r w:rsidR="00807BBF" w:rsidRPr="00CD2448">
        <w:rPr>
          <w:rFonts w:ascii="Arial" w:hAnsi="Arial" w:cs="Arial"/>
          <w:color w:val="000000" w:themeColor="text1"/>
          <w:sz w:val="22"/>
          <w:szCs w:val="22"/>
        </w:rPr>
        <w:t>Q</w:t>
      </w:r>
      <w:r w:rsidRPr="00CD2448">
        <w:rPr>
          <w:rFonts w:ascii="Arial" w:hAnsi="Arial" w:cs="Arial"/>
          <w:color w:val="000000" w:themeColor="text1"/>
          <w:sz w:val="22"/>
          <w:szCs w:val="22"/>
        </w:rPr>
        <w:t xml:space="preserve">uality assessment </w:t>
      </w:r>
      <w:r w:rsidR="00807BBF" w:rsidRPr="00CD2448">
        <w:rPr>
          <w:rFonts w:ascii="Arial" w:hAnsi="Arial" w:cs="Arial"/>
          <w:color w:val="000000" w:themeColor="text1"/>
          <w:sz w:val="22"/>
          <w:szCs w:val="22"/>
        </w:rPr>
        <w:t xml:space="preserve">was conducted </w:t>
      </w:r>
      <w:r w:rsidRPr="00CD2448">
        <w:rPr>
          <w:rFonts w:ascii="Arial" w:hAnsi="Arial" w:cs="Arial"/>
          <w:color w:val="000000" w:themeColor="text1"/>
          <w:sz w:val="22"/>
          <w:szCs w:val="22"/>
        </w:rPr>
        <w:t xml:space="preserve">with </w:t>
      </w:r>
      <w:proofErr w:type="spellStart"/>
      <w:r w:rsidRPr="00CD2448">
        <w:rPr>
          <w:rFonts w:ascii="Arial" w:hAnsi="Arial" w:cs="Arial"/>
          <w:color w:val="000000" w:themeColor="text1"/>
          <w:sz w:val="22"/>
          <w:szCs w:val="22"/>
        </w:rPr>
        <w:t>qualimap</w:t>
      </w:r>
      <w:proofErr w:type="spellEnd"/>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ExcludeYear="1"&gt;&lt;Author&gt;Okonechnikov&lt;/Author&gt;&lt;Year&gt;2016&lt;/Year&gt;&lt;RecNum&gt;108&lt;/RecNum&gt;&lt;DisplayText&gt;[16]&lt;/DisplayText&gt;&lt;record&gt;&lt;rec-number&gt;108&lt;/rec-number&gt;&lt;foreign-keys&gt;&lt;key app="EN" db-id="dzsadpavbdaf27ef9zmxw006vzddp0epfpxa" timestamp="1759239739"&gt;108&lt;/key&gt;&lt;/foreign-keys&gt;&lt;ref-type name="Journal Article"&gt;17&lt;/ref-type&gt;&lt;contributors&gt;&lt;authors&gt;&lt;author&gt;Okonechnikov, K.&lt;/author&gt;&lt;author&gt;Conesa, A.&lt;/author&gt;&lt;author&gt;García-Alcalde, F.&lt;/author&gt;&lt;/authors&gt;&lt;/contributors&gt;&lt;titles&gt;&lt;title&gt;Qualimap 2: advanced multi-sample quality control for high-throughput sequencing data&lt;/title&gt;&lt;secondary-title&gt;Bioinformatics&lt;/secondary-title&gt;&lt;/titles&gt;&lt;periodical&gt;&lt;full-title&gt;Bioinformatics&lt;/full-title&gt;&lt;/periodical&gt;&lt;pages&gt;292-294&lt;/pages&gt;&lt;volume&gt;32&lt;/volume&gt;&lt;dates&gt;&lt;year&gt;2016&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[16]</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Prior to differential expression analysis, sources of variation in the dataset were assessed using </w:t>
      </w:r>
      <w:proofErr w:type="spellStart"/>
      <w:r w:rsidR="007F07C4" w:rsidRPr="00CD2448">
        <w:rPr>
          <w:rFonts w:ascii="Arial" w:hAnsi="Arial" w:cs="Arial"/>
          <w:i/>
          <w:iCs/>
          <w:color w:val="000000" w:themeColor="text1"/>
          <w:sz w:val="22"/>
          <w:szCs w:val="22"/>
        </w:rPr>
        <w:t>v</w:t>
      </w:r>
      <w:r w:rsidRPr="00CD2448">
        <w:rPr>
          <w:rFonts w:ascii="Arial" w:hAnsi="Arial" w:cs="Arial"/>
          <w:i/>
          <w:iCs/>
          <w:color w:val="000000" w:themeColor="text1"/>
          <w:sz w:val="22"/>
          <w:szCs w:val="22"/>
        </w:rPr>
        <w:t>ariancePartition</w:t>
      </w:r>
      <w:proofErr w:type="spellEnd"/>
      <w:r w:rsidR="00A03E8C"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ExcludeYear="1"&gt;&lt;Author&gt;Hoffman&lt;/Author&gt;&lt;Year&gt;2016&lt;/Year&gt;&lt;RecNum&gt;102&lt;/RecNum&gt;&lt;DisplayText&gt;[7]&lt;/DisplayText&gt;&lt;record&gt;&lt;rec-number&gt;102&lt;/rec-number&gt;&lt;foreign-keys&gt;&lt;key app="EN" db-id="dzsadpavbdaf27ef9zmxw006vzddp0epfpxa" timestamp="1759239214"&gt;102&lt;/key&gt;&lt;/foreign-keys&gt;&lt;ref-type name="Journal Article"&gt;17&lt;/ref-type&gt;&lt;contributors&gt;&lt;authors&gt;&lt;author&gt;Hoffman, Gabriel E&lt;/author&gt;&lt;author&gt;Schadt, E.E.&lt;/author&gt;&lt;/authors&gt;&lt;/contributors&gt;&lt;titles&gt;&lt;title&gt;variancePartition: interpreting drivers of variation in complex gene expression studies&lt;/title&gt;&lt;secondary-title&gt;BMC Bioinformatics&lt;/secondary-title&gt;&lt;/titles&gt;&lt;periodical&gt;&lt;full-title&gt;BMC Bioinformatics&lt;/full-title&gt;&lt;/periodical&gt;&lt;pages&gt;483&lt;/pages&gt;&lt;volume&gt;17&lt;/volume&gt;&lt;dates&gt;&lt;year&gt;2016&lt;/year&gt;&lt;/dates&gt;&lt;urls&gt;&lt;/urls&gt;&lt;/record&gt;&lt;/Cite&gt;&lt;/EndNote&gt;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[7]</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Final models incorporated contrasts of interest (</w:t>
      </w:r>
      <w:r w:rsidR="00C535F9" w:rsidRPr="00CD2448">
        <w:rPr>
          <w:rFonts w:ascii="Arial" w:hAnsi="Arial" w:cs="Arial"/>
          <w:color w:val="000000" w:themeColor="text1"/>
          <w:sz w:val="22"/>
          <w:szCs w:val="22"/>
        </w:rPr>
        <w:t>r</w:t>
      </w:r>
      <w:r w:rsidRPr="00CD2448">
        <w:rPr>
          <w:rFonts w:ascii="Arial" w:hAnsi="Arial" w:cs="Arial"/>
          <w:color w:val="000000" w:themeColor="text1"/>
          <w:sz w:val="22"/>
          <w:szCs w:val="22"/>
        </w:rPr>
        <w:t xml:space="preserve">esponse </w:t>
      </w:r>
      <w:r w:rsidR="00C535F9" w:rsidRPr="00CD2448">
        <w:rPr>
          <w:rFonts w:ascii="Arial" w:hAnsi="Arial" w:cs="Arial"/>
          <w:color w:val="000000" w:themeColor="text1"/>
          <w:sz w:val="22"/>
          <w:szCs w:val="22"/>
        </w:rPr>
        <w:t xml:space="preserve">was </w:t>
      </w:r>
      <w:r w:rsidRPr="00CD2448">
        <w:rPr>
          <w:rFonts w:ascii="Arial" w:hAnsi="Arial" w:cs="Arial"/>
          <w:color w:val="000000" w:themeColor="text1"/>
          <w:sz w:val="22"/>
          <w:szCs w:val="22"/>
        </w:rPr>
        <w:t xml:space="preserve">defined as &gt;50% MADRS reduction at </w:t>
      </w:r>
      <w:r w:rsidR="00C535F9" w:rsidRPr="00CD2448">
        <w:rPr>
          <w:rFonts w:ascii="Arial" w:hAnsi="Arial" w:cs="Arial"/>
          <w:color w:val="000000" w:themeColor="text1"/>
          <w:sz w:val="22"/>
          <w:szCs w:val="22"/>
        </w:rPr>
        <w:t>Day 1</w:t>
      </w:r>
      <w:r w:rsidRPr="00CD2448">
        <w:rPr>
          <w:rFonts w:ascii="Arial" w:hAnsi="Arial" w:cs="Arial"/>
          <w:color w:val="000000" w:themeColor="text1"/>
          <w:sz w:val="22"/>
          <w:szCs w:val="22"/>
        </w:rPr>
        <w:t xml:space="preserve"> </w:t>
      </w:r>
      <w:r w:rsidR="007326C0" w:rsidRPr="00CD2448">
        <w:rPr>
          <w:rFonts w:ascii="Arial" w:hAnsi="Arial" w:cs="Arial"/>
          <w:color w:val="000000" w:themeColor="text1"/>
          <w:sz w:val="22"/>
          <w:szCs w:val="22"/>
        </w:rPr>
        <w:t xml:space="preserve">and its interaction </w:t>
      </w:r>
      <w:r w:rsidRPr="00CD2448">
        <w:rPr>
          <w:rFonts w:ascii="Arial" w:hAnsi="Arial" w:cs="Arial"/>
          <w:color w:val="000000" w:themeColor="text1"/>
          <w:sz w:val="22"/>
          <w:szCs w:val="22"/>
        </w:rPr>
        <w:t>across pre</w:t>
      </w:r>
      <w:r w:rsidR="00502528"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and post</w:t>
      </w:r>
      <w:r w:rsidR="00502528" w:rsidRPr="00CD2448">
        <w:rPr>
          <w:rFonts w:ascii="Arial" w:hAnsi="Arial" w:cs="Arial"/>
          <w:color w:val="000000" w:themeColor="text1"/>
          <w:sz w:val="22"/>
          <w:szCs w:val="22"/>
        </w:rPr>
        <w:t xml:space="preserve">-ketamine </w:t>
      </w:r>
      <w:r w:rsidRPr="00CD2448">
        <w:rPr>
          <w:rFonts w:ascii="Arial" w:hAnsi="Arial" w:cs="Arial"/>
          <w:color w:val="000000" w:themeColor="text1"/>
          <w:sz w:val="22"/>
          <w:szCs w:val="22"/>
        </w:rPr>
        <w:t xml:space="preserve">timepoints) while controlling for technical and biological covariates including </w:t>
      </w:r>
      <w:r w:rsidR="008F661F" w:rsidRPr="00CD2448">
        <w:rPr>
          <w:rFonts w:ascii="Arial" w:hAnsi="Arial" w:cs="Arial"/>
          <w:color w:val="000000" w:themeColor="text1"/>
          <w:sz w:val="22"/>
          <w:szCs w:val="22"/>
        </w:rPr>
        <w:t>RNA integrity number (</w:t>
      </w:r>
      <w:r w:rsidRPr="00CD2448">
        <w:rPr>
          <w:rFonts w:ascii="Arial" w:hAnsi="Arial" w:cs="Arial"/>
          <w:color w:val="000000" w:themeColor="text1"/>
          <w:sz w:val="22"/>
          <w:szCs w:val="22"/>
        </w:rPr>
        <w:t>RIN</w:t>
      </w:r>
      <w:r w:rsidR="008F661F"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w:t>
      </w:r>
      <w:r w:rsidR="002278B8" w:rsidRPr="00CD2448">
        <w:rPr>
          <w:rFonts w:ascii="Arial" w:hAnsi="Arial" w:cs="Arial"/>
          <w:color w:val="000000" w:themeColor="text1"/>
          <w:sz w:val="22"/>
          <w:szCs w:val="22"/>
        </w:rPr>
        <w:t>s</w:t>
      </w:r>
      <w:r w:rsidR="00B459A4" w:rsidRPr="00CD2448">
        <w:rPr>
          <w:rFonts w:ascii="Arial" w:hAnsi="Arial" w:cs="Arial"/>
          <w:color w:val="000000" w:themeColor="text1"/>
          <w:sz w:val="22"/>
          <w:szCs w:val="22"/>
        </w:rPr>
        <w:t>ex</w:t>
      </w:r>
      <w:r w:rsidRPr="00CD2448">
        <w:rPr>
          <w:rFonts w:ascii="Arial" w:hAnsi="Arial" w:cs="Arial"/>
          <w:color w:val="000000" w:themeColor="text1"/>
          <w:sz w:val="22"/>
          <w:szCs w:val="22"/>
        </w:rPr>
        <w:t xml:space="preserve">, </w:t>
      </w:r>
      <w:r w:rsidR="002278B8" w:rsidRPr="00CD2448">
        <w:rPr>
          <w:rFonts w:ascii="Arial" w:hAnsi="Arial" w:cs="Arial"/>
          <w:color w:val="000000" w:themeColor="text1"/>
          <w:sz w:val="22"/>
          <w:szCs w:val="22"/>
        </w:rPr>
        <w:t>r</w:t>
      </w:r>
      <w:r w:rsidRPr="00CD2448">
        <w:rPr>
          <w:rFonts w:ascii="Arial" w:hAnsi="Arial" w:cs="Arial"/>
          <w:color w:val="000000" w:themeColor="text1"/>
          <w:sz w:val="22"/>
          <w:szCs w:val="22"/>
        </w:rPr>
        <w:t xml:space="preserve">ace (self-identified), and participant as a random effect. Low-abundance genes were filtered using </w:t>
      </w:r>
      <w:proofErr w:type="spellStart"/>
      <w:r w:rsidRPr="00CD2448">
        <w:rPr>
          <w:rFonts w:ascii="Arial" w:hAnsi="Arial" w:cs="Arial"/>
          <w:color w:val="000000" w:themeColor="text1"/>
          <w:sz w:val="22"/>
          <w:szCs w:val="22"/>
        </w:rPr>
        <w:t>edgeR</w:t>
      </w:r>
      <w:proofErr w:type="spellEnd"/>
      <w:r w:rsidRPr="00CD2448">
        <w:rPr>
          <w:rFonts w:ascii="Arial" w:hAnsi="Arial" w:cs="Arial"/>
          <w:color w:val="000000" w:themeColor="text1"/>
          <w:sz w:val="22"/>
          <w:szCs w:val="22"/>
        </w:rPr>
        <w:t xml:space="preserve">, retaining only genes with counts per million (CPM) &gt; 0.1 in at least </w:t>
      </w:r>
      <w:r w:rsidR="002278B8" w:rsidRPr="00CD2448">
        <w:rPr>
          <w:rFonts w:ascii="Arial" w:hAnsi="Arial" w:cs="Arial"/>
          <w:color w:val="000000" w:themeColor="text1"/>
          <w:sz w:val="22"/>
          <w:szCs w:val="22"/>
        </w:rPr>
        <w:t>five</w:t>
      </w:r>
      <w:r w:rsidRPr="00CD2448">
        <w:rPr>
          <w:rFonts w:ascii="Arial" w:hAnsi="Arial" w:cs="Arial"/>
          <w:color w:val="000000" w:themeColor="text1"/>
          <w:sz w:val="22"/>
          <w:szCs w:val="22"/>
        </w:rPr>
        <w:t xml:space="preserve"> samples</w:t>
      </w:r>
      <w:r w:rsidR="00E5147C" w:rsidRPr="00CD2448">
        <w:rPr>
          <w:rFonts w:ascii="Arial" w:hAnsi="Arial" w:cs="Arial"/>
          <w:color w:val="000000" w:themeColor="text1"/>
          <w:sz w:val="22"/>
          <w:szCs w:val="22"/>
        </w:rPr>
        <w:t>, as above</w:t>
      </w:r>
      <w:r w:rsidRPr="00CD2448">
        <w:rPr>
          <w:rFonts w:ascii="Arial" w:hAnsi="Arial" w:cs="Arial"/>
          <w:color w:val="000000" w:themeColor="text1"/>
          <w:sz w:val="22"/>
          <w:szCs w:val="22"/>
        </w:rPr>
        <w:t>. To accommodate random effects in a repeated measures design, differential expression analysis was performed using Dream</w:t>
      </w:r>
      <w:r w:rsidR="00EB58C0" w:rsidRPr="00CD2448">
        <w:rPr>
          <w:rFonts w:ascii="Arial" w:hAnsi="Arial" w:cs="Arial"/>
          <w:color w:val="000000" w:themeColor="text1"/>
          <w:sz w:val="22"/>
          <w:szCs w:val="22"/>
        </w:rPr>
        <w:t xml:space="preserve"> </w:t>
      </w:r>
      <w:r w:rsidR="009104AC"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ExcludeYear="1"&gt;&lt;Author&gt;Hoffman&lt;/Author&gt;&lt;Year&gt;2021&lt;/Year&gt;&lt;RecNum&gt;26&lt;/RecNum&gt;&lt;DisplayText&gt;[6]&lt;/DisplayText&gt;&lt;record&gt;&lt;rec-number&gt;26&lt;/rec-number&gt;&lt;foreign-keys&gt;&lt;key app="EN" db-id="dzsadpavbdaf27ef9zmxw006vzddp0epfpxa" timestamp="1759159643"&gt;26&lt;/key&gt;&lt;/foreign-keys&gt;&lt;ref-type name="Journal Article"&gt;17&lt;/ref-type&gt;&lt;contributors&gt;&lt;authors&gt;&lt;author&gt;Hoffman, Gabriel E&lt;/author&gt;&lt;author&gt;Roussos, Panos&lt;/author&gt;&lt;/authors&gt;&lt;/contributors&gt;&lt;titles&gt;&lt;title&gt;Dream: powerful differential expression analysis for repeated measures designs&lt;/title&gt;&lt;secondary-title&gt;Bioinformatics&lt;/secondary-title&gt;&lt;/titles&gt;&lt;periodical&gt;&lt;full-title&gt;Bioinformatics&lt;/full-title&gt;&lt;/periodical&gt;&lt;pages&gt;192-201&lt;/pages&gt;&lt;volume&gt;37&lt;/volume&gt;&lt;number&gt;2&lt;/number&gt;&lt;dates&gt;&lt;year&gt;2021&lt;/year&gt;&lt;/dates&gt;&lt;isbn&gt;1367-4803&lt;/isbn&gt;&lt;urls&gt;&lt;related-urls&gt;&lt;url&gt;https://academic.oup.com/bioinformatics/article/37/2/192/5878955&lt;/url&gt;&lt;/related-urls&gt;&lt;/urls&gt;&lt;electronic-resource-num&gt;10.1093/bioinformatics/btaa687&lt;/electronic-resource-num&gt;&lt;/record&gt;&lt;/Cite&gt;&lt;/EndNote&gt;</w:instrText>
      </w:r>
      <w:r w:rsidR="009104AC"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[6]</w:t>
      </w:r>
      <w:r w:rsidR="009104AC"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IPA was conducted on </w:t>
      </w:r>
      <w:r w:rsidR="00872476" w:rsidRPr="00CD2448">
        <w:rPr>
          <w:rFonts w:ascii="Arial" w:hAnsi="Arial" w:cs="Arial"/>
          <w:color w:val="000000" w:themeColor="text1"/>
          <w:sz w:val="22"/>
          <w:szCs w:val="22"/>
        </w:rPr>
        <w:t>DEGs</w:t>
      </w:r>
      <w:r w:rsidRPr="00CD2448">
        <w:rPr>
          <w:rFonts w:ascii="Arial" w:hAnsi="Arial" w:cs="Arial"/>
          <w:color w:val="000000" w:themeColor="text1"/>
          <w:sz w:val="22"/>
          <w:szCs w:val="22"/>
        </w:rPr>
        <w:t xml:space="preserve"> across comparisons</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ExcludeYear="1"&gt;&lt;Author&gt;Krämer&lt;/Author&gt;&lt;Year&gt;2014&lt;/Year&gt;&lt;RecNum&gt;31&lt;/RecNum&gt;&lt;DisplayText&gt;[17]&lt;/DisplayText&gt;&lt;record&gt;&lt;rec-number&gt;31&lt;/rec-number&gt;&lt;foreign-keys&gt;&lt;key app="EN" db-id="dzsadpavbdaf27ef9zmxw006vzddp0epfpxa" timestamp="1759159643"&gt;31&lt;/key&gt;&lt;/foreign-keys&gt;&lt;ref-type name="Journal Article"&gt;17&lt;/ref-type&gt;&lt;contributors&gt;&lt;authors&gt;&lt;author&gt;Krämer, Andreas&lt;/author&gt;&lt;author&gt;Green, Jeff&lt;/author&gt;&lt;author&gt;Pollard, Jack, Jr.&lt;/author&gt;&lt;author&gt;Tugendreich, Stuart&lt;/author&gt;&lt;/authors&gt;&lt;/contributors&gt;&lt;titles&gt;&lt;title&gt;Causal analysis approaches in Ingenuity Pathway Analysis&lt;/title&gt;&lt;secondary-title&gt;Bioinformatics&lt;/secondary-title&gt;&lt;alt-title&gt;Bioinformatics&lt;/alt-title&gt;&lt;/titles&gt;&lt;periodical&gt;&lt;full-title&gt;Bioinformatics&lt;/full-title&gt;&lt;/periodical&gt;&lt;alt-periodical&gt;&lt;full-title&gt;Bioinformatics&lt;/full-title&gt;&lt;/alt-periodical&gt;&lt;pages&gt;523-530&lt;/pages&gt;&lt;volume&gt;30&lt;/volume&gt;&lt;number&gt;4&lt;/number&gt;&lt;keywords&gt;&lt;keyword&gt;Algorithms&lt;/keyword&gt;&lt;keyword&gt;Breast Neoplasms&lt;/keyword&gt;&lt;keyword&gt;Causality&lt;/keyword&gt;&lt;keyword&gt;Computational Biology&lt;/keyword&gt;&lt;keyword&gt;Female&lt;/keyword&gt;&lt;keyword&gt;Gene Expression Profiling&lt;/keyword&gt;&lt;keyword&gt;Gene Regulatory Networks&lt;/keyword&gt;&lt;keyword&gt;Human Umbilical Vein Endothelial Cells&lt;/keyword&gt;&lt;keyword&gt;Humans&lt;/keyword&gt;&lt;keyword&gt;Knowledge Bases&lt;/keyword&gt;&lt;keyword&gt;MCF-7 Cells&lt;/keyword&gt;&lt;/keywords&gt;&lt;dates&gt;&lt;year&gt;2014&lt;/year&gt;&lt;pub-dates&gt;&lt;date&gt;2014/02/15/&lt;/date&gt;&lt;/pub-dates&gt;&lt;/dates&gt;&lt;isbn&gt;1367-4803&lt;/isbn&gt;&lt;urls&gt;&lt;related-urls&gt;&lt;url&gt;https://doi.org/10.1093/bioinformatics/btt703&lt;/url&gt;&lt;url&gt;https://academic.oup.com/bioinformatics/article/30/4/523/202720&lt;/url&gt;&lt;/related-urls&gt;&lt;/urls&gt;&lt;electronic-resource-num&gt;10.1093/bioinformatics/btt703&lt;/electronic-resource-num&gt;&lt;remote-database-provider&gt;Silverchair&lt;/remote-database-provider&gt;&lt;access-date&gt;2025/03/09/12:58:50&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[17]</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As the primary intent was broad pattern identification that could be corroborated across multiple datasets, s</w:t>
      </w:r>
      <w:r w:rsidRPr="00CD2448">
        <w:rPr>
          <w:rFonts w:ascii="Arial" w:hAnsi="Arial" w:cs="Arial"/>
          <w:color w:val="000000" w:themeColor="text1"/>
          <w:sz w:val="22"/>
          <w:szCs w:val="22"/>
          <w:shd w:val="clear" w:color="auto" w:fill="FFFFFF"/>
        </w:rPr>
        <w:t>ignificance was set at an uncorrected </w:t>
      </w:r>
      <w:r w:rsidRPr="00CD2448">
        <w:rPr>
          <w:rFonts w:ascii="Arial" w:hAnsi="Arial" w:cs="Arial"/>
          <w:i/>
          <w:iCs/>
          <w:color w:val="000000" w:themeColor="text1"/>
          <w:sz w:val="22"/>
          <w:szCs w:val="22"/>
          <w:shd w:val="clear" w:color="auto" w:fill="FFFFFF"/>
        </w:rPr>
        <w:t>p</w:t>
      </w:r>
      <w:r w:rsidRPr="00CD2448">
        <w:rPr>
          <w:rFonts w:ascii="Arial" w:hAnsi="Arial" w:cs="Arial"/>
          <w:color w:val="000000" w:themeColor="text1"/>
          <w:sz w:val="22"/>
          <w:szCs w:val="22"/>
          <w:shd w:val="clear" w:color="auto" w:fill="FFFFFF"/>
        </w:rPr>
        <w:t xml:space="preserve">&lt;0.05 with a </w:t>
      </w:r>
      <w:r w:rsidR="00BD7C29" w:rsidRPr="00CD2448">
        <w:rPr>
          <w:rFonts w:ascii="Arial" w:hAnsi="Arial" w:cs="Arial"/>
          <w:color w:val="000000" w:themeColor="text1"/>
          <w:sz w:val="22"/>
          <w:szCs w:val="22"/>
          <w:shd w:val="clear" w:color="auto" w:fill="FFFFFF"/>
        </w:rPr>
        <w:t>fold-</w:t>
      </w:r>
      <w:r w:rsidRPr="00CD2448">
        <w:rPr>
          <w:rFonts w:ascii="Arial" w:hAnsi="Arial" w:cs="Arial"/>
          <w:color w:val="000000" w:themeColor="text1"/>
          <w:sz w:val="22"/>
          <w:szCs w:val="22"/>
          <w:shd w:val="clear" w:color="auto" w:fill="FFFFFF"/>
        </w:rPr>
        <w:t xml:space="preserve">change threshold of 1.2 for individual genes. Signaling pathways were filtered by activation </w:t>
      </w:r>
      <w:r w:rsidR="001E650E" w:rsidRPr="00CD2448">
        <w:rPr>
          <w:rFonts w:ascii="Arial" w:hAnsi="Arial" w:cs="Arial"/>
          <w:i/>
          <w:iCs/>
          <w:color w:val="000000" w:themeColor="text1"/>
          <w:sz w:val="22"/>
          <w:szCs w:val="22"/>
          <w:shd w:val="clear" w:color="auto" w:fill="FFFFFF"/>
        </w:rPr>
        <w:t>z</w:t>
      </w:r>
      <w:r w:rsidRPr="00CD2448">
        <w:rPr>
          <w:rFonts w:ascii="Arial" w:hAnsi="Arial" w:cs="Arial"/>
          <w:color w:val="000000" w:themeColor="text1"/>
          <w:sz w:val="22"/>
          <w:szCs w:val="22"/>
          <w:shd w:val="clear" w:color="auto" w:fill="FFFFFF"/>
        </w:rPr>
        <w:t xml:space="preserve">-score &gt; 1 and -log(p) &gt;1.3 for each comparison within IPA. </w:t>
      </w:r>
      <w:r w:rsidRPr="00CD2448">
        <w:rPr>
          <w:rFonts w:ascii="Arial" w:hAnsi="Arial" w:cs="Arial"/>
          <w:color w:val="000000" w:themeColor="text1"/>
          <w:sz w:val="22"/>
          <w:szCs w:val="22"/>
        </w:rPr>
        <w:t xml:space="preserve">Initial cell type deconvolution was implemented using TPMs from the bulk </w:t>
      </w:r>
      <w:proofErr w:type="spellStart"/>
      <w:r w:rsidRPr="00CD2448">
        <w:rPr>
          <w:rFonts w:ascii="Arial" w:hAnsi="Arial" w:cs="Arial"/>
          <w:color w:val="000000" w:themeColor="text1"/>
          <w:sz w:val="22"/>
          <w:szCs w:val="22"/>
        </w:rPr>
        <w:t>RNAseq</w:t>
      </w:r>
      <w:proofErr w:type="spellEnd"/>
      <w:r w:rsidRPr="00CD2448">
        <w:rPr>
          <w:rFonts w:ascii="Arial" w:hAnsi="Arial" w:cs="Arial"/>
          <w:color w:val="000000" w:themeColor="text1"/>
          <w:sz w:val="22"/>
          <w:szCs w:val="22"/>
        </w:rPr>
        <w:t xml:space="preserve"> alignment via </w:t>
      </w:r>
      <w:proofErr w:type="spellStart"/>
      <w:r w:rsidRPr="00CD2448">
        <w:rPr>
          <w:rFonts w:ascii="Arial" w:hAnsi="Arial" w:cs="Arial"/>
          <w:i/>
          <w:iCs/>
          <w:color w:val="000000" w:themeColor="text1"/>
          <w:sz w:val="22"/>
          <w:szCs w:val="22"/>
        </w:rPr>
        <w:t>xCel</w:t>
      </w:r>
      <w:r w:rsidR="00D44FF5" w:rsidRPr="00CD2448">
        <w:rPr>
          <w:rFonts w:ascii="Arial" w:hAnsi="Arial" w:cs="Arial"/>
          <w:i/>
          <w:iCs/>
          <w:color w:val="000000" w:themeColor="text1"/>
          <w:sz w:val="22"/>
          <w:szCs w:val="22"/>
        </w:rPr>
        <w:t>l</w:t>
      </w:r>
      <w:proofErr w:type="spellEnd"/>
      <w:r w:rsidR="00D44FF5" w:rsidRPr="00CD2448">
        <w:rPr>
          <w:rFonts w:ascii="Arial" w:hAnsi="Arial" w:cs="Arial"/>
          <w:i/>
          <w:iCs/>
          <w:color w:val="000000" w:themeColor="text1"/>
          <w:sz w:val="22"/>
          <w:szCs w:val="22"/>
        </w:rPr>
        <w:t xml:space="preserve"> </w:t>
      </w:r>
      <w:r w:rsidR="00D44FF5" w:rsidRPr="00CD2448">
        <w:rPr>
          <w:rFonts w:ascii="Arial" w:hAnsi="Arial" w:cs="Arial"/>
          <w:color w:val="000000" w:themeColor="text1"/>
          <w:sz w:val="22"/>
          <w:szCs w:val="22"/>
        </w:rPr>
        <w:t>(</w:t>
      </w:r>
      <w:hyperlink r:id="rId8" w:history="1">
        <w:r w:rsidR="00EB58C0" w:rsidRPr="00CD2448">
          <w:rPr>
            <w:rStyle w:val="Hyperlink"/>
            <w:rFonts w:ascii="Arial" w:hAnsi="Arial" w:cs="Arial"/>
            <w:color w:val="000000" w:themeColor="text1"/>
            <w:sz w:val="22"/>
            <w:szCs w:val="22"/>
          </w:rPr>
          <w:t>https://comphealth.ucsf.edu/app/xcell</w:t>
        </w:r>
      </w:hyperlink>
      <w:r w:rsidR="00D44FF5" w:rsidRPr="00CD2448">
        <w:rPr>
          <w:rFonts w:ascii="Arial" w:hAnsi="Arial" w:cs="Arial"/>
          <w:color w:val="000000" w:themeColor="text1"/>
          <w:sz w:val="22"/>
          <w:szCs w:val="22"/>
        </w:rPr>
        <w:t>)</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ExcludeYear="1"&gt;&lt;Author&gt;Aran&lt;/Author&gt;&lt;Year&gt;2017&lt;/Year&gt;&lt;RecNum&gt;32&lt;/RecNum&gt;&lt;DisplayText&gt;[18]&lt;/DisplayText&gt;&lt;record&gt;&lt;rec-number&gt;32&lt;/rec-number&gt;&lt;foreign-keys&gt;&lt;key app="EN" db-id="dzsadpavbdaf27ef9zmxw006vzddp0epfpxa" timestamp="1759159643"&gt;32&lt;/key&gt;&lt;/foreign-keys&gt;&lt;ref-type name="Journal Article"&gt;17&lt;/ref-type&gt;&lt;contributors&gt;&lt;authors&gt;&lt;author&gt;Aran, Dvir&lt;/author&gt;&lt;author&gt;Hu, Zicheng&lt;/author&gt;&lt;author&gt;Butte, Atul J.&lt;/author&gt;&lt;/authors&gt;&lt;/contributors&gt;&lt;titles&gt;&lt;title&gt;xCell: digitally portraying the tissue cellular heterogeneity landscape&lt;/title&gt;&lt;secondary-title&gt;Genome Biol&lt;/secondary-title&gt;&lt;alt-title&gt;Genome Biology&lt;/alt-title&gt;&lt;short-title&gt;xCell&lt;/short-title&gt;&lt;/titles&gt;&lt;alt-periodical&gt;&lt;full-title&gt;Genome Biology&lt;/full-title&gt;&lt;abbr-1&gt;Genome Biology&lt;/abbr-1&gt;&lt;/alt-periodical&gt;&lt;pages&gt;220&lt;/pages&gt;&lt;volume&gt;18&lt;/volume&gt;&lt;number&gt;1&lt;/number&gt;&lt;keywords&gt;&lt;keyword&gt;Cancer Cell Line Encyclopedia (CCLE)&lt;/keyword&gt;&lt;keyword&gt;Cap Analysis Gene Expression (CAGE)&lt;/keyword&gt;&lt;keyword&gt;Cell Type Enrichment&lt;/keyword&gt;&lt;keyword&gt;Cells&lt;/keyword&gt;&lt;keyword&gt;Computer Simulation&lt;/keyword&gt;&lt;keyword&gt;Flow Cytometry&lt;/keyword&gt;&lt;keyword&gt;Gene Expression Regulation, Neoplastic&lt;/keyword&gt;&lt;keyword&gt;Humans&lt;/keyword&gt;&lt;keyword&gt;Neoplasms&lt;/keyword&gt;&lt;keyword&gt;Organ Specificity&lt;/keyword&gt;&lt;keyword&gt;Pure Cell Types&lt;/keyword&gt;&lt;keyword&gt;Reproducibility of Results&lt;/keyword&gt;&lt;keyword&gt;Software&lt;/keyword&gt;&lt;keyword&gt;Spillover Matrix&lt;/keyword&gt;&lt;keyword&gt;Transcriptome&lt;/keyword&gt;&lt;/keywords&gt;&lt;dates&gt;&lt;year&gt;2017&lt;/year&gt;&lt;pub-dates&gt;&lt;date&gt;2017/11/15/&lt;/date&gt;&lt;/pub-dates&gt;&lt;/dates&gt;&lt;isbn&gt;1474-760X&lt;/isbn&gt;&lt;urls&gt;&lt;related-urls&gt;&lt;url&gt;https://doi.org/10.1186/s13059-017-1349-1&lt;/url&gt;&lt;url&gt;https://genomebiology.biomedcentral.com/articles/10.1186/s13059-017-1349-1&lt;/url&gt;&lt;/related-urls&gt;&lt;/urls&gt;&lt;electronic-resource-num&gt;10.1186/s13059-017-1349-1&lt;/electronic-resource-num&gt;&lt;remote-database-provider&gt;BioMed Central&lt;/remote-database-provider&gt;&lt;access-date&gt;2025/03/09/11:52:46&lt;/access-date&gt;&lt;/record&gt;&lt;/Cite&gt;&lt;/EndNote&gt;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[18]</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w:t>
      </w:r>
      <w:r w:rsidR="004E16E8" w:rsidRPr="00CD2448">
        <w:rPr>
          <w:rFonts w:ascii="Arial" w:hAnsi="Arial" w:cs="Arial"/>
          <w:color w:val="000000" w:themeColor="text1"/>
          <w:sz w:val="22"/>
          <w:szCs w:val="22"/>
        </w:rPr>
        <w:t xml:space="preserve">Pipeline-specific parameter choices can be found in the relevant sections of the </w:t>
      </w:r>
      <w:r w:rsidR="004E16E8" w:rsidRPr="00CD2448">
        <w:rPr>
          <w:rFonts w:ascii="Arial" w:hAnsi="Arial" w:cs="Arial"/>
          <w:i/>
          <w:iCs/>
          <w:color w:val="000000" w:themeColor="text1"/>
          <w:sz w:val="22"/>
          <w:szCs w:val="22"/>
        </w:rPr>
        <w:t>R</w:t>
      </w:r>
      <w:r w:rsidR="004E16E8" w:rsidRPr="00CD2448">
        <w:rPr>
          <w:rFonts w:ascii="Arial" w:hAnsi="Arial" w:cs="Arial"/>
          <w:color w:val="000000" w:themeColor="text1"/>
          <w:sz w:val="22"/>
          <w:szCs w:val="22"/>
        </w:rPr>
        <w:t xml:space="preserve"> markdown file attached as a supplement (</w:t>
      </w:r>
      <w:r w:rsidR="004E16E8" w:rsidRPr="00CD2448">
        <w:rPr>
          <w:rFonts w:ascii="Arial" w:hAnsi="Arial" w:cs="Arial"/>
          <w:b/>
          <w:bCs/>
          <w:color w:val="000000" w:themeColor="text1"/>
          <w:sz w:val="22"/>
          <w:szCs w:val="22"/>
        </w:rPr>
        <w:t>Supplementary File S2</w:t>
      </w:r>
      <w:r w:rsidR="004E16E8" w:rsidRPr="00CD2448">
        <w:rPr>
          <w:rFonts w:ascii="Arial" w:hAnsi="Arial" w:cs="Arial"/>
          <w:color w:val="000000" w:themeColor="text1"/>
          <w:sz w:val="22"/>
          <w:szCs w:val="22"/>
        </w:rPr>
        <w:t>).</w:t>
      </w:r>
    </w:p>
    <w:p w14:paraId="07726BC5" w14:textId="77777777" w:rsidR="00FD0E16" w:rsidRPr="00CD2448" w:rsidRDefault="00FD0E16" w:rsidP="00415257">
      <w:pPr>
        <w:rPr>
          <w:rFonts w:ascii="Arial" w:hAnsi="Arial" w:cs="Arial"/>
          <w:color w:val="000000" w:themeColor="text1"/>
          <w:sz w:val="22"/>
          <w:szCs w:val="22"/>
        </w:rPr>
      </w:pPr>
    </w:p>
    <w:p w14:paraId="3B7DC92C" w14:textId="7625B3D3" w:rsidR="00FD0E16" w:rsidRPr="00CD2448" w:rsidRDefault="00FD0E16"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 xml:space="preserve">Complete blood counts (CBC) </w:t>
      </w:r>
      <w:r w:rsidR="00C06C66" w:rsidRPr="00CD2448">
        <w:rPr>
          <w:rFonts w:ascii="Arial" w:hAnsi="Arial" w:cs="Arial"/>
          <w:i/>
          <w:iCs/>
          <w:color w:val="000000" w:themeColor="text1"/>
          <w:sz w:val="22"/>
          <w:szCs w:val="22"/>
        </w:rPr>
        <w:t>Corroboration</w:t>
      </w:r>
      <w:r w:rsidRPr="00CD2448">
        <w:rPr>
          <w:rFonts w:ascii="Arial" w:hAnsi="Arial" w:cs="Arial"/>
          <w:i/>
          <w:iCs/>
          <w:color w:val="000000" w:themeColor="text1"/>
          <w:sz w:val="22"/>
          <w:szCs w:val="22"/>
        </w:rPr>
        <w:t xml:space="preserve"> </w:t>
      </w:r>
    </w:p>
    <w:p w14:paraId="267C2946" w14:textId="6819344E" w:rsidR="00182C3A" w:rsidRPr="00CD2448" w:rsidRDefault="004F64CE"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As part of routine medical screening at enrollment, </w:t>
      </w:r>
      <w:r w:rsidR="008F24E4" w:rsidRPr="00CD2448">
        <w:rPr>
          <w:rFonts w:ascii="Arial" w:hAnsi="Arial" w:cs="Arial"/>
          <w:color w:val="000000" w:themeColor="text1"/>
          <w:sz w:val="22"/>
          <w:szCs w:val="22"/>
        </w:rPr>
        <w:t xml:space="preserve">participants </w:t>
      </w:r>
      <w:r w:rsidRPr="00CD2448">
        <w:rPr>
          <w:rFonts w:ascii="Arial" w:hAnsi="Arial" w:cs="Arial"/>
          <w:color w:val="000000" w:themeColor="text1"/>
          <w:sz w:val="22"/>
          <w:szCs w:val="22"/>
        </w:rPr>
        <w:t xml:space="preserve">underwent CBC testing with differentials. CBC data were retrieved from the medical record and linked to study participants. </w:t>
      </w:r>
      <w:bookmarkStart w:id="6" w:name="OLE_LINK31"/>
      <w:r w:rsidRPr="00CD2448">
        <w:rPr>
          <w:rFonts w:ascii="Arial" w:hAnsi="Arial" w:cs="Arial"/>
          <w:color w:val="000000" w:themeColor="text1"/>
          <w:sz w:val="22"/>
          <w:szCs w:val="22"/>
        </w:rPr>
        <w:t xml:space="preserve">Of the 27 patients enrolled, 20 had available differential counts suitable for </w:t>
      </w:r>
      <w:r w:rsidR="00EB499E" w:rsidRPr="00CD2448">
        <w:rPr>
          <w:rFonts w:ascii="Arial" w:hAnsi="Arial" w:cs="Arial"/>
          <w:color w:val="000000" w:themeColor="text1"/>
          <w:sz w:val="22"/>
          <w:szCs w:val="22"/>
        </w:rPr>
        <w:t>corroboration</w:t>
      </w:r>
      <w:bookmarkEnd w:id="6"/>
      <w:r w:rsidRPr="00CD2448">
        <w:rPr>
          <w:rFonts w:ascii="Arial" w:hAnsi="Arial" w:cs="Arial"/>
          <w:color w:val="000000" w:themeColor="text1"/>
          <w:sz w:val="22"/>
          <w:szCs w:val="22"/>
        </w:rPr>
        <w:t xml:space="preserve">. For each patient, median values were computed for both relative lymphocyte fraction (%) and absolute lymphocyte count (cells/µL, derived as WBC × lymphocyte%). Because </w:t>
      </w:r>
      <w:r w:rsidRPr="00CD2448">
        <w:rPr>
          <w:rFonts w:ascii="Arial" w:hAnsi="Arial" w:cs="Arial"/>
          <w:i/>
          <w:iCs/>
          <w:color w:val="000000" w:themeColor="text1"/>
          <w:sz w:val="22"/>
          <w:szCs w:val="22"/>
        </w:rPr>
        <w:t>xCell</w:t>
      </w:r>
      <w:r w:rsidRPr="00CD2448">
        <w:rPr>
          <w:rFonts w:ascii="Arial" w:hAnsi="Arial" w:cs="Arial"/>
          <w:color w:val="000000" w:themeColor="text1"/>
          <w:sz w:val="22"/>
          <w:szCs w:val="22"/>
        </w:rPr>
        <w:t xml:space="preserve"> deconvolution enrichment scores represent linearized abundance estimates rather than strict proportions, both relative and absolute CBC metrics were calculated from the data to provide complementary corroboration of deconvolution accuracy.</w:t>
      </w:r>
    </w:p>
    <w:p w14:paraId="33E2903E" w14:textId="10B9BA22" w:rsidR="004F64CE" w:rsidRPr="00CD2448" w:rsidRDefault="004F64CE"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Lymphocyte-like cell fractions from </w:t>
      </w:r>
      <w:r w:rsidRPr="00CD2448">
        <w:rPr>
          <w:rFonts w:ascii="Arial" w:hAnsi="Arial" w:cs="Arial"/>
          <w:i/>
          <w:iCs/>
          <w:color w:val="000000" w:themeColor="text1"/>
          <w:sz w:val="22"/>
          <w:szCs w:val="22"/>
        </w:rPr>
        <w:t>xCell</w:t>
      </w:r>
      <w:r w:rsidRPr="00CD2448">
        <w:rPr>
          <w:rFonts w:ascii="Arial" w:hAnsi="Arial" w:cs="Arial"/>
          <w:color w:val="000000" w:themeColor="text1"/>
          <w:sz w:val="22"/>
          <w:szCs w:val="22"/>
        </w:rPr>
        <w:t xml:space="preserve"> deconvolution were calculated </w:t>
      </w:r>
      <w:r w:rsidR="00422CFD" w:rsidRPr="00CD2448">
        <w:rPr>
          <w:rFonts w:ascii="Arial" w:hAnsi="Arial" w:cs="Arial"/>
          <w:color w:val="000000" w:themeColor="text1"/>
          <w:sz w:val="22"/>
          <w:szCs w:val="22"/>
        </w:rPr>
        <w:t xml:space="preserve">based on </w:t>
      </w:r>
      <w:r w:rsidR="00CB6213" w:rsidRPr="00CD2448">
        <w:rPr>
          <w:rFonts w:ascii="Arial" w:hAnsi="Arial" w:cs="Arial"/>
          <w:color w:val="000000" w:themeColor="text1"/>
          <w:sz w:val="22"/>
          <w:szCs w:val="22"/>
        </w:rPr>
        <w:t xml:space="preserve">previously established </w:t>
      </w:r>
      <w:r w:rsidR="00422CFD" w:rsidRPr="00CD2448">
        <w:rPr>
          <w:rFonts w:ascii="Arial" w:hAnsi="Arial" w:cs="Arial"/>
          <w:color w:val="000000" w:themeColor="text1"/>
          <w:sz w:val="22"/>
          <w:szCs w:val="22"/>
        </w:rPr>
        <w:t>methods</w:t>
      </w:r>
      <w:r w:rsidR="00EB58C0" w:rsidRPr="00CD2448">
        <w:rPr>
          <w:rFonts w:ascii="Arial" w:hAnsi="Arial" w:cs="Arial"/>
          <w:color w:val="000000" w:themeColor="text1"/>
          <w:sz w:val="22"/>
          <w:szCs w:val="22"/>
        </w:rPr>
        <w:t xml:space="preserve"> </w:t>
      </w:r>
      <w:r w:rsidR="00C770C0" w:rsidRPr="00CD2448">
        <w:rPr>
          <w:rFonts w:ascii="Arial" w:hAnsi="Arial" w:cs="Arial"/>
          <w:color w:val="000000" w:themeColor="text1"/>
          <w:sz w:val="22"/>
          <w:szCs w:val="22"/>
        </w:rPr>
        <w:fldChar w:fldCharType="begin"/>
      </w:r>
      <w:r w:rsidR="008D0B4D" w:rsidRPr="00CD2448">
        <w:rPr>
          <w:rFonts w:ascii="Arial" w:hAnsi="Arial" w:cs="Arial"/>
          <w:color w:val="000000" w:themeColor="text1"/>
          <w:sz w:val="22"/>
          <w:szCs w:val="22"/>
        </w:rPr>
        <w:instrText xml:space="preserve"> ADDIN EN.CITE &lt;EndNote&gt;&lt;Cite&gt;&lt;Author&gt;Sturm&lt;/Author&gt;&lt;Year&gt;2019&lt;/Year&gt;&lt;RecNum&gt;33&lt;/RecNum&gt;&lt;DisplayText&gt;[19]&lt;/DisplayText&gt;&lt;record&gt;&lt;rec-number&gt;33&lt;/rec-number&gt;&lt;foreign-keys&gt;&lt;key app="EN" db-id="dzsadpavbdaf27ef9zmxw006vzddp0epfpxa" timestamp="1759159643"&gt;33&lt;/key&gt;&lt;/foreign-keys&gt;&lt;ref-type name="Journal Article"&gt;17&lt;/ref-type&gt;&lt;contributors&gt;&lt;authors&gt;&lt;author&gt;Sturm, Gregor&lt;/author&gt;&lt;author&gt;Finotello, Francesca&lt;/author&gt;&lt;author&gt;Petitprez, Florent&lt;/author&gt;&lt;author&gt;Zhang, Jitao David&lt;/author&gt;&lt;author&gt;Baumbach, Jan&lt;/author&gt;&lt;author&gt;Fridman, Wolf H.&lt;/author&gt;&lt;author&gt;List, Markus&lt;/author&gt;&lt;author&gt;Aneichyk, Tatsiana&lt;/author&gt;&lt;/authors&gt;&lt;/contributors&gt;&lt;titles&gt;&lt;title&gt;Comprehensive evaluation of transcriptome-based cell-type quantification methods for immuno-oncology&lt;/title&gt;&lt;secondary-title&gt;Bioinformatics&lt;/secondary-title&gt;&lt;alt-title&gt;Bioinformatics&lt;/alt-title&gt;&lt;/titles&gt;&lt;periodical&gt;&lt;full-title&gt;Bioinformatics&lt;/full-title&gt;&lt;/periodical&gt;&lt;alt-periodical&gt;&lt;full-title&gt;Bioinformatics&lt;/full-title&gt;&lt;/alt-periodical&gt;&lt;pages&gt;i436-i445&lt;/pages&gt;&lt;volume&gt;35&lt;/volume&gt;&lt;number&gt;14&lt;/number&gt;&lt;dates&gt;&lt;year&gt;2019&lt;/year&gt;&lt;pub-dates&gt;&lt;date&gt;2019/07/15/&lt;/date&gt;&lt;/pub-dates&gt;&lt;/dates&gt;&lt;isbn&gt;1367-4803&lt;/isbn&gt;&lt;urls&gt;&lt;related-urls&gt;&lt;url&gt;https://dx.doi.org/10.1093/bioinformatics/btz363&lt;/url&gt;&lt;/related-urls&gt;&lt;/urls&gt;&lt;electronic-resource-num&gt;10.1093/bioinformatics/btz363&lt;/electronic-resource-num&gt;&lt;remote-database-provider&gt;academic.oup.com&lt;/remote-database-provider&gt;&lt;language&gt;en&lt;/language&gt;&lt;access-date&gt;2025/09/27/03:06:23&lt;/access-date&gt;&lt;/record&gt;&lt;/Cite&gt;&lt;/EndNote&gt;</w:instrText>
      </w:r>
      <w:r w:rsidR="00C770C0" w:rsidRPr="00CD2448">
        <w:rPr>
          <w:rFonts w:ascii="Arial" w:hAnsi="Arial" w:cs="Arial"/>
          <w:color w:val="000000" w:themeColor="text1"/>
          <w:sz w:val="22"/>
          <w:szCs w:val="22"/>
        </w:rPr>
        <w:fldChar w:fldCharType="separate"/>
      </w:r>
      <w:r w:rsidR="008D0B4D" w:rsidRPr="00CD2448">
        <w:rPr>
          <w:rFonts w:ascii="Arial" w:hAnsi="Arial" w:cs="Arial"/>
          <w:noProof/>
          <w:color w:val="000000" w:themeColor="text1"/>
          <w:sz w:val="22"/>
          <w:szCs w:val="22"/>
        </w:rPr>
        <w:t>[19]</w:t>
      </w:r>
      <w:r w:rsidR="00C770C0" w:rsidRPr="00CD2448">
        <w:rPr>
          <w:rFonts w:ascii="Arial" w:hAnsi="Arial" w:cs="Arial"/>
          <w:color w:val="000000" w:themeColor="text1"/>
          <w:sz w:val="22"/>
          <w:szCs w:val="22"/>
        </w:rPr>
        <w:fldChar w:fldCharType="end"/>
      </w:r>
      <w:r w:rsidR="00422CFD" w:rsidRPr="00CD2448">
        <w:rPr>
          <w:rFonts w:ascii="Arial" w:hAnsi="Arial" w:cs="Arial"/>
          <w:color w:val="000000" w:themeColor="text1"/>
          <w:sz w:val="22"/>
          <w:szCs w:val="22"/>
        </w:rPr>
        <w:t>. First</w:t>
      </w:r>
      <w:r w:rsidR="00CE1F6C" w:rsidRPr="00CD2448">
        <w:rPr>
          <w:rFonts w:ascii="Arial" w:hAnsi="Arial" w:cs="Arial"/>
          <w:color w:val="000000" w:themeColor="text1"/>
          <w:sz w:val="22"/>
          <w:szCs w:val="22"/>
        </w:rPr>
        <w:t>,</w:t>
      </w:r>
      <w:r w:rsidR="00422CFD" w:rsidRPr="00CD2448">
        <w:rPr>
          <w:rFonts w:ascii="Arial" w:hAnsi="Arial" w:cs="Arial"/>
          <w:color w:val="000000" w:themeColor="text1"/>
          <w:sz w:val="22"/>
          <w:szCs w:val="22"/>
        </w:rPr>
        <w:t xml:space="preserve"> deconvolution </w:t>
      </w:r>
      <w:r w:rsidR="00054007" w:rsidRPr="00CD2448">
        <w:rPr>
          <w:rFonts w:ascii="Arial" w:hAnsi="Arial" w:cs="Arial"/>
          <w:color w:val="000000" w:themeColor="text1"/>
          <w:sz w:val="22"/>
          <w:szCs w:val="22"/>
        </w:rPr>
        <w:t>“</w:t>
      </w:r>
      <w:r w:rsidR="00422CFD" w:rsidRPr="00CD2448">
        <w:rPr>
          <w:rFonts w:ascii="Arial" w:hAnsi="Arial" w:cs="Arial"/>
          <w:color w:val="000000" w:themeColor="text1"/>
          <w:sz w:val="22"/>
          <w:szCs w:val="22"/>
        </w:rPr>
        <w:t>pseudo-percentages</w:t>
      </w:r>
      <w:r w:rsidR="00054007" w:rsidRPr="00CD2448">
        <w:rPr>
          <w:rFonts w:ascii="Arial" w:hAnsi="Arial" w:cs="Arial"/>
          <w:color w:val="000000" w:themeColor="text1"/>
          <w:sz w:val="22"/>
          <w:szCs w:val="22"/>
        </w:rPr>
        <w:t>”</w:t>
      </w:r>
      <w:r w:rsidR="00422CFD" w:rsidRPr="00CD2448">
        <w:rPr>
          <w:rFonts w:ascii="Arial" w:hAnsi="Arial" w:cs="Arial"/>
          <w:color w:val="000000" w:themeColor="text1"/>
          <w:sz w:val="22"/>
          <w:szCs w:val="22"/>
        </w:rPr>
        <w:t xml:space="preserve"> were generated </w:t>
      </w:r>
      <w:r w:rsidRPr="00CD2448">
        <w:rPr>
          <w:rFonts w:ascii="Arial" w:hAnsi="Arial" w:cs="Arial"/>
          <w:color w:val="000000" w:themeColor="text1"/>
          <w:sz w:val="22"/>
          <w:szCs w:val="22"/>
        </w:rPr>
        <w:t xml:space="preserve">by summing all lymphoid cell type enrichment scores, including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 xml:space="preserve">s (total, memory, naive, class-switched memory), plasma cells, </w:t>
      </w:r>
      <w:r w:rsidR="00CE1F6C" w:rsidRPr="00CD2448">
        <w:rPr>
          <w:rFonts w:ascii="Arial" w:hAnsi="Arial" w:cs="Arial"/>
          <w:color w:val="000000" w:themeColor="text1"/>
          <w:sz w:val="22"/>
          <w:szCs w:val="22"/>
        </w:rPr>
        <w:t>natural killer (</w:t>
      </w:r>
      <w:r w:rsidRPr="00CD2448">
        <w:rPr>
          <w:rFonts w:ascii="Arial" w:hAnsi="Arial" w:cs="Arial"/>
          <w:color w:val="000000" w:themeColor="text1"/>
          <w:sz w:val="22"/>
          <w:szCs w:val="22"/>
        </w:rPr>
        <w:t>NK</w:t>
      </w:r>
      <w:r w:rsidR="00CE1F6C"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cells, </w:t>
      </w:r>
      <w:r w:rsidR="00CE1F6C" w:rsidRPr="00CD2448">
        <w:rPr>
          <w:rFonts w:ascii="Arial" w:hAnsi="Arial" w:cs="Arial"/>
          <w:color w:val="000000" w:themeColor="text1"/>
          <w:sz w:val="22"/>
          <w:szCs w:val="22"/>
        </w:rPr>
        <w:t>natural killer T-cells (</w:t>
      </w:r>
      <w:r w:rsidRPr="00CD2448">
        <w:rPr>
          <w:rFonts w:ascii="Arial" w:hAnsi="Arial" w:cs="Arial"/>
          <w:color w:val="000000" w:themeColor="text1"/>
          <w:sz w:val="22"/>
          <w:szCs w:val="22"/>
        </w:rPr>
        <w:t>NKT</w:t>
      </w:r>
      <w:r w:rsidR="00CE1F6C" w:rsidRPr="00CD2448">
        <w:rPr>
          <w:rFonts w:ascii="Arial" w:hAnsi="Arial" w:cs="Arial"/>
          <w:color w:val="000000" w:themeColor="text1"/>
          <w:sz w:val="22"/>
          <w:szCs w:val="22"/>
        </w:rPr>
        <w:t>s)</w:t>
      </w:r>
      <w:r w:rsidRPr="00CD2448">
        <w:rPr>
          <w:rFonts w:ascii="Arial" w:hAnsi="Arial" w:cs="Arial"/>
          <w:color w:val="000000" w:themeColor="text1"/>
          <w:sz w:val="22"/>
          <w:szCs w:val="22"/>
        </w:rPr>
        <w:t>, CD4+</w:t>
      </w:r>
      <w:r w:rsidR="00FF36FA"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and CD8+ T</w:t>
      </w:r>
      <w:r w:rsidR="00FF36FA" w:rsidRPr="00CD2448">
        <w:rPr>
          <w:rFonts w:ascii="Arial" w:hAnsi="Arial" w:cs="Arial"/>
          <w:color w:val="000000" w:themeColor="text1"/>
          <w:sz w:val="22"/>
          <w:szCs w:val="22"/>
        </w:rPr>
        <w:t>-</w:t>
      </w:r>
      <w:r w:rsidRPr="00CD2448">
        <w:rPr>
          <w:rFonts w:ascii="Arial" w:hAnsi="Arial" w:cs="Arial"/>
          <w:color w:val="000000" w:themeColor="text1"/>
          <w:sz w:val="22"/>
          <w:szCs w:val="22"/>
        </w:rPr>
        <w:t>cell subsets (naive, central memory, effector memory),</w:t>
      </w:r>
      <w:bookmarkStart w:id="7" w:name="OLE_LINK1"/>
      <w:r w:rsidRPr="00CD2448">
        <w:rPr>
          <w:rFonts w:ascii="Arial" w:hAnsi="Arial" w:cs="Arial"/>
          <w:color w:val="000000" w:themeColor="text1"/>
          <w:sz w:val="22"/>
          <w:szCs w:val="22"/>
        </w:rPr>
        <w:t xml:space="preserve"> </w:t>
      </w:r>
      <w:bookmarkEnd w:id="7"/>
      <w:r w:rsidR="00C26E36" w:rsidRPr="00CD2448">
        <w:rPr>
          <w:rFonts w:ascii="Arial" w:hAnsi="Arial" w:cs="Arial"/>
          <w:color w:val="000000" w:themeColor="text1"/>
          <w:sz w:val="22"/>
          <w:szCs w:val="22"/>
        </w:rPr>
        <w:t>Mucosal-associated invariant T (MAIT) cells</w:t>
      </w:r>
      <w:r w:rsidRPr="00CD2448">
        <w:rPr>
          <w:rFonts w:ascii="Arial" w:hAnsi="Arial" w:cs="Arial"/>
          <w:color w:val="000000" w:themeColor="text1"/>
          <w:sz w:val="22"/>
          <w:szCs w:val="22"/>
        </w:rPr>
        <w:t>, gamma-delta T</w:t>
      </w:r>
      <w:r w:rsidR="00375557" w:rsidRPr="00CD2448">
        <w:rPr>
          <w:rFonts w:ascii="Arial" w:hAnsi="Arial" w:cs="Arial"/>
          <w:color w:val="000000" w:themeColor="text1"/>
          <w:sz w:val="22"/>
          <w:szCs w:val="22"/>
        </w:rPr>
        <w:t>-</w:t>
      </w:r>
      <w:r w:rsidRPr="00CD2448">
        <w:rPr>
          <w:rFonts w:ascii="Arial" w:hAnsi="Arial" w:cs="Arial"/>
          <w:color w:val="000000" w:themeColor="text1"/>
          <w:sz w:val="22"/>
          <w:szCs w:val="22"/>
        </w:rPr>
        <w:t>cells, Th1/Th2 cells, and regulatory T</w:t>
      </w:r>
      <w:r w:rsidR="00670E62" w:rsidRPr="00CD2448">
        <w:rPr>
          <w:rFonts w:ascii="Arial" w:hAnsi="Arial" w:cs="Arial"/>
          <w:color w:val="000000" w:themeColor="text1"/>
          <w:sz w:val="22"/>
          <w:szCs w:val="22"/>
        </w:rPr>
        <w:t>-</w:t>
      </w:r>
      <w:r w:rsidRPr="00CD2448">
        <w:rPr>
          <w:rFonts w:ascii="Arial" w:hAnsi="Arial" w:cs="Arial"/>
          <w:color w:val="000000" w:themeColor="text1"/>
          <w:sz w:val="22"/>
          <w:szCs w:val="22"/>
        </w:rPr>
        <w:t>cells. Estimated lymphocyte percentages were calculated as 100 × total lymphoid fraction</w:t>
      </w:r>
      <w:r w:rsidR="00054007" w:rsidRPr="00CD2448">
        <w:rPr>
          <w:rFonts w:ascii="Arial" w:hAnsi="Arial" w:cs="Arial"/>
          <w:color w:val="000000" w:themeColor="text1"/>
          <w:sz w:val="22"/>
          <w:szCs w:val="22"/>
        </w:rPr>
        <w:t xml:space="preserve"> </w:t>
      </w:r>
      <w:r w:rsidR="00054007" w:rsidRPr="00CD2448">
        <w:rPr>
          <w:rFonts w:ascii="Arial" w:hAnsi="Arial" w:cs="Arial"/>
          <w:color w:val="000000" w:themeColor="text1"/>
          <w:sz w:val="22"/>
          <w:szCs w:val="22"/>
        </w:rPr>
        <w:lastRenderedPageBreak/>
        <w:t>(deconvoluted)</w:t>
      </w:r>
      <w:r w:rsidRPr="00CD2448">
        <w:rPr>
          <w:rFonts w:ascii="Arial" w:hAnsi="Arial" w:cs="Arial"/>
          <w:color w:val="000000" w:themeColor="text1"/>
          <w:sz w:val="22"/>
          <w:szCs w:val="22"/>
        </w:rPr>
        <w:t xml:space="preserve">, while estimated absolute lymphocyte counts were derived as </w:t>
      </w:r>
      <w:r w:rsidR="00054007" w:rsidRPr="00CD2448">
        <w:rPr>
          <w:rFonts w:ascii="Arial" w:hAnsi="Arial" w:cs="Arial"/>
          <w:color w:val="000000" w:themeColor="text1"/>
          <w:sz w:val="22"/>
          <w:szCs w:val="22"/>
        </w:rPr>
        <w:t>deconvoluted-</w:t>
      </w:r>
      <w:r w:rsidRPr="00CD2448">
        <w:rPr>
          <w:rFonts w:ascii="Arial" w:hAnsi="Arial" w:cs="Arial"/>
          <w:color w:val="000000" w:themeColor="text1"/>
          <w:sz w:val="22"/>
          <w:szCs w:val="22"/>
        </w:rPr>
        <w:t xml:space="preserve">lymphoid fraction × </w:t>
      </w:r>
      <w:r w:rsidR="00054007" w:rsidRPr="00CD2448">
        <w:rPr>
          <w:rFonts w:ascii="Arial" w:hAnsi="Arial" w:cs="Arial"/>
          <w:color w:val="000000" w:themeColor="text1"/>
          <w:sz w:val="22"/>
          <w:szCs w:val="22"/>
        </w:rPr>
        <w:t xml:space="preserve">CBC-derived </w:t>
      </w:r>
      <w:r w:rsidRPr="00CD2448">
        <w:rPr>
          <w:rFonts w:ascii="Arial" w:hAnsi="Arial" w:cs="Arial"/>
          <w:color w:val="000000" w:themeColor="text1"/>
          <w:sz w:val="22"/>
          <w:szCs w:val="22"/>
        </w:rPr>
        <w:t xml:space="preserve">total white blood cell count. </w:t>
      </w:r>
      <w:r w:rsidR="00670E62" w:rsidRPr="00CD2448">
        <w:rPr>
          <w:rFonts w:ascii="Arial" w:hAnsi="Arial" w:cs="Arial"/>
          <w:color w:val="000000" w:themeColor="text1"/>
          <w:sz w:val="22"/>
          <w:szCs w:val="22"/>
        </w:rPr>
        <w:t>T</w:t>
      </w:r>
      <w:r w:rsidR="00054007" w:rsidRPr="00CD2448">
        <w:rPr>
          <w:rFonts w:ascii="Arial" w:hAnsi="Arial" w:cs="Arial"/>
          <w:color w:val="000000" w:themeColor="text1"/>
          <w:sz w:val="22"/>
          <w:szCs w:val="22"/>
        </w:rPr>
        <w:t xml:space="preserve">wo separate metrics </w:t>
      </w:r>
      <w:r w:rsidR="00670E62" w:rsidRPr="00CD2448">
        <w:rPr>
          <w:rFonts w:ascii="Arial" w:hAnsi="Arial" w:cs="Arial"/>
          <w:color w:val="000000" w:themeColor="text1"/>
          <w:sz w:val="22"/>
          <w:szCs w:val="22"/>
        </w:rPr>
        <w:t xml:space="preserve">were calculated </w:t>
      </w:r>
      <w:r w:rsidR="00054007" w:rsidRPr="00CD2448">
        <w:rPr>
          <w:rFonts w:ascii="Arial" w:hAnsi="Arial" w:cs="Arial"/>
          <w:color w:val="000000" w:themeColor="text1"/>
          <w:sz w:val="22"/>
          <w:szCs w:val="22"/>
        </w:rPr>
        <w:t>to control for the possibility that patients’ total counts could simultaneously drive higher lymphocyte counts on CBC</w:t>
      </w:r>
      <w:r w:rsidR="00670E62" w:rsidRPr="00CD2448">
        <w:rPr>
          <w:rFonts w:ascii="Arial" w:hAnsi="Arial" w:cs="Arial"/>
          <w:color w:val="000000" w:themeColor="text1"/>
          <w:sz w:val="22"/>
          <w:szCs w:val="22"/>
        </w:rPr>
        <w:t>s</w:t>
      </w:r>
      <w:r w:rsidR="00054007" w:rsidRPr="00CD2448">
        <w:rPr>
          <w:rFonts w:ascii="Arial" w:hAnsi="Arial" w:cs="Arial"/>
          <w:color w:val="000000" w:themeColor="text1"/>
          <w:sz w:val="22"/>
          <w:szCs w:val="22"/>
        </w:rPr>
        <w:t xml:space="preserve"> and greater counts within RNA (for example</w:t>
      </w:r>
      <w:r w:rsidR="006C5512" w:rsidRPr="00CD2448">
        <w:rPr>
          <w:rFonts w:ascii="Arial" w:hAnsi="Arial" w:cs="Arial"/>
          <w:color w:val="000000" w:themeColor="text1"/>
          <w:sz w:val="22"/>
          <w:szCs w:val="22"/>
        </w:rPr>
        <w:t>,</w:t>
      </w:r>
      <w:r w:rsidR="00054007" w:rsidRPr="00CD2448">
        <w:rPr>
          <w:rFonts w:ascii="Arial" w:hAnsi="Arial" w:cs="Arial"/>
          <w:color w:val="000000" w:themeColor="text1"/>
          <w:sz w:val="22"/>
          <w:szCs w:val="22"/>
        </w:rPr>
        <w:t xml:space="preserve"> if pat</w:t>
      </w:r>
      <w:r w:rsidR="00670E62" w:rsidRPr="00CD2448">
        <w:rPr>
          <w:rFonts w:ascii="Arial" w:hAnsi="Arial" w:cs="Arial"/>
          <w:color w:val="000000" w:themeColor="text1"/>
          <w:sz w:val="22"/>
          <w:szCs w:val="22"/>
        </w:rPr>
        <w:t>i</w:t>
      </w:r>
      <w:r w:rsidR="00054007" w:rsidRPr="00CD2448">
        <w:rPr>
          <w:rFonts w:ascii="Arial" w:hAnsi="Arial" w:cs="Arial"/>
          <w:color w:val="000000" w:themeColor="text1"/>
          <w:sz w:val="22"/>
          <w:szCs w:val="22"/>
        </w:rPr>
        <w:t>ent</w:t>
      </w:r>
      <w:r w:rsidR="00670E62" w:rsidRPr="00CD2448">
        <w:rPr>
          <w:rFonts w:ascii="Arial" w:hAnsi="Arial" w:cs="Arial"/>
          <w:color w:val="000000" w:themeColor="text1"/>
          <w:sz w:val="22"/>
          <w:szCs w:val="22"/>
        </w:rPr>
        <w:t>s</w:t>
      </w:r>
      <w:r w:rsidR="00054007" w:rsidRPr="00CD2448">
        <w:rPr>
          <w:rFonts w:ascii="Arial" w:hAnsi="Arial" w:cs="Arial"/>
          <w:color w:val="000000" w:themeColor="text1"/>
          <w:sz w:val="22"/>
          <w:szCs w:val="22"/>
        </w:rPr>
        <w:t xml:space="preserve"> were </w:t>
      </w:r>
      <w:proofErr w:type="spellStart"/>
      <w:r w:rsidR="00054007" w:rsidRPr="00CD2448">
        <w:rPr>
          <w:rFonts w:ascii="Arial" w:hAnsi="Arial" w:cs="Arial"/>
          <w:color w:val="000000" w:themeColor="text1"/>
          <w:sz w:val="22"/>
          <w:szCs w:val="22"/>
        </w:rPr>
        <w:t>hemoconcentrated</w:t>
      </w:r>
      <w:proofErr w:type="spellEnd"/>
      <w:r w:rsidR="00054007" w:rsidRPr="00CD2448">
        <w:rPr>
          <w:rFonts w:ascii="Arial" w:hAnsi="Arial" w:cs="Arial"/>
          <w:color w:val="000000" w:themeColor="text1"/>
          <w:sz w:val="22"/>
          <w:szCs w:val="22"/>
        </w:rPr>
        <w:t xml:space="preserve"> due to (de)hydration). </w:t>
      </w:r>
      <w:r w:rsidRPr="00CD2448">
        <w:rPr>
          <w:rFonts w:ascii="Arial" w:hAnsi="Arial" w:cs="Arial"/>
          <w:color w:val="000000" w:themeColor="text1"/>
          <w:sz w:val="22"/>
          <w:szCs w:val="22"/>
        </w:rPr>
        <w:t xml:space="preserve">Spearman rank correlations were </w:t>
      </w:r>
      <w:r w:rsidR="00054007" w:rsidRPr="00CD2448">
        <w:rPr>
          <w:rFonts w:ascii="Arial" w:hAnsi="Arial" w:cs="Arial"/>
          <w:color w:val="000000" w:themeColor="text1"/>
          <w:sz w:val="22"/>
          <w:szCs w:val="22"/>
        </w:rPr>
        <w:t xml:space="preserve">then </w:t>
      </w:r>
      <w:r w:rsidRPr="00CD2448">
        <w:rPr>
          <w:rFonts w:ascii="Arial" w:hAnsi="Arial" w:cs="Arial"/>
          <w:color w:val="000000" w:themeColor="text1"/>
          <w:sz w:val="22"/>
          <w:szCs w:val="22"/>
        </w:rPr>
        <w:t>computed between CBC-measured and deconvolution-estimated lymphocyte values (both percentages and absolute counts). </w:t>
      </w:r>
    </w:p>
    <w:p w14:paraId="4CB4D735" w14:textId="77777777" w:rsidR="00FD0E16" w:rsidRPr="00CD2448" w:rsidRDefault="00FD0E16" w:rsidP="00415257">
      <w:pPr>
        <w:rPr>
          <w:rFonts w:ascii="Arial" w:hAnsi="Arial" w:cs="Arial"/>
          <w:color w:val="000000" w:themeColor="text1"/>
          <w:sz w:val="22"/>
          <w:szCs w:val="22"/>
        </w:rPr>
      </w:pPr>
    </w:p>
    <w:p w14:paraId="2FE13BB5" w14:textId="77777777" w:rsidR="002B68E2" w:rsidRPr="00CD2448" w:rsidRDefault="002B68E2"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 xml:space="preserve">Deconvolution with Cell type-specific Differential Expression </w:t>
      </w:r>
    </w:p>
    <w:p w14:paraId="754FE147" w14:textId="7A2EBB5C" w:rsidR="004E16E8" w:rsidRPr="00CD2448" w:rsidRDefault="002B68E2"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Cell type-specific differential expression analysis was predicted using </w:t>
      </w:r>
      <w:proofErr w:type="spellStart"/>
      <w:r w:rsidRPr="00CD2448">
        <w:rPr>
          <w:rFonts w:ascii="Arial" w:hAnsi="Arial" w:cs="Arial"/>
          <w:i/>
          <w:iCs/>
          <w:color w:val="000000" w:themeColor="text1"/>
          <w:sz w:val="22"/>
          <w:szCs w:val="22"/>
        </w:rPr>
        <w:t>BayesPrism</w:t>
      </w:r>
      <w:proofErr w:type="spellEnd"/>
      <w:r w:rsidR="00EB58C0" w:rsidRPr="00CD2448">
        <w:rPr>
          <w:rFonts w:ascii="Arial" w:hAnsi="Arial" w:cs="Arial"/>
          <w:i/>
          <w:iCs/>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ExcludeYear="1"&gt;&lt;Author&gt;Chu&lt;/Author&gt;&lt;Year&gt;2022&lt;/Year&gt;&lt;RecNum&gt;34&lt;/RecNum&gt;&lt;DisplayText&gt;[20]&lt;/DisplayText&gt;&lt;record&gt;&lt;rec-number&gt;34&lt;/rec-number&gt;&lt;foreign-keys&gt;&lt;key app="EN" db-id="dzsadpavbdaf27ef9zmxw006vzddp0epfpxa" timestamp="1759159643"&gt;34&lt;/key&gt;&lt;/foreign-keys&gt;&lt;ref-type name="Journal Article"&gt;17&lt;/ref-type&gt;&lt;contributors&gt;&lt;authors&gt;&lt;author&gt;Chu, Tinyi&lt;/author&gt;&lt;author&gt;Wang, Zhong&lt;/author&gt;&lt;author&gt;Pe’er, Dana&lt;/author&gt;&lt;author&gt;Danko, Charles G.&lt;/author&gt;&lt;/authors&gt;&lt;/contributors&gt;&lt;titles&gt;&lt;title&gt;Cell type and gene expression deconvolution with BayesPrism enables Bayesian integrative analysis across bulk and single-cell RNA sequencing in oncology&lt;/title&gt;&lt;secondary-title&gt;Nat Cancer&lt;/secondary-title&gt;&lt;alt-title&gt;Nat Cancer&lt;/alt-title&gt;&lt;/titles&gt;&lt;periodical&gt;&lt;full-title&gt;Nature Cancer&lt;/full-title&gt;&lt;abbr-1&gt;Nat Cancer&lt;/abbr-1&gt;&lt;/periodical&gt;&lt;alt-periodical&gt;&lt;full-title&gt;Nature Cancer&lt;/full-title&gt;&lt;abbr-1&gt;Nat Cancer&lt;/abbr-1&gt;&lt;/alt-periodical&gt;&lt;pages&gt;505-517&lt;/pages&gt;&lt;volume&gt;3&lt;/volume&gt;&lt;number&gt;4&lt;/number&gt;&lt;keywords&gt;&lt;keyword&gt;Bayes Theorem&lt;/keyword&gt;&lt;keyword&gt;Cancer&lt;/keyword&gt;&lt;keyword&gt;Cancer genomics&lt;/keyword&gt;&lt;keyword&gt;Endothelial Cells&lt;/keyword&gt;&lt;keyword&gt;Gene Expression&lt;/keyword&gt;&lt;keyword&gt;Head and Neck Neoplasms&lt;/keyword&gt;&lt;keyword&gt;Humans&lt;/keyword&gt;&lt;keyword&gt;Melanoma&lt;/keyword&gt;&lt;keyword&gt;Melanoma, Cutaneous Malignant&lt;/keyword&gt;&lt;keyword&gt;Sequence Analysis, RNA&lt;/keyword&gt;&lt;keyword&gt;Single-Cell Analysis&lt;/keyword&gt;&lt;keyword&gt;Skin Neoplasms&lt;/keyword&gt;&lt;keyword&gt;Statistical methods&lt;/keyword&gt;&lt;/keywords&gt;&lt;dates&gt;&lt;year&gt;2022&lt;/year&gt;&lt;pub-dates&gt;&lt;date&gt;2022/04//&lt;/date&gt;&lt;/pub-dates&gt;&lt;/dates&gt;&lt;isbn&gt;2662-1347&lt;/isbn&gt;&lt;urls&gt;&lt;related-urls&gt;&lt;url&gt;https://www.nature.com/articles/s43018-022-00356-3&lt;/url&gt;&lt;/related-urls&gt;&lt;/urls&gt;&lt;electronic-resource-num&gt;10.1038/s43018-022-00356-3&lt;/electronic-resource-num&gt;&lt;remote-database-provider&gt;www.nature.com&lt;/remote-database-provider&gt;&lt;language&gt;en&lt;/language&gt;&lt;access-date&gt;2025/03/09/15:09:16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[20]</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Hao </w:t>
      </w:r>
      <w:r w:rsidR="006C5512" w:rsidRPr="00CD2448">
        <w:rPr>
          <w:rFonts w:ascii="Arial" w:hAnsi="Arial" w:cs="Arial"/>
          <w:color w:val="000000" w:themeColor="text1"/>
          <w:sz w:val="22"/>
          <w:szCs w:val="22"/>
        </w:rPr>
        <w:t>and colleagues’</w:t>
      </w:r>
      <w:r w:rsidRPr="00CD2448">
        <w:rPr>
          <w:rFonts w:ascii="Arial" w:hAnsi="Arial" w:cs="Arial"/>
          <w:color w:val="000000" w:themeColor="text1"/>
          <w:sz w:val="22"/>
          <w:szCs w:val="22"/>
        </w:rPr>
        <w:t xml:space="preserve"> multi-</w:t>
      </w:r>
      <w:proofErr w:type="spellStart"/>
      <w:r w:rsidRPr="00CD2448">
        <w:rPr>
          <w:rFonts w:ascii="Arial" w:hAnsi="Arial" w:cs="Arial"/>
          <w:color w:val="000000" w:themeColor="text1"/>
          <w:sz w:val="22"/>
          <w:szCs w:val="22"/>
        </w:rPr>
        <w:t>omic</w:t>
      </w:r>
      <w:proofErr w:type="spellEnd"/>
      <w:r w:rsidRPr="00CD2448">
        <w:rPr>
          <w:rFonts w:ascii="Arial" w:hAnsi="Arial" w:cs="Arial"/>
          <w:color w:val="000000" w:themeColor="text1"/>
          <w:sz w:val="22"/>
          <w:szCs w:val="22"/>
        </w:rPr>
        <w:t xml:space="preserve"> single-cell PBMC reference dataset (10x Genomics)</w:t>
      </w:r>
      <w:r w:rsidR="00E9177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2"/>
          <w:szCs w:val="22"/>
          <w14:ligatures w14:val="standardContextual"/>
        </w:rPr>
        <w:instrText xml:space="preserve"> ADDIN EN.CITE </w:instrText>
      </w:r>
      <w:r w:rsidR="008D0B4D"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2"/>
          <w:szCs w:val="22"/>
          <w14:ligatures w14:val="standardContextual"/>
        </w:rPr>
        <w:instrText xml:space="preserve"> ADDIN EN.CITE.DATA </w:instrText>
      </w:r>
      <w:r w:rsidR="008D0B4D" w:rsidRPr="00CD2448">
        <w:rPr>
          <w:rFonts w:ascii="Arial" w:eastAsiaTheme="minorHAnsi" w:hAnsi="Arial" w:cs="Arial"/>
          <w:color w:val="000000" w:themeColor="text1"/>
          <w:sz w:val="22"/>
          <w:szCs w:val="22"/>
          <w14:ligatures w14:val="standardContextual"/>
        </w:rPr>
      </w:r>
      <w:r w:rsidR="008D0B4D" w:rsidRPr="00CD2448">
        <w:rPr>
          <w:rFonts w:ascii="Arial" w:eastAsiaTheme="minorHAnsi" w:hAnsi="Arial" w:cs="Arial"/>
          <w:color w:val="000000" w:themeColor="text1"/>
          <w:sz w:val="22"/>
          <w:szCs w:val="22"/>
          <w14:ligatures w14:val="standardContextual"/>
        </w:rPr>
        <w:fldChar w:fldCharType="end"/>
      </w:r>
      <w:r w:rsidR="00C770C0" w:rsidRPr="00CD2448">
        <w:rPr>
          <w:rFonts w:ascii="Arial" w:eastAsiaTheme="minorHAnsi" w:hAnsi="Arial" w:cs="Arial"/>
          <w:color w:val="000000" w:themeColor="text1"/>
          <w:sz w:val="22"/>
          <w:szCs w:val="22"/>
          <w14:ligatures w14:val="standardContextual"/>
        </w:rPr>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[21]</w:t>
      </w:r>
      <w:r w:rsidR="00C770C0" w:rsidRPr="00CD2448">
        <w:rPr>
          <w:rFonts w:ascii="Arial" w:eastAsiaTheme="minorHAnsi" w:hAnsi="Arial" w:cs="Arial"/>
          <w:color w:val="000000" w:themeColor="text1"/>
          <w:sz w:val="22"/>
          <w:szCs w:val="22"/>
          <w14:ligatures w14:val="standardContextual"/>
        </w:rPr>
        <w:fldChar w:fldCharType="end"/>
      </w:r>
      <w:r w:rsidR="00C26E36" w:rsidRPr="00CD2448">
        <w:rPr>
          <w:rFonts w:ascii="Arial" w:hAnsi="Arial" w:cs="Arial"/>
          <w:color w:val="000000" w:themeColor="text1"/>
          <w:sz w:val="22"/>
          <w:szCs w:val="22"/>
        </w:rPr>
        <w:t xml:space="preserve"> was used as t</w:t>
      </w:r>
      <w:r w:rsidR="004E16E8" w:rsidRPr="00CD2448">
        <w:rPr>
          <w:rFonts w:ascii="Arial" w:hAnsi="Arial" w:cs="Arial"/>
          <w:color w:val="000000" w:themeColor="text1"/>
          <w:sz w:val="22"/>
          <w:szCs w:val="22"/>
        </w:rPr>
        <w:t>he reference dataset</w:t>
      </w:r>
      <w:r w:rsidR="00C26E36" w:rsidRPr="00CD2448">
        <w:rPr>
          <w:rFonts w:ascii="Arial" w:hAnsi="Arial" w:cs="Arial"/>
          <w:color w:val="000000" w:themeColor="text1"/>
          <w:sz w:val="22"/>
          <w:szCs w:val="22"/>
        </w:rPr>
        <w:t>. It comprised</w:t>
      </w:r>
      <w:r w:rsidR="009A4EB6" w:rsidRPr="00CD2448">
        <w:rPr>
          <w:rFonts w:ascii="Arial" w:hAnsi="Arial" w:cs="Arial"/>
          <w:color w:val="000000" w:themeColor="text1"/>
          <w:sz w:val="22"/>
          <w:szCs w:val="22"/>
        </w:rPr>
        <w:t xml:space="preserve"> </w:t>
      </w:r>
      <w:r w:rsidR="004E16E8" w:rsidRPr="00CD2448">
        <w:rPr>
          <w:rFonts w:ascii="Arial" w:hAnsi="Arial" w:cs="Arial"/>
          <w:color w:val="000000" w:themeColor="text1"/>
          <w:sz w:val="22"/>
          <w:szCs w:val="22"/>
        </w:rPr>
        <w:t xml:space="preserve">161,764 PBMCs from eight HVs with simultaneous quantification of single cell </w:t>
      </w:r>
      <w:proofErr w:type="spellStart"/>
      <w:r w:rsidR="004E16E8" w:rsidRPr="00CD2448">
        <w:rPr>
          <w:rFonts w:ascii="Arial" w:hAnsi="Arial" w:cs="Arial"/>
          <w:color w:val="000000" w:themeColor="text1"/>
          <w:sz w:val="22"/>
          <w:szCs w:val="22"/>
        </w:rPr>
        <w:t>RNAseq</w:t>
      </w:r>
      <w:proofErr w:type="spellEnd"/>
      <w:r w:rsidR="004E16E8" w:rsidRPr="00CD2448">
        <w:rPr>
          <w:rFonts w:ascii="Arial" w:hAnsi="Arial" w:cs="Arial"/>
          <w:color w:val="000000" w:themeColor="text1"/>
          <w:sz w:val="22"/>
          <w:szCs w:val="22"/>
        </w:rPr>
        <w:t xml:space="preserve"> and cell surface protein abundance via oligonucleotide antibody-derived tags, allowing for high specificity cell-type annotations to inform differential expression priors</w:t>
      </w:r>
      <w:r w:rsidR="004539B2" w:rsidRPr="00CD2448">
        <w:rPr>
          <w:rFonts w:ascii="Arial" w:hAnsi="Arial" w:cs="Arial"/>
          <w:color w:val="000000" w:themeColor="text1"/>
          <w:sz w:val="22"/>
          <w:szCs w:val="22"/>
        </w:rPr>
        <w:t xml:space="preserve"> </w:t>
      </w:r>
      <w:r w:rsidR="00B0336F"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2"/>
          <w:szCs w:val="22"/>
          <w14:ligatures w14:val="standardContextual"/>
        </w:rPr>
        <w:instrText xml:space="preserve"> ADDIN EN.CITE </w:instrText>
      </w:r>
      <w:r w:rsidR="008D0B4D" w:rsidRPr="00CD2448">
        <w:rPr>
          <w:rFonts w:ascii="Arial" w:eastAsiaTheme="minorHAnsi" w:hAnsi="Arial" w:cs="Arial"/>
          <w:color w:val="000000" w:themeColor="text1"/>
          <w:sz w:val="22"/>
          <w:szCs w:val="22"/>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2"/>
          <w:szCs w:val="22"/>
          <w14:ligatures w14:val="standardContextual"/>
        </w:rPr>
        <w:instrText xml:space="preserve"> ADDIN EN.CITE.DATA </w:instrText>
      </w:r>
      <w:r w:rsidR="008D0B4D" w:rsidRPr="00CD2448">
        <w:rPr>
          <w:rFonts w:ascii="Arial" w:eastAsiaTheme="minorHAnsi" w:hAnsi="Arial" w:cs="Arial"/>
          <w:color w:val="000000" w:themeColor="text1"/>
          <w:sz w:val="22"/>
          <w:szCs w:val="22"/>
          <w14:ligatures w14:val="standardContextual"/>
        </w:rPr>
      </w:r>
      <w:r w:rsidR="008D0B4D" w:rsidRPr="00CD2448">
        <w:rPr>
          <w:rFonts w:ascii="Arial" w:eastAsiaTheme="minorHAnsi" w:hAnsi="Arial" w:cs="Arial"/>
          <w:color w:val="000000" w:themeColor="text1"/>
          <w:sz w:val="22"/>
          <w:szCs w:val="22"/>
          <w14:ligatures w14:val="standardContextual"/>
        </w:rPr>
        <w:fldChar w:fldCharType="end"/>
      </w:r>
      <w:r w:rsidR="00B0336F" w:rsidRPr="00CD2448">
        <w:rPr>
          <w:rFonts w:ascii="Arial" w:eastAsiaTheme="minorHAnsi" w:hAnsi="Arial" w:cs="Arial"/>
          <w:color w:val="000000" w:themeColor="text1"/>
          <w:sz w:val="22"/>
          <w:szCs w:val="22"/>
          <w14:ligatures w14:val="standardContextual"/>
        </w:rPr>
      </w:r>
      <w:r w:rsidR="00B0336F"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[21]</w:t>
      </w:r>
      <w:r w:rsidR="00B0336F" w:rsidRPr="00CD2448">
        <w:rPr>
          <w:rFonts w:ascii="Arial" w:eastAsiaTheme="minorHAnsi" w:hAnsi="Arial" w:cs="Arial"/>
          <w:color w:val="000000" w:themeColor="text1"/>
          <w:sz w:val="22"/>
          <w:szCs w:val="22"/>
          <w14:ligatures w14:val="standardContextual"/>
        </w:rPr>
        <w:fldChar w:fldCharType="end"/>
      </w:r>
      <w:r w:rsidR="00B0336F" w:rsidRPr="00CD2448">
        <w:rPr>
          <w:rFonts w:ascii="Arial" w:eastAsiaTheme="minorHAnsi" w:hAnsi="Arial" w:cs="Arial"/>
          <w:color w:val="000000" w:themeColor="text1"/>
          <w:sz w:val="22"/>
          <w:szCs w:val="22"/>
          <w14:ligatures w14:val="standardContextual"/>
        </w:rPr>
        <w:t xml:space="preserve">. </w:t>
      </w:r>
      <w:r w:rsidR="004E16E8" w:rsidRPr="00CD2448">
        <w:rPr>
          <w:rFonts w:ascii="Arial" w:hAnsi="Arial" w:cs="Arial"/>
          <w:color w:val="000000" w:themeColor="text1"/>
          <w:sz w:val="22"/>
          <w:szCs w:val="22"/>
        </w:rPr>
        <w:t>Cell-type specific differential expression was modeled under identical parameters a</w:t>
      </w:r>
      <w:r w:rsidR="00E62724">
        <w:rPr>
          <w:rFonts w:ascii="Arial" w:hAnsi="Arial" w:cs="Arial"/>
          <w:color w:val="000000" w:themeColor="text1"/>
          <w:sz w:val="22"/>
          <w:szCs w:val="22"/>
        </w:rPr>
        <w:t>s</w:t>
      </w:r>
      <w:r w:rsidR="004E16E8" w:rsidRPr="00CD2448">
        <w:rPr>
          <w:rFonts w:ascii="Arial" w:hAnsi="Arial" w:cs="Arial"/>
          <w:color w:val="000000" w:themeColor="text1"/>
          <w:sz w:val="22"/>
          <w:szCs w:val="22"/>
        </w:rPr>
        <w:t xml:space="preserve"> the original bulk RNA data described earlier in this paragraph. </w:t>
      </w:r>
    </w:p>
    <w:p w14:paraId="4A50A00F" w14:textId="54A42B2E" w:rsidR="002B68E2" w:rsidRPr="00CD2448" w:rsidRDefault="002B68E2"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The following parameters were </w:t>
      </w:r>
      <w:r w:rsidR="00072FF5" w:rsidRPr="00CD2448">
        <w:rPr>
          <w:rFonts w:ascii="Arial" w:hAnsi="Arial" w:cs="Arial"/>
          <w:color w:val="000000" w:themeColor="text1"/>
          <w:sz w:val="22"/>
          <w:szCs w:val="22"/>
        </w:rPr>
        <w:t xml:space="preserve">used </w:t>
      </w:r>
      <w:r w:rsidRPr="00CD2448">
        <w:rPr>
          <w:rFonts w:ascii="Arial" w:hAnsi="Arial" w:cs="Arial"/>
          <w:color w:val="000000" w:themeColor="text1"/>
          <w:sz w:val="22"/>
          <w:szCs w:val="22"/>
        </w:rPr>
        <w:t>as recommended by</w:t>
      </w:r>
      <w:r w:rsidR="00072FF5" w:rsidRPr="00CD2448">
        <w:rPr>
          <w:rFonts w:ascii="Arial" w:hAnsi="Arial" w:cs="Arial"/>
          <w:color w:val="000000" w:themeColor="text1"/>
          <w:sz w:val="22"/>
          <w:szCs w:val="22"/>
        </w:rPr>
        <w:t xml:space="preserve"> the creators of</w:t>
      </w:r>
      <w:r w:rsidRPr="00CD2448">
        <w:rPr>
          <w:rFonts w:ascii="Arial" w:hAnsi="Arial" w:cs="Arial"/>
          <w:color w:val="000000" w:themeColor="text1"/>
          <w:sz w:val="22"/>
          <w:szCs w:val="22"/>
        </w:rPr>
        <w:t xml:space="preserve"> </w:t>
      </w:r>
      <w:proofErr w:type="spellStart"/>
      <w:r w:rsidRPr="00CD2448">
        <w:rPr>
          <w:rFonts w:ascii="Arial" w:hAnsi="Arial" w:cs="Arial"/>
          <w:i/>
          <w:iCs/>
          <w:color w:val="000000" w:themeColor="text1"/>
          <w:sz w:val="22"/>
          <w:szCs w:val="22"/>
        </w:rPr>
        <w:t>BayesPrism</w:t>
      </w:r>
      <w:proofErr w:type="spellEnd"/>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ExcludeYear="1"&gt;&lt;Author&gt;Chu&lt;/Author&gt;&lt;Year&gt;2022&lt;/Year&gt;&lt;RecNum&gt;34&lt;/RecNum&gt;&lt;DisplayText&gt;[20]&lt;/DisplayText&gt;&lt;record&gt;&lt;rec-number&gt;34&lt;/rec-number&gt;&lt;foreign-keys&gt;&lt;key app="EN" db-id="dzsadpavbdaf27ef9zmxw006vzddp0epfpxa" timestamp="1759159643"&gt;34&lt;/key&gt;&lt;/foreign-keys&gt;&lt;ref-type name="Journal Article"&gt;17&lt;/ref-type&gt;&lt;contributors&gt;&lt;authors&gt;&lt;author&gt;Chu, Tinyi&lt;/author&gt;&lt;author&gt;Wang, Zhong&lt;/author&gt;&lt;author&gt;Pe’er, Dana&lt;/author&gt;&lt;author&gt;Danko, Charles G.&lt;/author&gt;&lt;/authors&gt;&lt;/contributors&gt;&lt;titles&gt;&lt;title&gt;Cell type and gene expression deconvolution with BayesPrism enables Bayesian integrative analysis across bulk and single-cell RNA sequencing in oncology&lt;/title&gt;&lt;secondary-title&gt;Nat Cancer&lt;/secondary-title&gt;&lt;alt-title&gt;Nat Cancer&lt;/alt-title&gt;&lt;/titles&gt;&lt;periodical&gt;&lt;full-title&gt;Nature Cancer&lt;/full-title&gt;&lt;abbr-1&gt;Nat Cancer&lt;/abbr-1&gt;&lt;/periodical&gt;&lt;alt-periodical&gt;&lt;full-title&gt;Nature Cancer&lt;/full-title&gt;&lt;abbr-1&gt;Nat Cancer&lt;/abbr-1&gt;&lt;/alt-periodical&gt;&lt;pages&gt;505-517&lt;/pages&gt;&lt;volume&gt;3&lt;/volume&gt;&lt;number&gt;4&lt;/number&gt;&lt;keywords&gt;&lt;keyword&gt;Bayes Theorem&lt;/keyword&gt;&lt;keyword&gt;Cancer&lt;/keyword&gt;&lt;keyword&gt;Cancer genomics&lt;/keyword&gt;&lt;keyword&gt;Endothelial Cells&lt;/keyword&gt;&lt;keyword&gt;Gene Expression&lt;/keyword&gt;&lt;keyword&gt;Head and Neck Neoplasms&lt;/keyword&gt;&lt;keyword&gt;Humans&lt;/keyword&gt;&lt;keyword&gt;Melanoma&lt;/keyword&gt;&lt;keyword&gt;Melanoma, Cutaneous Malignant&lt;/keyword&gt;&lt;keyword&gt;Sequence Analysis, RNA&lt;/keyword&gt;&lt;keyword&gt;Single-Cell Analysis&lt;/keyword&gt;&lt;keyword&gt;Skin Neoplasms&lt;/keyword&gt;&lt;keyword&gt;Statistical methods&lt;/keyword&gt;&lt;/keywords&gt;&lt;dates&gt;&lt;year&gt;2022&lt;/year&gt;&lt;pub-dates&gt;&lt;date&gt;2022/04//&lt;/date&gt;&lt;/pub-dates&gt;&lt;/dates&gt;&lt;isbn&gt;2662-1347&lt;/isbn&gt;&lt;urls&gt;&lt;related-urls&gt;&lt;url&gt;https://www.nature.com/articles/s43018-022-00356-3&lt;/url&gt;&lt;/related-urls&gt;&lt;/urls&gt;&lt;electronic-resource-num&gt;10.1038/s43018-022-00356-3&lt;/electronic-resource-num&gt;&lt;remote-database-provider&gt;www.nature.com&lt;/remote-database-provider&gt;&lt;language&gt;en&lt;/language&gt;&lt;access-date&gt;2025/03/09/15:09:16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[20]</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xml:space="preserve">: (1) cell types with &lt;30 cells </w:t>
      </w:r>
      <w:r w:rsidR="00D56268" w:rsidRPr="00CD2448">
        <w:rPr>
          <w:rFonts w:ascii="Arial" w:hAnsi="Arial" w:cs="Arial"/>
          <w:color w:val="000000" w:themeColor="text1"/>
          <w:sz w:val="22"/>
          <w:szCs w:val="22"/>
        </w:rPr>
        <w:t xml:space="preserve">were excluded; </w:t>
      </w:r>
      <w:r w:rsidRPr="00CD2448">
        <w:rPr>
          <w:rFonts w:ascii="Arial" w:hAnsi="Arial" w:cs="Arial"/>
          <w:color w:val="000000" w:themeColor="text1"/>
          <w:sz w:val="22"/>
          <w:szCs w:val="22"/>
        </w:rPr>
        <w:t xml:space="preserve">(2) ribosomal/mitochondrial gene groups were excluded, as well as genes expressed in fewer than </w:t>
      </w:r>
      <w:r w:rsidR="00D56268" w:rsidRPr="00CD2448">
        <w:rPr>
          <w:rFonts w:ascii="Arial" w:hAnsi="Arial" w:cs="Arial"/>
          <w:color w:val="000000" w:themeColor="text1"/>
          <w:sz w:val="22"/>
          <w:szCs w:val="22"/>
        </w:rPr>
        <w:t>five</w:t>
      </w:r>
      <w:r w:rsidRPr="00CD2448">
        <w:rPr>
          <w:rFonts w:ascii="Arial" w:hAnsi="Arial" w:cs="Arial"/>
          <w:color w:val="000000" w:themeColor="text1"/>
          <w:sz w:val="22"/>
          <w:szCs w:val="22"/>
        </w:rPr>
        <w:t xml:space="preserve"> cells</w:t>
      </w:r>
      <w:r w:rsidR="00D56268"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(3) deconvolution was performed using </w:t>
      </w:r>
      <w:r w:rsidR="009F37E7" w:rsidRPr="00CD2448">
        <w:rPr>
          <w:rFonts w:ascii="Arial" w:hAnsi="Arial" w:cs="Arial"/>
          <w:color w:val="000000" w:themeColor="text1"/>
          <w:sz w:val="22"/>
          <w:szCs w:val="22"/>
        </w:rPr>
        <w:t xml:space="preserve">only </w:t>
      </w:r>
      <w:r w:rsidRPr="00CD2448">
        <w:rPr>
          <w:rFonts w:ascii="Arial" w:hAnsi="Arial" w:cs="Arial"/>
          <w:color w:val="000000" w:themeColor="text1"/>
          <w:sz w:val="22"/>
          <w:szCs w:val="22"/>
        </w:rPr>
        <w:t>protein coding genes</w:t>
      </w:r>
      <w:r w:rsidR="009F37E7" w:rsidRPr="00CD2448">
        <w:rPr>
          <w:rFonts w:ascii="Arial" w:hAnsi="Arial" w:cs="Arial"/>
          <w:color w:val="000000" w:themeColor="text1"/>
          <w:sz w:val="22"/>
          <w:szCs w:val="22"/>
        </w:rPr>
        <w:t xml:space="preserve"> from</w:t>
      </w:r>
      <w:r w:rsidRPr="00CD2448">
        <w:rPr>
          <w:rFonts w:ascii="Arial" w:hAnsi="Arial" w:cs="Arial"/>
          <w:color w:val="000000" w:themeColor="text1"/>
          <w:sz w:val="22"/>
          <w:szCs w:val="22"/>
        </w:rPr>
        <w:t xml:space="preserve"> the reference, to reduce batch effects</w:t>
      </w:r>
      <w:r w:rsidR="00E87701" w:rsidRPr="00CD2448">
        <w:rPr>
          <w:rFonts w:ascii="Arial" w:hAnsi="Arial" w:cs="Arial"/>
          <w:color w:val="000000" w:themeColor="text1"/>
          <w:sz w:val="22"/>
          <w:szCs w:val="22"/>
        </w:rPr>
        <w:t>; and</w:t>
      </w:r>
      <w:r w:rsidRPr="00CD2448">
        <w:rPr>
          <w:rFonts w:ascii="Arial" w:hAnsi="Arial" w:cs="Arial"/>
          <w:color w:val="000000" w:themeColor="text1"/>
          <w:sz w:val="22"/>
          <w:szCs w:val="22"/>
        </w:rPr>
        <w:t xml:space="preserve"> (4) default settings </w:t>
      </w:r>
      <w:r w:rsidR="00624226" w:rsidRPr="00CD2448">
        <w:rPr>
          <w:rFonts w:ascii="Arial" w:hAnsi="Arial" w:cs="Arial"/>
          <w:color w:val="000000" w:themeColor="text1"/>
          <w:sz w:val="22"/>
          <w:szCs w:val="22"/>
        </w:rPr>
        <w:t xml:space="preserve">were used </w:t>
      </w:r>
      <w:r w:rsidRPr="00CD2448">
        <w:rPr>
          <w:rFonts w:ascii="Arial" w:hAnsi="Arial" w:cs="Arial"/>
          <w:color w:val="000000" w:themeColor="text1"/>
          <w:sz w:val="22"/>
          <w:szCs w:val="22"/>
        </w:rPr>
        <w:t xml:space="preserve">for </w:t>
      </w:r>
      <w:proofErr w:type="spellStart"/>
      <w:r w:rsidRPr="00CD2448">
        <w:rPr>
          <w:rFonts w:ascii="Arial" w:hAnsi="Arial" w:cs="Arial"/>
          <w:color w:val="000000" w:themeColor="text1"/>
          <w:sz w:val="22"/>
          <w:szCs w:val="22"/>
        </w:rPr>
        <w:t>gibbs</w:t>
      </w:r>
      <w:proofErr w:type="spellEnd"/>
      <w:r w:rsidRPr="00CD2448">
        <w:rPr>
          <w:rFonts w:ascii="Arial" w:hAnsi="Arial" w:cs="Arial"/>
          <w:color w:val="000000" w:themeColor="text1"/>
          <w:sz w:val="22"/>
          <w:szCs w:val="22"/>
        </w:rPr>
        <w:t xml:space="preserve"> sampling and outlier removal. Subsequent cell type-specific differential expression analysis was conducted using Dream</w:t>
      </w:r>
      <w:r w:rsidR="00EB58C0" w:rsidRPr="00CD2448">
        <w:rPr>
          <w:rFonts w:ascii="Arial" w:hAnsi="Arial" w:cs="Arial"/>
          <w:color w:val="000000" w:themeColor="text1"/>
          <w:sz w:val="22"/>
          <w:szCs w:val="22"/>
        </w:rPr>
        <w:t xml:space="preserve"> </w:t>
      </w:r>
      <w:r w:rsidR="009104AC"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ExcludeYear="1"&gt;&lt;Author&gt;Hoffman&lt;/Author&gt;&lt;Year&gt;2021&lt;/Year&gt;&lt;RecNum&gt;26&lt;/RecNum&gt;&lt;DisplayText&gt;[6]&lt;/DisplayText&gt;&lt;record&gt;&lt;rec-number&gt;26&lt;/rec-number&gt;&lt;foreign-keys&gt;&lt;key app="EN" db-id="dzsadpavbdaf27ef9zmxw006vzddp0epfpxa" timestamp="1759159643"&gt;26&lt;/key&gt;&lt;/foreign-keys&gt;&lt;ref-type name="Journal Article"&gt;17&lt;/ref-type&gt;&lt;contributors&gt;&lt;authors&gt;&lt;author&gt;Hoffman, Gabriel E&lt;/author&gt;&lt;author&gt;Roussos, Panos&lt;/author&gt;&lt;/authors&gt;&lt;/contributors&gt;&lt;titles&gt;&lt;title&gt;Dream: powerful differential expression analysis for repeated measures designs&lt;/title&gt;&lt;secondary-title&gt;Bioinformatics&lt;/secondary-title&gt;&lt;/titles&gt;&lt;periodical&gt;&lt;full-title&gt;Bioinformatics&lt;/full-title&gt;&lt;/periodical&gt;&lt;pages&gt;192-201&lt;/pages&gt;&lt;volume&gt;37&lt;/volume&gt;&lt;number&gt;2&lt;/number&gt;&lt;dates&gt;&lt;year&gt;2021&lt;/year&gt;&lt;/dates&gt;&lt;isbn&gt;1367-4803&lt;/isbn&gt;&lt;urls&gt;&lt;related-urls&gt;&lt;url&gt;https://academic.oup.com/bioinformatics/article/37/2/192/5878955&lt;/url&gt;&lt;/related-urls&gt;&lt;/urls&gt;&lt;electronic-resource-num&gt;10.1093/bioinformatics/btaa687&lt;/electronic-resource-num&gt;&lt;/record&gt;&lt;/Cite&gt;&lt;/EndNote&gt;</w:instrText>
      </w:r>
      <w:r w:rsidR="009104AC"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[6]</w:t>
      </w:r>
      <w:r w:rsidR="009104AC" w:rsidRPr="00CD2448">
        <w:rPr>
          <w:rFonts w:ascii="Arial" w:eastAsiaTheme="minorHAnsi" w:hAnsi="Arial" w:cs="Arial"/>
          <w:color w:val="000000" w:themeColor="text1"/>
          <w:sz w:val="22"/>
          <w:szCs w:val="22"/>
          <w14:ligatures w14:val="standardContextual"/>
        </w:rPr>
        <w:fldChar w:fldCharType="end"/>
      </w:r>
      <w:r w:rsidRPr="00CD2448">
        <w:rPr>
          <w:rFonts w:ascii="Arial" w:hAnsi="Arial" w:cs="Arial"/>
          <w:color w:val="000000" w:themeColor="text1"/>
          <w:sz w:val="22"/>
          <w:szCs w:val="22"/>
        </w:rPr>
        <w:t>. As with the original whole blood analysis, final differential expression models incorporated contrasts of interest (</w:t>
      </w:r>
      <w:r w:rsidR="00F40807" w:rsidRPr="00CD2448">
        <w:rPr>
          <w:rFonts w:ascii="Arial" w:hAnsi="Arial" w:cs="Arial"/>
          <w:color w:val="000000" w:themeColor="text1"/>
          <w:sz w:val="22"/>
          <w:szCs w:val="22"/>
        </w:rPr>
        <w:t>response was defined as &gt;50% MADRS reduction at Day 1 and its interaction across pre- and post-ketamine timepoints</w:t>
      </w:r>
      <w:r w:rsidRPr="00CD2448">
        <w:rPr>
          <w:rFonts w:ascii="Arial" w:hAnsi="Arial" w:cs="Arial"/>
          <w:color w:val="000000" w:themeColor="text1"/>
          <w:sz w:val="22"/>
          <w:szCs w:val="22"/>
        </w:rPr>
        <w:t xml:space="preserve">), while controlling for technical and biological covariates including RIN, </w:t>
      </w:r>
      <w:r w:rsidR="00681A7F" w:rsidRPr="00CD2448">
        <w:rPr>
          <w:rFonts w:ascii="Arial" w:hAnsi="Arial" w:cs="Arial"/>
          <w:color w:val="000000" w:themeColor="text1"/>
          <w:sz w:val="22"/>
          <w:szCs w:val="22"/>
        </w:rPr>
        <w:t>sex</w:t>
      </w:r>
      <w:r w:rsidRPr="00CD2448">
        <w:rPr>
          <w:rFonts w:ascii="Arial" w:hAnsi="Arial" w:cs="Arial"/>
          <w:color w:val="000000" w:themeColor="text1"/>
          <w:sz w:val="22"/>
          <w:szCs w:val="22"/>
        </w:rPr>
        <w:t xml:space="preserve">, </w:t>
      </w:r>
      <w:r w:rsidR="00681A7F" w:rsidRPr="00CD2448">
        <w:rPr>
          <w:rFonts w:ascii="Arial" w:hAnsi="Arial" w:cs="Arial"/>
          <w:color w:val="000000" w:themeColor="text1"/>
          <w:sz w:val="22"/>
          <w:szCs w:val="22"/>
        </w:rPr>
        <w:t>r</w:t>
      </w:r>
      <w:r w:rsidRPr="00CD2448">
        <w:rPr>
          <w:rFonts w:ascii="Arial" w:hAnsi="Arial" w:cs="Arial"/>
          <w:color w:val="000000" w:themeColor="text1"/>
          <w:sz w:val="22"/>
          <w:szCs w:val="22"/>
        </w:rPr>
        <w:t xml:space="preserve">ace (self-identified), and participant as a random effect.  </w:t>
      </w:r>
    </w:p>
    <w:p w14:paraId="3EA141D7" w14:textId="77777777" w:rsidR="00D03530" w:rsidRPr="00CD2448" w:rsidRDefault="00D03530" w:rsidP="00415257">
      <w:pPr>
        <w:rPr>
          <w:rFonts w:ascii="Arial" w:hAnsi="Arial" w:cs="Arial"/>
          <w:color w:val="000000" w:themeColor="text1"/>
          <w:sz w:val="22"/>
          <w:szCs w:val="22"/>
          <w:shd w:val="clear" w:color="auto" w:fill="FFFFFF"/>
        </w:rPr>
      </w:pPr>
    </w:p>
    <w:p w14:paraId="4B67B217" w14:textId="77777777" w:rsidR="00D03530" w:rsidRPr="00CD2448" w:rsidRDefault="00D03530" w:rsidP="00415257">
      <w:pPr>
        <w:rPr>
          <w:rFonts w:ascii="Arial" w:hAnsi="Arial" w:cs="Arial"/>
          <w:i/>
          <w:iCs/>
          <w:color w:val="000000" w:themeColor="text1"/>
          <w:sz w:val="22"/>
          <w:szCs w:val="22"/>
        </w:rPr>
      </w:pPr>
      <w:r w:rsidRPr="00CD2448">
        <w:rPr>
          <w:rFonts w:ascii="Arial" w:hAnsi="Arial" w:cs="Arial"/>
          <w:i/>
          <w:iCs/>
          <w:color w:val="000000" w:themeColor="text1"/>
          <w:sz w:val="22"/>
          <w:szCs w:val="22"/>
        </w:rPr>
        <w:t>Plasma Cytokine Immunoassays</w:t>
      </w:r>
    </w:p>
    <w:p w14:paraId="7001A166" w14:textId="3603933C" w:rsidR="00537DB8" w:rsidRPr="00CD2448" w:rsidRDefault="00CC1105" w:rsidP="00415257">
      <w:pPr>
        <w:rPr>
          <w:rFonts w:ascii="Arial" w:hAnsi="Arial" w:cs="Arial"/>
          <w:color w:val="000000" w:themeColor="text1"/>
          <w:sz w:val="22"/>
          <w:szCs w:val="22"/>
          <w:shd w:val="clear" w:color="auto" w:fill="FFFFFF"/>
        </w:rPr>
      </w:pPr>
      <w:r w:rsidRPr="00CD2448">
        <w:rPr>
          <w:rFonts w:ascii="Arial" w:hAnsi="Arial" w:cs="Arial"/>
          <w:color w:val="000000" w:themeColor="text1"/>
          <w:sz w:val="22"/>
          <w:szCs w:val="22"/>
        </w:rPr>
        <w:tab/>
      </w:r>
      <w:r w:rsidR="00D03530" w:rsidRPr="00CD2448">
        <w:rPr>
          <w:rFonts w:ascii="Arial" w:hAnsi="Arial" w:cs="Arial"/>
          <w:color w:val="000000" w:themeColor="text1"/>
          <w:sz w:val="22"/>
          <w:szCs w:val="22"/>
        </w:rPr>
        <w:t>Plas</w:t>
      </w:r>
      <w:r w:rsidR="009F37E7" w:rsidRPr="00CD2448">
        <w:rPr>
          <w:rFonts w:ascii="Arial" w:hAnsi="Arial" w:cs="Arial"/>
          <w:color w:val="000000" w:themeColor="text1"/>
          <w:sz w:val="22"/>
          <w:szCs w:val="22"/>
        </w:rPr>
        <w:t>ma cytokine protein levels were quantitated by</w:t>
      </w:r>
      <w:r w:rsidR="00D03530" w:rsidRPr="00CD2448">
        <w:rPr>
          <w:rFonts w:ascii="Arial" w:hAnsi="Arial" w:cs="Arial"/>
          <w:color w:val="000000" w:themeColor="text1"/>
          <w:sz w:val="22"/>
          <w:szCs w:val="22"/>
        </w:rPr>
        <w:t xml:space="preserve"> </w:t>
      </w:r>
      <w:r w:rsidR="00D03530" w:rsidRPr="00CD2448">
        <w:rPr>
          <w:rFonts w:ascii="Arial" w:hAnsi="Arial" w:cs="Arial"/>
          <w:color w:val="000000" w:themeColor="text1"/>
          <w:sz w:val="22"/>
          <w:szCs w:val="22"/>
          <w:shd w:val="clear" w:color="auto" w:fill="FFFFFF"/>
        </w:rPr>
        <w:t>m</w:t>
      </w:r>
      <w:r w:rsidR="00D03530" w:rsidRPr="00CD2448">
        <w:rPr>
          <w:rFonts w:ascii="Arial" w:hAnsi="Arial" w:cs="Arial"/>
          <w:color w:val="000000" w:themeColor="text1"/>
          <w:sz w:val="22"/>
          <w:szCs w:val="22"/>
        </w:rPr>
        <w:t>ultiplex immunoassay (Bio-Rad’s Bio-Plex Pro Human Cytokine 27-plex Assay #M500KCAF0Y)</w:t>
      </w:r>
      <w:r w:rsidR="00D03530" w:rsidRPr="00CD2448">
        <w:rPr>
          <w:rFonts w:ascii="Arial" w:hAnsi="Arial" w:cs="Arial"/>
          <w:color w:val="000000" w:themeColor="text1"/>
          <w:sz w:val="22"/>
          <w:szCs w:val="22"/>
          <w:shd w:val="clear" w:color="auto" w:fill="FFFFFF"/>
        </w:rPr>
        <w:t xml:space="preserve">. Plasma samples were obtained at baseline, four hours, </w:t>
      </w:r>
      <w:r w:rsidR="002A08AC" w:rsidRPr="00CD2448">
        <w:rPr>
          <w:rFonts w:ascii="Arial" w:hAnsi="Arial" w:cs="Arial"/>
          <w:color w:val="000000" w:themeColor="text1"/>
          <w:sz w:val="22"/>
          <w:szCs w:val="22"/>
          <w:shd w:val="clear" w:color="auto" w:fill="FFFFFF"/>
        </w:rPr>
        <w:t>one</w:t>
      </w:r>
      <w:r w:rsidR="00D03530" w:rsidRPr="00CD2448">
        <w:rPr>
          <w:rFonts w:ascii="Arial" w:hAnsi="Arial" w:cs="Arial"/>
          <w:color w:val="000000" w:themeColor="text1"/>
          <w:sz w:val="22"/>
          <w:szCs w:val="22"/>
          <w:shd w:val="clear" w:color="auto" w:fill="FFFFFF"/>
        </w:rPr>
        <w:t xml:space="preserve"> day</w:t>
      </w:r>
      <w:r w:rsidR="002A08AC" w:rsidRPr="00CD2448">
        <w:rPr>
          <w:rFonts w:ascii="Arial" w:hAnsi="Arial" w:cs="Arial"/>
          <w:color w:val="000000" w:themeColor="text1"/>
          <w:sz w:val="22"/>
          <w:szCs w:val="22"/>
          <w:shd w:val="clear" w:color="auto" w:fill="FFFFFF"/>
        </w:rPr>
        <w:t>,</w:t>
      </w:r>
      <w:r w:rsidR="00D03530" w:rsidRPr="00CD2448">
        <w:rPr>
          <w:rFonts w:ascii="Arial" w:hAnsi="Arial" w:cs="Arial"/>
          <w:color w:val="000000" w:themeColor="text1"/>
          <w:sz w:val="22"/>
          <w:szCs w:val="22"/>
          <w:shd w:val="clear" w:color="auto" w:fill="FFFFFF"/>
        </w:rPr>
        <w:t xml:space="preserve"> and </w:t>
      </w:r>
      <w:r w:rsidR="002A08AC" w:rsidRPr="00CD2448">
        <w:rPr>
          <w:rFonts w:ascii="Arial" w:hAnsi="Arial" w:cs="Arial"/>
          <w:color w:val="000000" w:themeColor="text1"/>
          <w:sz w:val="22"/>
          <w:szCs w:val="22"/>
          <w:shd w:val="clear" w:color="auto" w:fill="FFFFFF"/>
        </w:rPr>
        <w:t>three</w:t>
      </w:r>
      <w:r w:rsidR="00D03530" w:rsidRPr="00CD2448">
        <w:rPr>
          <w:rFonts w:ascii="Arial" w:hAnsi="Arial" w:cs="Arial"/>
          <w:color w:val="000000" w:themeColor="text1"/>
          <w:sz w:val="22"/>
          <w:szCs w:val="22"/>
          <w:shd w:val="clear" w:color="auto" w:fill="FFFFFF"/>
        </w:rPr>
        <w:t xml:space="preserve"> days after each infusion. </w:t>
      </w:r>
      <w:bookmarkStart w:id="8" w:name="OLE_LINK3"/>
      <w:r w:rsidR="00BA4E46" w:rsidRPr="00CD2448">
        <w:rPr>
          <w:rFonts w:ascii="Arial" w:hAnsi="Arial" w:cs="Arial"/>
          <w:color w:val="000000" w:themeColor="text1"/>
          <w:sz w:val="22"/>
          <w:szCs w:val="22"/>
          <w:shd w:val="clear" w:color="auto" w:fill="FFFFFF"/>
        </w:rPr>
        <w:t>Cytokine assays were performed in duplicate</w:t>
      </w:r>
      <w:r w:rsidR="008146BE" w:rsidRPr="00CD2448">
        <w:rPr>
          <w:rFonts w:ascii="Arial" w:hAnsi="Arial" w:cs="Arial"/>
          <w:color w:val="000000" w:themeColor="text1"/>
          <w:sz w:val="22"/>
          <w:szCs w:val="22"/>
          <w:shd w:val="clear" w:color="auto" w:fill="FFFFFF"/>
        </w:rPr>
        <w:t xml:space="preserve">, </w:t>
      </w:r>
      <w:r w:rsidR="009D7ECE" w:rsidRPr="00CD2448">
        <w:rPr>
          <w:rFonts w:ascii="Arial" w:hAnsi="Arial" w:cs="Arial"/>
          <w:color w:val="000000" w:themeColor="text1"/>
          <w:sz w:val="22"/>
          <w:szCs w:val="22"/>
          <w:shd w:val="clear" w:color="auto" w:fill="FFFFFF"/>
        </w:rPr>
        <w:t>deidentified</w:t>
      </w:r>
      <w:r w:rsidR="008146BE" w:rsidRPr="00CD2448">
        <w:rPr>
          <w:rFonts w:ascii="Arial" w:hAnsi="Arial" w:cs="Arial"/>
          <w:color w:val="000000" w:themeColor="text1"/>
          <w:sz w:val="22"/>
          <w:szCs w:val="22"/>
          <w:shd w:val="clear" w:color="auto" w:fill="FFFFFF"/>
        </w:rPr>
        <w:t>, and randomly distributed across plates. T</w:t>
      </w:r>
      <w:r w:rsidR="001E4C64" w:rsidRPr="00CD2448">
        <w:rPr>
          <w:rFonts w:ascii="Arial" w:hAnsi="Arial" w:cs="Arial"/>
          <w:color w:val="000000" w:themeColor="text1"/>
          <w:sz w:val="22"/>
          <w:szCs w:val="22"/>
          <w:shd w:val="clear" w:color="auto" w:fill="FFFFFF"/>
        </w:rPr>
        <w:t>he t</w:t>
      </w:r>
      <w:r w:rsidR="008146BE" w:rsidRPr="00CD2448">
        <w:rPr>
          <w:rFonts w:ascii="Arial" w:hAnsi="Arial" w:cs="Arial"/>
          <w:color w:val="000000" w:themeColor="text1"/>
          <w:sz w:val="22"/>
          <w:szCs w:val="22"/>
          <w:shd w:val="clear" w:color="auto" w:fill="FFFFFF"/>
        </w:rPr>
        <w:t xml:space="preserve">echnician was </w:t>
      </w:r>
      <w:r w:rsidR="00BA4E46" w:rsidRPr="00CD2448">
        <w:rPr>
          <w:rFonts w:ascii="Arial" w:hAnsi="Arial" w:cs="Arial"/>
          <w:color w:val="000000" w:themeColor="text1"/>
          <w:sz w:val="22"/>
          <w:szCs w:val="22"/>
          <w:shd w:val="clear" w:color="auto" w:fill="FFFFFF"/>
        </w:rPr>
        <w:t>blind</w:t>
      </w:r>
      <w:r w:rsidR="008146BE" w:rsidRPr="00CD2448">
        <w:rPr>
          <w:rFonts w:ascii="Arial" w:hAnsi="Arial" w:cs="Arial"/>
          <w:color w:val="000000" w:themeColor="text1"/>
          <w:sz w:val="22"/>
          <w:szCs w:val="22"/>
          <w:shd w:val="clear" w:color="auto" w:fill="FFFFFF"/>
        </w:rPr>
        <w:t>ed</w:t>
      </w:r>
      <w:r w:rsidR="00BA4E46" w:rsidRPr="00CD2448">
        <w:rPr>
          <w:rFonts w:ascii="Arial" w:hAnsi="Arial" w:cs="Arial"/>
          <w:color w:val="000000" w:themeColor="text1"/>
          <w:sz w:val="22"/>
          <w:szCs w:val="22"/>
          <w:shd w:val="clear" w:color="auto" w:fill="FFFFFF"/>
        </w:rPr>
        <w:t xml:space="preserve"> to clinical information and treatment allocation.</w:t>
      </w:r>
      <w:r w:rsidR="0065790B" w:rsidRPr="00CD2448">
        <w:rPr>
          <w:rFonts w:ascii="Arial" w:hAnsi="Arial" w:cs="Arial"/>
          <w:color w:val="000000" w:themeColor="text1"/>
          <w:sz w:val="22"/>
          <w:szCs w:val="22"/>
          <w:shd w:val="clear" w:color="auto" w:fill="FFFFFF"/>
        </w:rPr>
        <w:t xml:space="preserve"> </w:t>
      </w:r>
      <w:r w:rsidR="007A7EB8" w:rsidRPr="00CD2448">
        <w:rPr>
          <w:rFonts w:ascii="Arial" w:hAnsi="Arial" w:cs="Arial"/>
          <w:color w:val="000000" w:themeColor="text1"/>
          <w:sz w:val="22"/>
          <w:szCs w:val="22"/>
          <w:shd w:val="clear" w:color="auto" w:fill="FFFFFF"/>
        </w:rPr>
        <w:t xml:space="preserve">Analytes included: </w:t>
      </w:r>
      <w:r w:rsidR="005104A0" w:rsidRPr="00CD2448">
        <w:rPr>
          <w:rFonts w:ascii="Arial" w:hAnsi="Arial" w:cs="Arial"/>
          <w:color w:val="000000" w:themeColor="text1"/>
          <w:sz w:val="22"/>
          <w:szCs w:val="22"/>
          <w:shd w:val="clear" w:color="auto" w:fill="FFFFFF"/>
        </w:rPr>
        <w:t>interleukin (</w:t>
      </w:r>
      <w:r w:rsidR="007A7EB8" w:rsidRPr="00CD2448">
        <w:rPr>
          <w:rFonts w:ascii="Arial" w:hAnsi="Arial" w:cs="Arial"/>
          <w:color w:val="000000" w:themeColor="text1"/>
          <w:sz w:val="22"/>
          <w:szCs w:val="22"/>
          <w:shd w:val="clear" w:color="auto" w:fill="FFFFFF"/>
        </w:rPr>
        <w:t>IL</w:t>
      </w:r>
      <w:r w:rsidR="005104A0"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-1b, IL-1ra, IL-2, IL-4, IL-5, IL-6, IL-7, IL-8, IL-9, </w:t>
      </w:r>
      <w:r w:rsidR="00BA4E46" w:rsidRPr="00CD2448">
        <w:rPr>
          <w:rFonts w:ascii="Arial" w:hAnsi="Arial" w:cs="Arial"/>
          <w:color w:val="000000" w:themeColor="text1"/>
          <w:sz w:val="22"/>
          <w:szCs w:val="22"/>
          <w:shd w:val="clear" w:color="auto" w:fill="FFFFFF"/>
        </w:rPr>
        <w:t xml:space="preserve"> </w:t>
      </w:r>
      <w:r w:rsidR="007A7EB8" w:rsidRPr="00CD2448">
        <w:rPr>
          <w:rFonts w:ascii="Arial" w:hAnsi="Arial" w:cs="Arial"/>
          <w:color w:val="000000" w:themeColor="text1"/>
          <w:sz w:val="22"/>
          <w:szCs w:val="22"/>
          <w:shd w:val="clear" w:color="auto" w:fill="FFFFFF"/>
        </w:rPr>
        <w:t xml:space="preserve">IL-10, IL-12 (p70), IL-13, IL-15, IL-17A, Eotaxin, </w:t>
      </w:r>
      <w:r w:rsidR="008146BE" w:rsidRPr="00CD2448">
        <w:rPr>
          <w:rFonts w:ascii="Arial" w:hAnsi="Arial" w:cs="Arial"/>
          <w:color w:val="000000" w:themeColor="text1"/>
          <w:sz w:val="22"/>
          <w:szCs w:val="22"/>
          <w:shd w:val="clear" w:color="auto" w:fill="FFFFFF"/>
        </w:rPr>
        <w:t>fibroblast growth factor (</w:t>
      </w:r>
      <w:r w:rsidR="007A7EB8" w:rsidRPr="00CD2448">
        <w:rPr>
          <w:rFonts w:ascii="Arial" w:hAnsi="Arial" w:cs="Arial"/>
          <w:color w:val="000000" w:themeColor="text1"/>
          <w:sz w:val="22"/>
          <w:szCs w:val="22"/>
          <w:shd w:val="clear" w:color="auto" w:fill="FFFFFF"/>
        </w:rPr>
        <w:t>FGF</w:t>
      </w:r>
      <w:r w:rsidR="008146BE" w:rsidRPr="00CD2448">
        <w:rPr>
          <w:rFonts w:ascii="Arial" w:hAnsi="Arial" w:cs="Arial"/>
          <w:color w:val="000000" w:themeColor="text1"/>
          <w:sz w:val="22"/>
          <w:szCs w:val="22"/>
          <w:shd w:val="clear" w:color="auto" w:fill="FFFFFF"/>
        </w:rPr>
        <w:t>)-basic</w:t>
      </w:r>
      <w:r w:rsidR="007A7EB8" w:rsidRPr="00CD2448">
        <w:rPr>
          <w:rFonts w:ascii="Arial" w:hAnsi="Arial" w:cs="Arial"/>
          <w:color w:val="000000" w:themeColor="text1"/>
          <w:sz w:val="22"/>
          <w:szCs w:val="22"/>
          <w:shd w:val="clear" w:color="auto" w:fill="FFFFFF"/>
        </w:rPr>
        <w:t>,</w:t>
      </w:r>
      <w:r w:rsidR="008146BE" w:rsidRPr="00CD2448">
        <w:rPr>
          <w:rFonts w:ascii="Arial" w:hAnsi="Arial" w:cs="Arial"/>
          <w:color w:val="000000" w:themeColor="text1"/>
          <w:sz w:val="22"/>
          <w:szCs w:val="22"/>
          <w:shd w:val="clear" w:color="auto" w:fill="FFFFFF"/>
        </w:rPr>
        <w:t xml:space="preserve"> granulocyte colony-stimulating factor (</w:t>
      </w:r>
      <w:bookmarkStart w:id="9" w:name="OLE_LINK2"/>
      <w:r w:rsidR="007A7EB8" w:rsidRPr="00CD2448">
        <w:rPr>
          <w:rFonts w:ascii="Arial" w:hAnsi="Arial" w:cs="Arial"/>
          <w:color w:val="000000" w:themeColor="text1"/>
          <w:sz w:val="22"/>
          <w:szCs w:val="22"/>
          <w:shd w:val="clear" w:color="auto" w:fill="FFFFFF"/>
        </w:rPr>
        <w:t>G-CSF</w:t>
      </w:r>
      <w:r w:rsidR="008146BE"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8146BE" w:rsidRPr="00CD2448">
        <w:rPr>
          <w:rFonts w:ascii="Arial" w:hAnsi="Arial" w:cs="Arial"/>
          <w:color w:val="000000" w:themeColor="text1"/>
          <w:sz w:val="22"/>
          <w:szCs w:val="22"/>
          <w:shd w:val="clear" w:color="auto" w:fill="FFFFFF"/>
        </w:rPr>
        <w:t>granulocyte-macrophage colony-stimulating factor (</w:t>
      </w:r>
      <w:r w:rsidR="007A7EB8" w:rsidRPr="00CD2448">
        <w:rPr>
          <w:rFonts w:ascii="Arial" w:hAnsi="Arial" w:cs="Arial"/>
          <w:color w:val="000000" w:themeColor="text1"/>
          <w:sz w:val="22"/>
          <w:szCs w:val="22"/>
          <w:shd w:val="clear" w:color="auto" w:fill="FFFFFF"/>
        </w:rPr>
        <w:t>GM-CSF</w:t>
      </w:r>
      <w:r w:rsidR="008146BE"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4A24E3" w:rsidRPr="00CD2448">
        <w:rPr>
          <w:rFonts w:ascii="Arial" w:hAnsi="Arial" w:cs="Arial"/>
          <w:color w:val="000000" w:themeColor="text1"/>
          <w:sz w:val="22"/>
          <w:szCs w:val="22"/>
        </w:rPr>
        <w:t>interferon gamma (IFN-γ</w:t>
      </w:r>
      <w:r w:rsidR="004A24E3"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w:t>
      </w:r>
      <w:r w:rsidR="008146BE" w:rsidRPr="00CD2448">
        <w:rPr>
          <w:rFonts w:ascii="Arial" w:hAnsi="Arial" w:cs="Arial"/>
          <w:color w:val="000000" w:themeColor="text1"/>
          <w:sz w:val="22"/>
          <w:szCs w:val="22"/>
          <w:shd w:val="clear" w:color="auto" w:fill="FFFFFF"/>
        </w:rPr>
        <w:t xml:space="preserve"> interferon gamma-induced protein 10 (</w:t>
      </w:r>
      <w:r w:rsidR="007A7EB8" w:rsidRPr="00CD2448">
        <w:rPr>
          <w:rFonts w:ascii="Arial" w:hAnsi="Arial" w:cs="Arial"/>
          <w:color w:val="000000" w:themeColor="text1"/>
          <w:sz w:val="22"/>
          <w:szCs w:val="22"/>
          <w:shd w:val="clear" w:color="auto" w:fill="FFFFFF"/>
        </w:rPr>
        <w:t>IP-10</w:t>
      </w:r>
      <w:r w:rsidR="008146BE" w:rsidRPr="00CD2448">
        <w:rPr>
          <w:rFonts w:ascii="Arial" w:hAnsi="Arial" w:cs="Arial"/>
          <w:color w:val="000000" w:themeColor="text1"/>
          <w:sz w:val="22"/>
          <w:szCs w:val="22"/>
          <w:shd w:val="clear" w:color="auto" w:fill="FFFFFF"/>
        </w:rPr>
        <w:t>/CXCL10)</w:t>
      </w:r>
      <w:r w:rsidR="007A7EB8" w:rsidRPr="00CD2448">
        <w:rPr>
          <w:rFonts w:ascii="Arial" w:hAnsi="Arial" w:cs="Arial"/>
          <w:color w:val="000000" w:themeColor="text1"/>
          <w:sz w:val="22"/>
          <w:szCs w:val="22"/>
          <w:shd w:val="clear" w:color="auto" w:fill="FFFFFF"/>
        </w:rPr>
        <w:t xml:space="preserve">, </w:t>
      </w:r>
      <w:r w:rsidR="00851850" w:rsidRPr="00CD2448">
        <w:rPr>
          <w:rFonts w:ascii="Arial" w:hAnsi="Arial" w:cs="Arial"/>
          <w:color w:val="000000" w:themeColor="text1"/>
          <w:sz w:val="22"/>
          <w:szCs w:val="22"/>
        </w:rPr>
        <w:t>monocyte chemoattractant protein-1 (</w:t>
      </w:r>
      <w:r w:rsidR="007A7EB8" w:rsidRPr="00CD2448">
        <w:rPr>
          <w:rFonts w:ascii="Arial" w:hAnsi="Arial" w:cs="Arial"/>
          <w:color w:val="000000" w:themeColor="text1"/>
          <w:sz w:val="22"/>
          <w:szCs w:val="22"/>
          <w:shd w:val="clear" w:color="auto" w:fill="FFFFFF"/>
        </w:rPr>
        <w:t>MCP-1</w:t>
      </w:r>
      <w:r w:rsidR="00851850"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8146BE" w:rsidRPr="00CD2448">
        <w:rPr>
          <w:rFonts w:ascii="Arial" w:hAnsi="Arial" w:cs="Arial"/>
          <w:color w:val="000000" w:themeColor="text1"/>
          <w:sz w:val="22"/>
          <w:szCs w:val="22"/>
          <w:shd w:val="clear" w:color="auto" w:fill="FFFFFF"/>
        </w:rPr>
        <w:t>macrophage inflammatory protein-1 alpha (</w:t>
      </w:r>
      <w:r w:rsidR="007A7EB8" w:rsidRPr="00CD2448">
        <w:rPr>
          <w:rFonts w:ascii="Arial" w:hAnsi="Arial" w:cs="Arial"/>
          <w:color w:val="000000" w:themeColor="text1"/>
          <w:sz w:val="22"/>
          <w:szCs w:val="22"/>
          <w:shd w:val="clear" w:color="auto" w:fill="FFFFFF"/>
        </w:rPr>
        <w:t>MIP-1a</w:t>
      </w:r>
      <w:r w:rsidR="008146BE" w:rsidRPr="00CD2448">
        <w:rPr>
          <w:rFonts w:ascii="Arial" w:hAnsi="Arial" w:cs="Arial"/>
          <w:color w:val="000000" w:themeColor="text1"/>
          <w:sz w:val="22"/>
          <w:szCs w:val="22"/>
          <w:shd w:val="clear" w:color="auto" w:fill="FFFFFF"/>
        </w:rPr>
        <w:t>), platelet-derived growth factor-BB(</w:t>
      </w:r>
      <w:r w:rsidR="007A7EB8" w:rsidRPr="00CD2448">
        <w:rPr>
          <w:rFonts w:ascii="Arial" w:hAnsi="Arial" w:cs="Arial"/>
          <w:color w:val="000000" w:themeColor="text1"/>
          <w:sz w:val="22"/>
          <w:szCs w:val="22"/>
          <w:shd w:val="clear" w:color="auto" w:fill="FFFFFF"/>
        </w:rPr>
        <w:t>PDGF-BB</w:t>
      </w:r>
      <w:r w:rsidR="008146BE"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C86554" w:rsidRPr="00CD2448">
        <w:rPr>
          <w:rFonts w:ascii="Arial" w:hAnsi="Arial" w:cs="Arial"/>
          <w:color w:val="000000" w:themeColor="text1"/>
          <w:sz w:val="22"/>
          <w:szCs w:val="22"/>
          <w:shd w:val="clear" w:color="auto" w:fill="FFFFFF"/>
        </w:rPr>
        <w:t>macrophage inflammatory protein-1 beta (</w:t>
      </w:r>
      <w:r w:rsidR="007A7EB8" w:rsidRPr="00CD2448">
        <w:rPr>
          <w:rFonts w:ascii="Arial" w:hAnsi="Arial" w:cs="Arial"/>
          <w:color w:val="000000" w:themeColor="text1"/>
          <w:sz w:val="22"/>
          <w:szCs w:val="22"/>
          <w:shd w:val="clear" w:color="auto" w:fill="FFFFFF"/>
        </w:rPr>
        <w:t>MIP-1b</w:t>
      </w:r>
      <w:r w:rsidR="00C86554"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C86554" w:rsidRPr="00CD2448">
        <w:rPr>
          <w:rFonts w:ascii="Arial" w:hAnsi="Arial" w:cs="Arial"/>
          <w:color w:val="000000" w:themeColor="text1"/>
          <w:sz w:val="22"/>
          <w:szCs w:val="22"/>
          <w:shd w:val="clear" w:color="auto" w:fill="FFFFFF"/>
        </w:rPr>
        <w:t xml:space="preserve">regulated upon activation, normal </w:t>
      </w:r>
      <w:r w:rsidR="00816BFA" w:rsidRPr="00CD2448">
        <w:rPr>
          <w:rFonts w:ascii="Arial" w:hAnsi="Arial" w:cs="Arial"/>
          <w:color w:val="000000" w:themeColor="text1"/>
          <w:sz w:val="22"/>
          <w:szCs w:val="22"/>
          <w:shd w:val="clear" w:color="auto" w:fill="FFFFFF"/>
        </w:rPr>
        <w:t>T-cell</w:t>
      </w:r>
      <w:r w:rsidR="00C86554" w:rsidRPr="00CD2448">
        <w:rPr>
          <w:rFonts w:ascii="Arial" w:hAnsi="Arial" w:cs="Arial"/>
          <w:color w:val="000000" w:themeColor="text1"/>
          <w:sz w:val="22"/>
          <w:szCs w:val="22"/>
          <w:shd w:val="clear" w:color="auto" w:fill="FFFFFF"/>
        </w:rPr>
        <w:t xml:space="preserve"> expressed and secreted (</w:t>
      </w:r>
      <w:r w:rsidR="007A7EB8" w:rsidRPr="00CD2448">
        <w:rPr>
          <w:rFonts w:ascii="Arial" w:hAnsi="Arial" w:cs="Arial"/>
          <w:color w:val="000000" w:themeColor="text1"/>
          <w:sz w:val="22"/>
          <w:szCs w:val="22"/>
          <w:shd w:val="clear" w:color="auto" w:fill="FFFFFF"/>
        </w:rPr>
        <w:t>RANTES</w:t>
      </w:r>
      <w:bookmarkEnd w:id="9"/>
      <w:r w:rsidR="00C86554" w:rsidRPr="00CD2448">
        <w:rPr>
          <w:rFonts w:ascii="Arial" w:hAnsi="Arial" w:cs="Arial"/>
          <w:color w:val="000000" w:themeColor="text1"/>
          <w:sz w:val="22"/>
          <w:szCs w:val="22"/>
          <w:shd w:val="clear" w:color="auto" w:fill="FFFFFF"/>
        </w:rPr>
        <w:t>/CCL5)</w:t>
      </w:r>
      <w:r w:rsidR="007A7EB8" w:rsidRPr="00CD2448">
        <w:rPr>
          <w:rFonts w:ascii="Arial" w:hAnsi="Arial" w:cs="Arial"/>
          <w:color w:val="000000" w:themeColor="text1"/>
          <w:sz w:val="22"/>
          <w:szCs w:val="22"/>
          <w:shd w:val="clear" w:color="auto" w:fill="FFFFFF"/>
        </w:rPr>
        <w:t xml:space="preserve">, </w:t>
      </w:r>
      <w:r w:rsidR="009351E8" w:rsidRPr="00CD2448">
        <w:rPr>
          <w:rFonts w:ascii="Arial" w:hAnsi="Arial" w:cs="Arial"/>
          <w:color w:val="000000" w:themeColor="text1"/>
          <w:sz w:val="22"/>
          <w:szCs w:val="22"/>
          <w:shd w:val="clear" w:color="auto" w:fill="FFFFFF"/>
        </w:rPr>
        <w:t>tumor necrosis factor alpha (</w:t>
      </w:r>
      <w:r w:rsidR="007A7EB8" w:rsidRPr="00CD2448">
        <w:rPr>
          <w:rFonts w:ascii="Arial" w:hAnsi="Arial" w:cs="Arial"/>
          <w:color w:val="000000" w:themeColor="text1"/>
          <w:sz w:val="22"/>
          <w:szCs w:val="22"/>
          <w:shd w:val="clear" w:color="auto" w:fill="FFFFFF"/>
        </w:rPr>
        <w:t>TNF-a</w:t>
      </w:r>
      <w:r w:rsidR="009351E8"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 xml:space="preserve">, </w:t>
      </w:r>
      <w:r w:rsidR="009351E8" w:rsidRPr="00CD2448">
        <w:rPr>
          <w:rFonts w:ascii="Arial" w:hAnsi="Arial" w:cs="Arial"/>
          <w:color w:val="000000" w:themeColor="text1"/>
          <w:sz w:val="22"/>
          <w:szCs w:val="22"/>
          <w:shd w:val="clear" w:color="auto" w:fill="FFFFFF"/>
        </w:rPr>
        <w:t xml:space="preserve">and </w:t>
      </w:r>
      <w:r w:rsidR="001E19D1" w:rsidRPr="00CD2448">
        <w:rPr>
          <w:rFonts w:ascii="Arial" w:hAnsi="Arial" w:cs="Arial"/>
          <w:color w:val="000000" w:themeColor="text1"/>
          <w:sz w:val="22"/>
          <w:szCs w:val="22"/>
          <w:shd w:val="clear" w:color="auto" w:fill="FFFFFF"/>
        </w:rPr>
        <w:t>vascular endothelial growth factor-alpha (</w:t>
      </w:r>
      <w:r w:rsidR="007A7EB8" w:rsidRPr="00CD2448">
        <w:rPr>
          <w:rFonts w:ascii="Arial" w:hAnsi="Arial" w:cs="Arial"/>
          <w:color w:val="000000" w:themeColor="text1"/>
          <w:sz w:val="22"/>
          <w:szCs w:val="22"/>
          <w:shd w:val="clear" w:color="auto" w:fill="FFFFFF"/>
        </w:rPr>
        <w:t>VEGF-A</w:t>
      </w:r>
      <w:r w:rsidR="001E19D1" w:rsidRPr="00CD2448">
        <w:rPr>
          <w:rFonts w:ascii="Arial" w:hAnsi="Arial" w:cs="Arial"/>
          <w:color w:val="000000" w:themeColor="text1"/>
          <w:sz w:val="22"/>
          <w:szCs w:val="22"/>
          <w:shd w:val="clear" w:color="auto" w:fill="FFFFFF"/>
        </w:rPr>
        <w:t>)</w:t>
      </w:r>
      <w:r w:rsidR="007A7EB8" w:rsidRPr="00CD2448">
        <w:rPr>
          <w:rFonts w:ascii="Arial" w:hAnsi="Arial" w:cs="Arial"/>
          <w:color w:val="000000" w:themeColor="text1"/>
          <w:sz w:val="22"/>
          <w:szCs w:val="22"/>
          <w:shd w:val="clear" w:color="auto" w:fill="FFFFFF"/>
        </w:rPr>
        <w:t>.</w:t>
      </w:r>
      <w:bookmarkEnd w:id="8"/>
      <w:r w:rsidR="007A7EB8" w:rsidRPr="00CD2448">
        <w:rPr>
          <w:rFonts w:ascii="Arial" w:hAnsi="Arial" w:cs="Arial"/>
          <w:color w:val="000000" w:themeColor="text1"/>
          <w:sz w:val="22"/>
          <w:szCs w:val="22"/>
          <w:shd w:val="clear" w:color="auto" w:fill="FFFFFF"/>
        </w:rPr>
        <w:t xml:space="preserve"> </w:t>
      </w:r>
      <w:r w:rsidR="00107BB6" w:rsidRPr="00CD2448">
        <w:rPr>
          <w:rFonts w:ascii="Arial" w:hAnsi="Arial" w:cs="Arial"/>
          <w:color w:val="000000" w:themeColor="text1"/>
          <w:sz w:val="22"/>
          <w:szCs w:val="22"/>
          <w:shd w:val="clear" w:color="auto" w:fill="FFFFFF"/>
        </w:rPr>
        <w:t xml:space="preserve">Plasma samples </w:t>
      </w:r>
      <w:r w:rsidR="00D03530" w:rsidRPr="00CD2448">
        <w:rPr>
          <w:rFonts w:ascii="Arial" w:hAnsi="Arial" w:cs="Arial"/>
          <w:color w:val="000000" w:themeColor="text1"/>
          <w:sz w:val="22"/>
          <w:szCs w:val="22"/>
          <w:shd w:val="clear" w:color="auto" w:fill="FFFFFF"/>
        </w:rPr>
        <w:t xml:space="preserve">were diluted </w:t>
      </w:r>
      <w:r w:rsidR="00D03530" w:rsidRPr="00CD2448">
        <w:rPr>
          <w:rFonts w:ascii="Arial" w:hAnsi="Arial" w:cs="Arial"/>
          <w:color w:val="000000" w:themeColor="text1"/>
          <w:sz w:val="22"/>
          <w:szCs w:val="22"/>
        </w:rPr>
        <w:t>1:4 for multiplex cytokines in duplicate blind to clinical information.</w:t>
      </w:r>
      <w:r w:rsidR="00D03530" w:rsidRPr="00CD2448">
        <w:rPr>
          <w:rFonts w:ascii="Arial" w:hAnsi="Arial" w:cs="Arial"/>
          <w:color w:val="000000" w:themeColor="text1"/>
          <w:sz w:val="22"/>
          <w:szCs w:val="22"/>
          <w:shd w:val="clear" w:color="auto" w:fill="FFFFFF"/>
        </w:rPr>
        <w:t xml:space="preserve"> </w:t>
      </w:r>
      <w:r w:rsidR="00231014" w:rsidRPr="00CD2448">
        <w:rPr>
          <w:rFonts w:ascii="Arial" w:hAnsi="Arial" w:cs="Arial"/>
          <w:color w:val="000000" w:themeColor="text1"/>
          <w:sz w:val="22"/>
          <w:szCs w:val="22"/>
          <w:shd w:val="clear" w:color="auto" w:fill="FFFFFF"/>
        </w:rPr>
        <w:t xml:space="preserve">Levels </w:t>
      </w:r>
      <w:r w:rsidR="00D03530" w:rsidRPr="00CD2448">
        <w:rPr>
          <w:rFonts w:ascii="Arial" w:hAnsi="Arial" w:cs="Arial"/>
          <w:color w:val="000000" w:themeColor="text1"/>
          <w:sz w:val="22"/>
          <w:szCs w:val="22"/>
          <w:shd w:val="clear" w:color="auto" w:fill="FFFFFF"/>
        </w:rPr>
        <w:t xml:space="preserve">of all analytes were determined by reading with a Bio-Plex </w:t>
      </w:r>
      <w:proofErr w:type="spellStart"/>
      <w:r w:rsidR="00D03530" w:rsidRPr="00CD2448">
        <w:rPr>
          <w:rFonts w:ascii="Arial" w:hAnsi="Arial" w:cs="Arial"/>
          <w:color w:val="000000" w:themeColor="text1"/>
          <w:sz w:val="22"/>
          <w:szCs w:val="22"/>
          <w:shd w:val="clear" w:color="auto" w:fill="FFFFFF"/>
        </w:rPr>
        <w:t>Magpix</w:t>
      </w:r>
      <w:proofErr w:type="spellEnd"/>
      <w:r w:rsidR="00D03530" w:rsidRPr="00CD2448">
        <w:rPr>
          <w:rFonts w:ascii="Arial" w:hAnsi="Arial" w:cs="Arial"/>
          <w:color w:val="000000" w:themeColor="text1"/>
          <w:sz w:val="22"/>
          <w:szCs w:val="22"/>
          <w:shd w:val="clear" w:color="auto" w:fill="FFFFFF"/>
        </w:rPr>
        <w:t xml:space="preserve"> Multiplex Reader (Bio-Rad, CA). Concentration values were calculated automatically with Bio-Plex Manager MP Software by generating a five-parameter logistic (5-PL) curve-fit standard curve for each analyte</w:t>
      </w:r>
      <w:r w:rsidR="009B6C13" w:rsidRPr="00CD2448">
        <w:rPr>
          <w:rFonts w:ascii="Arial" w:hAnsi="Arial" w:cs="Arial"/>
          <w:color w:val="000000" w:themeColor="text1"/>
          <w:sz w:val="22"/>
          <w:szCs w:val="22"/>
          <w:shd w:val="clear" w:color="auto" w:fill="FFFFFF"/>
        </w:rPr>
        <w:t>.</w:t>
      </w:r>
      <w:r w:rsidR="00D03530" w:rsidRPr="00CD2448">
        <w:rPr>
          <w:rFonts w:ascii="Arial" w:hAnsi="Arial" w:cs="Arial"/>
          <w:color w:val="000000" w:themeColor="text1"/>
          <w:sz w:val="22"/>
          <w:szCs w:val="22"/>
          <w:shd w:val="clear" w:color="auto" w:fill="FFFFFF"/>
        </w:rPr>
        <w:t xml:space="preserve"> Cytokines with &gt;25% below limit of detection across samples</w:t>
      </w:r>
      <w:r w:rsidR="007A7EB8" w:rsidRPr="00CD2448">
        <w:rPr>
          <w:rFonts w:ascii="Arial" w:hAnsi="Arial" w:cs="Arial"/>
          <w:color w:val="000000" w:themeColor="text1"/>
          <w:sz w:val="22"/>
          <w:szCs w:val="22"/>
          <w:shd w:val="clear" w:color="auto" w:fill="FFFFFF"/>
        </w:rPr>
        <w:t xml:space="preserve"> </w:t>
      </w:r>
      <w:r w:rsidR="00D03530" w:rsidRPr="00CD2448">
        <w:rPr>
          <w:rFonts w:ascii="Arial" w:hAnsi="Arial" w:cs="Arial"/>
          <w:color w:val="000000" w:themeColor="text1"/>
          <w:sz w:val="22"/>
          <w:szCs w:val="22"/>
          <w:shd w:val="clear" w:color="auto" w:fill="FFFFFF"/>
        </w:rPr>
        <w:t>excluded from analyses.</w:t>
      </w:r>
      <w:r w:rsidR="007A7EB8" w:rsidRPr="00CD2448">
        <w:rPr>
          <w:rFonts w:ascii="Arial" w:hAnsi="Arial" w:cs="Arial"/>
          <w:color w:val="000000" w:themeColor="text1"/>
          <w:sz w:val="22"/>
          <w:szCs w:val="22"/>
          <w:shd w:val="clear" w:color="auto" w:fill="FFFFFF"/>
        </w:rPr>
        <w:t xml:space="preserve"> The cutoff decision was based on visual inspection of the percentage missing for each analyte, which showed a clear demarcation, with most (n=20) falling approximately below this threshold. </w:t>
      </w:r>
      <w:r w:rsidR="00712FCA" w:rsidRPr="00CD2448">
        <w:rPr>
          <w:rFonts w:ascii="Arial" w:hAnsi="Arial" w:cs="Arial"/>
          <w:color w:val="000000" w:themeColor="text1"/>
          <w:sz w:val="22"/>
          <w:szCs w:val="22"/>
          <w:shd w:val="clear" w:color="auto" w:fill="FFFFFF"/>
        </w:rPr>
        <w:t xml:space="preserve">For retained cytokines, samples below </w:t>
      </w:r>
      <w:r w:rsidR="005169E0" w:rsidRPr="00CD2448">
        <w:rPr>
          <w:rFonts w:ascii="Arial" w:hAnsi="Arial" w:cs="Arial"/>
          <w:color w:val="000000" w:themeColor="text1"/>
          <w:sz w:val="22"/>
          <w:szCs w:val="22"/>
          <w:shd w:val="clear" w:color="auto" w:fill="FFFFFF"/>
        </w:rPr>
        <w:t xml:space="preserve">the level of detection </w:t>
      </w:r>
      <w:r w:rsidR="00712FCA" w:rsidRPr="00CD2448">
        <w:rPr>
          <w:rFonts w:ascii="Arial" w:hAnsi="Arial" w:cs="Arial"/>
          <w:color w:val="000000" w:themeColor="text1"/>
          <w:sz w:val="22"/>
          <w:szCs w:val="22"/>
          <w:shd w:val="clear" w:color="auto" w:fill="FFFFFF"/>
        </w:rPr>
        <w:t xml:space="preserve">were imputed with the lower limit of detection for each cytokine divided by </w:t>
      </w:r>
      <m:oMath>
        <m:r>
          <w:rPr>
            <w:rFonts w:ascii="Cambria Math" w:hAnsi="Cambria Math" w:cs="Arial"/>
            <w:color w:val="000000" w:themeColor="text1"/>
            <w:sz w:val="22"/>
            <w:szCs w:val="22"/>
            <w:shd w:val="clear" w:color="auto" w:fill="FFFFFF"/>
          </w:rPr>
          <m:t>√2</m:t>
        </m:r>
      </m:oMath>
      <w:r w:rsidR="007E1278" w:rsidRPr="00CD2448">
        <w:rPr>
          <w:rFonts w:ascii="Arial" w:hAnsi="Arial" w:cs="Arial"/>
          <w:color w:val="000000" w:themeColor="text1"/>
          <w:sz w:val="22"/>
          <w:szCs w:val="22"/>
          <w:shd w:val="clear" w:color="auto" w:fill="FFFFFF"/>
        </w:rPr>
        <w:t xml:space="preserve">. </w:t>
      </w:r>
      <w:r w:rsidR="00627C15" w:rsidRPr="00CD2448">
        <w:rPr>
          <w:rFonts w:ascii="Arial" w:hAnsi="Arial" w:cs="Arial"/>
          <w:color w:val="000000" w:themeColor="text1"/>
          <w:sz w:val="22"/>
          <w:szCs w:val="22"/>
          <w:shd w:val="clear" w:color="auto" w:fill="FFFFFF"/>
        </w:rPr>
        <w:t xml:space="preserve">Values for individual cytokines, both included and excluded, as well as limit of detection (LOD) and experimental standard data can be found in </w:t>
      </w:r>
      <w:r w:rsidR="008C792B" w:rsidRPr="00CD2448">
        <w:rPr>
          <w:rFonts w:ascii="Arial" w:hAnsi="Arial" w:cs="Arial"/>
          <w:color w:val="000000" w:themeColor="text1"/>
          <w:sz w:val="22"/>
          <w:szCs w:val="22"/>
          <w:shd w:val="clear" w:color="auto" w:fill="FFFFFF"/>
        </w:rPr>
        <w:t xml:space="preserve">the Supplementary Data File </w:t>
      </w:r>
      <w:r w:rsidR="00627C15" w:rsidRPr="00CD2448">
        <w:rPr>
          <w:rFonts w:ascii="Arial" w:hAnsi="Arial" w:cs="Arial"/>
          <w:color w:val="000000" w:themeColor="text1"/>
          <w:sz w:val="22"/>
          <w:szCs w:val="22"/>
          <w:shd w:val="clear" w:color="auto" w:fill="FFFFFF"/>
        </w:rPr>
        <w:t xml:space="preserve">labeled “FIG4_CYTOKINES.xlsx”. All cytokine values are expressed in </w:t>
      </w:r>
      <w:proofErr w:type="spellStart"/>
      <w:r w:rsidR="00627C15" w:rsidRPr="00CD2448">
        <w:rPr>
          <w:rFonts w:ascii="Arial" w:hAnsi="Arial" w:cs="Arial"/>
          <w:color w:val="000000" w:themeColor="text1"/>
          <w:sz w:val="22"/>
          <w:szCs w:val="22"/>
          <w:shd w:val="clear" w:color="auto" w:fill="FFFFFF"/>
        </w:rPr>
        <w:t>pg</w:t>
      </w:r>
      <w:proofErr w:type="spellEnd"/>
      <w:r w:rsidR="00627C15" w:rsidRPr="00CD2448">
        <w:rPr>
          <w:rFonts w:ascii="Arial" w:hAnsi="Arial" w:cs="Arial"/>
          <w:color w:val="000000" w:themeColor="text1"/>
          <w:sz w:val="22"/>
          <w:szCs w:val="22"/>
          <w:shd w:val="clear" w:color="auto" w:fill="FFFFFF"/>
        </w:rPr>
        <w:t xml:space="preserve">/ml per manufacturer specification. </w:t>
      </w:r>
      <w:r w:rsidR="007A7EB8" w:rsidRPr="00CD2448">
        <w:rPr>
          <w:rFonts w:ascii="Arial" w:hAnsi="Arial" w:cs="Arial"/>
          <w:color w:val="000000" w:themeColor="text1"/>
          <w:sz w:val="22"/>
          <w:szCs w:val="22"/>
          <w:shd w:val="clear" w:color="auto" w:fill="FFFFFF"/>
        </w:rPr>
        <w:t xml:space="preserve">For excluded cytokines in this file (IL-2, IL-5, IL-6, IL-12(p70), </w:t>
      </w:r>
      <w:r w:rsidR="006F41DF">
        <w:rPr>
          <w:rFonts w:ascii="Arial" w:hAnsi="Arial" w:cs="Arial"/>
          <w:color w:val="000000" w:themeColor="text1"/>
          <w:sz w:val="22"/>
          <w:szCs w:val="22"/>
          <w:shd w:val="clear" w:color="auto" w:fill="FFFFFF"/>
        </w:rPr>
        <w:t xml:space="preserve">IL-15, </w:t>
      </w:r>
      <w:r w:rsidR="007A7EB8" w:rsidRPr="00CD2448">
        <w:rPr>
          <w:rFonts w:ascii="Arial" w:hAnsi="Arial" w:cs="Arial"/>
          <w:color w:val="000000" w:themeColor="text1"/>
          <w:sz w:val="22"/>
          <w:szCs w:val="22"/>
          <w:shd w:val="clear" w:color="auto" w:fill="FFFFFF"/>
        </w:rPr>
        <w:t>GM-CSF, VEGF-A), the combination of the first three variables (</w:t>
      </w:r>
      <w:proofErr w:type="spellStart"/>
      <w:r w:rsidR="007A7EB8" w:rsidRPr="00CD2448">
        <w:rPr>
          <w:rFonts w:ascii="Arial" w:hAnsi="Arial" w:cs="Arial"/>
          <w:color w:val="000000" w:themeColor="text1"/>
          <w:sz w:val="22"/>
          <w:szCs w:val="22"/>
          <w:shd w:val="clear" w:color="auto" w:fill="FFFFFF"/>
        </w:rPr>
        <w:t>Patient_ID</w:t>
      </w:r>
      <w:proofErr w:type="spellEnd"/>
      <w:r w:rsidR="007A7EB8" w:rsidRPr="00CD2448">
        <w:rPr>
          <w:rFonts w:ascii="Arial" w:hAnsi="Arial" w:cs="Arial"/>
          <w:color w:val="000000" w:themeColor="text1"/>
          <w:sz w:val="22"/>
          <w:szCs w:val="22"/>
          <w:shd w:val="clear" w:color="auto" w:fill="FFFFFF"/>
        </w:rPr>
        <w:t xml:space="preserve">, Minutes, and Infusion) can be used to uniquely identify samples and can also be merged with the covariates listed in the “PLASMA_CYTOKINES” tab for those who want to explore these analytes in more detail. </w:t>
      </w:r>
    </w:p>
    <w:p w14:paraId="22DBD15E" w14:textId="77777777" w:rsidR="005A173B" w:rsidRPr="00CD2448" w:rsidRDefault="005A173B" w:rsidP="00415257">
      <w:pPr>
        <w:rPr>
          <w:rFonts w:ascii="Arial" w:hAnsi="Arial" w:cs="Arial"/>
          <w:color w:val="000000" w:themeColor="text1"/>
          <w:sz w:val="22"/>
          <w:szCs w:val="22"/>
          <w:shd w:val="clear" w:color="auto" w:fill="FFFFFF"/>
        </w:rPr>
      </w:pPr>
    </w:p>
    <w:p w14:paraId="05773FD8" w14:textId="654FD30E" w:rsidR="005A173B" w:rsidRPr="00CD2448" w:rsidRDefault="005A173B" w:rsidP="00415257">
      <w:pPr>
        <w:rPr>
          <w:rFonts w:ascii="Arial" w:hAnsi="Arial" w:cs="Arial"/>
          <w:i/>
          <w:iCs/>
          <w:color w:val="000000" w:themeColor="text1"/>
          <w:sz w:val="22"/>
          <w:szCs w:val="22"/>
          <w:shd w:val="clear" w:color="auto" w:fill="FFFFFF"/>
        </w:rPr>
      </w:pPr>
      <w:r w:rsidRPr="00CD2448">
        <w:rPr>
          <w:rFonts w:ascii="Arial" w:hAnsi="Arial" w:cs="Arial"/>
          <w:i/>
          <w:iCs/>
          <w:color w:val="000000" w:themeColor="text1"/>
          <w:sz w:val="22"/>
          <w:szCs w:val="22"/>
          <w:shd w:val="clear" w:color="auto" w:fill="FFFFFF"/>
        </w:rPr>
        <w:t>Association Between Cytokines and Clinical Outcomes</w:t>
      </w:r>
    </w:p>
    <w:p w14:paraId="62F1F942" w14:textId="13B640F9" w:rsidR="00D77F29" w:rsidRPr="00CD2448" w:rsidRDefault="00537DB8" w:rsidP="00415257">
      <w:pPr>
        <w:ind w:firstLine="720"/>
        <w:rPr>
          <w:rFonts w:ascii="Arial" w:hAnsi="Arial" w:cs="Arial"/>
          <w:color w:val="000000" w:themeColor="text1"/>
          <w:sz w:val="22"/>
          <w:szCs w:val="22"/>
        </w:rPr>
      </w:pPr>
      <w:r w:rsidRPr="00CD2448">
        <w:rPr>
          <w:rFonts w:ascii="Arial" w:eastAsia="Aptos" w:hAnsi="Arial" w:cs="Arial"/>
          <w:color w:val="000000" w:themeColor="text1"/>
          <w:sz w:val="22"/>
          <w:szCs w:val="22"/>
        </w:rPr>
        <w:t xml:space="preserve">To evaluate associations between clinical outcomes and plasma cytokines, linear mixed effects models </w:t>
      </w:r>
      <w:r w:rsidR="00C07E3E" w:rsidRPr="00CD2448">
        <w:rPr>
          <w:rFonts w:ascii="Arial" w:eastAsia="Aptos" w:hAnsi="Arial" w:cs="Arial"/>
          <w:color w:val="000000" w:themeColor="text1"/>
          <w:sz w:val="22"/>
          <w:szCs w:val="22"/>
        </w:rPr>
        <w:t xml:space="preserve">were implemented </w:t>
      </w:r>
      <w:r w:rsidRPr="00CD2448">
        <w:rPr>
          <w:rFonts w:ascii="Arial" w:eastAsia="Aptos" w:hAnsi="Arial" w:cs="Arial"/>
          <w:color w:val="000000" w:themeColor="text1"/>
          <w:sz w:val="22"/>
          <w:szCs w:val="22"/>
        </w:rPr>
        <w:t>using the lme4 package in R (version 4.</w:t>
      </w:r>
      <w:r w:rsidR="0054757A" w:rsidRPr="00CD2448">
        <w:rPr>
          <w:rFonts w:ascii="Arial" w:eastAsia="Aptos" w:hAnsi="Arial" w:cs="Arial"/>
          <w:color w:val="000000" w:themeColor="text1"/>
          <w:sz w:val="22"/>
          <w:szCs w:val="22"/>
        </w:rPr>
        <w:t>5</w:t>
      </w:r>
      <w:r w:rsidRPr="00CD2448">
        <w:rPr>
          <w:rFonts w:ascii="Arial" w:eastAsia="Aptos" w:hAnsi="Arial" w:cs="Arial"/>
          <w:color w:val="000000" w:themeColor="text1"/>
          <w:sz w:val="22"/>
          <w:szCs w:val="22"/>
        </w:rPr>
        <w:t xml:space="preserve">.0) with the </w:t>
      </w:r>
      <w:proofErr w:type="spellStart"/>
      <w:r w:rsidRPr="00CD2448">
        <w:rPr>
          <w:rFonts w:ascii="Arial" w:eastAsia="Aptos" w:hAnsi="Arial" w:cs="Arial"/>
          <w:color w:val="000000" w:themeColor="text1"/>
          <w:sz w:val="22"/>
          <w:szCs w:val="22"/>
        </w:rPr>
        <w:t>lmerTest</w:t>
      </w:r>
      <w:proofErr w:type="spellEnd"/>
      <w:r w:rsidRPr="00CD2448">
        <w:rPr>
          <w:rFonts w:ascii="Arial" w:eastAsia="Aptos" w:hAnsi="Arial" w:cs="Arial"/>
          <w:color w:val="000000" w:themeColor="text1"/>
          <w:sz w:val="22"/>
          <w:szCs w:val="22"/>
        </w:rPr>
        <w:t xml:space="preserve"> extension for Kenward-Roger approximations of degrees of freedom for significance testing. For cytokine analyses, values were log-</w:t>
      </w:r>
      <w:r w:rsidRPr="00CD2448">
        <w:rPr>
          <w:rFonts w:ascii="Arial" w:eastAsia="Aptos" w:hAnsi="Arial" w:cs="Arial"/>
          <w:color w:val="000000" w:themeColor="text1"/>
          <w:sz w:val="22"/>
          <w:szCs w:val="22"/>
        </w:rPr>
        <w:lastRenderedPageBreak/>
        <w:t>transformed to address positive skewness and normalized (</w:t>
      </w:r>
      <w:r w:rsidRPr="00CD2448">
        <w:rPr>
          <w:rFonts w:ascii="Arial" w:eastAsia="Aptos" w:hAnsi="Arial" w:cs="Arial"/>
          <w:i/>
          <w:iCs/>
          <w:color w:val="000000" w:themeColor="text1"/>
          <w:sz w:val="22"/>
          <w:szCs w:val="22"/>
        </w:rPr>
        <w:t>z</w:t>
      </w:r>
      <w:r w:rsidRPr="00CD2448">
        <w:rPr>
          <w:rFonts w:ascii="Arial" w:eastAsia="Aptos" w:hAnsi="Arial" w:cs="Arial"/>
          <w:color w:val="000000" w:themeColor="text1"/>
          <w:sz w:val="22"/>
          <w:szCs w:val="22"/>
        </w:rPr>
        <w:t xml:space="preserve">-scored) prior to modeling to facilitate interpretation across different biomarkers. </w:t>
      </w:r>
      <w:r w:rsidR="00C07E3E" w:rsidRPr="00CD2448">
        <w:rPr>
          <w:rFonts w:ascii="Arial" w:eastAsia="Aptos" w:hAnsi="Arial" w:cs="Arial"/>
          <w:color w:val="000000" w:themeColor="text1"/>
          <w:sz w:val="22"/>
          <w:szCs w:val="22"/>
        </w:rPr>
        <w:t>Because we</w:t>
      </w:r>
      <w:r w:rsidR="007E1278" w:rsidRPr="00CD2448">
        <w:rPr>
          <w:rFonts w:ascii="Arial" w:eastAsia="Aptos" w:hAnsi="Arial" w:cs="Arial"/>
          <w:color w:val="000000" w:themeColor="text1"/>
          <w:sz w:val="22"/>
          <w:szCs w:val="22"/>
        </w:rPr>
        <w:t xml:space="preserve"> were primarily concerned with </w:t>
      </w:r>
      <w:r w:rsidR="004D4121" w:rsidRPr="00CD2448">
        <w:rPr>
          <w:rFonts w:ascii="Arial" w:eastAsia="Aptos" w:hAnsi="Arial" w:cs="Arial"/>
          <w:color w:val="000000" w:themeColor="text1"/>
          <w:sz w:val="22"/>
          <w:szCs w:val="22"/>
        </w:rPr>
        <w:t>general treatment effects (</w:t>
      </w:r>
      <w:r w:rsidR="007E1278" w:rsidRPr="00CD2448">
        <w:rPr>
          <w:rFonts w:ascii="Arial" w:eastAsia="Aptos" w:hAnsi="Arial" w:cs="Arial"/>
          <w:color w:val="000000" w:themeColor="text1"/>
          <w:sz w:val="22"/>
          <w:szCs w:val="22"/>
        </w:rPr>
        <w:t>ketamine v</w:t>
      </w:r>
      <w:r w:rsidR="002E21F1" w:rsidRPr="00CD2448">
        <w:rPr>
          <w:rFonts w:ascii="Arial" w:eastAsia="Aptos" w:hAnsi="Arial" w:cs="Arial"/>
          <w:color w:val="000000" w:themeColor="text1"/>
          <w:sz w:val="22"/>
          <w:szCs w:val="22"/>
        </w:rPr>
        <w:t>ersus</w:t>
      </w:r>
      <w:r w:rsidR="007E1278" w:rsidRPr="00CD2448">
        <w:rPr>
          <w:rFonts w:ascii="Arial" w:eastAsia="Aptos" w:hAnsi="Arial" w:cs="Arial"/>
          <w:color w:val="000000" w:themeColor="text1"/>
          <w:sz w:val="22"/>
          <w:szCs w:val="22"/>
        </w:rPr>
        <w:t xml:space="preserve"> placebo</w:t>
      </w:r>
      <w:r w:rsidR="004D4121" w:rsidRPr="00CD2448">
        <w:rPr>
          <w:rFonts w:ascii="Arial" w:eastAsia="Aptos" w:hAnsi="Arial" w:cs="Arial"/>
          <w:color w:val="000000" w:themeColor="text1"/>
          <w:sz w:val="22"/>
          <w:szCs w:val="22"/>
        </w:rPr>
        <w:t xml:space="preserve">) </w:t>
      </w:r>
      <w:r w:rsidR="00AE2164" w:rsidRPr="00CD2448">
        <w:rPr>
          <w:rFonts w:ascii="Arial" w:eastAsia="Aptos" w:hAnsi="Arial" w:cs="Arial"/>
          <w:color w:val="000000" w:themeColor="text1"/>
          <w:sz w:val="22"/>
          <w:szCs w:val="22"/>
        </w:rPr>
        <w:t xml:space="preserve">for our two hypothesis-driven (from </w:t>
      </w:r>
      <w:proofErr w:type="spellStart"/>
      <w:r w:rsidR="00AE2164" w:rsidRPr="00CD2448">
        <w:rPr>
          <w:rFonts w:ascii="Arial" w:eastAsia="Aptos" w:hAnsi="Arial" w:cs="Arial"/>
          <w:color w:val="000000" w:themeColor="text1"/>
          <w:sz w:val="22"/>
          <w:szCs w:val="22"/>
        </w:rPr>
        <w:t>RNAseq</w:t>
      </w:r>
      <w:proofErr w:type="spellEnd"/>
      <w:r w:rsidR="00AE2164" w:rsidRPr="00CD2448">
        <w:rPr>
          <w:rFonts w:ascii="Arial" w:eastAsia="Aptos" w:hAnsi="Arial" w:cs="Arial"/>
          <w:color w:val="000000" w:themeColor="text1"/>
          <w:sz w:val="22"/>
          <w:szCs w:val="22"/>
        </w:rPr>
        <w:t xml:space="preserve">) cytokine ratios, we </w:t>
      </w:r>
      <w:r w:rsidR="007E1278" w:rsidRPr="00CD2448">
        <w:rPr>
          <w:rFonts w:ascii="Arial" w:eastAsia="Aptos" w:hAnsi="Arial" w:cs="Arial"/>
          <w:color w:val="000000" w:themeColor="text1"/>
          <w:sz w:val="22"/>
          <w:szCs w:val="22"/>
        </w:rPr>
        <w:t xml:space="preserve">did not have specific hypotheses </w:t>
      </w:r>
      <w:r w:rsidR="00AE2164" w:rsidRPr="00CD2448">
        <w:rPr>
          <w:rFonts w:ascii="Arial" w:eastAsia="Aptos" w:hAnsi="Arial" w:cs="Arial"/>
          <w:color w:val="000000" w:themeColor="text1"/>
          <w:sz w:val="22"/>
          <w:szCs w:val="22"/>
        </w:rPr>
        <w:t xml:space="preserve">regarding whether or how treatment </w:t>
      </w:r>
      <w:r w:rsidR="007E1278" w:rsidRPr="00CD2448">
        <w:rPr>
          <w:rFonts w:ascii="Arial" w:eastAsia="Aptos" w:hAnsi="Arial" w:cs="Arial"/>
          <w:color w:val="000000" w:themeColor="text1"/>
          <w:sz w:val="22"/>
          <w:szCs w:val="22"/>
        </w:rPr>
        <w:t>effects would vary over time</w:t>
      </w:r>
      <w:r w:rsidR="004F5453" w:rsidRPr="00CD2448">
        <w:rPr>
          <w:rFonts w:ascii="Arial" w:eastAsia="Aptos" w:hAnsi="Arial" w:cs="Arial"/>
          <w:color w:val="000000" w:themeColor="text1"/>
          <w:sz w:val="22"/>
          <w:szCs w:val="22"/>
        </w:rPr>
        <w:t xml:space="preserve"> (no</w:t>
      </w:r>
      <w:r w:rsidR="002E21F1" w:rsidRPr="00CD2448">
        <w:rPr>
          <w:rFonts w:ascii="Arial" w:eastAsia="Aptos" w:hAnsi="Arial" w:cs="Arial"/>
          <w:color w:val="000000" w:themeColor="text1"/>
          <w:sz w:val="22"/>
          <w:szCs w:val="22"/>
        </w:rPr>
        <w:t>r</w:t>
      </w:r>
      <w:r w:rsidR="004F5453" w:rsidRPr="00CD2448">
        <w:rPr>
          <w:rFonts w:ascii="Arial" w:eastAsia="Aptos" w:hAnsi="Arial" w:cs="Arial"/>
          <w:color w:val="000000" w:themeColor="text1"/>
          <w:sz w:val="22"/>
          <w:szCs w:val="22"/>
        </w:rPr>
        <w:t xml:space="preserve"> </w:t>
      </w:r>
      <w:r w:rsidR="002E21F1" w:rsidRPr="00CD2448">
        <w:rPr>
          <w:rFonts w:ascii="Arial" w:eastAsia="Aptos" w:hAnsi="Arial" w:cs="Arial"/>
          <w:color w:val="000000" w:themeColor="text1"/>
          <w:sz w:val="22"/>
          <w:szCs w:val="22"/>
        </w:rPr>
        <w:t xml:space="preserve">was the model </w:t>
      </w:r>
      <w:r w:rsidR="004F5453" w:rsidRPr="00CD2448">
        <w:rPr>
          <w:rFonts w:ascii="Arial" w:eastAsia="Aptos" w:hAnsi="Arial" w:cs="Arial"/>
          <w:color w:val="000000" w:themeColor="text1"/>
          <w:sz w:val="22"/>
          <w:szCs w:val="22"/>
        </w:rPr>
        <w:t>powered to test such effects)</w:t>
      </w:r>
      <w:r w:rsidR="00AE2164" w:rsidRPr="00CD2448">
        <w:rPr>
          <w:rFonts w:ascii="Arial" w:eastAsia="Aptos" w:hAnsi="Arial" w:cs="Arial"/>
          <w:color w:val="000000" w:themeColor="text1"/>
          <w:sz w:val="22"/>
          <w:szCs w:val="22"/>
        </w:rPr>
        <w:t>. Furthermore, as these cytokines operate on different time scales,</w:t>
      </w:r>
      <w:r w:rsidR="00676495" w:rsidRPr="00CD2448">
        <w:rPr>
          <w:rFonts w:ascii="Arial" w:eastAsia="Aptos" w:hAnsi="Arial" w:cs="Arial"/>
          <w:color w:val="000000" w:themeColor="text1"/>
          <w:sz w:val="22"/>
          <w:szCs w:val="22"/>
        </w:rPr>
        <w:t xml:space="preserve"> post</w:t>
      </w:r>
      <w:r w:rsidR="00F0030B" w:rsidRPr="00CD2448">
        <w:rPr>
          <w:rFonts w:ascii="Arial" w:eastAsia="Aptos" w:hAnsi="Arial" w:cs="Arial"/>
          <w:color w:val="000000" w:themeColor="text1"/>
          <w:sz w:val="22"/>
          <w:szCs w:val="22"/>
        </w:rPr>
        <w:t>-</w:t>
      </w:r>
      <w:r w:rsidR="00676495" w:rsidRPr="00CD2448">
        <w:rPr>
          <w:rFonts w:ascii="Arial" w:eastAsia="Aptos" w:hAnsi="Arial" w:cs="Arial"/>
          <w:color w:val="000000" w:themeColor="text1"/>
          <w:sz w:val="22"/>
          <w:szCs w:val="22"/>
        </w:rPr>
        <w:t>treatment interactions with time would not be feasible or reliable for making consistent cross-cytokine comparisons. To focus power instead on treatment-related effects whil</w:t>
      </w:r>
      <w:r w:rsidR="00F0030B" w:rsidRPr="00CD2448">
        <w:rPr>
          <w:rFonts w:ascii="Arial" w:eastAsia="Aptos" w:hAnsi="Arial" w:cs="Arial"/>
          <w:color w:val="000000" w:themeColor="text1"/>
          <w:sz w:val="22"/>
          <w:szCs w:val="22"/>
        </w:rPr>
        <w:t>e</w:t>
      </w:r>
      <w:r w:rsidR="00676495" w:rsidRPr="00CD2448">
        <w:rPr>
          <w:rFonts w:ascii="Arial" w:eastAsia="Aptos" w:hAnsi="Arial" w:cs="Arial"/>
          <w:color w:val="000000" w:themeColor="text1"/>
          <w:sz w:val="22"/>
          <w:szCs w:val="22"/>
        </w:rPr>
        <w:t xml:space="preserve"> controlling for time, p</w:t>
      </w:r>
      <w:r w:rsidR="007E1278" w:rsidRPr="00CD2448">
        <w:rPr>
          <w:rFonts w:ascii="Arial" w:hAnsi="Arial" w:cs="Arial"/>
          <w:color w:val="000000" w:themeColor="text1"/>
          <w:sz w:val="22"/>
          <w:szCs w:val="22"/>
        </w:rPr>
        <w:t>ost-treatment timepoints were collapsed</w:t>
      </w:r>
      <w:r w:rsidR="00EB7729" w:rsidRPr="00CD2448">
        <w:rPr>
          <w:rFonts w:ascii="Arial" w:hAnsi="Arial" w:cs="Arial"/>
          <w:color w:val="000000" w:themeColor="text1"/>
          <w:sz w:val="22"/>
          <w:szCs w:val="22"/>
        </w:rPr>
        <w:t xml:space="preserve">, </w:t>
      </w:r>
      <w:r w:rsidR="00387054" w:rsidRPr="00CD2448">
        <w:rPr>
          <w:rFonts w:ascii="Arial" w:hAnsi="Arial" w:cs="Arial"/>
          <w:color w:val="000000" w:themeColor="text1"/>
          <w:sz w:val="22"/>
          <w:szCs w:val="22"/>
        </w:rPr>
        <w:t>controlling for time as a separate fixed effect</w:t>
      </w:r>
      <w:r w:rsidR="007E1278" w:rsidRPr="00CD2448">
        <w:rPr>
          <w:rFonts w:ascii="Arial" w:hAnsi="Arial" w:cs="Arial"/>
          <w:color w:val="000000" w:themeColor="text1"/>
          <w:sz w:val="22"/>
          <w:szCs w:val="22"/>
        </w:rPr>
        <w:t xml:space="preserve"> in an ANCOVA style model</w:t>
      </w:r>
      <w:r w:rsidR="00AE2164" w:rsidRPr="00CD2448">
        <w:rPr>
          <w:rFonts w:ascii="Arial" w:hAnsi="Arial" w:cs="Arial"/>
          <w:color w:val="000000" w:themeColor="text1"/>
          <w:sz w:val="22"/>
          <w:szCs w:val="22"/>
        </w:rPr>
        <w:t>.</w:t>
      </w:r>
      <w:r w:rsidR="007E1278"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 xml:space="preserve">Fixed effects included </w:t>
      </w:r>
      <w:r w:rsidR="00814839" w:rsidRPr="00CD2448">
        <w:rPr>
          <w:rFonts w:ascii="Arial" w:hAnsi="Arial" w:cs="Arial"/>
          <w:color w:val="000000" w:themeColor="text1"/>
          <w:sz w:val="22"/>
          <w:szCs w:val="22"/>
        </w:rPr>
        <w:t>t</w:t>
      </w:r>
      <w:r w:rsidRPr="00CD2448">
        <w:rPr>
          <w:rFonts w:ascii="Arial" w:hAnsi="Arial" w:cs="Arial"/>
          <w:color w:val="000000" w:themeColor="text1"/>
          <w:sz w:val="22"/>
          <w:szCs w:val="22"/>
        </w:rPr>
        <w:t>reatment</w:t>
      </w:r>
      <w:r w:rsidR="00814839"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w:t>
      </w:r>
      <w:r w:rsidR="00814839" w:rsidRPr="00CD2448">
        <w:rPr>
          <w:rFonts w:ascii="Arial" w:hAnsi="Arial" w:cs="Arial"/>
          <w:color w:val="000000" w:themeColor="text1"/>
          <w:sz w:val="22"/>
          <w:szCs w:val="22"/>
        </w:rPr>
        <w:t xml:space="preserve"> m</w:t>
      </w:r>
      <w:r w:rsidRPr="00CD2448">
        <w:rPr>
          <w:rFonts w:ascii="Arial" w:hAnsi="Arial" w:cs="Arial"/>
          <w:color w:val="000000" w:themeColor="text1"/>
          <w:sz w:val="22"/>
          <w:szCs w:val="22"/>
        </w:rPr>
        <w:t xml:space="preserve">arker, </w:t>
      </w:r>
      <w:r w:rsidR="007D78CA" w:rsidRPr="00CD2448">
        <w:rPr>
          <w:rFonts w:ascii="Arial" w:hAnsi="Arial" w:cs="Arial"/>
          <w:color w:val="000000" w:themeColor="text1"/>
          <w:sz w:val="22"/>
          <w:szCs w:val="22"/>
        </w:rPr>
        <w:t>t</w:t>
      </w:r>
      <w:r w:rsidRPr="00CD2448">
        <w:rPr>
          <w:rFonts w:ascii="Arial" w:hAnsi="Arial" w:cs="Arial"/>
          <w:color w:val="000000" w:themeColor="text1"/>
          <w:sz w:val="22"/>
          <w:szCs w:val="22"/>
        </w:rPr>
        <w:t xml:space="preserve">ime (4 h, Day 1, Day 3), </w:t>
      </w:r>
      <w:r w:rsidR="007D78CA" w:rsidRPr="00CD2448">
        <w:rPr>
          <w:rFonts w:ascii="Arial" w:hAnsi="Arial" w:cs="Arial"/>
          <w:color w:val="000000" w:themeColor="text1"/>
          <w:sz w:val="22"/>
          <w:szCs w:val="22"/>
        </w:rPr>
        <w:t>b</w:t>
      </w:r>
      <w:r w:rsidRPr="00CD2448">
        <w:rPr>
          <w:rFonts w:ascii="Arial" w:hAnsi="Arial" w:cs="Arial"/>
          <w:color w:val="000000" w:themeColor="text1"/>
          <w:sz w:val="22"/>
          <w:szCs w:val="22"/>
        </w:rPr>
        <w:t xml:space="preserve">aseline </w:t>
      </w:r>
      <w:r w:rsidR="002D4477" w:rsidRPr="00CD2448">
        <w:rPr>
          <w:rFonts w:ascii="Arial" w:hAnsi="Arial" w:cs="Arial"/>
          <w:color w:val="000000" w:themeColor="text1"/>
          <w:sz w:val="22"/>
          <w:szCs w:val="22"/>
        </w:rPr>
        <w:t>MADRS</w:t>
      </w:r>
      <w:r w:rsidRPr="00CD2448">
        <w:rPr>
          <w:rFonts w:ascii="Arial" w:hAnsi="Arial" w:cs="Arial"/>
          <w:color w:val="000000" w:themeColor="text1"/>
          <w:sz w:val="22"/>
          <w:szCs w:val="22"/>
        </w:rPr>
        <w:t xml:space="preserve"> (</w:t>
      </w:r>
      <w:r w:rsidR="002D4477" w:rsidRPr="00CD2448">
        <w:rPr>
          <w:rFonts w:ascii="Arial" w:hAnsi="Arial" w:cs="Arial"/>
          <w:color w:val="000000" w:themeColor="text1"/>
          <w:sz w:val="22"/>
          <w:szCs w:val="22"/>
        </w:rPr>
        <w:t>just before</w:t>
      </w:r>
      <w:r w:rsidRPr="00CD2448">
        <w:rPr>
          <w:rFonts w:ascii="Arial" w:hAnsi="Arial" w:cs="Arial"/>
          <w:color w:val="000000" w:themeColor="text1"/>
          <w:sz w:val="22"/>
          <w:szCs w:val="22"/>
        </w:rPr>
        <w:t xml:space="preserve"> first infusion), </w:t>
      </w:r>
      <w:r w:rsidR="009414B4" w:rsidRPr="00CD2448">
        <w:rPr>
          <w:rFonts w:ascii="Arial" w:hAnsi="Arial" w:cs="Arial"/>
          <w:color w:val="000000" w:themeColor="text1"/>
          <w:sz w:val="22"/>
          <w:szCs w:val="22"/>
        </w:rPr>
        <w:t>a</w:t>
      </w:r>
      <w:r w:rsidRPr="00CD2448">
        <w:rPr>
          <w:rFonts w:ascii="Arial" w:hAnsi="Arial" w:cs="Arial"/>
          <w:color w:val="000000" w:themeColor="text1"/>
          <w:sz w:val="22"/>
          <w:szCs w:val="22"/>
        </w:rPr>
        <w:t xml:space="preserve">verage </w:t>
      </w:r>
      <w:r w:rsidR="009414B4" w:rsidRPr="00CD2448">
        <w:rPr>
          <w:rFonts w:ascii="Arial" w:hAnsi="Arial" w:cs="Arial"/>
          <w:color w:val="000000" w:themeColor="text1"/>
          <w:sz w:val="22"/>
          <w:szCs w:val="22"/>
        </w:rPr>
        <w:t>b</w:t>
      </w:r>
      <w:r w:rsidRPr="00CD2448">
        <w:rPr>
          <w:rFonts w:ascii="Arial" w:hAnsi="Arial" w:cs="Arial"/>
          <w:color w:val="000000" w:themeColor="text1"/>
          <w:sz w:val="22"/>
          <w:szCs w:val="22"/>
        </w:rPr>
        <w:t xml:space="preserve">aseline </w:t>
      </w:r>
      <w:r w:rsidR="009414B4" w:rsidRPr="00CD2448">
        <w:rPr>
          <w:rFonts w:ascii="Arial" w:hAnsi="Arial" w:cs="Arial"/>
          <w:color w:val="000000" w:themeColor="text1"/>
          <w:sz w:val="22"/>
          <w:szCs w:val="22"/>
        </w:rPr>
        <w:t>d</w:t>
      </w:r>
      <w:r w:rsidRPr="00CD2448">
        <w:rPr>
          <w:rFonts w:ascii="Arial" w:hAnsi="Arial" w:cs="Arial"/>
          <w:color w:val="000000" w:themeColor="text1"/>
          <w:sz w:val="22"/>
          <w:szCs w:val="22"/>
        </w:rPr>
        <w:t xml:space="preserve">epression (per infusion; see below), </w:t>
      </w:r>
      <w:r w:rsidR="009414B4" w:rsidRPr="00CD2448">
        <w:rPr>
          <w:rFonts w:ascii="Arial" w:hAnsi="Arial" w:cs="Arial"/>
          <w:color w:val="000000" w:themeColor="text1"/>
          <w:sz w:val="22"/>
          <w:szCs w:val="22"/>
        </w:rPr>
        <w:t>i</w:t>
      </w:r>
      <w:r w:rsidRPr="00CD2448">
        <w:rPr>
          <w:rFonts w:ascii="Arial" w:hAnsi="Arial" w:cs="Arial"/>
          <w:color w:val="000000" w:themeColor="text1"/>
          <w:sz w:val="22"/>
          <w:szCs w:val="22"/>
        </w:rPr>
        <w:t xml:space="preserve">nfusion </w:t>
      </w:r>
      <w:r w:rsidR="009414B4" w:rsidRPr="00CD2448">
        <w:rPr>
          <w:rFonts w:ascii="Arial" w:hAnsi="Arial" w:cs="Arial"/>
          <w:color w:val="000000" w:themeColor="text1"/>
          <w:sz w:val="22"/>
          <w:szCs w:val="22"/>
        </w:rPr>
        <w:t>o</w:t>
      </w:r>
      <w:r w:rsidRPr="00CD2448">
        <w:rPr>
          <w:rFonts w:ascii="Arial" w:hAnsi="Arial" w:cs="Arial"/>
          <w:color w:val="000000" w:themeColor="text1"/>
          <w:sz w:val="22"/>
          <w:szCs w:val="22"/>
        </w:rPr>
        <w:t xml:space="preserve">rder, age, </w:t>
      </w:r>
      <w:r w:rsidR="009414B4" w:rsidRPr="00CD2448">
        <w:rPr>
          <w:rFonts w:ascii="Arial" w:hAnsi="Arial" w:cs="Arial"/>
          <w:color w:val="000000" w:themeColor="text1"/>
          <w:sz w:val="22"/>
          <w:szCs w:val="22"/>
        </w:rPr>
        <w:t>body</w:t>
      </w:r>
      <w:r w:rsidR="00772C66" w:rsidRPr="00CD2448">
        <w:rPr>
          <w:rFonts w:ascii="Arial" w:hAnsi="Arial" w:cs="Arial"/>
          <w:color w:val="000000" w:themeColor="text1"/>
          <w:sz w:val="22"/>
          <w:szCs w:val="22"/>
        </w:rPr>
        <w:t>-</w:t>
      </w:r>
      <w:r w:rsidR="009414B4" w:rsidRPr="00CD2448">
        <w:rPr>
          <w:rFonts w:ascii="Arial" w:hAnsi="Arial" w:cs="Arial"/>
          <w:color w:val="000000" w:themeColor="text1"/>
          <w:sz w:val="22"/>
          <w:szCs w:val="22"/>
        </w:rPr>
        <w:t>mass index (</w:t>
      </w:r>
      <w:r w:rsidRPr="00CD2448">
        <w:rPr>
          <w:rFonts w:ascii="Arial" w:hAnsi="Arial" w:cs="Arial"/>
          <w:color w:val="000000" w:themeColor="text1"/>
          <w:sz w:val="22"/>
          <w:szCs w:val="22"/>
        </w:rPr>
        <w:t>BMI</w:t>
      </w:r>
      <w:r w:rsidR="009414B4" w:rsidRPr="00CD2448">
        <w:rPr>
          <w:rFonts w:ascii="Arial" w:hAnsi="Arial" w:cs="Arial"/>
          <w:color w:val="000000" w:themeColor="text1"/>
          <w:sz w:val="22"/>
          <w:szCs w:val="22"/>
        </w:rPr>
        <w:t>)</w:t>
      </w:r>
      <w:r w:rsidRPr="00CD2448">
        <w:rPr>
          <w:rFonts w:ascii="Arial" w:hAnsi="Arial" w:cs="Arial"/>
          <w:color w:val="000000" w:themeColor="text1"/>
          <w:sz w:val="22"/>
          <w:szCs w:val="22"/>
        </w:rPr>
        <w:t xml:space="preserve">, and sex; </w:t>
      </w:r>
      <w:r w:rsidR="009414B4" w:rsidRPr="00CD2448">
        <w:rPr>
          <w:rFonts w:ascii="Arial" w:hAnsi="Arial" w:cs="Arial"/>
          <w:color w:val="000000" w:themeColor="text1"/>
          <w:sz w:val="22"/>
          <w:szCs w:val="22"/>
        </w:rPr>
        <w:t>p</w:t>
      </w:r>
      <w:r w:rsidRPr="00CD2448">
        <w:rPr>
          <w:rFonts w:ascii="Arial" w:hAnsi="Arial" w:cs="Arial"/>
          <w:color w:val="000000" w:themeColor="text1"/>
          <w:sz w:val="22"/>
          <w:szCs w:val="22"/>
        </w:rPr>
        <w:t xml:space="preserve">articipant was a random intercept. </w:t>
      </w:r>
      <w:r w:rsidR="004F5453" w:rsidRPr="00CD2448">
        <w:rPr>
          <w:rFonts w:ascii="Arial" w:hAnsi="Arial" w:cs="Arial"/>
          <w:color w:val="000000" w:themeColor="text1"/>
          <w:sz w:val="22"/>
          <w:szCs w:val="22"/>
        </w:rPr>
        <w:t xml:space="preserve">Average </w:t>
      </w:r>
      <w:r w:rsidR="00A8056B" w:rsidRPr="00CD2448">
        <w:rPr>
          <w:rFonts w:ascii="Arial" w:hAnsi="Arial" w:cs="Arial"/>
          <w:color w:val="000000" w:themeColor="text1"/>
          <w:sz w:val="22"/>
          <w:szCs w:val="22"/>
        </w:rPr>
        <w:t>b</w:t>
      </w:r>
      <w:r w:rsidR="004F5453" w:rsidRPr="00CD2448">
        <w:rPr>
          <w:rFonts w:ascii="Arial" w:hAnsi="Arial" w:cs="Arial"/>
          <w:color w:val="000000" w:themeColor="text1"/>
          <w:sz w:val="22"/>
          <w:szCs w:val="22"/>
        </w:rPr>
        <w:t xml:space="preserve">aseline </w:t>
      </w:r>
      <w:r w:rsidR="00A8056B" w:rsidRPr="00CD2448">
        <w:rPr>
          <w:rFonts w:ascii="Arial" w:hAnsi="Arial" w:cs="Arial"/>
          <w:color w:val="000000" w:themeColor="text1"/>
          <w:sz w:val="22"/>
          <w:szCs w:val="22"/>
        </w:rPr>
        <w:t>d</w:t>
      </w:r>
      <w:r w:rsidR="004F5453" w:rsidRPr="00CD2448">
        <w:rPr>
          <w:rFonts w:ascii="Arial" w:hAnsi="Arial" w:cs="Arial"/>
          <w:color w:val="000000" w:themeColor="text1"/>
          <w:sz w:val="22"/>
          <w:szCs w:val="22"/>
        </w:rPr>
        <w:t xml:space="preserve">epression was calculated as the average of patients’ baseline MADRS </w:t>
      </w:r>
      <w:r w:rsidR="00A8056B" w:rsidRPr="00CD2448">
        <w:rPr>
          <w:rFonts w:ascii="Arial" w:hAnsi="Arial" w:cs="Arial"/>
          <w:color w:val="000000" w:themeColor="text1"/>
          <w:sz w:val="22"/>
          <w:szCs w:val="22"/>
        </w:rPr>
        <w:t xml:space="preserve">score </w:t>
      </w:r>
      <w:r w:rsidR="004F5453" w:rsidRPr="00CD2448">
        <w:rPr>
          <w:rFonts w:ascii="Arial" w:hAnsi="Arial" w:cs="Arial"/>
          <w:color w:val="000000" w:themeColor="text1"/>
          <w:sz w:val="22"/>
          <w:szCs w:val="22"/>
        </w:rPr>
        <w:t xml:space="preserve">between both infusions and added as an additional covariate based on recommendations by Kenward </w:t>
      </w:r>
      <w:r w:rsidR="00960BD0" w:rsidRPr="00CD2448">
        <w:rPr>
          <w:rFonts w:ascii="Arial" w:hAnsi="Arial" w:cs="Arial"/>
          <w:color w:val="000000" w:themeColor="text1"/>
          <w:sz w:val="22"/>
          <w:szCs w:val="22"/>
        </w:rPr>
        <w:t xml:space="preserve">and </w:t>
      </w:r>
      <w:r w:rsidR="004F5453" w:rsidRPr="00CD2448">
        <w:rPr>
          <w:rFonts w:ascii="Arial" w:hAnsi="Arial" w:cs="Arial"/>
          <w:color w:val="000000" w:themeColor="text1"/>
          <w:sz w:val="22"/>
          <w:szCs w:val="22"/>
        </w:rPr>
        <w:t>Roger</w:t>
      </w:r>
      <w:r w:rsidR="00E62E59" w:rsidRPr="00CD2448">
        <w:rPr>
          <w:rFonts w:ascii="Arial" w:hAnsi="Arial" w:cs="Arial"/>
          <w:color w:val="000000" w:themeColor="text1"/>
          <w:sz w:val="22"/>
          <w:szCs w:val="22"/>
        </w:rPr>
        <w:t>,</w:t>
      </w:r>
      <w:r w:rsidR="004F5453" w:rsidRPr="00CD2448">
        <w:rPr>
          <w:rFonts w:ascii="Arial" w:hAnsi="Arial" w:cs="Arial"/>
          <w:color w:val="000000" w:themeColor="text1"/>
          <w:sz w:val="22"/>
          <w:szCs w:val="22"/>
        </w:rPr>
        <w:t xml:space="preserve"> described below</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ExcludeYear="1"&gt;&lt;Author&gt;Kenward&lt;/Author&gt;&lt;Year&gt;2010&lt;/Year&gt;&lt;RecNum&gt;36&lt;/RecNum&gt;&lt;DisplayText&gt;[22]&lt;/DisplayText&gt;&lt;record&gt;&lt;rec-number&gt;36&lt;/rec-number&gt;&lt;foreign-keys&gt;&lt;key app="EN" db-id="dzsadpavbdaf27ef9zmxw006vzddp0epfpxa" timestamp="1759159643"&gt;36&lt;/key&gt;&lt;/foreign-keys&gt;&lt;ref-type name="Journal Article"&gt;17&lt;/ref-type&gt;&lt;contributors&gt;&lt;authors&gt;&lt;author&gt;Kenward, Michael G.&lt;/author&gt;&lt;author&gt;Roger, James H.&lt;/author&gt;&lt;/authors&gt;&lt;/contributors&gt;&lt;titles&gt;&lt;title&gt;The use of baseline covariates in crossover studies&lt;/title&gt;&lt;secondary-title&gt;Biostatistics&lt;/secondary-title&gt;&lt;alt-title&gt;Biostatistics&lt;/alt-title&gt;&lt;/titles&gt;&lt;periodical&gt;&lt;full-title&gt;Biostatistics&lt;/full-title&gt;&lt;abbr-1&gt;Biostatistics&lt;/abbr-1&gt;&lt;/periodical&gt;&lt;alt-periodical&gt;&lt;full-title&gt;Biostatistics&lt;/full-title&gt;&lt;abbr-1&gt;Biostatistics&lt;/abbr-1&gt;&lt;/alt-periodical&gt;&lt;pages&gt;1-17&lt;/pages&gt;&lt;volume&gt;11&lt;/volume&gt;&lt;number&gt;1&lt;/number&gt;&lt;dates&gt;&lt;year&gt;2010&lt;/year&gt;&lt;pub-dates&gt;&lt;date&gt;2010/01/01/&lt;/date&gt;&lt;/pub-dates&gt;&lt;/dates&gt;&lt;isbn&gt;1465-4644&lt;/isbn&gt;&lt;urls&gt;&lt;related-urls&gt;&lt;url&gt;https://doi.org/10.1093/biostatistics/kxp046&lt;/url&gt;&lt;url&gt;https://academic.oup.com/biostatistics/article-pdf/11/1/1/23686069/kxp046.pdf&lt;/url&gt;&lt;/related-urls&gt;&lt;/urls&gt;&lt;electronic-resource-num&gt;10.1093/biostatistics/kxp046&lt;/electronic-resource-num&gt;&lt;remote-database-provider&gt;Silverchair&lt;/remote-database-provider&gt;&lt;access-date&gt;2025/09/27/00:46:26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[22]</w:t>
      </w:r>
      <w:r w:rsidR="00C770C0" w:rsidRPr="00CD2448">
        <w:rPr>
          <w:rFonts w:ascii="Arial" w:eastAsiaTheme="minorHAnsi" w:hAnsi="Arial" w:cs="Arial"/>
          <w:color w:val="000000" w:themeColor="text1"/>
          <w:sz w:val="22"/>
          <w:szCs w:val="22"/>
          <w14:ligatures w14:val="standardContextual"/>
        </w:rPr>
        <w:fldChar w:fldCharType="end"/>
      </w:r>
      <w:r w:rsidR="004F5453" w:rsidRPr="00CD2448">
        <w:rPr>
          <w:rFonts w:ascii="Arial" w:hAnsi="Arial" w:cs="Arial"/>
          <w:color w:val="000000" w:themeColor="text1"/>
          <w:sz w:val="22"/>
          <w:szCs w:val="22"/>
        </w:rPr>
        <w:t>.</w:t>
      </w:r>
    </w:p>
    <w:p w14:paraId="6E80F249" w14:textId="646ED5B1" w:rsidR="00D03530" w:rsidRPr="00CD2448" w:rsidRDefault="0015717A" w:rsidP="00415257">
      <w:pPr>
        <w:ind w:firstLine="720"/>
        <w:rPr>
          <w:rFonts w:ascii="Arial" w:hAnsi="Arial" w:cs="Arial"/>
          <w:color w:val="000000" w:themeColor="text1"/>
          <w:sz w:val="22"/>
          <w:szCs w:val="22"/>
        </w:rPr>
      </w:pPr>
      <w:r w:rsidRPr="00CD2448">
        <w:rPr>
          <w:rFonts w:ascii="Arial" w:hAnsi="Arial" w:cs="Arial"/>
          <w:color w:val="000000" w:themeColor="text1"/>
          <w:sz w:val="22"/>
          <w:szCs w:val="22"/>
          <w:shd w:val="clear" w:color="auto" w:fill="FFFFFF"/>
        </w:rPr>
        <w:t>Briefly, i</w:t>
      </w:r>
      <w:r w:rsidR="00C84B4F" w:rsidRPr="00CD2448">
        <w:rPr>
          <w:rFonts w:ascii="Arial" w:hAnsi="Arial" w:cs="Arial"/>
          <w:color w:val="000000" w:themeColor="text1"/>
          <w:sz w:val="22"/>
          <w:szCs w:val="22"/>
          <w:shd w:val="clear" w:color="auto" w:fill="FFFFFF"/>
        </w:rPr>
        <w:t xml:space="preserve">n crossover trials, participants are randomized to treatment sequences rather than individual treatments, creating a hierarchical data structure where period-specific measurements are nested within </w:t>
      </w:r>
      <w:r w:rsidR="00B10189" w:rsidRPr="00CD2448">
        <w:rPr>
          <w:rFonts w:ascii="Arial" w:hAnsi="Arial" w:cs="Arial"/>
          <w:color w:val="000000" w:themeColor="text1"/>
          <w:sz w:val="22"/>
          <w:szCs w:val="22"/>
          <w:shd w:val="clear" w:color="auto" w:fill="FFFFFF"/>
        </w:rPr>
        <w:t>participants</w:t>
      </w:r>
      <w:r w:rsidR="00C84B4F" w:rsidRPr="00CD2448">
        <w:rPr>
          <w:rFonts w:ascii="Arial" w:hAnsi="Arial" w:cs="Arial"/>
          <w:color w:val="000000" w:themeColor="text1"/>
          <w:sz w:val="22"/>
          <w:szCs w:val="22"/>
          <w:shd w:val="clear" w:color="auto" w:fill="FFFFFF"/>
        </w:rPr>
        <w:t xml:space="preserve">. This design feature introduces a unique analytical challenge when incorporating baseline covariates. Standard ANCOVA approaches that use each period-specific baseline as a covariate for its corresponding outcome implicitly assume that within-subject and between-subject regression coefficients are identical—an assumption that is violated except under highly artificial covariance constraints. When random subject effects are </w:t>
      </w:r>
      <w:r w:rsidR="002D1688" w:rsidRPr="00CD2448">
        <w:rPr>
          <w:rFonts w:ascii="Arial" w:hAnsi="Arial" w:cs="Arial"/>
          <w:color w:val="000000" w:themeColor="text1"/>
          <w:sz w:val="22"/>
          <w:szCs w:val="22"/>
          <w:shd w:val="clear" w:color="auto" w:fill="FFFFFF"/>
        </w:rPr>
        <w:t xml:space="preserve">used </w:t>
      </w:r>
      <w:r w:rsidR="00C84B4F" w:rsidRPr="00CD2448">
        <w:rPr>
          <w:rFonts w:ascii="Arial" w:hAnsi="Arial" w:cs="Arial"/>
          <w:color w:val="000000" w:themeColor="text1"/>
          <w:sz w:val="22"/>
          <w:szCs w:val="22"/>
          <w:shd w:val="clear" w:color="auto" w:fill="FFFFFF"/>
        </w:rPr>
        <w:t xml:space="preserve">without accounting for this distinction, the resulting treatment effect estimates become biased, a phenomenon known as </w:t>
      </w:r>
      <w:r w:rsidR="00387054" w:rsidRPr="00CD2448">
        <w:rPr>
          <w:rFonts w:ascii="Arial" w:hAnsi="Arial" w:cs="Arial"/>
          <w:color w:val="000000" w:themeColor="text1"/>
          <w:sz w:val="22"/>
          <w:szCs w:val="22"/>
          <w:shd w:val="clear" w:color="auto" w:fill="FFFFFF"/>
        </w:rPr>
        <w:t>“</w:t>
      </w:r>
      <w:r w:rsidR="00C84B4F" w:rsidRPr="00CD2448">
        <w:rPr>
          <w:rFonts w:ascii="Arial" w:hAnsi="Arial" w:cs="Arial"/>
          <w:color w:val="000000" w:themeColor="text1"/>
          <w:sz w:val="22"/>
          <w:szCs w:val="22"/>
          <w:shd w:val="clear" w:color="auto" w:fill="FFFFFF"/>
        </w:rPr>
        <w:t>cross-level bias</w:t>
      </w:r>
      <w:r w:rsidR="00387054" w:rsidRPr="00CD2448">
        <w:rPr>
          <w:rFonts w:ascii="Arial" w:hAnsi="Arial" w:cs="Arial"/>
          <w:color w:val="000000" w:themeColor="text1"/>
          <w:sz w:val="22"/>
          <w:szCs w:val="22"/>
          <w:shd w:val="clear" w:color="auto" w:fill="FFFFFF"/>
        </w:rPr>
        <w:t>”</w:t>
      </w:r>
      <w:r w:rsidR="00EB58C0" w:rsidRPr="00CD2448">
        <w:rPr>
          <w:rFonts w:ascii="Arial" w:hAnsi="Arial" w:cs="Arial"/>
          <w:color w:val="000000" w:themeColor="text1"/>
          <w:sz w:val="22"/>
          <w:szCs w:val="22"/>
          <w:shd w:val="clear" w:color="auto" w:fill="FFFFFF"/>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ExcludeYear="1"&gt;&lt;Author&gt;Kenward&lt;/Author&gt;&lt;Year&gt;2010&lt;/Year&gt;&lt;RecNum&gt;36&lt;/RecNum&gt;&lt;DisplayText&gt;[22]&lt;/DisplayText&gt;&lt;record&gt;&lt;rec-number&gt;36&lt;/rec-number&gt;&lt;foreign-keys&gt;&lt;key app="EN" db-id="dzsadpavbdaf27ef9zmxw006vzddp0epfpxa" timestamp="1759159643"&gt;36&lt;/key&gt;&lt;/foreign-keys&gt;&lt;ref-type name="Journal Article"&gt;17&lt;/ref-type&gt;&lt;contributors&gt;&lt;authors&gt;&lt;author&gt;Kenward, Michael G.&lt;/author&gt;&lt;author&gt;Roger, James H.&lt;/author&gt;&lt;/authors&gt;&lt;/contributors&gt;&lt;titles&gt;&lt;title&gt;The use of baseline covariates in crossover studies&lt;/title&gt;&lt;secondary-title&gt;Biostatistics&lt;/secondary-title&gt;&lt;alt-title&gt;Biostatistics&lt;/alt-title&gt;&lt;/titles&gt;&lt;periodical&gt;&lt;full-title&gt;Biostatistics&lt;/full-title&gt;&lt;abbr-1&gt;Biostatistics&lt;/abbr-1&gt;&lt;/periodical&gt;&lt;alt-periodical&gt;&lt;full-title&gt;Biostatistics&lt;/full-title&gt;&lt;abbr-1&gt;Biostatistics&lt;/abbr-1&gt;&lt;/alt-periodical&gt;&lt;pages&gt;1-17&lt;/pages&gt;&lt;volume&gt;11&lt;/volume&gt;&lt;number&gt;1&lt;/number&gt;&lt;dates&gt;&lt;year&gt;2010&lt;/year&gt;&lt;pub-dates&gt;&lt;date&gt;2010/01/01/&lt;/date&gt;&lt;/pub-dates&gt;&lt;/dates&gt;&lt;isbn&gt;1465-4644&lt;/isbn&gt;&lt;urls&gt;&lt;related-urls&gt;&lt;url&gt;https://doi.org/10.1093/biostatistics/kxp046&lt;/url&gt;&lt;url&gt;https://academic.oup.com/biostatistics/article-pdf/11/1/1/23686069/kxp046.pdf&lt;/url&gt;&lt;/related-urls&gt;&lt;/urls&gt;&lt;electronic-resource-num&gt;10.1093/biostatistics/kxp046&lt;/electronic-resource-num&gt;&lt;remote-database-provider&gt;Silverchair&lt;/remote-database-provider&gt;&lt;access-date&gt;2025/09/27/00:46:26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[22]</w:t>
      </w:r>
      <w:r w:rsidR="00C770C0" w:rsidRPr="00CD2448">
        <w:rPr>
          <w:rFonts w:ascii="Arial" w:eastAsiaTheme="minorHAnsi" w:hAnsi="Arial" w:cs="Arial"/>
          <w:color w:val="000000" w:themeColor="text1"/>
          <w:sz w:val="22"/>
          <w:szCs w:val="22"/>
          <w14:ligatures w14:val="standardContextual"/>
        </w:rPr>
        <w:fldChar w:fldCharType="end"/>
      </w:r>
      <w:r w:rsidR="00C84B4F" w:rsidRPr="00CD2448">
        <w:rPr>
          <w:rFonts w:ascii="Arial" w:hAnsi="Arial" w:cs="Arial"/>
          <w:color w:val="000000" w:themeColor="text1"/>
          <w:sz w:val="22"/>
          <w:szCs w:val="22"/>
          <w:shd w:val="clear" w:color="auto" w:fill="FFFFFF"/>
        </w:rPr>
        <w:t>. As demonstrated by Kenward and Roger (2010)</w:t>
      </w:r>
      <w:r w:rsidR="00EB58C0" w:rsidRPr="00CD2448">
        <w:rPr>
          <w:rFonts w:ascii="Arial" w:hAnsi="Arial" w:cs="Arial"/>
          <w:color w:val="000000" w:themeColor="text1"/>
          <w:sz w:val="22"/>
          <w:szCs w:val="22"/>
          <w:shd w:val="clear" w:color="auto" w:fill="FFFFFF"/>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ExcludeYear="1"&gt;&lt;Author&gt;Kenward&lt;/Author&gt;&lt;Year&gt;2010&lt;/Year&gt;&lt;RecNum&gt;36&lt;/RecNum&gt;&lt;DisplayText&gt;[22]&lt;/DisplayText&gt;&lt;record&gt;&lt;rec-number&gt;36&lt;/rec-number&gt;&lt;foreign-keys&gt;&lt;key app="EN" db-id="dzsadpavbdaf27ef9zmxw006vzddp0epfpxa" timestamp="1759159643"&gt;36&lt;/key&gt;&lt;/foreign-keys&gt;&lt;ref-type name="Journal Article"&gt;17&lt;/ref-type&gt;&lt;contributors&gt;&lt;authors&gt;&lt;author&gt;Kenward, Michael G.&lt;/author&gt;&lt;author&gt;Roger, James H.&lt;/author&gt;&lt;/authors&gt;&lt;/contributors&gt;&lt;titles&gt;&lt;title&gt;The use of baseline covariates in crossover studies&lt;/title&gt;&lt;secondary-title&gt;Biostatistics&lt;/secondary-title&gt;&lt;alt-title&gt;Biostatistics&lt;/alt-title&gt;&lt;/titles&gt;&lt;periodical&gt;&lt;full-title&gt;Biostatistics&lt;/full-title&gt;&lt;abbr-1&gt;Biostatistics&lt;/abbr-1&gt;&lt;/periodical&gt;&lt;alt-periodical&gt;&lt;full-title&gt;Biostatistics&lt;/full-title&gt;&lt;abbr-1&gt;Biostatistics&lt;/abbr-1&gt;&lt;/alt-periodical&gt;&lt;pages&gt;1-17&lt;/pages&gt;&lt;volume&gt;11&lt;/volume&gt;&lt;number&gt;1&lt;/number&gt;&lt;dates&gt;&lt;year&gt;2010&lt;/year&gt;&lt;pub-dates&gt;&lt;date&gt;2010/01/01/&lt;/date&gt;&lt;/pub-dates&gt;&lt;/dates&gt;&lt;isbn&gt;1465-4644&lt;/isbn&gt;&lt;urls&gt;&lt;related-urls&gt;&lt;url&gt;https://doi.org/10.1093/biostatistics/kxp046&lt;/url&gt;&lt;url&gt;https://academic.oup.com/biostatistics/article-pdf/11/1/1/23686069/kxp046.pdf&lt;/url&gt;&lt;/related-urls&gt;&lt;/urls&gt;&lt;electronic-resource-num&gt;10.1093/biostatistics/kxp046&lt;/electronic-resource-num&gt;&lt;remote-database-provider&gt;Silverchair&lt;/remote-database-provider&gt;&lt;access-date&gt;2025/09/27/00:46:26&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[22]</w:t>
      </w:r>
      <w:r w:rsidR="00C770C0" w:rsidRPr="00CD2448">
        <w:rPr>
          <w:rFonts w:ascii="Arial" w:eastAsiaTheme="minorHAnsi" w:hAnsi="Arial" w:cs="Arial"/>
          <w:color w:val="000000" w:themeColor="text1"/>
          <w:sz w:val="22"/>
          <w:szCs w:val="22"/>
          <w14:ligatures w14:val="standardContextual"/>
        </w:rPr>
        <w:fldChar w:fldCharType="end"/>
      </w:r>
      <w:r w:rsidR="00C84B4F" w:rsidRPr="00CD2448">
        <w:rPr>
          <w:rFonts w:ascii="Arial" w:hAnsi="Arial" w:cs="Arial"/>
          <w:color w:val="000000" w:themeColor="text1"/>
          <w:sz w:val="22"/>
          <w:szCs w:val="22"/>
          <w:shd w:val="clear" w:color="auto" w:fill="FFFFFF"/>
        </w:rPr>
        <w:t xml:space="preserve">, this bias is particularly pronounced in orthogonal designs where treatment differences are estimated primarily at the within-subject level, leading to overestimation of baseline adjustment and consequent distortion of treatment effects. To eliminate this bias while retaining the efficiency gains from random effects modeling, </w:t>
      </w:r>
      <w:r w:rsidR="002D1688" w:rsidRPr="00CD2448">
        <w:rPr>
          <w:rFonts w:ascii="Arial" w:hAnsi="Arial" w:cs="Arial"/>
          <w:color w:val="000000" w:themeColor="text1"/>
          <w:sz w:val="22"/>
          <w:szCs w:val="22"/>
          <w:shd w:val="clear" w:color="auto" w:fill="FFFFFF"/>
        </w:rPr>
        <w:t xml:space="preserve">Kenward and Roger’s </w:t>
      </w:r>
      <w:r w:rsidR="00C84B4F" w:rsidRPr="00CD2448">
        <w:rPr>
          <w:rFonts w:ascii="Arial" w:hAnsi="Arial" w:cs="Arial"/>
          <w:color w:val="000000" w:themeColor="text1"/>
          <w:sz w:val="22"/>
          <w:szCs w:val="22"/>
          <w:shd w:val="clear" w:color="auto" w:fill="FFFFFF"/>
        </w:rPr>
        <w:t>recommended approach of including both the period-specific baseline measurements and the subject-averaged baseline as separate covariates</w:t>
      </w:r>
      <w:r w:rsidR="002D1688" w:rsidRPr="00CD2448">
        <w:rPr>
          <w:rFonts w:ascii="Arial" w:hAnsi="Arial" w:cs="Arial"/>
          <w:color w:val="000000" w:themeColor="text1"/>
          <w:sz w:val="22"/>
          <w:szCs w:val="22"/>
          <w:shd w:val="clear" w:color="auto" w:fill="FFFFFF"/>
        </w:rPr>
        <w:t xml:space="preserve"> was implemented</w:t>
      </w:r>
      <w:r w:rsidR="00C84B4F" w:rsidRPr="00CD2448">
        <w:rPr>
          <w:rFonts w:ascii="Arial" w:hAnsi="Arial" w:cs="Arial"/>
          <w:color w:val="000000" w:themeColor="text1"/>
          <w:sz w:val="22"/>
          <w:szCs w:val="22"/>
          <w:shd w:val="clear" w:color="auto" w:fill="FFFFFF"/>
        </w:rPr>
        <w:t>, allowing the model to estimate distinct regression coefficients for within-subject (period-specific) and between-subject (averaged) baseline effects. This approach preserves the precision advantages of baseline adjustment while ensuring unbiased treatment effect estimates, with simulation studies showing precision improvements equivalent to sample size increases ranging from 3% to 22% compared to conventional methods</w:t>
      </w:r>
      <w:r w:rsidR="004C651C" w:rsidRPr="00CD2448">
        <w:rPr>
          <w:rFonts w:ascii="Arial" w:hAnsi="Arial" w:cs="Arial"/>
          <w:color w:val="000000" w:themeColor="text1"/>
          <w:sz w:val="22"/>
          <w:szCs w:val="22"/>
          <w:shd w:val="clear" w:color="auto" w:fill="FFFFFF"/>
        </w:rPr>
        <w:t>.</w:t>
      </w:r>
      <w:r w:rsidR="004D4121" w:rsidRPr="00CD2448">
        <w:rPr>
          <w:rFonts w:ascii="Arial" w:hAnsi="Arial" w:cs="Arial"/>
          <w:color w:val="000000" w:themeColor="text1"/>
          <w:sz w:val="22"/>
          <w:szCs w:val="22"/>
          <w:shd w:val="clear" w:color="auto" w:fill="FFFFFF"/>
        </w:rPr>
        <w:t xml:space="preserve"> </w:t>
      </w:r>
      <w:r w:rsidR="004D4121" w:rsidRPr="00CD2448">
        <w:rPr>
          <w:rFonts w:ascii="Arial" w:hAnsi="Arial" w:cs="Arial"/>
          <w:color w:val="000000" w:themeColor="text1"/>
          <w:sz w:val="22"/>
          <w:szCs w:val="22"/>
        </w:rPr>
        <w:t xml:space="preserve">Standardized effect sizes for cytokine x treatment interactions were calculated using the </w:t>
      </w:r>
      <w:proofErr w:type="spellStart"/>
      <w:r w:rsidR="004D4121" w:rsidRPr="00CD2448">
        <w:rPr>
          <w:rFonts w:ascii="Arial" w:hAnsi="Arial" w:cs="Arial"/>
          <w:color w:val="000000" w:themeColor="text1"/>
          <w:sz w:val="22"/>
          <w:szCs w:val="22"/>
        </w:rPr>
        <w:t>Effectsize</w:t>
      </w:r>
      <w:proofErr w:type="spellEnd"/>
      <w:r w:rsidR="004D4121" w:rsidRPr="00CD2448">
        <w:rPr>
          <w:rFonts w:ascii="Arial" w:hAnsi="Arial" w:cs="Arial"/>
          <w:color w:val="000000" w:themeColor="text1"/>
          <w:sz w:val="22"/>
          <w:szCs w:val="22"/>
        </w:rPr>
        <w:t xml:space="preserve"> package in </w:t>
      </w:r>
      <w:r w:rsidR="004D4121" w:rsidRPr="00CD2448">
        <w:rPr>
          <w:rFonts w:ascii="Arial" w:hAnsi="Arial" w:cs="Arial"/>
          <w:i/>
          <w:iCs/>
          <w:color w:val="000000" w:themeColor="text1"/>
          <w:sz w:val="22"/>
          <w:szCs w:val="22"/>
        </w:rPr>
        <w:t>R</w:t>
      </w:r>
      <w:r w:rsidR="00EB58C0" w:rsidRPr="00CD2448">
        <w:rPr>
          <w:rFonts w:ascii="Arial"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8D0B4D" w:rsidRPr="00CD2448">
        <w:rPr>
          <w:rFonts w:ascii="Arial" w:eastAsiaTheme="minorHAnsi" w:hAnsi="Arial" w:cs="Arial"/>
          <w:color w:val="000000" w:themeColor="text1"/>
          <w:sz w:val="22"/>
          <w:szCs w:val="22"/>
          <w14:ligatures w14:val="standardContextual"/>
        </w:rPr>
        <w:instrText xml:space="preserve"> ADDIN EN.CITE &lt;EndNote&gt;&lt;Cite ExcludeYear="1"&gt;&lt;Author&gt;Ben-Shachar&lt;/Author&gt;&lt;Year&gt;2020&lt;/Year&gt;&lt;RecNum&gt;37&lt;/RecNum&gt;&lt;DisplayText&gt;[23]&lt;/DisplayText&gt;&lt;record&gt;&lt;rec-number&gt;37&lt;/rec-number&gt;&lt;foreign-keys&gt;&lt;key app="EN" db-id="dzsadpavbdaf27ef9zmxw006vzddp0epfpxa" timestamp="1759159643"&gt;37&lt;/key&gt;&lt;/foreign-keys&gt;&lt;ref-type name="Journal Article"&gt;17&lt;/ref-type&gt;&lt;contributors&gt;&lt;authors&gt;&lt;author&gt;Ben-Shachar, Mattan S.&lt;/author&gt;&lt;author&gt;Lüdecke, Daniel&lt;/author&gt;&lt;author&gt;Makowski, Dominique&lt;/author&gt;&lt;/authors&gt;&lt;/contributors&gt;&lt;titles&gt;&lt;title&gt;effectsize: Estimation of effect size indices and standardized parameters&lt;/title&gt;&lt;secondary-title&gt;J Open Source Softw&lt;/secondary-title&gt;&lt;short-title&gt;effectsize&lt;/short-title&gt;&lt;/titles&gt;&lt;periodical&gt;&lt;full-title&gt;J Open Source Softw&lt;/full-title&gt;&lt;/periodical&gt;&lt;pages&gt;2815&lt;/pages&gt;&lt;volume&gt;5&lt;/volume&gt;&lt;number&gt;56&lt;/number&gt;&lt;dates&gt;&lt;year&gt;2020&lt;/year&gt;&lt;pub-dates&gt;&lt;date&gt;2020/12/23/&lt;/date&gt;&lt;/pub-dates&gt;&lt;/dates&gt;&lt;isbn&gt;2475-9066&lt;/isbn&gt;&lt;urls&gt;&lt;related-urls&gt;&lt;url&gt;https://joss.theoj.org/papers/10.21105/joss.02815&lt;/url&gt;&lt;/related-urls&gt;&lt;/urls&gt;&lt;electronic-resource-num&gt;10.21105/joss.02815&lt;/electronic-resource-num&gt;&lt;remote-database-provider&gt;joss.theoj.org&lt;/remote-database-provider&gt;&lt;language&gt;en&lt;/language&gt;&lt;access-date&gt;2025/03/28/16:49:11&lt;/access-date&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8D0B4D" w:rsidRPr="00CD2448">
        <w:rPr>
          <w:rFonts w:ascii="Arial" w:eastAsiaTheme="minorHAnsi" w:hAnsi="Arial" w:cs="Arial"/>
          <w:noProof/>
          <w:color w:val="000000" w:themeColor="text1"/>
          <w:sz w:val="22"/>
          <w:szCs w:val="22"/>
          <w14:ligatures w14:val="standardContextual"/>
        </w:rPr>
        <w:t>[23]</w:t>
      </w:r>
      <w:r w:rsidR="00C770C0" w:rsidRPr="00CD2448">
        <w:rPr>
          <w:rFonts w:ascii="Arial" w:eastAsiaTheme="minorHAnsi" w:hAnsi="Arial" w:cs="Arial"/>
          <w:color w:val="000000" w:themeColor="text1"/>
          <w:sz w:val="22"/>
          <w:szCs w:val="22"/>
          <w14:ligatures w14:val="standardContextual"/>
        </w:rPr>
        <w:fldChar w:fldCharType="end"/>
      </w:r>
      <w:r w:rsidR="004D4121" w:rsidRPr="00CD2448">
        <w:rPr>
          <w:rFonts w:ascii="Arial" w:hAnsi="Arial" w:cs="Arial"/>
          <w:color w:val="000000" w:themeColor="text1"/>
          <w:sz w:val="22"/>
          <w:szCs w:val="22"/>
        </w:rPr>
        <w:t xml:space="preserve">. </w:t>
      </w:r>
    </w:p>
    <w:p w14:paraId="10317F3C" w14:textId="77777777" w:rsidR="009324B8" w:rsidRPr="00CD2448" w:rsidRDefault="009324B8" w:rsidP="00415257">
      <w:pPr>
        <w:ind w:firstLine="720"/>
        <w:rPr>
          <w:rFonts w:ascii="Arial" w:hAnsi="Arial" w:cs="Arial"/>
          <w:color w:val="000000" w:themeColor="text1"/>
          <w:sz w:val="22"/>
          <w:szCs w:val="22"/>
        </w:rPr>
      </w:pPr>
    </w:p>
    <w:p w14:paraId="09E1C6D6" w14:textId="2B432351" w:rsidR="009324B8" w:rsidRPr="00CD2448" w:rsidRDefault="009324B8" w:rsidP="00415257">
      <w:pPr>
        <w:rPr>
          <w:rFonts w:ascii="Arial" w:hAnsi="Arial" w:cs="Arial"/>
          <w:i/>
          <w:iCs/>
          <w:color w:val="000000" w:themeColor="text1"/>
          <w:sz w:val="22"/>
          <w:szCs w:val="22"/>
          <w:shd w:val="clear" w:color="auto" w:fill="FFFFFF"/>
        </w:rPr>
      </w:pPr>
      <w:bookmarkStart w:id="10" w:name="OLE_LINK54"/>
      <w:r w:rsidRPr="00CD2448">
        <w:rPr>
          <w:rFonts w:ascii="Arial" w:hAnsi="Arial" w:cs="Arial"/>
          <w:i/>
          <w:iCs/>
          <w:color w:val="000000" w:themeColor="text1"/>
          <w:sz w:val="22"/>
          <w:szCs w:val="22"/>
          <w:shd w:val="clear" w:color="auto" w:fill="FFFFFF"/>
        </w:rPr>
        <w:t xml:space="preserve">Sensitivity </w:t>
      </w:r>
      <w:r w:rsidR="008C792B" w:rsidRPr="00CD2448">
        <w:rPr>
          <w:rFonts w:ascii="Arial" w:hAnsi="Arial" w:cs="Arial"/>
          <w:i/>
          <w:iCs/>
          <w:color w:val="000000" w:themeColor="text1"/>
          <w:sz w:val="22"/>
          <w:szCs w:val="22"/>
          <w:shd w:val="clear" w:color="auto" w:fill="FFFFFF"/>
        </w:rPr>
        <w:t>A</w:t>
      </w:r>
      <w:r w:rsidRPr="00CD2448">
        <w:rPr>
          <w:rFonts w:ascii="Arial" w:hAnsi="Arial" w:cs="Arial"/>
          <w:i/>
          <w:iCs/>
          <w:color w:val="000000" w:themeColor="text1"/>
          <w:sz w:val="22"/>
          <w:szCs w:val="22"/>
          <w:shd w:val="clear" w:color="auto" w:fill="FFFFFF"/>
        </w:rPr>
        <w:t xml:space="preserve">nalysis for Inflammatory Comorbidities and Anti-Inflammatory Medications </w:t>
      </w:r>
    </w:p>
    <w:p w14:paraId="4B5FDBBE" w14:textId="4CEFCC9D" w:rsidR="008E0E13" w:rsidRPr="00CD2448" w:rsidRDefault="008E0E13" w:rsidP="00415257">
      <w:pPr>
        <w:rPr>
          <w:rFonts w:ascii="Arial" w:hAnsi="Arial" w:cs="Arial"/>
          <w:color w:val="000000" w:themeColor="text1"/>
          <w:sz w:val="22"/>
          <w:szCs w:val="22"/>
          <w:shd w:val="clear" w:color="auto" w:fill="FFFFFF"/>
        </w:rPr>
      </w:pPr>
      <w:bookmarkStart w:id="11" w:name="OLE_LINK49"/>
      <w:r w:rsidRPr="00CD2448">
        <w:rPr>
          <w:rFonts w:ascii="Arial" w:hAnsi="Arial" w:cs="Arial"/>
          <w:color w:val="000000" w:themeColor="text1"/>
          <w:sz w:val="22"/>
          <w:szCs w:val="22"/>
          <w:shd w:val="clear" w:color="auto" w:fill="FFFFFF"/>
        </w:rPr>
        <w:tab/>
        <w:t xml:space="preserve">Patients enrolled in the clinical crossover trial were excluded if taking regularly scheduled anti-inflammatory medications (e.g., NSAIDs, corticosteroids; see Appendix A for full exclusion criteria: https://cdn.clinicaltrials.gov/large-docs/99/NCT00088699/Prot_SAP_000.pdf). However, intermittent (PRN) analgesic use for minor pain was permitted. Similarly, patients underwent extensive medical screening—confirmed by </w:t>
      </w:r>
      <w:r w:rsidR="008C792B" w:rsidRPr="00CD2448">
        <w:rPr>
          <w:rFonts w:ascii="Arial" w:hAnsi="Arial" w:cs="Arial"/>
          <w:color w:val="000000" w:themeColor="text1"/>
          <w:sz w:val="22"/>
          <w:szCs w:val="22"/>
          <w:shd w:val="clear" w:color="auto" w:fill="FFFFFF"/>
        </w:rPr>
        <w:t xml:space="preserve">a </w:t>
      </w:r>
      <w:r w:rsidRPr="00CD2448">
        <w:rPr>
          <w:rFonts w:ascii="Arial" w:hAnsi="Arial" w:cs="Arial"/>
          <w:color w:val="000000" w:themeColor="text1"/>
          <w:sz w:val="22"/>
          <w:szCs w:val="22"/>
          <w:shd w:val="clear" w:color="auto" w:fill="FFFFFF"/>
        </w:rPr>
        <w:t>medical records review—to exclude comorbidities that could influence brain morphology; certain well-controlled conditions with potential immunological relevance were permitted on a case-by-case basis at the discretion of the treating physician.</w:t>
      </w:r>
    </w:p>
    <w:p w14:paraId="377DEE14" w14:textId="63237892" w:rsidR="008E0E13" w:rsidRPr="00CD2448" w:rsidRDefault="008E0E13" w:rsidP="00415257">
      <w:pPr>
        <w:rPr>
          <w:rFonts w:ascii="Arial" w:hAnsi="Arial" w:cs="Arial"/>
          <w:color w:val="000000" w:themeColor="text1"/>
          <w:sz w:val="22"/>
          <w:szCs w:val="22"/>
          <w:shd w:val="clear" w:color="auto" w:fill="FFFFFF"/>
        </w:rPr>
      </w:pPr>
      <w:r w:rsidRPr="00CD2448">
        <w:rPr>
          <w:rFonts w:ascii="Arial" w:hAnsi="Arial" w:cs="Arial"/>
          <w:color w:val="000000" w:themeColor="text1"/>
          <w:sz w:val="22"/>
          <w:szCs w:val="22"/>
          <w:shd w:val="clear" w:color="auto" w:fill="FFFFFF"/>
        </w:rPr>
        <w:tab/>
        <w:t>Medical diagnoses and medication records were extracted by independent analysts via the NIH Biomedical Translational Research Information System (BTRIS), blinded to study hypotheses. Diagnoses and medications with potential immune relevance were adjudicated by a licensed physician (MD) with immunology training using a separate set of de-identified patient identifiers from those used in statistical analyses. Data were merged and unblinded only after comorbidity classification was complete.</w:t>
      </w:r>
    </w:p>
    <w:p w14:paraId="5E5BBCD5" w14:textId="486F8209" w:rsidR="008E0E13" w:rsidRPr="00CD2448" w:rsidRDefault="008E0E13" w:rsidP="00415257">
      <w:pPr>
        <w:rPr>
          <w:rFonts w:ascii="Arial" w:hAnsi="Arial" w:cs="Arial"/>
          <w:color w:val="000000" w:themeColor="text1"/>
          <w:sz w:val="22"/>
          <w:szCs w:val="22"/>
        </w:rPr>
      </w:pPr>
      <w:r w:rsidRPr="00CD2448">
        <w:rPr>
          <w:rFonts w:ascii="Arial" w:hAnsi="Arial" w:cs="Arial"/>
          <w:b/>
          <w:bCs/>
          <w:color w:val="000000" w:themeColor="text1"/>
          <w:sz w:val="22"/>
          <w:szCs w:val="22"/>
          <w:shd w:val="clear" w:color="auto" w:fill="FFFFFF"/>
        </w:rPr>
        <w:tab/>
      </w:r>
      <w:r w:rsidRPr="00CD2448">
        <w:rPr>
          <w:rFonts w:ascii="Arial" w:hAnsi="Arial" w:cs="Arial"/>
          <w:color w:val="000000" w:themeColor="text1"/>
          <w:sz w:val="22"/>
          <w:szCs w:val="22"/>
          <w:shd w:val="clear" w:color="auto" w:fill="FFFFFF"/>
        </w:rPr>
        <w:t xml:space="preserve">Because patients were admitted at </w:t>
      </w:r>
      <w:r w:rsidR="001351E9" w:rsidRPr="00CD2448">
        <w:rPr>
          <w:rFonts w:ascii="Arial" w:hAnsi="Arial" w:cs="Arial"/>
          <w:color w:val="000000" w:themeColor="text1"/>
          <w:sz w:val="22"/>
          <w:szCs w:val="22"/>
          <w:shd w:val="clear" w:color="auto" w:fill="FFFFFF"/>
        </w:rPr>
        <w:t xml:space="preserve">various </w:t>
      </w:r>
      <w:r w:rsidRPr="00CD2448">
        <w:rPr>
          <w:rFonts w:ascii="Arial" w:hAnsi="Arial" w:cs="Arial"/>
          <w:color w:val="000000" w:themeColor="text1"/>
          <w:sz w:val="22"/>
          <w:szCs w:val="22"/>
          <w:shd w:val="clear" w:color="auto" w:fill="FFFFFF"/>
        </w:rPr>
        <w:t xml:space="preserve">intervals prior to their first infusion and used varying quantities of different anti-inflammatory agents, several standardization procedures were applied. A peri-infusion lookback window was defined spanning </w:t>
      </w:r>
      <w:r w:rsidR="008C792B" w:rsidRPr="00CD2448">
        <w:rPr>
          <w:rFonts w:ascii="Arial" w:hAnsi="Arial" w:cs="Arial"/>
          <w:color w:val="000000" w:themeColor="text1"/>
          <w:sz w:val="22"/>
          <w:szCs w:val="22"/>
          <w:shd w:val="clear" w:color="auto" w:fill="FFFFFF"/>
        </w:rPr>
        <w:t>seven</w:t>
      </w:r>
      <w:r w:rsidRPr="00CD2448">
        <w:rPr>
          <w:rFonts w:ascii="Arial" w:hAnsi="Arial" w:cs="Arial"/>
          <w:color w:val="000000" w:themeColor="text1"/>
          <w:sz w:val="22"/>
          <w:szCs w:val="22"/>
          <w:shd w:val="clear" w:color="auto" w:fill="FFFFFF"/>
        </w:rPr>
        <w:t xml:space="preserve"> days before</w:t>
      </w:r>
      <w:r w:rsidR="00E40B13" w:rsidRPr="00CD2448">
        <w:rPr>
          <w:rFonts w:ascii="Arial" w:hAnsi="Arial" w:cs="Arial"/>
          <w:color w:val="000000" w:themeColor="text1"/>
          <w:sz w:val="22"/>
          <w:szCs w:val="22"/>
          <w:shd w:val="clear" w:color="auto" w:fill="FFFFFF"/>
        </w:rPr>
        <w:t xml:space="preserve"> </w:t>
      </w:r>
      <w:r w:rsidR="00E40B13" w:rsidRPr="00CD2448">
        <w:rPr>
          <w:rFonts w:ascii="Arial" w:hAnsi="Arial" w:cs="Arial"/>
          <w:color w:val="000000" w:themeColor="text1"/>
          <w:sz w:val="22"/>
          <w:szCs w:val="22"/>
        </w:rPr>
        <w:fldChar w:fldCharType="begin">
          <w:fldData xml:space="preserve">PEVuZE5vdGU+PENpdGU+PEF1dGhvcj7DgWx2YXJlei1Tb3JpYTwvQXV0aG9yPjxZZWFyPjIwMDY8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</w:fldData>
        </w:fldChar>
      </w:r>
      <w:r w:rsidR="00E40B13" w:rsidRPr="00CD2448">
        <w:rPr>
          <w:rFonts w:ascii="Arial" w:hAnsi="Arial" w:cs="Arial"/>
          <w:color w:val="000000" w:themeColor="text1"/>
          <w:sz w:val="22"/>
          <w:szCs w:val="22"/>
        </w:rPr>
        <w:instrText xml:space="preserve"> ADDIN EN.CITE </w:instrText>
      </w:r>
      <w:r w:rsidR="00E40B13" w:rsidRPr="00CD2448">
        <w:rPr>
          <w:rFonts w:ascii="Arial" w:hAnsi="Arial" w:cs="Arial"/>
          <w:color w:val="000000" w:themeColor="text1"/>
          <w:sz w:val="22"/>
          <w:szCs w:val="22"/>
        </w:rPr>
        <w:fldChar w:fldCharType="begin">
          <w:fldData xml:space="preserve">PEVuZE5vdGU+PENpdGU+PEF1dGhvcj7DgWx2YXJlei1Tb3JpYTwvQXV0aG9yPjxZZWFyPjIwMDY8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</w:fldData>
        </w:fldChar>
      </w:r>
      <w:r w:rsidR="00E40B13" w:rsidRPr="00CD2448">
        <w:rPr>
          <w:rFonts w:ascii="Arial" w:hAnsi="Arial" w:cs="Arial"/>
          <w:color w:val="000000" w:themeColor="text1"/>
          <w:sz w:val="22"/>
          <w:szCs w:val="22"/>
        </w:rPr>
        <w:instrText xml:space="preserve"> ADDIN EN.CITE.DATA </w:instrText>
      </w:r>
      <w:r w:rsidR="00E40B13" w:rsidRPr="00CD2448">
        <w:rPr>
          <w:rFonts w:ascii="Arial" w:hAnsi="Arial" w:cs="Arial"/>
          <w:color w:val="000000" w:themeColor="text1"/>
          <w:sz w:val="22"/>
          <w:szCs w:val="22"/>
        </w:rPr>
      </w:r>
      <w:r w:rsidR="00E40B13" w:rsidRPr="00CD2448">
        <w:rPr>
          <w:rFonts w:ascii="Arial" w:hAnsi="Arial" w:cs="Arial"/>
          <w:color w:val="000000" w:themeColor="text1"/>
          <w:sz w:val="22"/>
          <w:szCs w:val="22"/>
        </w:rPr>
        <w:fldChar w:fldCharType="end"/>
      </w:r>
      <w:r w:rsidR="00E40B13" w:rsidRPr="00CD2448">
        <w:rPr>
          <w:rFonts w:ascii="Arial" w:hAnsi="Arial" w:cs="Arial"/>
          <w:color w:val="000000" w:themeColor="text1"/>
          <w:sz w:val="22"/>
          <w:szCs w:val="22"/>
        </w:rPr>
      </w:r>
      <w:r w:rsidR="00E40B13" w:rsidRPr="00CD2448">
        <w:rPr>
          <w:rFonts w:ascii="Arial" w:hAnsi="Arial" w:cs="Arial"/>
          <w:color w:val="000000" w:themeColor="text1"/>
          <w:sz w:val="22"/>
          <w:szCs w:val="22"/>
        </w:rPr>
        <w:fldChar w:fldCharType="separate"/>
      </w:r>
      <w:r w:rsidR="00E40B13" w:rsidRPr="00CD2448">
        <w:rPr>
          <w:rFonts w:ascii="Arial" w:hAnsi="Arial" w:cs="Arial"/>
          <w:noProof/>
          <w:color w:val="000000" w:themeColor="text1"/>
          <w:sz w:val="22"/>
          <w:szCs w:val="22"/>
        </w:rPr>
        <w:t>[24-27]</w:t>
      </w:r>
      <w:r w:rsidR="00E40B13" w:rsidRPr="00CD2448">
        <w:rPr>
          <w:rFonts w:ascii="Arial" w:hAnsi="Arial" w:cs="Arial"/>
          <w:color w:val="000000" w:themeColor="text1"/>
          <w:sz w:val="22"/>
          <w:szCs w:val="22"/>
        </w:rPr>
        <w:fldChar w:fldCharType="end"/>
      </w:r>
      <w:r w:rsidR="00E40B13"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shd w:val="clear" w:color="auto" w:fill="FFFFFF"/>
        </w:rPr>
        <w:t xml:space="preserve">through </w:t>
      </w:r>
      <w:r w:rsidR="008C792B" w:rsidRPr="00CD2448">
        <w:rPr>
          <w:rFonts w:ascii="Arial" w:hAnsi="Arial" w:cs="Arial"/>
          <w:color w:val="000000" w:themeColor="text1"/>
          <w:sz w:val="22"/>
          <w:szCs w:val="22"/>
          <w:shd w:val="clear" w:color="auto" w:fill="FFFFFF"/>
        </w:rPr>
        <w:t>three</w:t>
      </w:r>
      <w:r w:rsidRPr="00CD2448">
        <w:rPr>
          <w:rFonts w:ascii="Arial" w:hAnsi="Arial" w:cs="Arial"/>
          <w:color w:val="000000" w:themeColor="text1"/>
          <w:sz w:val="22"/>
          <w:szCs w:val="22"/>
          <w:shd w:val="clear" w:color="auto" w:fill="FFFFFF"/>
        </w:rPr>
        <w:t xml:space="preserve"> days after each infusion (corresponding to the final cytokine timepoint). Within this window, cumulative NSAID exposure was quantified using </w:t>
      </w:r>
      <w:r w:rsidR="008C792B" w:rsidRPr="00CD2448">
        <w:rPr>
          <w:rFonts w:ascii="Arial" w:hAnsi="Arial" w:cs="Arial"/>
          <w:color w:val="000000" w:themeColor="text1"/>
          <w:sz w:val="22"/>
          <w:szCs w:val="22"/>
          <w:shd w:val="clear" w:color="auto" w:fill="FFFFFF"/>
        </w:rPr>
        <w:t xml:space="preserve">a </w:t>
      </w:r>
      <w:r w:rsidRPr="00CD2448">
        <w:rPr>
          <w:rFonts w:ascii="Arial" w:hAnsi="Arial" w:cs="Arial"/>
          <w:color w:val="000000" w:themeColor="text1"/>
          <w:sz w:val="22"/>
          <w:szCs w:val="22"/>
          <w:shd w:val="clear" w:color="auto" w:fill="FFFFFF"/>
        </w:rPr>
        <w:t xml:space="preserve">validated </w:t>
      </w:r>
      <w:r w:rsidR="00CE67FE" w:rsidRPr="00CD2448">
        <w:rPr>
          <w:rFonts w:ascii="Arial" w:hAnsi="Arial" w:cs="Arial"/>
          <w:color w:val="000000" w:themeColor="text1"/>
          <w:sz w:val="22"/>
          <w:szCs w:val="22"/>
        </w:rPr>
        <w:t xml:space="preserve">Assessment of </w:t>
      </w:r>
      <w:proofErr w:type="spellStart"/>
      <w:r w:rsidR="00CE67FE" w:rsidRPr="00CD2448">
        <w:rPr>
          <w:rFonts w:ascii="Arial" w:hAnsi="Arial" w:cs="Arial"/>
          <w:color w:val="000000" w:themeColor="text1"/>
          <w:sz w:val="22"/>
          <w:szCs w:val="22"/>
        </w:rPr>
        <w:t>SpondyloArthritis</w:t>
      </w:r>
      <w:proofErr w:type="spellEnd"/>
      <w:r w:rsidR="00CE67FE" w:rsidRPr="00CD2448">
        <w:rPr>
          <w:rFonts w:ascii="Arial" w:hAnsi="Arial" w:cs="Arial"/>
          <w:color w:val="000000" w:themeColor="text1"/>
          <w:sz w:val="22"/>
          <w:szCs w:val="22"/>
        </w:rPr>
        <w:t xml:space="preserve"> International Society NSAID (</w:t>
      </w:r>
      <w:r w:rsidRPr="00CD2448">
        <w:rPr>
          <w:rFonts w:ascii="Arial" w:hAnsi="Arial" w:cs="Arial"/>
          <w:color w:val="000000" w:themeColor="text1"/>
          <w:sz w:val="22"/>
          <w:szCs w:val="22"/>
          <w:shd w:val="clear" w:color="auto" w:fill="FFFFFF"/>
        </w:rPr>
        <w:t>ASAS-NSAID</w:t>
      </w:r>
      <w:r w:rsidR="00CE67FE" w:rsidRPr="00CD2448">
        <w:rPr>
          <w:rFonts w:ascii="Arial" w:hAnsi="Arial" w:cs="Arial"/>
          <w:color w:val="000000" w:themeColor="text1"/>
          <w:sz w:val="22"/>
          <w:szCs w:val="22"/>
          <w:shd w:val="clear" w:color="auto" w:fill="FFFFFF"/>
        </w:rPr>
        <w:t>)</w:t>
      </w:r>
      <w:r w:rsidRPr="00CD2448">
        <w:rPr>
          <w:rFonts w:ascii="Arial" w:hAnsi="Arial" w:cs="Arial"/>
          <w:color w:val="000000" w:themeColor="text1"/>
          <w:sz w:val="22"/>
          <w:szCs w:val="22"/>
          <w:shd w:val="clear" w:color="auto" w:fill="FFFFFF"/>
        </w:rPr>
        <w:t xml:space="preserve"> equivalence score, which weights each administered dose relative to the maximum recommended clinical daily dose for that agent</w:t>
      </w:r>
      <w:r w:rsidR="00E40B13" w:rsidRPr="00CD2448">
        <w:rPr>
          <w:rFonts w:ascii="Arial" w:hAnsi="Arial" w:cs="Arial"/>
          <w:color w:val="000000" w:themeColor="text1"/>
          <w:sz w:val="22"/>
          <w:szCs w:val="22"/>
          <w:shd w:val="clear" w:color="auto" w:fill="FFFFFF"/>
        </w:rPr>
        <w:t xml:space="preserve"> </w:t>
      </w:r>
      <w:r w:rsidR="009A15CA" w:rsidRPr="00CD2448">
        <w:rPr>
          <w:rFonts w:ascii="Arial" w:hAnsi="Arial" w:cs="Arial"/>
          <w:color w:val="000000" w:themeColor="text1"/>
          <w:sz w:val="22"/>
          <w:szCs w:val="22"/>
        </w:rPr>
        <w:fldChar w:fldCharType="begin"/>
      </w:r>
      <w:r w:rsidR="009A15CA" w:rsidRPr="00CD2448">
        <w:rPr>
          <w:rFonts w:ascii="Arial" w:hAnsi="Arial" w:cs="Arial"/>
          <w:color w:val="000000" w:themeColor="text1"/>
          <w:sz w:val="22"/>
          <w:szCs w:val="22"/>
        </w:rPr>
        <w:instrText xml:space="preserve"> ADDIN EN.CITE &lt;EndNote&gt;&lt;Cite&gt;&lt;Author&gt;Dougados&lt;/Author&gt;&lt;Year&gt;2011&lt;/Year&gt;&lt;RecNum&gt;163&lt;/RecNum&gt;&lt;DisplayText&gt;[28]&lt;/DisplayText&gt;&lt;record&gt;&lt;rec-number&gt;163&lt;/rec-number&gt;&lt;foreign-keys&gt;&lt;key app="EN" db-id="dzsadpavbdaf27ef9zmxw006vzddp0epfpxa" timestamp="1773168037"&gt;163&lt;/key&gt;&lt;/foreign-keys&gt;&lt;ref-type name="Journal Article"&gt;17&lt;/ref-type&gt;&lt;contributors&gt;&lt;authors&gt;&lt;author&gt;Dougados, M.&lt;/author&gt;&lt;author&gt;Simon, P.&lt;/author&gt;&lt;author&gt;Braun, J.&lt;/author&gt;&lt;author&gt;Burgos-Vargas, R.&lt;/author&gt;&lt;author&gt;Maksymowych, W.P.&lt;/author&gt;&lt;author&gt;Sieper, J.&lt;/author&gt;&lt;author&gt;van der Heijde, D.&lt;/author&gt;&lt;/authors&gt;&lt;/contributors&gt;&lt;titles&gt;&lt;title&gt;ASAS recommendations for collecting, analysing and reporting NSAID intake in clinical trials/epidemiological studies in axial spondyloarthritis&lt;/title&gt;&lt;secondary-title&gt;Ann Rheum Dis&lt;/secondary-title&gt;&lt;/titles&gt;&lt;periodical&gt;&lt;full-title&gt;Ann Rheum Dis&lt;/full-title&gt;&lt;/periodical&gt;&lt;pages&gt;249-251&lt;/pages&gt;&lt;volume&gt;70&lt;/volume&gt;&lt;dates&gt;&lt;year&gt;2011&lt;/year&gt;&lt;/dates&gt;&lt;urls&gt;&lt;/urls&gt;&lt;/record&gt;&lt;/Cite&gt;&lt;/EndNote&gt;</w:instrText>
      </w:r>
      <w:r w:rsidR="009A15CA" w:rsidRPr="00CD2448">
        <w:rPr>
          <w:rFonts w:ascii="Arial" w:hAnsi="Arial" w:cs="Arial"/>
          <w:color w:val="000000" w:themeColor="text1"/>
          <w:sz w:val="22"/>
          <w:szCs w:val="22"/>
        </w:rPr>
        <w:fldChar w:fldCharType="separate"/>
      </w:r>
      <w:r w:rsidR="009A15CA" w:rsidRPr="00CD2448">
        <w:rPr>
          <w:rFonts w:ascii="Arial" w:hAnsi="Arial" w:cs="Arial"/>
          <w:noProof/>
          <w:color w:val="000000" w:themeColor="text1"/>
          <w:sz w:val="22"/>
          <w:szCs w:val="22"/>
        </w:rPr>
        <w:t>[28]</w:t>
      </w:r>
      <w:r w:rsidR="009A15CA"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w:t>
      </w:r>
    </w:p>
    <w:p w14:paraId="1206879C" w14:textId="7689935A" w:rsidR="008E0E13" w:rsidRPr="00CD2448" w:rsidRDefault="008E0E13" w:rsidP="00415257">
      <w:pPr>
        <w:rPr>
          <w:rFonts w:ascii="Arial" w:hAnsi="Arial" w:cs="Arial"/>
          <w:color w:val="000000" w:themeColor="text1"/>
          <w:sz w:val="22"/>
          <w:szCs w:val="22"/>
          <w:shd w:val="clear" w:color="auto" w:fill="FFFFFF"/>
        </w:rPr>
      </w:pPr>
      <w:r w:rsidRPr="00CD2448">
        <w:rPr>
          <w:rFonts w:ascii="Arial" w:hAnsi="Arial" w:cs="Arial"/>
          <w:color w:val="000000" w:themeColor="text1"/>
          <w:sz w:val="22"/>
          <w:szCs w:val="22"/>
          <w:shd w:val="clear" w:color="auto" w:fill="FFFFFF"/>
        </w:rPr>
        <w:tab/>
        <w:t>Baseline cytokine levels were compared between NSAID users and non-users and across comorbidity groups (</w:t>
      </w:r>
      <w:r w:rsidRPr="00CD2448">
        <w:rPr>
          <w:rFonts w:ascii="Arial" w:hAnsi="Arial" w:cs="Arial"/>
          <w:b/>
          <w:bCs/>
          <w:color w:val="000000" w:themeColor="text1"/>
          <w:sz w:val="22"/>
          <w:szCs w:val="22"/>
          <w:shd w:val="clear" w:color="auto" w:fill="FFFFFF"/>
        </w:rPr>
        <w:t>Fig.S9</w:t>
      </w:r>
      <w:r w:rsidRPr="00CD2448">
        <w:rPr>
          <w:rFonts w:ascii="Arial" w:hAnsi="Arial" w:cs="Arial"/>
          <w:color w:val="000000" w:themeColor="text1"/>
          <w:sz w:val="22"/>
          <w:szCs w:val="22"/>
          <w:shd w:val="clear" w:color="auto" w:fill="FFFFFF"/>
        </w:rPr>
        <w:t>). Given the small number of patients with immune-relevant comorbidities (n=4), comorbidity analyses are considered exploratory</w:t>
      </w:r>
      <w:r w:rsidR="008C792B" w:rsidRPr="00CD2448">
        <w:rPr>
          <w:rFonts w:ascii="Arial" w:hAnsi="Arial" w:cs="Arial"/>
          <w:color w:val="000000" w:themeColor="text1"/>
          <w:sz w:val="22"/>
          <w:szCs w:val="22"/>
          <w:shd w:val="clear" w:color="auto" w:fill="FFFFFF"/>
        </w:rPr>
        <w:t>,</w:t>
      </w:r>
      <w:r w:rsidRPr="00CD2448">
        <w:rPr>
          <w:rFonts w:ascii="Arial" w:hAnsi="Arial" w:cs="Arial"/>
          <w:color w:val="000000" w:themeColor="text1"/>
          <w:sz w:val="22"/>
          <w:szCs w:val="22"/>
          <w:shd w:val="clear" w:color="auto" w:fill="FFFFFF"/>
        </w:rPr>
        <w:t xml:space="preserve"> and patients were grouped into a single binary flag rather than analyzed </w:t>
      </w:r>
      <w:r w:rsidRPr="00CD2448">
        <w:rPr>
          <w:rFonts w:ascii="Arial" w:hAnsi="Arial" w:cs="Arial"/>
          <w:color w:val="000000" w:themeColor="text1"/>
          <w:sz w:val="22"/>
          <w:szCs w:val="22"/>
          <w:shd w:val="clear" w:color="auto" w:fill="FFFFFF"/>
        </w:rPr>
        <w:lastRenderedPageBreak/>
        <w:t>by individual diagnosis. Two sets of models were then constructed to assess the influence of these variables on the study's primary findings (</w:t>
      </w:r>
      <w:r w:rsidRPr="00CD2448">
        <w:rPr>
          <w:rFonts w:ascii="Arial" w:hAnsi="Arial" w:cs="Arial"/>
          <w:b/>
          <w:bCs/>
          <w:color w:val="000000" w:themeColor="text1"/>
          <w:sz w:val="22"/>
          <w:szCs w:val="22"/>
          <w:shd w:val="clear" w:color="auto" w:fill="FFFFFF"/>
        </w:rPr>
        <w:t>Fig.S10</w:t>
      </w:r>
      <w:r w:rsidRPr="00CD2448">
        <w:rPr>
          <w:rFonts w:ascii="Arial" w:hAnsi="Arial" w:cs="Arial"/>
          <w:color w:val="000000" w:themeColor="text1"/>
          <w:sz w:val="22"/>
          <w:szCs w:val="22"/>
          <w:shd w:val="clear" w:color="auto" w:fill="FFFFFF"/>
        </w:rPr>
        <w:t>). First, ASAS score and comorbidity status were each examined as predictors of cytokine levels, including both main effects on baseline levels and interactions with treatment, to determine whether NSAID exposure or immune comorbidity altered cytokine trajectories in response to ketamine versus placebo (</w:t>
      </w:r>
      <w:r w:rsidRPr="00CD2448">
        <w:rPr>
          <w:rFonts w:ascii="Arial" w:hAnsi="Arial" w:cs="Arial"/>
          <w:b/>
          <w:bCs/>
          <w:color w:val="000000" w:themeColor="text1"/>
          <w:sz w:val="22"/>
          <w:szCs w:val="22"/>
          <w:shd w:val="clear" w:color="auto" w:fill="FFFFFF"/>
        </w:rPr>
        <w:t>Fig.S10A–B</w:t>
      </w:r>
      <w:r w:rsidRPr="00CD2448">
        <w:rPr>
          <w:rFonts w:ascii="Arial" w:hAnsi="Arial" w:cs="Arial"/>
          <w:color w:val="000000" w:themeColor="text1"/>
          <w:sz w:val="22"/>
          <w:szCs w:val="22"/>
          <w:shd w:val="clear" w:color="auto" w:fill="FFFFFF"/>
        </w:rPr>
        <w:t xml:space="preserve">). Second, the primary cytokine moderation models from </w:t>
      </w:r>
      <w:r w:rsidRPr="00CD2448">
        <w:rPr>
          <w:rFonts w:ascii="Arial" w:hAnsi="Arial" w:cs="Arial"/>
          <w:b/>
          <w:bCs/>
          <w:color w:val="000000" w:themeColor="text1"/>
          <w:sz w:val="22"/>
          <w:szCs w:val="22"/>
          <w:shd w:val="clear" w:color="auto" w:fill="FFFFFF"/>
        </w:rPr>
        <w:t xml:space="preserve">Figure 4 </w:t>
      </w:r>
      <w:r w:rsidRPr="00CD2448">
        <w:rPr>
          <w:rFonts w:ascii="Arial" w:hAnsi="Arial" w:cs="Arial"/>
          <w:color w:val="000000" w:themeColor="text1"/>
          <w:sz w:val="22"/>
          <w:szCs w:val="22"/>
          <w:shd w:val="clear" w:color="auto" w:fill="FFFFFF"/>
        </w:rPr>
        <w:t>were re-estimated with ASAS score, comorbidity flag, or both entered simultaneously as additional fixed effects, to assess whether these factors confounded the relationship between cytokines and antidepressant response (</w:t>
      </w:r>
      <w:r w:rsidRPr="00CD2448">
        <w:rPr>
          <w:rFonts w:ascii="Arial" w:hAnsi="Arial" w:cs="Arial"/>
          <w:b/>
          <w:bCs/>
          <w:color w:val="000000" w:themeColor="text1"/>
          <w:sz w:val="22"/>
          <w:szCs w:val="22"/>
          <w:shd w:val="clear" w:color="auto" w:fill="FFFFFF"/>
        </w:rPr>
        <w:t>Fig.S10C–I</w:t>
      </w:r>
      <w:r w:rsidRPr="00CD2448">
        <w:rPr>
          <w:rFonts w:ascii="Arial" w:hAnsi="Arial" w:cs="Arial"/>
          <w:color w:val="000000" w:themeColor="text1"/>
          <w:sz w:val="22"/>
          <w:szCs w:val="22"/>
          <w:shd w:val="clear" w:color="auto" w:fill="FFFFFF"/>
        </w:rPr>
        <w:t xml:space="preserve">). All models controlled for age, sex, BMI, infusion order, and timepoint. </w:t>
      </w:r>
    </w:p>
    <w:bookmarkEnd w:id="10"/>
    <w:bookmarkEnd w:id="11"/>
    <w:p w14:paraId="08F7241A" w14:textId="77777777" w:rsidR="007C6603" w:rsidRPr="00CD2448" w:rsidRDefault="007C6603" w:rsidP="00415257">
      <w:pPr>
        <w:rPr>
          <w:rFonts w:ascii="Arial" w:hAnsi="Arial" w:cs="Arial"/>
          <w:color w:val="000000" w:themeColor="text1"/>
          <w:sz w:val="22"/>
          <w:szCs w:val="22"/>
        </w:rPr>
      </w:pPr>
    </w:p>
    <w:p w14:paraId="341CA8A7" w14:textId="77777777" w:rsidR="00D77F29" w:rsidRPr="00CD2448" w:rsidRDefault="00D03530" w:rsidP="00415257">
      <w:pPr>
        <w:rPr>
          <w:rFonts w:ascii="Arial" w:hAnsi="Arial" w:cs="Arial"/>
          <w:i/>
          <w:iCs/>
          <w:color w:val="000000" w:themeColor="text1"/>
          <w:sz w:val="22"/>
          <w:szCs w:val="22"/>
        </w:rPr>
      </w:pPr>
      <w:bookmarkStart w:id="12" w:name="OLE_LINK34"/>
      <w:r w:rsidRPr="00CD2448">
        <w:rPr>
          <w:rFonts w:ascii="Arial" w:hAnsi="Arial" w:cs="Arial"/>
          <w:i/>
          <w:iCs/>
          <w:color w:val="000000" w:themeColor="text1"/>
          <w:sz w:val="22"/>
          <w:szCs w:val="22"/>
        </w:rPr>
        <w:t>Magnetoencephalography (MEG)</w:t>
      </w:r>
    </w:p>
    <w:p w14:paraId="0500D5C5" w14:textId="35EB7E93" w:rsidR="00D03530" w:rsidRPr="00CD2448" w:rsidRDefault="00B01062" w:rsidP="00415257">
      <w:pPr>
        <w:ind w:firstLine="720"/>
        <w:rPr>
          <w:rFonts w:ascii="Arial" w:eastAsia="Aptos" w:hAnsi="Arial" w:cs="Arial"/>
          <w:color w:val="000000" w:themeColor="text1"/>
          <w:sz w:val="22"/>
          <w:szCs w:val="22"/>
        </w:rPr>
      </w:pPr>
      <w:r w:rsidRPr="00CD2448">
        <w:rPr>
          <w:rFonts w:ascii="Arial" w:eastAsia="Aptos" w:hAnsi="Arial" w:cs="Arial"/>
          <w:color w:val="000000" w:themeColor="text1"/>
          <w:sz w:val="22"/>
          <w:szCs w:val="22"/>
        </w:rPr>
        <w:t xml:space="preserve">MEG data were drawn from the ketamine crossover trial </w:t>
      </w:r>
      <w:r w:rsidRPr="00CD2448">
        <w:rPr>
          <w:rFonts w:ascii="Arial" w:hAnsi="Arial" w:cs="Arial"/>
          <w:color w:val="000000" w:themeColor="text1"/>
          <w:sz w:val="22"/>
          <w:szCs w:val="22"/>
        </w:rPr>
        <w:t>(</w:t>
      </w:r>
      <w:bookmarkStart w:id="13" w:name="OLE_LINK150"/>
      <w:r w:rsidRPr="00CD2448">
        <w:rPr>
          <w:rFonts w:ascii="Arial" w:hAnsi="Arial" w:cs="Arial"/>
          <w:color w:val="000000" w:themeColor="text1"/>
          <w:sz w:val="22"/>
          <w:szCs w:val="22"/>
        </w:rPr>
        <w:t>NCT00088699</w:t>
      </w:r>
      <w:bookmarkEnd w:id="13"/>
      <w:r w:rsidRPr="00CD2448">
        <w:rPr>
          <w:rFonts w:ascii="Arial" w:hAnsi="Arial" w:cs="Arial"/>
          <w:color w:val="000000" w:themeColor="text1"/>
          <w:sz w:val="22"/>
          <w:szCs w:val="22"/>
        </w:rPr>
        <w:t>).</w:t>
      </w:r>
      <w:r w:rsidRPr="00CD2448">
        <w:rPr>
          <w:rFonts w:ascii="Arial" w:hAnsi="Arial" w:cs="Arial"/>
          <w:i/>
          <w:iCs/>
          <w:color w:val="000000" w:themeColor="text1"/>
          <w:sz w:val="22"/>
          <w:szCs w:val="22"/>
        </w:rPr>
        <w:t xml:space="preserve"> </w:t>
      </w:r>
      <w:r w:rsidR="00D03530" w:rsidRPr="00CD2448">
        <w:rPr>
          <w:rFonts w:ascii="Arial" w:eastAsia="Aptos" w:hAnsi="Arial" w:cs="Arial"/>
          <w:color w:val="000000" w:themeColor="text1"/>
          <w:sz w:val="22"/>
          <w:szCs w:val="22"/>
        </w:rPr>
        <w:t>One or two 250-second eyes-closed resting-state MEG datasets were collected at baseline (2</w:t>
      </w:r>
      <w:r w:rsidR="00A8155E" w:rsidRPr="00CD2448">
        <w:rPr>
          <w:rFonts w:ascii="Arial" w:eastAsia="Aptos" w:hAnsi="Arial" w:cs="Arial"/>
          <w:color w:val="000000" w:themeColor="text1"/>
          <w:sz w:val="22"/>
          <w:szCs w:val="22"/>
        </w:rPr>
        <w:t>-</w:t>
      </w:r>
      <w:r w:rsidR="00D03530" w:rsidRPr="00CD2448">
        <w:rPr>
          <w:rFonts w:ascii="Arial" w:eastAsia="Aptos" w:hAnsi="Arial" w:cs="Arial"/>
          <w:color w:val="000000" w:themeColor="text1"/>
          <w:sz w:val="22"/>
          <w:szCs w:val="22"/>
        </w:rPr>
        <w:t>4 days before the first infusion) and 6-9 hours following infusions</w:t>
      </w:r>
      <w:r w:rsidR="00043A59" w:rsidRPr="00CD2448">
        <w:rPr>
          <w:rFonts w:ascii="Arial" w:eastAsia="Aptos" w:hAnsi="Arial" w:cs="Arial"/>
          <w:color w:val="000000" w:themeColor="text1"/>
          <w:sz w:val="22"/>
          <w:szCs w:val="22"/>
        </w:rPr>
        <w:t xml:space="preserve"> (post-ketamine and post-placebo)</w:t>
      </w:r>
      <w:r w:rsidR="00D03530" w:rsidRPr="00CD2448">
        <w:rPr>
          <w:rFonts w:ascii="Arial" w:eastAsia="Aptos" w:hAnsi="Arial" w:cs="Arial"/>
          <w:color w:val="000000" w:themeColor="text1"/>
          <w:sz w:val="22"/>
          <w:szCs w:val="22"/>
        </w:rPr>
        <w:t>. In addition, T1-weighted magnetic resonance imaging scans were collected from each participant in a separate scanning session using a 3T GE scanner and co-registered to the MEG images using MRI-visible fiducial markers placed at the nasion and left and right preauricular locations. During the resting</w:t>
      </w:r>
      <w:r w:rsidR="00646CBA" w:rsidRPr="00CD2448">
        <w:rPr>
          <w:rFonts w:ascii="Arial" w:eastAsia="Aptos" w:hAnsi="Arial" w:cs="Arial"/>
          <w:color w:val="000000" w:themeColor="text1"/>
          <w:sz w:val="22"/>
          <w:szCs w:val="22"/>
        </w:rPr>
        <w:t>-</w:t>
      </w:r>
      <w:r w:rsidR="00D03530" w:rsidRPr="00CD2448">
        <w:rPr>
          <w:rFonts w:ascii="Arial" w:eastAsia="Aptos" w:hAnsi="Arial" w:cs="Arial"/>
          <w:color w:val="000000" w:themeColor="text1"/>
          <w:sz w:val="22"/>
          <w:szCs w:val="22"/>
        </w:rPr>
        <w:t xml:space="preserve">state recording, participants were instructed to relax with their eyes closed and remain still. Synthetic third gradient balancing was used to attenuate background environment noise. Following acquisition, datasets were high pass filtered at 2 Hz and visually inspected to identify and remove time periods with significant muscular, ocular, or movement artifacts. Up to </w:t>
      </w:r>
      <w:r w:rsidR="00E630B8" w:rsidRPr="00CD2448">
        <w:rPr>
          <w:rFonts w:ascii="Arial" w:eastAsia="Aptos" w:hAnsi="Arial" w:cs="Arial"/>
          <w:color w:val="000000" w:themeColor="text1"/>
          <w:sz w:val="22"/>
          <w:szCs w:val="22"/>
        </w:rPr>
        <w:t xml:space="preserve">10 </w:t>
      </w:r>
      <w:r w:rsidR="00D03530" w:rsidRPr="00CD2448">
        <w:rPr>
          <w:rFonts w:ascii="Arial" w:eastAsia="Aptos" w:hAnsi="Arial" w:cs="Arial"/>
          <w:color w:val="000000" w:themeColor="text1"/>
          <w:sz w:val="22"/>
          <w:szCs w:val="22"/>
        </w:rPr>
        <w:t>segments of 15-s</w:t>
      </w:r>
      <w:r w:rsidR="00E630B8" w:rsidRPr="00CD2448">
        <w:rPr>
          <w:rFonts w:ascii="Arial" w:eastAsia="Aptos" w:hAnsi="Arial" w:cs="Arial"/>
          <w:color w:val="000000" w:themeColor="text1"/>
          <w:sz w:val="22"/>
          <w:szCs w:val="22"/>
        </w:rPr>
        <w:t>econd</w:t>
      </w:r>
      <w:r w:rsidR="00D03530" w:rsidRPr="00CD2448">
        <w:rPr>
          <w:rFonts w:ascii="Arial" w:eastAsia="Aptos" w:hAnsi="Arial" w:cs="Arial"/>
          <w:color w:val="000000" w:themeColor="text1"/>
          <w:sz w:val="22"/>
          <w:szCs w:val="22"/>
        </w:rPr>
        <w:t xml:space="preserve"> clean periods (</w:t>
      </w:r>
      <w:proofErr w:type="spellStart"/>
      <w:r w:rsidR="00D03530" w:rsidRPr="00CD2448">
        <w:rPr>
          <w:rFonts w:ascii="Arial" w:eastAsia="Aptos" w:hAnsi="Arial" w:cs="Arial"/>
          <w:color w:val="000000" w:themeColor="text1"/>
          <w:sz w:val="22"/>
          <w:szCs w:val="22"/>
        </w:rPr>
        <w:t>i.e</w:t>
      </w:r>
      <w:proofErr w:type="spellEnd"/>
      <w:r w:rsidR="00D03530" w:rsidRPr="00CD2448">
        <w:rPr>
          <w:rFonts w:ascii="Arial" w:eastAsia="Aptos" w:hAnsi="Arial" w:cs="Arial"/>
          <w:color w:val="000000" w:themeColor="text1"/>
          <w:sz w:val="22"/>
          <w:szCs w:val="22"/>
        </w:rPr>
        <w:t>, no marked artifacts) were identified in an automated fashion, and datasets were discarded if at least five 15-s</w:t>
      </w:r>
      <w:r w:rsidR="00E557CF" w:rsidRPr="00CD2448">
        <w:rPr>
          <w:rFonts w:ascii="Arial" w:eastAsia="Aptos" w:hAnsi="Arial" w:cs="Arial"/>
          <w:color w:val="000000" w:themeColor="text1"/>
          <w:sz w:val="22"/>
          <w:szCs w:val="22"/>
        </w:rPr>
        <w:t>econd</w:t>
      </w:r>
      <w:r w:rsidR="00D03530" w:rsidRPr="00CD2448">
        <w:rPr>
          <w:rFonts w:ascii="Arial" w:eastAsia="Aptos" w:hAnsi="Arial" w:cs="Arial"/>
          <w:color w:val="000000" w:themeColor="text1"/>
          <w:sz w:val="22"/>
          <w:szCs w:val="22"/>
        </w:rPr>
        <w:t xml:space="preserve"> artifact-free periods could not be identified. Subsequent data analyses u</w:t>
      </w:r>
      <w:r w:rsidR="00E557CF" w:rsidRPr="00CD2448">
        <w:rPr>
          <w:rFonts w:ascii="Arial" w:eastAsia="Aptos" w:hAnsi="Arial" w:cs="Arial"/>
          <w:color w:val="000000" w:themeColor="text1"/>
          <w:sz w:val="22"/>
          <w:szCs w:val="22"/>
        </w:rPr>
        <w:t>s</w:t>
      </w:r>
      <w:r w:rsidR="00D03530" w:rsidRPr="00CD2448">
        <w:rPr>
          <w:rFonts w:ascii="Arial" w:eastAsia="Aptos" w:hAnsi="Arial" w:cs="Arial"/>
          <w:color w:val="000000" w:themeColor="text1"/>
          <w:sz w:val="22"/>
          <w:szCs w:val="22"/>
        </w:rPr>
        <w:t xml:space="preserve">ed these cleaned datasets. </w:t>
      </w:r>
    </w:p>
    <w:p w14:paraId="62981323" w14:textId="3B885BC1" w:rsidR="00D923F5" w:rsidRPr="00CD2448" w:rsidRDefault="00D03530" w:rsidP="00415257">
      <w:pPr>
        <w:ind w:firstLine="720"/>
        <w:rPr>
          <w:rFonts w:ascii="Arial" w:eastAsia="Aptos" w:hAnsi="Arial" w:cs="Arial"/>
          <w:color w:val="000000" w:themeColor="text1"/>
          <w:sz w:val="22"/>
          <w:szCs w:val="22"/>
        </w:rPr>
      </w:pPr>
      <w:r w:rsidRPr="00CD2448">
        <w:rPr>
          <w:rFonts w:ascii="Arial" w:eastAsia="Aptos" w:hAnsi="Arial" w:cs="Arial"/>
          <w:color w:val="000000" w:themeColor="text1"/>
          <w:sz w:val="22"/>
          <w:szCs w:val="22"/>
        </w:rPr>
        <w:t>Synthetic aperture magnetometry (SAM), a linearly constrained minimum-variance beamformer algorithm</w:t>
      </w:r>
      <w:r w:rsidR="00EB58C0" w:rsidRPr="00CD2448">
        <w:rPr>
          <w:rFonts w:ascii="Arial" w:eastAsia="Aptos" w:hAnsi="Arial" w:cs="Arial"/>
          <w:color w:val="000000" w:themeColor="text1"/>
          <w:sz w:val="22"/>
          <w:szCs w:val="22"/>
        </w:rPr>
        <w:t xml:space="preserve"> </w:t>
      </w:r>
      <w:r w:rsidR="00C770C0" w:rsidRPr="00CD2448">
        <w:rPr>
          <w:rFonts w:ascii="Arial" w:eastAsiaTheme="minorHAnsi" w:hAnsi="Arial" w:cs="Arial"/>
          <w:color w:val="000000" w:themeColor="text1"/>
          <w:sz w:val="22"/>
          <w:szCs w:val="22"/>
          <w14:ligatures w14:val="standardContextual"/>
        </w:rPr>
        <w:fldChar w:fldCharType="begin"/>
      </w:r>
      <w:r w:rsidR="009A15CA" w:rsidRPr="00CD2448">
        <w:rPr>
          <w:rFonts w:ascii="Arial" w:eastAsiaTheme="minorHAnsi" w:hAnsi="Arial" w:cs="Arial"/>
          <w:color w:val="000000" w:themeColor="text1"/>
          <w:sz w:val="22"/>
          <w:szCs w:val="22"/>
          <w14:ligatures w14:val="standardContextual"/>
        </w:rPr>
        <w:instrText xml:space="preserve"> ADDIN EN.CITE &lt;EndNote&gt;&lt;Cite ExcludeYear="1"&gt;&lt;Author&gt;Vrba&lt;/Author&gt;&lt;Year&gt;2021&lt;/Year&gt;&lt;RecNum&gt;109&lt;/RecNum&gt;&lt;DisplayText&gt;[29]&lt;/DisplayText&gt;&lt;record&gt;&lt;rec-number&gt;109&lt;/rec-number&gt;&lt;foreign-keys&gt;&lt;key app="EN" db-id="dzsadpavbdaf27ef9zmxw006vzddp0epfpxa" timestamp="1759239881"&gt;109&lt;/key&gt;&lt;/foreign-keys&gt;&lt;ref-type name="Journal Article"&gt;17&lt;/ref-type&gt;&lt;contributors&gt;&lt;authors&gt;&lt;author&gt;Vrba, J.&lt;/author&gt;&lt;author&gt;Robinson, S. E.&lt;/author&gt;&lt;/authors&gt;&lt;/contributors&gt;&lt;titles&gt;&lt;title&gt;Signal processing in magnetoencephalography&lt;/title&gt;&lt;secondary-title&gt;Methods&lt;/secondary-title&gt;&lt;/titles&gt;&lt;periodical&gt;&lt;full-title&gt;Methods (San Diego, Calif.)&lt;/full-title&gt;&lt;abbr-1&gt;Methods&lt;/abbr-1&gt;&lt;/periodical&gt;&lt;pages&gt;249-271&lt;/pages&gt;&lt;volume&gt;25&lt;/volume&gt;&lt;dates&gt;&lt;year&gt;2021&lt;/year&gt;&lt;/dates&gt;&lt;urls&gt;&lt;/urls&gt;&lt;/record&gt;&lt;/Cite&gt;&lt;/EndNote&gt;</w:instrText>
      </w:r>
      <w:r w:rsidR="00C770C0" w:rsidRPr="00CD2448">
        <w:rPr>
          <w:rFonts w:ascii="Arial" w:eastAsiaTheme="minorHAnsi" w:hAnsi="Arial" w:cs="Arial"/>
          <w:color w:val="000000" w:themeColor="text1"/>
          <w:sz w:val="22"/>
          <w:szCs w:val="22"/>
          <w14:ligatures w14:val="standardContextual"/>
        </w:rPr>
        <w:fldChar w:fldCharType="separate"/>
      </w:r>
      <w:r w:rsidR="009A15CA" w:rsidRPr="00CD2448">
        <w:rPr>
          <w:rFonts w:ascii="Arial" w:eastAsiaTheme="minorHAnsi" w:hAnsi="Arial" w:cs="Arial"/>
          <w:noProof/>
          <w:color w:val="000000" w:themeColor="text1"/>
          <w:sz w:val="22"/>
          <w:szCs w:val="22"/>
          <w14:ligatures w14:val="standardContextual"/>
        </w:rPr>
        <w:t>[29]</w:t>
      </w:r>
      <w:r w:rsidR="00C770C0" w:rsidRPr="00CD2448">
        <w:rPr>
          <w:rFonts w:ascii="Arial" w:eastAsiaTheme="minorHAnsi" w:hAnsi="Arial" w:cs="Arial"/>
          <w:color w:val="000000" w:themeColor="text1"/>
          <w:sz w:val="22"/>
          <w:szCs w:val="22"/>
          <w14:ligatures w14:val="standardContextual"/>
        </w:rPr>
        <w:fldChar w:fldCharType="end"/>
      </w:r>
      <w:r w:rsidRPr="00CD2448">
        <w:rPr>
          <w:rFonts w:ascii="Arial" w:eastAsia="Aptos" w:hAnsi="Arial" w:cs="Arial"/>
          <w:color w:val="000000" w:themeColor="text1"/>
          <w:sz w:val="22"/>
          <w:szCs w:val="22"/>
        </w:rPr>
        <w:t xml:space="preserve">, was used to project source power over the rest period using a 5 mm grid and </w:t>
      </w:r>
      <w:proofErr w:type="spellStart"/>
      <w:r w:rsidRPr="00CD2448">
        <w:rPr>
          <w:rFonts w:ascii="Arial" w:eastAsia="Aptos" w:hAnsi="Arial" w:cs="Arial"/>
          <w:color w:val="000000" w:themeColor="text1"/>
          <w:sz w:val="22"/>
          <w:szCs w:val="22"/>
        </w:rPr>
        <w:t>multisphere</w:t>
      </w:r>
      <w:proofErr w:type="spellEnd"/>
      <w:r w:rsidRPr="00CD2448">
        <w:rPr>
          <w:rFonts w:ascii="Arial" w:eastAsia="Aptos" w:hAnsi="Arial" w:cs="Arial"/>
          <w:color w:val="000000" w:themeColor="text1"/>
          <w:sz w:val="22"/>
          <w:szCs w:val="22"/>
        </w:rPr>
        <w:t xml:space="preserve"> head model. Beamformer weights were first calculated using a bandpass frequency of 2-100 Hz, and power was normalized by the projected noise floor of the virtual sensor. The beamformer weights were then applied to the data to compute gamma (30-50 Hz) band power for each voxel over all trials. All images were warped to </w:t>
      </w:r>
      <w:proofErr w:type="spellStart"/>
      <w:r w:rsidRPr="00CD2448">
        <w:rPr>
          <w:rFonts w:ascii="Arial" w:eastAsia="Aptos" w:hAnsi="Arial" w:cs="Arial"/>
          <w:color w:val="000000" w:themeColor="text1"/>
          <w:sz w:val="22"/>
          <w:szCs w:val="22"/>
        </w:rPr>
        <w:t>Talairach</w:t>
      </w:r>
      <w:proofErr w:type="spellEnd"/>
      <w:r w:rsidRPr="00CD2448">
        <w:rPr>
          <w:rFonts w:ascii="Arial" w:eastAsia="Aptos" w:hAnsi="Arial" w:cs="Arial"/>
          <w:color w:val="000000" w:themeColor="text1"/>
          <w:sz w:val="22"/>
          <w:szCs w:val="22"/>
        </w:rPr>
        <w:t xml:space="preserve"> space using Analysis of Functional </w:t>
      </w:r>
      <w:proofErr w:type="spellStart"/>
      <w:r w:rsidRPr="00CD2448">
        <w:rPr>
          <w:rFonts w:ascii="Arial" w:eastAsia="Aptos" w:hAnsi="Arial" w:cs="Arial"/>
          <w:color w:val="000000" w:themeColor="text1"/>
          <w:sz w:val="22"/>
          <w:szCs w:val="22"/>
        </w:rPr>
        <w:t>NeuroImages</w:t>
      </w:r>
      <w:proofErr w:type="spellEnd"/>
      <w:r w:rsidR="008D51F2" w:rsidRPr="00CD2448">
        <w:rPr>
          <w:rFonts w:ascii="Arial" w:eastAsia="Aptos" w:hAnsi="Arial" w:cs="Arial"/>
          <w:color w:val="000000" w:themeColor="text1"/>
          <w:sz w:val="22"/>
          <w:szCs w:val="22"/>
        </w:rPr>
        <w:t xml:space="preserve"> </w:t>
      </w:r>
      <w:r w:rsidRPr="00CD2448">
        <w:rPr>
          <w:rFonts w:ascii="Arial" w:eastAsia="Aptos" w:hAnsi="Arial" w:cs="Arial"/>
          <w:color w:val="000000" w:themeColor="text1"/>
          <w:sz w:val="22"/>
          <w:szCs w:val="22"/>
        </w:rPr>
        <w:t>(AFNI) and masked to remove non-brain matter and th</w:t>
      </w:r>
      <w:r w:rsidR="008D51F2" w:rsidRPr="00CD2448">
        <w:rPr>
          <w:rFonts w:ascii="Arial" w:eastAsia="Aptos" w:hAnsi="Arial" w:cs="Arial"/>
          <w:color w:val="000000" w:themeColor="text1"/>
          <w:sz w:val="22"/>
          <w:szCs w:val="22"/>
        </w:rPr>
        <w:t xml:space="preserve">e </w:t>
      </w:r>
      <w:r w:rsidRPr="00CD2448">
        <w:rPr>
          <w:rFonts w:ascii="Arial" w:eastAsia="Aptos" w:hAnsi="Arial" w:cs="Arial"/>
          <w:color w:val="000000" w:themeColor="text1"/>
          <w:sz w:val="22"/>
          <w:szCs w:val="22"/>
        </w:rPr>
        <w:t>cerebellum. The gamma band images were then normalized by the square root of the sum of squared images for the six canonical bands between 2-100 Hz (delta, theta, alpha, beta, gamma, and high gamma). The result</w:t>
      </w:r>
      <w:r w:rsidR="000C046C" w:rsidRPr="00CD2448">
        <w:rPr>
          <w:rFonts w:ascii="Arial" w:eastAsia="Aptos" w:hAnsi="Arial" w:cs="Arial"/>
          <w:color w:val="000000" w:themeColor="text1"/>
          <w:sz w:val="22"/>
          <w:szCs w:val="22"/>
        </w:rPr>
        <w:t>ing</w:t>
      </w:r>
      <w:r w:rsidRPr="00CD2448">
        <w:rPr>
          <w:rFonts w:ascii="Arial" w:eastAsia="Aptos" w:hAnsi="Arial" w:cs="Arial"/>
          <w:color w:val="000000" w:themeColor="text1"/>
          <w:sz w:val="22"/>
          <w:szCs w:val="22"/>
        </w:rPr>
        <w:t xml:space="preserve"> normalized root-mean-square gamma power images were analyzed using linear mixed-effects models implemented in AFNI (3dLMEr) to test for main effects of IL-7</w:t>
      </w:r>
      <w:r w:rsidR="00A3398B" w:rsidRPr="00CD2448">
        <w:rPr>
          <w:rFonts w:ascii="Arial" w:eastAsia="Aptos" w:hAnsi="Arial" w:cs="Arial"/>
          <w:color w:val="000000" w:themeColor="text1"/>
          <w:sz w:val="22"/>
          <w:szCs w:val="22"/>
        </w:rPr>
        <w:t xml:space="preserve"> or </w:t>
      </w:r>
      <w:r w:rsidR="000B2660" w:rsidRPr="00CD2448">
        <w:rPr>
          <w:rFonts w:ascii="Arial" w:eastAsia="Aptos" w:hAnsi="Arial" w:cs="Arial"/>
          <w:color w:val="000000" w:themeColor="text1"/>
          <w:sz w:val="22"/>
          <w:szCs w:val="22"/>
        </w:rPr>
        <w:t>monocyte chemoattractant protein-1 (</w:t>
      </w:r>
      <w:r w:rsidR="00A3398B" w:rsidRPr="00CD2448">
        <w:rPr>
          <w:rFonts w:ascii="Arial" w:eastAsia="Aptos" w:hAnsi="Arial" w:cs="Arial"/>
          <w:color w:val="000000" w:themeColor="text1"/>
          <w:sz w:val="22"/>
          <w:szCs w:val="22"/>
        </w:rPr>
        <w:t>MCP-1</w:t>
      </w:r>
      <w:r w:rsidR="000B2660" w:rsidRPr="00CD2448">
        <w:rPr>
          <w:rFonts w:ascii="Arial" w:eastAsia="Aptos" w:hAnsi="Arial" w:cs="Arial"/>
          <w:color w:val="000000" w:themeColor="text1"/>
          <w:sz w:val="22"/>
          <w:szCs w:val="22"/>
        </w:rPr>
        <w:t>)</w:t>
      </w:r>
      <w:r w:rsidR="00761E1A" w:rsidRPr="00CD2448">
        <w:rPr>
          <w:rFonts w:ascii="Arial" w:eastAsia="Aptos" w:hAnsi="Arial" w:cs="Arial"/>
          <w:color w:val="000000" w:themeColor="text1"/>
          <w:sz w:val="22"/>
          <w:szCs w:val="22"/>
        </w:rPr>
        <w:t>. D</w:t>
      </w:r>
      <w:r w:rsidRPr="00CD2448">
        <w:rPr>
          <w:rFonts w:ascii="Arial" w:eastAsia="Aptos" w:hAnsi="Arial" w:cs="Arial"/>
          <w:color w:val="000000" w:themeColor="text1"/>
          <w:sz w:val="22"/>
          <w:szCs w:val="22"/>
        </w:rPr>
        <w:t xml:space="preserve">iagnosis (TRD, </w:t>
      </w:r>
      <w:r w:rsidR="001C1AF3" w:rsidRPr="00CD2448">
        <w:rPr>
          <w:rFonts w:ascii="Arial" w:eastAsia="Aptos" w:hAnsi="Arial" w:cs="Arial"/>
          <w:color w:val="000000" w:themeColor="text1"/>
          <w:sz w:val="22"/>
          <w:szCs w:val="22"/>
        </w:rPr>
        <w:t>HV</w:t>
      </w:r>
      <w:r w:rsidRPr="00CD2448">
        <w:rPr>
          <w:rFonts w:ascii="Arial" w:eastAsia="Aptos" w:hAnsi="Arial" w:cs="Arial"/>
          <w:color w:val="000000" w:themeColor="text1"/>
          <w:sz w:val="22"/>
          <w:szCs w:val="22"/>
        </w:rPr>
        <w:t xml:space="preserve">) and session (baseline, post-placebo, post-ketamine) were included </w:t>
      </w:r>
      <w:r w:rsidR="00761E1A" w:rsidRPr="00CD2448">
        <w:rPr>
          <w:rFonts w:ascii="Arial" w:eastAsia="Aptos" w:hAnsi="Arial" w:cs="Arial"/>
          <w:color w:val="000000" w:themeColor="text1"/>
          <w:sz w:val="22"/>
          <w:szCs w:val="22"/>
        </w:rPr>
        <w:t xml:space="preserve">for </w:t>
      </w:r>
      <w:r w:rsidRPr="00CD2448">
        <w:rPr>
          <w:rFonts w:ascii="Arial" w:eastAsia="Aptos" w:hAnsi="Arial" w:cs="Arial"/>
          <w:color w:val="000000" w:themeColor="text1"/>
          <w:sz w:val="22"/>
          <w:szCs w:val="22"/>
        </w:rPr>
        <w:t>the</w:t>
      </w:r>
      <w:r w:rsidR="00761E1A" w:rsidRPr="00CD2448">
        <w:rPr>
          <w:rFonts w:ascii="Arial" w:eastAsia="Aptos" w:hAnsi="Arial" w:cs="Arial"/>
          <w:color w:val="000000" w:themeColor="text1"/>
          <w:sz w:val="22"/>
          <w:szCs w:val="22"/>
        </w:rPr>
        <w:t xml:space="preserve"> individual cytokine</w:t>
      </w:r>
      <w:r w:rsidRPr="00CD2448">
        <w:rPr>
          <w:rFonts w:ascii="Arial" w:eastAsia="Aptos" w:hAnsi="Arial" w:cs="Arial"/>
          <w:color w:val="000000" w:themeColor="text1"/>
          <w:sz w:val="22"/>
          <w:szCs w:val="22"/>
        </w:rPr>
        <w:t xml:space="preserve"> models. </w:t>
      </w:r>
    </w:p>
    <w:bookmarkEnd w:id="12"/>
    <w:p w14:paraId="7D9E71A6" w14:textId="77777777" w:rsidR="00D923F5" w:rsidRPr="00CD2448" w:rsidRDefault="00D923F5" w:rsidP="00415257">
      <w:pPr>
        <w:rPr>
          <w:rFonts w:ascii="Arial" w:eastAsia="Aptos" w:hAnsi="Arial" w:cs="Arial"/>
          <w:color w:val="000000" w:themeColor="text1"/>
          <w:sz w:val="22"/>
          <w:szCs w:val="22"/>
        </w:rPr>
      </w:pPr>
    </w:p>
    <w:p w14:paraId="64BF0CC2" w14:textId="77777777" w:rsidR="005E61C2" w:rsidRPr="00CD2448" w:rsidRDefault="00853881" w:rsidP="00415257">
      <w:pPr>
        <w:rPr>
          <w:rFonts w:ascii="Arial" w:eastAsia="Aptos" w:hAnsi="Arial" w:cs="Arial"/>
          <w:i/>
          <w:iCs/>
          <w:color w:val="000000" w:themeColor="text1"/>
          <w:sz w:val="22"/>
          <w:szCs w:val="22"/>
        </w:rPr>
      </w:pPr>
      <w:r w:rsidRPr="00CD2448">
        <w:rPr>
          <w:rFonts w:ascii="Arial" w:eastAsia="Aptos" w:hAnsi="Arial" w:cs="Arial"/>
          <w:i/>
          <w:iCs/>
          <w:color w:val="000000" w:themeColor="text1"/>
          <w:sz w:val="22"/>
          <w:szCs w:val="22"/>
        </w:rPr>
        <w:t>Post-Mortem Brain Gene Expression Analysis</w:t>
      </w:r>
    </w:p>
    <w:p w14:paraId="44018805" w14:textId="214D1D0C" w:rsidR="00FF3FC5" w:rsidRPr="00CD2448" w:rsidRDefault="00853881" w:rsidP="00415257">
      <w:pPr>
        <w:ind w:firstLine="720"/>
        <w:rPr>
          <w:rFonts w:ascii="Arial" w:eastAsia="Aptos" w:hAnsi="Arial" w:cs="Arial"/>
          <w:color w:val="000000" w:themeColor="text1"/>
          <w:sz w:val="22"/>
          <w:szCs w:val="22"/>
        </w:rPr>
      </w:pPr>
      <w:r w:rsidRPr="00CD2448">
        <w:rPr>
          <w:rFonts w:ascii="Arial" w:eastAsia="Aptos" w:hAnsi="Arial" w:cs="Arial"/>
          <w:color w:val="000000" w:themeColor="text1"/>
          <w:sz w:val="22"/>
          <w:szCs w:val="22"/>
        </w:rPr>
        <w:t>Whole-brain gene expression data were obtained from the Allen Human Brain Atlas</w:t>
      </w:r>
      <w:r w:rsidR="00302DB1" w:rsidRPr="00CD2448">
        <w:rPr>
          <w:rFonts w:ascii="Arial" w:eastAsia="Aptos" w:hAnsi="Arial" w:cs="Arial"/>
          <w:color w:val="000000" w:themeColor="text1"/>
          <w:sz w:val="22"/>
          <w:szCs w:val="22"/>
        </w:rPr>
        <w:t xml:space="preserve"> </w:t>
      </w:r>
      <w:r w:rsidRPr="00CD2448">
        <w:rPr>
          <w:rFonts w:ascii="Arial" w:hAnsi="Arial" w:cs="Arial"/>
          <w:i/>
          <w:iCs/>
          <w:color w:val="000000" w:themeColor="text1"/>
          <w:sz w:val="22"/>
          <w:szCs w:val="22"/>
        </w:rPr>
        <w:t>(https://human.brain-map.org/)</w:t>
      </w:r>
      <w:r w:rsidRPr="00CD2448">
        <w:rPr>
          <w:rFonts w:ascii="Arial" w:eastAsia="Aptos" w:hAnsi="Arial" w:cs="Arial"/>
          <w:color w:val="000000" w:themeColor="text1"/>
          <w:sz w:val="22"/>
          <w:szCs w:val="22"/>
        </w:rPr>
        <w:t xml:space="preserve">, which provides comprehensive microarray-based expression profiles across six neurotypical adult brains. Expression data were mapped to the 268-parcel Shen atlas using the </w:t>
      </w:r>
      <w:proofErr w:type="spellStart"/>
      <w:r w:rsidRPr="00CD2448">
        <w:rPr>
          <w:rFonts w:ascii="Arial" w:eastAsia="Aptos" w:hAnsi="Arial" w:cs="Arial"/>
          <w:color w:val="000000" w:themeColor="text1"/>
          <w:sz w:val="22"/>
          <w:szCs w:val="22"/>
        </w:rPr>
        <w:t>abagen</w:t>
      </w:r>
      <w:proofErr w:type="spellEnd"/>
      <w:r w:rsidRPr="00CD2448">
        <w:rPr>
          <w:rFonts w:ascii="Arial" w:eastAsia="Aptos" w:hAnsi="Arial" w:cs="Arial"/>
          <w:color w:val="000000" w:themeColor="text1"/>
          <w:sz w:val="22"/>
          <w:szCs w:val="22"/>
        </w:rPr>
        <w:t xml:space="preserve"> toolbox </w:t>
      </w:r>
      <w:r w:rsidRPr="00CD2448">
        <w:rPr>
          <w:rFonts w:ascii="Arial" w:eastAsia="Aptos" w:hAnsi="Arial" w:cs="Arial"/>
          <w:i/>
          <w:iCs/>
          <w:color w:val="000000" w:themeColor="text1"/>
          <w:sz w:val="22"/>
          <w:szCs w:val="22"/>
        </w:rPr>
        <w:t>(https://abagen.readthedocs.io)</w:t>
      </w:r>
      <w:r w:rsidRPr="00CD2448">
        <w:rPr>
          <w:rFonts w:ascii="Arial" w:eastAsia="Aptos" w:hAnsi="Arial" w:cs="Arial"/>
          <w:color w:val="000000" w:themeColor="text1"/>
          <w:sz w:val="22"/>
          <w:szCs w:val="22"/>
        </w:rPr>
        <w:t xml:space="preserve"> with parameters optimized for whole-brain coverage including subcortical structures. Processing included: minimum </w:t>
      </w:r>
      <w:r w:rsidR="00A33A5A" w:rsidRPr="00CD2448">
        <w:rPr>
          <w:rFonts w:ascii="Arial" w:eastAsia="Aptos" w:hAnsi="Arial" w:cs="Arial"/>
          <w:color w:val="000000" w:themeColor="text1"/>
          <w:sz w:val="22"/>
          <w:szCs w:val="22"/>
        </w:rPr>
        <w:t>two</w:t>
      </w:r>
      <w:r w:rsidRPr="00CD2448">
        <w:rPr>
          <w:rFonts w:ascii="Arial" w:eastAsia="Aptos" w:hAnsi="Arial" w:cs="Arial"/>
          <w:color w:val="000000" w:themeColor="text1"/>
          <w:sz w:val="22"/>
          <w:szCs w:val="22"/>
        </w:rPr>
        <w:t xml:space="preserve"> donors per parcel, 3mm spatial tolerance for sample-to-parcel assignment, differential stability probe selection, and intensity-based filtering (threshold=0.3). Unilateral coverage was chosen given that only two samples </w:t>
      </w:r>
      <w:r w:rsidR="0036430E" w:rsidRPr="00CD2448">
        <w:rPr>
          <w:rFonts w:ascii="Arial" w:eastAsia="Aptos" w:hAnsi="Arial" w:cs="Arial"/>
          <w:color w:val="000000" w:themeColor="text1"/>
          <w:sz w:val="22"/>
          <w:szCs w:val="22"/>
        </w:rPr>
        <w:t xml:space="preserve">in the </w:t>
      </w:r>
      <w:r w:rsidR="00996BFF" w:rsidRPr="00CD2448">
        <w:rPr>
          <w:rFonts w:ascii="Arial" w:eastAsia="Aptos" w:hAnsi="Arial" w:cs="Arial"/>
          <w:color w:val="000000" w:themeColor="text1"/>
          <w:sz w:val="22"/>
          <w:szCs w:val="22"/>
        </w:rPr>
        <w:t>Allen Human Brain Atlas</w:t>
      </w:r>
      <w:r w:rsidR="0036430E" w:rsidRPr="00CD2448">
        <w:rPr>
          <w:rFonts w:ascii="Arial" w:eastAsia="Aptos" w:hAnsi="Arial" w:cs="Arial"/>
          <w:color w:val="000000" w:themeColor="text1"/>
          <w:sz w:val="22"/>
          <w:szCs w:val="22"/>
        </w:rPr>
        <w:t xml:space="preserve"> underwent</w:t>
      </w:r>
      <w:r w:rsidRPr="00CD2448">
        <w:rPr>
          <w:rFonts w:ascii="Arial" w:eastAsia="Aptos" w:hAnsi="Arial" w:cs="Arial"/>
          <w:color w:val="000000" w:themeColor="text1"/>
          <w:sz w:val="22"/>
          <w:szCs w:val="22"/>
        </w:rPr>
        <w:t xml:space="preserve"> full bilateral sequencing, after which it was determined that the</w:t>
      </w:r>
      <w:r w:rsidR="0036430E" w:rsidRPr="00CD2448">
        <w:rPr>
          <w:rFonts w:ascii="Arial" w:eastAsia="Aptos" w:hAnsi="Arial" w:cs="Arial"/>
          <w:color w:val="000000" w:themeColor="text1"/>
          <w:sz w:val="22"/>
          <w:szCs w:val="22"/>
        </w:rPr>
        <w:t xml:space="preserve"> intra-hemispheric similarity was sufficient for</w:t>
      </w:r>
      <w:r w:rsidRPr="00CD2448">
        <w:rPr>
          <w:rFonts w:ascii="Arial" w:eastAsia="Aptos" w:hAnsi="Arial" w:cs="Arial"/>
          <w:color w:val="000000" w:themeColor="text1"/>
          <w:sz w:val="22"/>
          <w:szCs w:val="22"/>
        </w:rPr>
        <w:t xml:space="preserve"> </w:t>
      </w:r>
      <w:r w:rsidR="00996BFF" w:rsidRPr="00CD2448">
        <w:rPr>
          <w:rFonts w:ascii="Arial" w:eastAsia="Aptos" w:hAnsi="Arial" w:cs="Arial"/>
          <w:color w:val="000000" w:themeColor="text1"/>
          <w:sz w:val="22"/>
          <w:szCs w:val="22"/>
        </w:rPr>
        <w:t xml:space="preserve">the </w:t>
      </w:r>
      <w:r w:rsidRPr="00CD2448">
        <w:rPr>
          <w:rFonts w:ascii="Arial" w:eastAsia="Aptos" w:hAnsi="Arial" w:cs="Arial"/>
          <w:color w:val="000000" w:themeColor="text1"/>
          <w:sz w:val="22"/>
          <w:szCs w:val="22"/>
        </w:rPr>
        <w:t xml:space="preserve">remainder of the samples </w:t>
      </w:r>
      <w:r w:rsidR="0036430E" w:rsidRPr="00CD2448">
        <w:rPr>
          <w:rFonts w:ascii="Arial" w:eastAsia="Aptos" w:hAnsi="Arial" w:cs="Arial"/>
          <w:color w:val="000000" w:themeColor="text1"/>
          <w:sz w:val="22"/>
          <w:szCs w:val="22"/>
        </w:rPr>
        <w:t xml:space="preserve">to </w:t>
      </w:r>
      <w:r w:rsidRPr="00CD2448">
        <w:rPr>
          <w:rFonts w:ascii="Arial" w:eastAsia="Aptos" w:hAnsi="Arial" w:cs="Arial"/>
          <w:color w:val="000000" w:themeColor="text1"/>
          <w:sz w:val="22"/>
          <w:szCs w:val="22"/>
        </w:rPr>
        <w:t xml:space="preserve">be sequenced unilaterally. Gene expression values were normalized using scaled robust sigmoid normalization, and </w:t>
      </w:r>
      <w:r w:rsidRPr="00CD2448">
        <w:rPr>
          <w:rFonts w:ascii="Arial" w:eastAsia="Aptos" w:hAnsi="Arial" w:cs="Arial"/>
          <w:i/>
          <w:iCs/>
          <w:color w:val="000000" w:themeColor="text1"/>
          <w:sz w:val="22"/>
          <w:szCs w:val="22"/>
        </w:rPr>
        <w:t>z</w:t>
      </w:r>
      <w:r w:rsidRPr="00CD2448">
        <w:rPr>
          <w:rFonts w:ascii="Arial" w:eastAsia="Aptos" w:hAnsi="Arial" w:cs="Arial"/>
          <w:color w:val="000000" w:themeColor="text1"/>
          <w:sz w:val="22"/>
          <w:szCs w:val="22"/>
        </w:rPr>
        <w:t>-scores were calculated across parcels for visualization and analysis. Target genes of interest (IL</w:t>
      </w:r>
      <w:r w:rsidR="000A5536" w:rsidRPr="00CD2448">
        <w:rPr>
          <w:rFonts w:ascii="Arial" w:eastAsia="Aptos" w:hAnsi="Arial" w:cs="Arial"/>
          <w:color w:val="000000" w:themeColor="text1"/>
          <w:sz w:val="22"/>
          <w:szCs w:val="22"/>
        </w:rPr>
        <w:t>-</w:t>
      </w:r>
      <w:r w:rsidRPr="00CD2448">
        <w:rPr>
          <w:rFonts w:ascii="Arial" w:eastAsia="Aptos" w:hAnsi="Arial" w:cs="Arial"/>
          <w:color w:val="000000" w:themeColor="text1"/>
          <w:sz w:val="22"/>
          <w:szCs w:val="22"/>
        </w:rPr>
        <w:t>7</w:t>
      </w:r>
      <w:r w:rsidR="000A5536" w:rsidRPr="00CD2448">
        <w:rPr>
          <w:rFonts w:ascii="Arial" w:eastAsia="Aptos" w:hAnsi="Arial" w:cs="Arial"/>
          <w:color w:val="000000" w:themeColor="text1"/>
          <w:sz w:val="22"/>
          <w:szCs w:val="22"/>
        </w:rPr>
        <w:t xml:space="preserve"> receptor</w:t>
      </w:r>
      <w:r w:rsidR="007B172D" w:rsidRPr="00CD2448">
        <w:rPr>
          <w:rFonts w:ascii="Arial" w:eastAsia="Aptos" w:hAnsi="Arial" w:cs="Arial"/>
          <w:color w:val="000000" w:themeColor="text1"/>
          <w:sz w:val="22"/>
          <w:szCs w:val="22"/>
        </w:rPr>
        <w:t xml:space="preserve"> (IL-7R)</w:t>
      </w:r>
      <w:r w:rsidRPr="00CD2448">
        <w:rPr>
          <w:rFonts w:ascii="Arial" w:eastAsia="Aptos" w:hAnsi="Arial" w:cs="Arial"/>
          <w:color w:val="000000" w:themeColor="text1"/>
          <w:sz w:val="22"/>
          <w:szCs w:val="22"/>
        </w:rPr>
        <w:t>, IL</w:t>
      </w:r>
      <w:r w:rsidR="000A5536" w:rsidRPr="00CD2448">
        <w:rPr>
          <w:rFonts w:ascii="Arial" w:eastAsia="Aptos" w:hAnsi="Arial" w:cs="Arial"/>
          <w:color w:val="000000" w:themeColor="text1"/>
          <w:sz w:val="22"/>
          <w:szCs w:val="22"/>
        </w:rPr>
        <w:t>-</w:t>
      </w:r>
      <w:r w:rsidRPr="00CD2448">
        <w:rPr>
          <w:rFonts w:ascii="Arial" w:eastAsia="Aptos" w:hAnsi="Arial" w:cs="Arial"/>
          <w:color w:val="000000" w:themeColor="text1"/>
          <w:sz w:val="22"/>
          <w:szCs w:val="22"/>
        </w:rPr>
        <w:t xml:space="preserve">15, </w:t>
      </w:r>
      <w:r w:rsidR="000A5536" w:rsidRPr="00CD2448">
        <w:rPr>
          <w:rFonts w:ascii="Arial" w:eastAsia="Aptos" w:hAnsi="Arial" w:cs="Arial"/>
          <w:color w:val="000000" w:themeColor="text1"/>
          <w:sz w:val="22"/>
          <w:szCs w:val="22"/>
        </w:rPr>
        <w:t xml:space="preserve">and </w:t>
      </w:r>
      <w:r w:rsidRPr="00CD2448">
        <w:rPr>
          <w:rFonts w:ascii="Arial" w:eastAsia="Aptos" w:hAnsi="Arial" w:cs="Arial"/>
          <w:color w:val="000000" w:themeColor="text1"/>
          <w:sz w:val="22"/>
          <w:szCs w:val="22"/>
        </w:rPr>
        <w:t>IL</w:t>
      </w:r>
      <w:r w:rsidR="000A5536" w:rsidRPr="00CD2448">
        <w:rPr>
          <w:rFonts w:ascii="Arial" w:eastAsia="Aptos" w:hAnsi="Arial" w:cs="Arial"/>
          <w:color w:val="000000" w:themeColor="text1"/>
          <w:sz w:val="22"/>
          <w:szCs w:val="22"/>
        </w:rPr>
        <w:t>-</w:t>
      </w:r>
      <w:r w:rsidRPr="00CD2448">
        <w:rPr>
          <w:rFonts w:ascii="Arial" w:eastAsia="Aptos" w:hAnsi="Arial" w:cs="Arial"/>
          <w:color w:val="000000" w:themeColor="text1"/>
          <w:sz w:val="22"/>
          <w:szCs w:val="22"/>
        </w:rPr>
        <w:t>15</w:t>
      </w:r>
      <w:r w:rsidR="00FB38C5" w:rsidRPr="00CD2448">
        <w:rPr>
          <w:rFonts w:ascii="Arial" w:eastAsia="Aptos" w:hAnsi="Arial" w:cs="Arial"/>
          <w:color w:val="000000" w:themeColor="text1"/>
          <w:sz w:val="22"/>
          <w:szCs w:val="22"/>
        </w:rPr>
        <w:t xml:space="preserve"> receptor subunit alpha (IL-15</w:t>
      </w:r>
      <w:r w:rsidRPr="00CD2448">
        <w:rPr>
          <w:rFonts w:ascii="Arial" w:eastAsia="Aptos" w:hAnsi="Arial" w:cs="Arial"/>
          <w:color w:val="000000" w:themeColor="text1"/>
          <w:sz w:val="22"/>
          <w:szCs w:val="22"/>
        </w:rPr>
        <w:t>RA</w:t>
      </w:r>
      <w:r w:rsidR="00FB38C5" w:rsidRPr="00CD2448">
        <w:rPr>
          <w:rFonts w:ascii="Arial" w:eastAsia="Aptos" w:hAnsi="Arial" w:cs="Arial"/>
          <w:color w:val="000000" w:themeColor="text1"/>
          <w:sz w:val="22"/>
          <w:szCs w:val="22"/>
        </w:rPr>
        <w:t>)</w:t>
      </w:r>
      <w:r w:rsidRPr="00CD2448">
        <w:rPr>
          <w:rFonts w:ascii="Arial" w:eastAsia="Aptos" w:hAnsi="Arial" w:cs="Arial"/>
          <w:color w:val="000000" w:themeColor="text1"/>
          <w:sz w:val="22"/>
          <w:szCs w:val="22"/>
        </w:rPr>
        <w:t>) were identified</w:t>
      </w:r>
      <w:r w:rsidR="00677F85" w:rsidRPr="00CD2448">
        <w:rPr>
          <w:rFonts w:ascii="Arial" w:eastAsia="Aptos" w:hAnsi="Arial" w:cs="Arial"/>
          <w:color w:val="000000" w:themeColor="text1"/>
          <w:sz w:val="22"/>
          <w:szCs w:val="22"/>
        </w:rPr>
        <w:t xml:space="preserve">, </w:t>
      </w:r>
      <w:r w:rsidRPr="00CD2448">
        <w:rPr>
          <w:rFonts w:ascii="Arial" w:eastAsia="Aptos" w:hAnsi="Arial" w:cs="Arial"/>
          <w:color w:val="000000" w:themeColor="text1"/>
          <w:sz w:val="22"/>
          <w:szCs w:val="22"/>
        </w:rPr>
        <w:t>and their expression patterns were qualitatively compared with MEG-derived gamma power maps to examine spatial relationships between cytokine receptor distribution and neural oscillatory activity. IL</w:t>
      </w:r>
      <w:r w:rsidR="00FE4A86" w:rsidRPr="00CD2448">
        <w:rPr>
          <w:rFonts w:ascii="Arial" w:eastAsia="Aptos" w:hAnsi="Arial" w:cs="Arial"/>
          <w:color w:val="000000" w:themeColor="text1"/>
          <w:sz w:val="22"/>
          <w:szCs w:val="22"/>
        </w:rPr>
        <w:t>-</w:t>
      </w:r>
      <w:r w:rsidRPr="00CD2448">
        <w:rPr>
          <w:rFonts w:ascii="Arial" w:eastAsia="Aptos" w:hAnsi="Arial" w:cs="Arial"/>
          <w:color w:val="000000" w:themeColor="text1"/>
          <w:sz w:val="22"/>
          <w:szCs w:val="22"/>
        </w:rPr>
        <w:t xml:space="preserve">7 itself did not pass gene quality/filtering thresholds and was thus not displayed. </w:t>
      </w:r>
    </w:p>
    <w:p w14:paraId="4D008E42" w14:textId="77777777" w:rsidR="005E61C2" w:rsidRPr="00CD2448" w:rsidRDefault="005E61C2" w:rsidP="00415257">
      <w:pPr>
        <w:ind w:firstLine="720"/>
        <w:rPr>
          <w:rFonts w:ascii="Arial" w:eastAsia="Aptos" w:hAnsi="Arial" w:cs="Arial"/>
          <w:color w:val="000000" w:themeColor="text1"/>
          <w:sz w:val="22"/>
          <w:szCs w:val="22"/>
        </w:rPr>
      </w:pPr>
      <w:bookmarkStart w:id="14" w:name="OLE_LINK151"/>
    </w:p>
    <w:p w14:paraId="672BA3C9" w14:textId="55440DA6" w:rsidR="005E61C2" w:rsidRPr="00CD2448" w:rsidRDefault="005E61C2" w:rsidP="00415257">
      <w:pPr>
        <w:rPr>
          <w:rFonts w:ascii="Arial" w:eastAsia="Aptos" w:hAnsi="Arial" w:cs="Arial"/>
          <w:i/>
          <w:iCs/>
          <w:color w:val="000000" w:themeColor="text1"/>
          <w:sz w:val="22"/>
          <w:szCs w:val="22"/>
        </w:rPr>
      </w:pPr>
      <w:r w:rsidRPr="00CD2448">
        <w:rPr>
          <w:rFonts w:ascii="Arial" w:eastAsia="Aptos" w:hAnsi="Arial" w:cs="Arial"/>
          <w:i/>
          <w:iCs/>
          <w:color w:val="000000" w:themeColor="text1"/>
          <w:sz w:val="22"/>
          <w:szCs w:val="22"/>
        </w:rPr>
        <w:t>Linking Blood-Based Biomarkers from the NIMH Ketamine Mechanism of Action Study (NCT00088699) to Publicly Available Neuroimaging</w:t>
      </w:r>
      <w:r w:rsidR="00704E40" w:rsidRPr="00CD2448">
        <w:rPr>
          <w:rFonts w:ascii="Arial" w:eastAsia="Aptos" w:hAnsi="Arial" w:cs="Arial"/>
          <w:i/>
          <w:iCs/>
          <w:color w:val="000000" w:themeColor="text1"/>
          <w:sz w:val="22"/>
          <w:szCs w:val="22"/>
        </w:rPr>
        <w:t xml:space="preserve"> and Additional Covariate and Symptom Inventories</w:t>
      </w:r>
    </w:p>
    <w:bookmarkEnd w:id="14"/>
    <w:p w14:paraId="24C7B352" w14:textId="7403B178" w:rsidR="005E61C2" w:rsidRPr="00CD2448" w:rsidRDefault="00B368FB" w:rsidP="00415257">
      <w:pPr>
        <w:ind w:firstLine="720"/>
        <w:rPr>
          <w:rFonts w:ascii="Arial" w:eastAsia="Aptos" w:hAnsi="Arial" w:cs="Arial"/>
          <w:color w:val="000000" w:themeColor="text1"/>
          <w:sz w:val="22"/>
          <w:szCs w:val="22"/>
        </w:rPr>
      </w:pPr>
      <w:r w:rsidRPr="00CD2448">
        <w:rPr>
          <w:rFonts w:ascii="Arial" w:eastAsia="Aptos" w:hAnsi="Arial" w:cs="Arial"/>
          <w:color w:val="000000" w:themeColor="text1"/>
          <w:sz w:val="22"/>
          <w:szCs w:val="22"/>
        </w:rPr>
        <w:t>fMRI data (not analyzed in the current manuscript)</w:t>
      </w:r>
      <w:r w:rsidR="00032FA9" w:rsidRPr="00CD2448">
        <w:rPr>
          <w:rFonts w:ascii="Arial" w:eastAsia="Aptos" w:hAnsi="Arial" w:cs="Arial"/>
          <w:color w:val="000000" w:themeColor="text1"/>
          <w:sz w:val="22"/>
          <w:szCs w:val="22"/>
        </w:rPr>
        <w:t xml:space="preserve"> from the ketamine crossover trial are publicly available</w:t>
      </w:r>
      <w:r w:rsidR="0009558B" w:rsidRPr="00CD2448">
        <w:rPr>
          <w:rFonts w:ascii="Arial" w:eastAsia="Aptos" w:hAnsi="Arial" w:cs="Arial"/>
          <w:color w:val="000000" w:themeColor="text1"/>
          <w:sz w:val="22"/>
          <w:szCs w:val="22"/>
        </w:rPr>
        <w:t xml:space="preserve"> and include a full description of acquisition parameters and cohort characteristics (available at: </w:t>
      </w:r>
      <w:hyperlink r:id="rId9" w:history="1">
        <w:r w:rsidR="00032FA9" w:rsidRPr="00CD2448">
          <w:rPr>
            <w:rStyle w:val="Hyperlink"/>
            <w:rFonts w:ascii="Arial" w:eastAsia="Aptos" w:hAnsi="Arial" w:cs="Arial"/>
            <w:color w:val="000000" w:themeColor="text1"/>
            <w:sz w:val="22"/>
            <w:szCs w:val="22"/>
          </w:rPr>
          <w:t>doi:10.18112/openneuro.ds005917.v1.0.1</w:t>
        </w:r>
      </w:hyperlink>
      <w:r w:rsidR="00AC4284" w:rsidRPr="00CD2448">
        <w:rPr>
          <w:rFonts w:ascii="Arial" w:eastAsia="Aptos" w:hAnsi="Arial" w:cs="Arial"/>
          <w:color w:val="000000" w:themeColor="text1"/>
          <w:sz w:val="22"/>
          <w:szCs w:val="22"/>
        </w:rPr>
        <w:t>)</w:t>
      </w:r>
      <w:r w:rsidR="00032FA9" w:rsidRPr="00CD2448">
        <w:rPr>
          <w:rFonts w:ascii="Arial" w:eastAsia="Aptos" w:hAnsi="Arial" w:cs="Arial"/>
          <w:color w:val="000000" w:themeColor="text1"/>
          <w:sz w:val="22"/>
          <w:szCs w:val="22"/>
        </w:rPr>
        <w:t>. Individual file names in the repository correspond to the "</w:t>
      </w:r>
      <w:proofErr w:type="spellStart"/>
      <w:r w:rsidR="00032FA9" w:rsidRPr="00CD2448">
        <w:rPr>
          <w:rFonts w:ascii="Arial" w:eastAsia="Aptos" w:hAnsi="Arial" w:cs="Arial"/>
          <w:color w:val="000000" w:themeColor="text1"/>
          <w:sz w:val="22"/>
          <w:szCs w:val="22"/>
        </w:rPr>
        <w:t>Patient_ID</w:t>
      </w:r>
      <w:proofErr w:type="spellEnd"/>
      <w:r w:rsidR="00032FA9" w:rsidRPr="00CD2448">
        <w:rPr>
          <w:rFonts w:ascii="Arial" w:eastAsia="Aptos" w:hAnsi="Arial" w:cs="Arial"/>
          <w:color w:val="000000" w:themeColor="text1"/>
          <w:sz w:val="22"/>
          <w:szCs w:val="22"/>
        </w:rPr>
        <w:t xml:space="preserve">" identifiers listed in the Excel files accompanying this publication. For example, "sub-MOA101" in the fMRI repository corresponds to the de-identified participant "101M" whose cytokine and RNA-seq biomarker data appear in the attached Excel files. Briefly, fMRI data were collected at baseline ("ses-b0") and at </w:t>
      </w:r>
      <w:r w:rsidR="008A32EA" w:rsidRPr="00CD2448">
        <w:rPr>
          <w:rFonts w:ascii="Arial" w:eastAsia="Aptos" w:hAnsi="Arial" w:cs="Arial"/>
          <w:color w:val="000000" w:themeColor="text1"/>
          <w:sz w:val="22"/>
          <w:szCs w:val="22"/>
        </w:rPr>
        <w:t xml:space="preserve">two </w:t>
      </w:r>
      <w:r w:rsidR="00032FA9" w:rsidRPr="00CD2448">
        <w:rPr>
          <w:rFonts w:ascii="Arial" w:eastAsia="Aptos" w:hAnsi="Arial" w:cs="Arial"/>
          <w:color w:val="000000" w:themeColor="text1"/>
          <w:sz w:val="22"/>
          <w:szCs w:val="22"/>
        </w:rPr>
        <w:t xml:space="preserve">and 10 days following each infusion. The fMRI repository prefix "ses-d2/d10" denotes post-ketamine scans, while "ses-p2/p10" denotes post-placebo scans. MEG data will be made </w:t>
      </w:r>
      <w:r w:rsidR="008A32EA" w:rsidRPr="00CD2448">
        <w:rPr>
          <w:rFonts w:ascii="Arial" w:eastAsia="Aptos" w:hAnsi="Arial" w:cs="Arial"/>
          <w:color w:val="000000" w:themeColor="text1"/>
          <w:sz w:val="22"/>
          <w:szCs w:val="22"/>
        </w:rPr>
        <w:t xml:space="preserve">publicly </w:t>
      </w:r>
      <w:r w:rsidR="00032FA9" w:rsidRPr="00CD2448">
        <w:rPr>
          <w:rFonts w:ascii="Arial" w:eastAsia="Aptos" w:hAnsi="Arial" w:cs="Arial"/>
          <w:color w:val="000000" w:themeColor="text1"/>
          <w:sz w:val="22"/>
          <w:szCs w:val="22"/>
        </w:rPr>
        <w:t xml:space="preserve">available upon completion of additional analyses currently under </w:t>
      </w:r>
      <w:r w:rsidR="00527769" w:rsidRPr="00CD2448">
        <w:rPr>
          <w:rFonts w:ascii="Arial" w:eastAsia="Aptos" w:hAnsi="Arial" w:cs="Arial"/>
          <w:color w:val="000000" w:themeColor="text1"/>
          <w:sz w:val="22"/>
          <w:szCs w:val="22"/>
        </w:rPr>
        <w:t>review and</w:t>
      </w:r>
      <w:r w:rsidR="00032FA9" w:rsidRPr="00CD2448">
        <w:rPr>
          <w:rFonts w:ascii="Arial" w:eastAsia="Aptos" w:hAnsi="Arial" w:cs="Arial"/>
          <w:color w:val="000000" w:themeColor="text1"/>
          <w:sz w:val="22"/>
          <w:szCs w:val="22"/>
        </w:rPr>
        <w:t xml:space="preserve"> will correspond to the 6–</w:t>
      </w:r>
      <w:r w:rsidR="00527769" w:rsidRPr="00CD2448">
        <w:rPr>
          <w:rFonts w:ascii="Arial" w:eastAsia="Aptos" w:hAnsi="Arial" w:cs="Arial"/>
          <w:color w:val="000000" w:themeColor="text1"/>
          <w:sz w:val="22"/>
          <w:szCs w:val="22"/>
        </w:rPr>
        <w:t>9-hour</w:t>
      </w:r>
      <w:r w:rsidR="00032FA9" w:rsidRPr="00CD2448">
        <w:rPr>
          <w:rFonts w:ascii="Arial" w:eastAsia="Aptos" w:hAnsi="Arial" w:cs="Arial"/>
          <w:color w:val="000000" w:themeColor="text1"/>
          <w:sz w:val="22"/>
          <w:szCs w:val="22"/>
        </w:rPr>
        <w:t xml:space="preserve"> post-infusion timepoint for each condition. </w:t>
      </w:r>
      <w:r w:rsidR="00527769" w:rsidRPr="00CD2448">
        <w:rPr>
          <w:rFonts w:ascii="Arial" w:eastAsia="Aptos" w:hAnsi="Arial" w:cs="Arial"/>
          <w:color w:val="000000" w:themeColor="text1"/>
          <w:sz w:val="22"/>
          <w:szCs w:val="22"/>
        </w:rPr>
        <w:t>De-identified, p</w:t>
      </w:r>
      <w:r w:rsidR="00032FA9" w:rsidRPr="00CD2448">
        <w:rPr>
          <w:rFonts w:ascii="Arial" w:eastAsia="Aptos" w:hAnsi="Arial" w:cs="Arial"/>
          <w:color w:val="000000" w:themeColor="text1"/>
          <w:sz w:val="22"/>
          <w:szCs w:val="22"/>
        </w:rPr>
        <w:t>articipant-level nomenclature will be consistent across modalities to facilitate straightforward linkage between blood-based biomarkers and individual MEG scans.</w:t>
      </w:r>
      <w:r w:rsidR="00527FED" w:rsidRPr="00CD2448">
        <w:rPr>
          <w:rFonts w:ascii="Arial" w:eastAsia="Aptos" w:hAnsi="Arial" w:cs="Arial"/>
          <w:color w:val="000000" w:themeColor="text1"/>
          <w:sz w:val="22"/>
          <w:szCs w:val="22"/>
        </w:rPr>
        <w:t xml:space="preserve"> For interim access to MEG </w:t>
      </w:r>
      <w:r w:rsidR="0080519C" w:rsidRPr="00CD2448">
        <w:rPr>
          <w:rFonts w:ascii="Arial" w:eastAsia="Aptos" w:hAnsi="Arial" w:cs="Arial"/>
          <w:color w:val="000000" w:themeColor="text1"/>
          <w:sz w:val="22"/>
          <w:szCs w:val="22"/>
        </w:rPr>
        <w:t xml:space="preserve">and </w:t>
      </w:r>
      <w:r w:rsidR="00527FED" w:rsidRPr="00CD2448">
        <w:rPr>
          <w:rFonts w:ascii="Arial" w:eastAsia="Aptos" w:hAnsi="Arial" w:cs="Arial"/>
          <w:color w:val="000000" w:themeColor="text1"/>
          <w:sz w:val="22"/>
          <w:szCs w:val="22"/>
        </w:rPr>
        <w:t xml:space="preserve">other </w:t>
      </w:r>
      <w:r w:rsidR="0080519C" w:rsidRPr="00CD2448">
        <w:rPr>
          <w:rFonts w:ascii="Arial" w:eastAsia="Aptos" w:hAnsi="Arial" w:cs="Arial"/>
          <w:color w:val="000000" w:themeColor="text1"/>
          <w:sz w:val="22"/>
          <w:szCs w:val="22"/>
        </w:rPr>
        <w:t xml:space="preserve">data access </w:t>
      </w:r>
      <w:r w:rsidR="00527FED" w:rsidRPr="00CD2448">
        <w:rPr>
          <w:rFonts w:ascii="Arial" w:eastAsia="Aptos" w:hAnsi="Arial" w:cs="Arial"/>
          <w:color w:val="000000" w:themeColor="text1"/>
          <w:sz w:val="22"/>
          <w:szCs w:val="22"/>
        </w:rPr>
        <w:t>inquiries, please contact the corresponding author.</w:t>
      </w:r>
      <w:r w:rsidR="00704E40" w:rsidRPr="00CD2448">
        <w:rPr>
          <w:rFonts w:ascii="Arial" w:eastAsia="Aptos" w:hAnsi="Arial" w:cs="Arial"/>
          <w:color w:val="000000" w:themeColor="text1"/>
          <w:sz w:val="22"/>
          <w:szCs w:val="22"/>
        </w:rPr>
        <w:t xml:space="preserve"> Additional </w:t>
      </w:r>
      <w:r w:rsidR="0080519C" w:rsidRPr="00CD2448">
        <w:rPr>
          <w:rFonts w:ascii="Arial" w:eastAsia="Aptos" w:hAnsi="Arial" w:cs="Arial"/>
          <w:color w:val="000000" w:themeColor="text1"/>
          <w:sz w:val="22"/>
          <w:szCs w:val="22"/>
        </w:rPr>
        <w:t>s</w:t>
      </w:r>
      <w:r w:rsidR="00704E40" w:rsidRPr="00CD2448">
        <w:rPr>
          <w:rFonts w:ascii="Arial" w:eastAsia="Aptos" w:hAnsi="Arial" w:cs="Arial"/>
          <w:color w:val="000000" w:themeColor="text1"/>
          <w:sz w:val="22"/>
          <w:szCs w:val="22"/>
        </w:rPr>
        <w:t xml:space="preserve">ymptom inventories and demographic/treatment resistance covariates (summarized in </w:t>
      </w:r>
      <w:r w:rsidR="00704E40" w:rsidRPr="00CD2448">
        <w:rPr>
          <w:rFonts w:ascii="Arial" w:eastAsia="Aptos" w:hAnsi="Arial" w:cs="Arial"/>
          <w:b/>
          <w:bCs/>
          <w:color w:val="000000" w:themeColor="text1"/>
          <w:sz w:val="22"/>
          <w:szCs w:val="22"/>
        </w:rPr>
        <w:t>Table S4</w:t>
      </w:r>
      <w:r w:rsidR="00704E40" w:rsidRPr="00CD2448">
        <w:rPr>
          <w:rFonts w:ascii="Arial" w:eastAsia="Aptos" w:hAnsi="Arial" w:cs="Arial"/>
          <w:color w:val="000000" w:themeColor="text1"/>
          <w:sz w:val="22"/>
          <w:szCs w:val="22"/>
        </w:rPr>
        <w:t xml:space="preserve">) can be </w:t>
      </w:r>
      <w:r w:rsidR="0080519C" w:rsidRPr="00CD2448">
        <w:rPr>
          <w:rFonts w:ascii="Arial" w:eastAsia="Aptos" w:hAnsi="Arial" w:cs="Arial"/>
          <w:color w:val="000000" w:themeColor="text1"/>
          <w:sz w:val="22"/>
          <w:szCs w:val="22"/>
        </w:rPr>
        <w:t>found</w:t>
      </w:r>
      <w:r w:rsidR="00704E40" w:rsidRPr="00CD2448">
        <w:rPr>
          <w:rFonts w:ascii="Arial" w:eastAsia="Aptos" w:hAnsi="Arial" w:cs="Arial"/>
          <w:color w:val="000000" w:themeColor="text1"/>
          <w:sz w:val="22"/>
          <w:szCs w:val="22"/>
        </w:rPr>
        <w:t xml:space="preserve"> in </w:t>
      </w:r>
      <w:r w:rsidR="00913449" w:rsidRPr="00CD2448">
        <w:rPr>
          <w:rFonts w:ascii="Arial" w:eastAsia="Aptos" w:hAnsi="Arial" w:cs="Arial"/>
          <w:color w:val="000000" w:themeColor="text1"/>
          <w:sz w:val="22"/>
          <w:szCs w:val="22"/>
        </w:rPr>
        <w:t xml:space="preserve">Supplementary data file </w:t>
      </w:r>
      <w:r w:rsidR="00704E40" w:rsidRPr="00CD2448">
        <w:rPr>
          <w:rFonts w:ascii="Arial" w:eastAsia="Aptos" w:hAnsi="Arial" w:cs="Arial"/>
          <w:color w:val="000000" w:themeColor="text1"/>
          <w:sz w:val="22"/>
          <w:szCs w:val="22"/>
        </w:rPr>
        <w:t xml:space="preserve">“FIG4_CYTOKINES.xlsx”. </w:t>
      </w:r>
    </w:p>
    <w:p w14:paraId="5C58D0F6" w14:textId="1005AF45" w:rsidR="00032FA9" w:rsidRPr="00CD2448" w:rsidRDefault="00032FA9" w:rsidP="00032FA9">
      <w:pPr>
        <w:ind w:firstLine="720"/>
        <w:jc w:val="both"/>
        <w:rPr>
          <w:rFonts w:ascii="Arial" w:eastAsia="Aptos" w:hAnsi="Arial" w:cs="Arial"/>
          <w:color w:val="000000" w:themeColor="text1"/>
          <w:sz w:val="22"/>
          <w:szCs w:val="22"/>
        </w:rPr>
      </w:pPr>
    </w:p>
    <w:p w14:paraId="1A685C61" w14:textId="6D305B75" w:rsidR="002E7738" w:rsidRPr="00CD2448" w:rsidRDefault="002E7738" w:rsidP="007F3F8E">
      <w:pPr>
        <w:jc w:val="both"/>
        <w:rPr>
          <w:rFonts w:ascii="Arial" w:eastAsia="Aptos" w:hAnsi="Arial" w:cs="Arial"/>
          <w:b/>
          <w:bCs/>
          <w:color w:val="000000" w:themeColor="text1"/>
          <w:sz w:val="21"/>
          <w:szCs w:val="21"/>
        </w:rPr>
      </w:pPr>
    </w:p>
    <w:p w14:paraId="001F8BC2" w14:textId="20E49352" w:rsidR="002B3DB1" w:rsidRPr="00CD2448" w:rsidRDefault="002B3DB1" w:rsidP="002B3DB1">
      <w:pPr>
        <w:jc w:val="both"/>
        <w:rPr>
          <w:rFonts w:ascii="Arial" w:eastAsia="Aptos" w:hAnsi="Arial" w:cs="Arial"/>
          <w:b/>
          <w:bCs/>
          <w:color w:val="000000" w:themeColor="text1"/>
          <w:sz w:val="28"/>
          <w:szCs w:val="28"/>
        </w:rPr>
      </w:pPr>
      <w:r w:rsidRPr="00CD2448">
        <w:rPr>
          <w:rFonts w:ascii="Arial" w:eastAsia="Aptos" w:hAnsi="Arial" w:cs="Arial"/>
          <w:b/>
          <w:bCs/>
          <w:color w:val="000000" w:themeColor="text1"/>
          <w:sz w:val="28"/>
          <w:szCs w:val="28"/>
        </w:rPr>
        <w:t>Supplementary Results</w:t>
      </w:r>
    </w:p>
    <w:p w14:paraId="2145505C" w14:textId="0F270B6E" w:rsidR="002B3DB1" w:rsidRPr="00CD2448" w:rsidRDefault="00816BFA" w:rsidP="002B3DB1">
      <w:pPr>
        <w:rPr>
          <w:rFonts w:ascii="Arial" w:hAnsi="Arial" w:cs="Arial"/>
          <w:i/>
          <w:iCs/>
          <w:color w:val="000000" w:themeColor="text1"/>
          <w:sz w:val="22"/>
          <w:szCs w:val="22"/>
        </w:rPr>
      </w:pPr>
      <w:r w:rsidRPr="00CD2448">
        <w:rPr>
          <w:rFonts w:ascii="Arial" w:hAnsi="Arial" w:cs="Arial"/>
          <w:i/>
          <w:iCs/>
          <w:color w:val="000000" w:themeColor="text1"/>
          <w:sz w:val="22"/>
          <w:szCs w:val="22"/>
        </w:rPr>
        <w:t>B-cell</w:t>
      </w:r>
      <w:r w:rsidR="002B3DB1" w:rsidRPr="00CD2448">
        <w:rPr>
          <w:rFonts w:ascii="Arial" w:hAnsi="Arial" w:cs="Arial"/>
          <w:i/>
          <w:iCs/>
          <w:color w:val="000000" w:themeColor="text1"/>
          <w:sz w:val="22"/>
          <w:szCs w:val="22"/>
        </w:rPr>
        <w:t xml:space="preserve"> Redistribution Evidence </w:t>
      </w:r>
      <w:r w:rsidR="00534AD9" w:rsidRPr="00CD2448">
        <w:rPr>
          <w:rFonts w:ascii="Arial" w:hAnsi="Arial" w:cs="Arial"/>
          <w:i/>
          <w:iCs/>
          <w:color w:val="000000" w:themeColor="text1"/>
          <w:sz w:val="22"/>
          <w:szCs w:val="22"/>
        </w:rPr>
        <w:t>(</w:t>
      </w:r>
      <w:r w:rsidR="00534AD9" w:rsidRPr="00CD2448">
        <w:rPr>
          <w:rFonts w:ascii="Arial" w:hAnsi="Arial" w:cs="Arial"/>
          <w:b/>
          <w:bCs/>
          <w:i/>
          <w:iCs/>
          <w:color w:val="000000" w:themeColor="text1"/>
          <w:sz w:val="22"/>
          <w:szCs w:val="22"/>
        </w:rPr>
        <w:t>Fig</w:t>
      </w:r>
      <w:r w:rsidR="006F7A63" w:rsidRPr="00CD2448">
        <w:rPr>
          <w:rFonts w:ascii="Arial" w:hAnsi="Arial" w:cs="Arial"/>
          <w:b/>
          <w:bCs/>
          <w:i/>
          <w:iCs/>
          <w:color w:val="000000" w:themeColor="text1"/>
          <w:sz w:val="22"/>
          <w:szCs w:val="22"/>
        </w:rPr>
        <w:t>s.</w:t>
      </w:r>
      <w:r w:rsidR="00534AD9" w:rsidRPr="00CD2448">
        <w:rPr>
          <w:rFonts w:ascii="Arial" w:hAnsi="Arial" w:cs="Arial"/>
          <w:b/>
          <w:bCs/>
          <w:i/>
          <w:iCs/>
          <w:color w:val="000000" w:themeColor="text1"/>
          <w:sz w:val="22"/>
          <w:szCs w:val="22"/>
        </w:rPr>
        <w:t>3c,3d</w:t>
      </w:r>
      <w:r w:rsidR="00534AD9" w:rsidRPr="00CD2448">
        <w:rPr>
          <w:rFonts w:ascii="Arial" w:hAnsi="Arial" w:cs="Arial"/>
          <w:i/>
          <w:iCs/>
          <w:color w:val="000000" w:themeColor="text1"/>
          <w:sz w:val="22"/>
          <w:szCs w:val="22"/>
        </w:rPr>
        <w:t>)</w:t>
      </w:r>
    </w:p>
    <w:p w14:paraId="66F2E4EB" w14:textId="4792E28B" w:rsidR="002B3DB1" w:rsidRPr="00CD2448" w:rsidRDefault="00285306" w:rsidP="002243A9">
      <w:pPr>
        <w:ind w:firstLine="720"/>
        <w:rPr>
          <w:rFonts w:ascii="Arial" w:hAnsi="Arial" w:cs="Arial"/>
          <w:color w:val="000000" w:themeColor="text1"/>
          <w:sz w:val="22"/>
          <w:szCs w:val="22"/>
        </w:rPr>
      </w:pPr>
      <w:r w:rsidRPr="00CD2448">
        <w:rPr>
          <w:rFonts w:ascii="Arial" w:hAnsi="Arial" w:cs="Arial"/>
          <w:noProof/>
          <w:color w:val="000000" w:themeColor="text1"/>
          <w:sz w:val="22"/>
          <w:szCs w:val="22"/>
          <w14:ligatures w14:val="standardContextual"/>
        </w:rPr>
        <w:drawing>
          <wp:anchor distT="0" distB="0" distL="114300" distR="114300" simplePos="0" relativeHeight="251667456" behindDoc="1" locked="0" layoutInCell="1" allowOverlap="1" wp14:anchorId="184731E3" wp14:editId="7BFF9ABC">
            <wp:simplePos x="0" y="0"/>
            <wp:positionH relativeFrom="column">
              <wp:posOffset>3883025</wp:posOffset>
            </wp:positionH>
            <wp:positionV relativeFrom="paragraph">
              <wp:posOffset>52070</wp:posOffset>
            </wp:positionV>
            <wp:extent cx="3126740" cy="2190115"/>
            <wp:effectExtent l="0" t="0" r="0" b="0"/>
            <wp:wrapTight wrapText="bothSides">
              <wp:wrapPolygon edited="0">
                <wp:start x="0" y="0"/>
                <wp:lineTo x="0" y="21418"/>
                <wp:lineTo x="21495" y="21418"/>
                <wp:lineTo x="21495" y="0"/>
                <wp:lineTo x="0" y="0"/>
              </wp:wrapPolygon>
            </wp:wrapTight>
            <wp:docPr id="1278937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93794" name="Picture 1"/>
                    <pic:cNvPicPr/>
                  </pic:nvPicPr>
                  <pic:blipFill>
                    <a:blip r:embed="rId10" cstate="print">
                      <a:extLst>
                        <a:ext uri="{28A0092B-C50C-407E-A947-70E740481C1C}">
                          <a14:useLocalDpi xmlns:a14="http://schemas.microsoft.com/office/drawing/2010/main" val="0"/>
                        </a:ext>
                      </a:extLst>
                    </a:blip>
                    <a:srcRect l="5383" r="5383"/>
                    <a:stretch>
                      <a:fillRect/>
                    </a:stretch>
                  </pic:blipFill>
                  <pic:spPr bwMode="auto">
                    <a:xfrm>
                      <a:off x="0" y="0"/>
                      <a:ext cx="3126740" cy="21901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B3DB1" w:rsidRPr="00CD2448">
        <w:rPr>
          <w:rFonts w:ascii="Arial" w:hAnsi="Arial" w:cs="Arial"/>
          <w:color w:val="000000" w:themeColor="text1"/>
          <w:sz w:val="22"/>
          <w:szCs w:val="22"/>
        </w:rPr>
        <w:t xml:space="preserve">The strong </w:t>
      </w:r>
      <w:r w:rsidR="00816BFA" w:rsidRPr="00CD2448">
        <w:rPr>
          <w:rFonts w:ascii="Arial" w:hAnsi="Arial" w:cs="Arial"/>
          <w:color w:val="000000" w:themeColor="text1"/>
          <w:sz w:val="22"/>
          <w:szCs w:val="22"/>
        </w:rPr>
        <w:t>B-cell</w:t>
      </w:r>
      <w:r w:rsidR="002B3DB1" w:rsidRPr="00CD2448">
        <w:rPr>
          <w:rFonts w:ascii="Arial" w:hAnsi="Arial" w:cs="Arial"/>
          <w:color w:val="000000" w:themeColor="text1"/>
          <w:sz w:val="22"/>
          <w:szCs w:val="22"/>
        </w:rPr>
        <w:t xml:space="preserve"> patterns observed in </w:t>
      </w:r>
      <w:r w:rsidR="002B3DB1" w:rsidRPr="00CD2448">
        <w:rPr>
          <w:rFonts w:ascii="Arial" w:hAnsi="Arial" w:cs="Arial"/>
          <w:b/>
          <w:bCs/>
          <w:color w:val="000000" w:themeColor="text1"/>
          <w:sz w:val="22"/>
          <w:szCs w:val="22"/>
        </w:rPr>
        <w:t>Figure 3</w:t>
      </w:r>
      <w:r w:rsidR="002B3DB1" w:rsidRPr="00CD2448">
        <w:rPr>
          <w:rFonts w:ascii="Arial" w:hAnsi="Arial" w:cs="Arial"/>
          <w:color w:val="000000" w:themeColor="text1"/>
          <w:sz w:val="22"/>
          <w:szCs w:val="22"/>
        </w:rPr>
        <w:t xml:space="preserve"> may theoretically represent either rapid </w:t>
      </w:r>
      <w:r w:rsidR="00816BFA" w:rsidRPr="00CD2448">
        <w:rPr>
          <w:rFonts w:ascii="Arial" w:hAnsi="Arial" w:cs="Arial"/>
          <w:color w:val="000000" w:themeColor="text1"/>
          <w:sz w:val="22"/>
          <w:szCs w:val="22"/>
        </w:rPr>
        <w:t>B-cell</w:t>
      </w:r>
      <w:r w:rsidR="002B3DB1" w:rsidRPr="00CD2448">
        <w:rPr>
          <w:rFonts w:ascii="Arial" w:hAnsi="Arial" w:cs="Arial"/>
          <w:color w:val="000000" w:themeColor="text1"/>
          <w:sz w:val="22"/>
          <w:szCs w:val="22"/>
        </w:rPr>
        <w:t xml:space="preserve"> depletion or redistribution of activated </w:t>
      </w:r>
      <w:r w:rsidR="00816BFA" w:rsidRPr="00CD2448">
        <w:rPr>
          <w:rFonts w:ascii="Arial" w:hAnsi="Arial" w:cs="Arial"/>
          <w:color w:val="000000" w:themeColor="text1"/>
          <w:sz w:val="22"/>
          <w:szCs w:val="22"/>
        </w:rPr>
        <w:t>B-cell</w:t>
      </w:r>
      <w:r w:rsidR="002B3DB1" w:rsidRPr="00CD2448">
        <w:rPr>
          <w:rFonts w:ascii="Arial" w:hAnsi="Arial" w:cs="Arial"/>
          <w:color w:val="000000" w:themeColor="text1"/>
          <w:sz w:val="22"/>
          <w:szCs w:val="22"/>
        </w:rPr>
        <w:t xml:space="preserve"> populations into lymphoid tissue upon immune activation. Several observations favor the latter. First, though extremely rapid </w:t>
      </w:r>
      <w:r w:rsidR="00816BFA" w:rsidRPr="00CD2448">
        <w:rPr>
          <w:rFonts w:ascii="Arial" w:hAnsi="Arial" w:cs="Arial"/>
          <w:color w:val="000000" w:themeColor="text1"/>
          <w:sz w:val="22"/>
          <w:szCs w:val="22"/>
        </w:rPr>
        <w:t>B-cell</w:t>
      </w:r>
      <w:r w:rsidR="002B3DB1" w:rsidRPr="00CD2448">
        <w:rPr>
          <w:rFonts w:ascii="Arial" w:hAnsi="Arial" w:cs="Arial"/>
          <w:color w:val="000000" w:themeColor="text1"/>
          <w:sz w:val="22"/>
          <w:szCs w:val="22"/>
        </w:rPr>
        <w:t xml:space="preserve"> depletion is possible with targeted therapies </w:t>
      </w:r>
      <w:r w:rsidR="002B3DB1"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&lt;EndNote&gt;&lt;Cite&gt;&lt;Author&gt;Schoergenhofer&lt;/Author&gt;&lt;Year&gt;2018&lt;/Year&gt;&lt;RecNum&gt;119&lt;/RecNum&gt;&lt;DisplayText&gt;[30]&lt;/DisplayText&gt;&lt;record&gt;&lt;rec-number&gt;119&lt;/rec-number&gt;&lt;foreign-keys&gt;&lt;key app="EN" db-id="dzsadpavbdaf27ef9zmxw006vzddp0epfpxa" timestamp="1773079695"&gt;119&lt;/key&gt;&lt;/foreign-keys&gt;&lt;ref-type name="Journal Article"&gt;17&lt;/ref-type&gt;&lt;contributors&gt;&lt;authors&gt;&lt;author&gt;Schoergenhofer, C.&lt;/author&gt;&lt;author&gt;Schwameis, M.&lt;/author&gt;&lt;author&gt;Firbas, C.&lt;/author&gt;&lt;author&gt;Bartko, J.&lt;/author&gt;&lt;author&gt;Derhaschnig, U.&lt;/author&gt;&lt;author&gt;Mader, R.M.&lt;/author&gt;&lt;author&gt;Plaẞmann, R.S.&lt;/author&gt;&lt;author&gt;Jilma-Stohlawetz, P.&lt;/author&gt;&lt;author&gt;Desai, K.&lt;/author&gt;&lt;author&gt;Misra, P.&lt;/author&gt;&lt;author&gt;Jäger, U.&lt;/author&gt;&lt;author&gt;Jilma, B.&lt;/author&gt;&lt;/authors&gt;&lt;/contributors&gt;&lt;titles&gt;&lt;title&gt;Single, very low rituximab doses in healthy volunteers - a pilot and a randomized trial: implications for dosing and biosimilarity testing&lt;/title&gt;&lt;secondary-title&gt;Sci Rep&lt;/secondary-title&gt;&lt;/titles&gt;&lt;periodical&gt;&lt;full-title&gt;Sci Rep&lt;/full-title&gt;&lt;/periodical&gt;&lt;pages&gt;124&lt;/pages&gt;&lt;volume&gt;8&lt;/volume&gt;&lt;dates&gt;&lt;year&gt;2018&lt;/year&gt;&lt;/dates&gt;&lt;urls&gt;&lt;/urls&gt;&lt;/record&gt;&lt;/Cite&gt;&lt;/EndNote&gt;</w:instrText>
      </w:r>
      <w:r w:rsidR="002B3DB1"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[30]</w:t>
      </w:r>
      <w:r w:rsidR="002B3DB1" w:rsidRPr="00CD2448">
        <w:rPr>
          <w:rFonts w:ascii="Arial" w:hAnsi="Arial" w:cs="Arial"/>
          <w:color w:val="000000" w:themeColor="text1"/>
          <w:sz w:val="22"/>
          <w:szCs w:val="22"/>
        </w:rPr>
        <w:fldChar w:fldCharType="end"/>
      </w:r>
      <w:r w:rsidR="002B3DB1" w:rsidRPr="00CD2448">
        <w:rPr>
          <w:rFonts w:ascii="Arial" w:hAnsi="Arial" w:cs="Arial"/>
          <w:color w:val="000000" w:themeColor="text1"/>
          <w:sz w:val="22"/>
          <w:szCs w:val="22"/>
        </w:rPr>
        <w:t xml:space="preserve">, ketamine has not demonstrated such effects and lacks a clear mechanism (i.e., anti-CD20) </w:t>
      </w:r>
      <w:r w:rsidR="002B3DB1"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&lt;EndNote&gt;&lt;Cite&gt;&lt;Author&gt;Szałach&lt;/Author&gt;&lt;Year&gt;2025&lt;/Year&gt;&lt;RecNum&gt;118&lt;/RecNum&gt;&lt;DisplayText&gt;[31]&lt;/DisplayText&gt;&lt;record&gt;&lt;rec-number&gt;118&lt;/rec-number&gt;&lt;foreign-keys&gt;&lt;key app="EN" db-id="dzsadpavbdaf27ef9zmxw006vzddp0epfpxa" timestamp="1773079680"&gt;118&lt;/key&gt;&lt;/foreign-keys&gt;&lt;ref-type name="Journal Article"&gt;17&lt;/ref-type&gt;&lt;contributors&gt;&lt;authors&gt;&lt;author&gt;Szałach, Ł.P.&lt;/author&gt;&lt;author&gt;Ciesielska-Figlon, K.&lt;/author&gt;&lt;author&gt;Daca, A.&lt;/author&gt;&lt;author&gt;Cubała, W.J.&lt;/author&gt;&lt;author&gt;Lisowska, K.A.&lt;/author&gt;&lt;/authors&gt;&lt;/contributors&gt;&lt;titles&gt;&lt;title&gt;The effect of ketamine on the immune system in patients with treatment-resistant depression&lt;/title&gt;&lt;secondary-title&gt;Int J Mol Sci&lt;/secondary-title&gt;&lt;/titles&gt;&lt;periodical&gt;&lt;full-title&gt;Int J Mol Sci&lt;/full-title&gt;&lt;/periodical&gt;&lt;pages&gt;7500&lt;/pages&gt;&lt;volume&gt;26&lt;/volume&gt;&lt;dates&gt;&lt;year&gt;2025&lt;/year&gt;&lt;/dates&gt;&lt;urls&gt;&lt;/urls&gt;&lt;/record&gt;&lt;/Cite&gt;&lt;/EndNote&gt;</w:instrText>
      </w:r>
      <w:r w:rsidR="002B3DB1"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[31]</w:t>
      </w:r>
      <w:r w:rsidR="002B3DB1" w:rsidRPr="00CD2448">
        <w:rPr>
          <w:rFonts w:ascii="Arial" w:hAnsi="Arial" w:cs="Arial"/>
          <w:color w:val="000000" w:themeColor="text1"/>
          <w:sz w:val="22"/>
          <w:szCs w:val="22"/>
        </w:rPr>
        <w:fldChar w:fldCharType="end"/>
      </w:r>
      <w:r w:rsidR="002B3DB1" w:rsidRPr="00CD2448">
        <w:rPr>
          <w:rFonts w:ascii="Arial" w:hAnsi="Arial" w:cs="Arial"/>
          <w:color w:val="000000" w:themeColor="text1"/>
          <w:sz w:val="22"/>
          <w:szCs w:val="22"/>
        </w:rPr>
        <w:t>. Second, blood markers of apoptosis (PUMA (BBC3), NOXA (PMAIP1), BAX, CASP3/9</w:t>
      </w:r>
      <w:r w:rsidR="00AF50F7">
        <w:rPr>
          <w:rFonts w:ascii="Arial" w:hAnsi="Arial" w:cs="Arial"/>
          <w:color w:val="000000" w:themeColor="text1"/>
          <w:sz w:val="22"/>
          <w:szCs w:val="22"/>
        </w:rPr>
        <w:t>/8AP2</w:t>
      </w:r>
      <w:r w:rsidR="002B3DB1" w:rsidRPr="00CD2448">
        <w:rPr>
          <w:rFonts w:ascii="Arial" w:hAnsi="Arial" w:cs="Arial"/>
          <w:color w:val="000000" w:themeColor="text1"/>
          <w:sz w:val="22"/>
          <w:szCs w:val="22"/>
        </w:rPr>
        <w:t>, BCL2, and PARP1) in the present study were</w:t>
      </w:r>
      <w:r w:rsidR="0019148A" w:rsidRPr="00CD2448">
        <w:rPr>
          <w:rFonts w:ascii="Arial" w:hAnsi="Arial" w:cs="Arial"/>
          <w:color w:val="000000" w:themeColor="text1"/>
          <w:sz w:val="22"/>
          <w:szCs w:val="22"/>
        </w:rPr>
        <w:t xml:space="preserve"> all </w:t>
      </w:r>
      <w:r w:rsidR="002B3DB1" w:rsidRPr="00CD2448">
        <w:rPr>
          <w:rFonts w:ascii="Arial" w:hAnsi="Arial" w:cs="Arial"/>
          <w:color w:val="000000" w:themeColor="text1"/>
          <w:sz w:val="22"/>
          <w:szCs w:val="22"/>
        </w:rPr>
        <w:t>unaltered (all p&gt;0.18), and nearly all trended towards reduced expression</w:t>
      </w:r>
      <w:r w:rsidR="007F75F5" w:rsidRPr="00CD2448">
        <w:rPr>
          <w:rFonts w:ascii="Arial" w:hAnsi="Arial" w:cs="Arial"/>
          <w:color w:val="000000" w:themeColor="text1"/>
          <w:sz w:val="22"/>
          <w:szCs w:val="22"/>
        </w:rPr>
        <w:t>.</w:t>
      </w:r>
      <w:r w:rsidR="002B3DB1" w:rsidRPr="00CD2448">
        <w:rPr>
          <w:rFonts w:ascii="Arial" w:hAnsi="Arial" w:cs="Arial"/>
          <w:color w:val="000000" w:themeColor="text1"/>
          <w:sz w:val="22"/>
          <w:szCs w:val="22"/>
        </w:rPr>
        <w:t xml:space="preserve"> Third, CXCR5</w:t>
      </w:r>
      <w:r w:rsidRPr="00CD2448">
        <w:rPr>
          <w:rFonts w:ascii="Arial" w:hAnsi="Arial" w:cs="Arial"/>
          <w:color w:val="000000" w:themeColor="text1"/>
          <w:sz w:val="22"/>
          <w:szCs w:val="22"/>
        </w:rPr>
        <w:t xml:space="preserve"> </w:t>
      </w:r>
      <w:r w:rsidR="002B3DB1" w:rsidRPr="00CD2448">
        <w:rPr>
          <w:rFonts w:ascii="Arial" w:hAnsi="Arial" w:cs="Arial"/>
          <w:color w:val="000000" w:themeColor="text1"/>
          <w:sz w:val="22"/>
          <w:szCs w:val="22"/>
        </w:rPr>
        <w:t xml:space="preserve">was also strongly downregulated (t=-4.49, p=0.0001), which is an established proxy in peripheral blood for B-cell tissue sequestration </w:t>
      </w:r>
      <w:r w:rsidR="002B3DB1"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&lt;EndNote&gt;&lt;Cite&gt;&lt;Author&gt;Aqrawi&lt;/Author&gt;&lt;Year&gt;2018&lt;/Year&gt;&lt;RecNum&gt;156&lt;/RecNum&gt;&lt;DisplayText&gt;[32]&lt;/DisplayText&gt;&lt;record&gt;&lt;rec-number&gt;156&lt;/rec-number&gt;&lt;foreign-keys&gt;&lt;key app="EN" db-id="dzsadpavbdaf27ef9zmxw006vzddp0epfpxa" timestamp="1773084307"&gt;156&lt;/key&gt;&lt;/foreign-keys&gt;&lt;ref-type name="Journal Article"&gt;17&lt;/ref-type&gt;&lt;contributors&gt;&lt;authors&gt;&lt;author&gt;Aqrawi, L.A.&lt;/author&gt;&lt;author&gt;Ivanchenko, M.&lt;/author&gt;&lt;author&gt;Björk, A.&lt;/author&gt;&lt;author&gt;Sepúlveda, J.I.R.&lt;/author&gt;&lt;author&gt;Imgenberg-Kreuz, J.&lt;/author&gt;&lt;author&gt;Kvarnström, M.&lt;/author&gt;&lt;author&gt;Haselmayer, P.&lt;/author&gt;&lt;author&gt;Jensen, J.L.&lt;/author&gt;&lt;author&gt;Nordmark, G.&lt;/author&gt;&lt;author&gt;Chemin, K.&lt;/author&gt;&lt;author&gt;Skarstein, K.&lt;/author&gt;&lt;author&gt;Wahren-Herlenius, M.&lt;/author&gt;&lt;/authors&gt;&lt;/contributors&gt;&lt;titles&gt;&lt;title&gt;Diminished CXCR5 expression in peripheral blood of patients with Sjögren&amp;apos;s syndrome may relate to both genotype and salivary gland homing&lt;/title&gt;&lt;secondary-title&gt;Clin Exp Immunol&lt;/secondary-title&gt;&lt;/titles&gt;&lt;periodical&gt;&lt;full-title&gt;Clin Exp Immunol&lt;/full-title&gt;&lt;/periodical&gt;&lt;pages&gt;259-270&lt;/pages&gt;&lt;volume&gt;192&lt;/volume&gt;&lt;dates&gt;&lt;year&gt;2018&lt;/year&gt;&lt;/dates&gt;&lt;urls&gt;&lt;/urls&gt;&lt;/record&gt;&lt;/Cite&gt;&lt;/EndNote&gt;</w:instrText>
      </w:r>
      <w:r w:rsidR="002B3DB1"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[32]</w:t>
      </w:r>
      <w:r w:rsidR="002B3DB1" w:rsidRPr="00CD2448">
        <w:rPr>
          <w:rFonts w:ascii="Arial" w:hAnsi="Arial" w:cs="Arial"/>
          <w:color w:val="000000" w:themeColor="text1"/>
          <w:sz w:val="22"/>
          <w:szCs w:val="22"/>
        </w:rPr>
        <w:fldChar w:fldCharType="end"/>
      </w:r>
      <w:r w:rsidR="002B3DB1" w:rsidRPr="00CD2448">
        <w:rPr>
          <w:rFonts w:ascii="Arial" w:hAnsi="Arial" w:cs="Arial"/>
          <w:color w:val="000000" w:themeColor="text1"/>
          <w:sz w:val="22"/>
          <w:szCs w:val="22"/>
        </w:rPr>
        <w:t xml:space="preserve"> (</w:t>
      </w:r>
      <w:r w:rsidRPr="00CD2448">
        <w:rPr>
          <w:rFonts w:ascii="Arial" w:hAnsi="Arial" w:cs="Arial"/>
          <w:color w:val="000000" w:themeColor="text1"/>
          <w:sz w:val="22"/>
          <w:szCs w:val="22"/>
        </w:rPr>
        <w:t>m</w:t>
      </w:r>
      <w:r w:rsidR="007F75F5" w:rsidRPr="00CD2448">
        <w:rPr>
          <w:rFonts w:ascii="Arial" w:hAnsi="Arial" w:cs="Arial"/>
          <w:color w:val="000000" w:themeColor="text1"/>
          <w:sz w:val="22"/>
          <w:szCs w:val="22"/>
        </w:rPr>
        <w:t xml:space="preserve">arker genes extracted from </w:t>
      </w:r>
      <w:r w:rsidR="007F75F5" w:rsidRPr="00CD2448">
        <w:rPr>
          <w:rFonts w:ascii="Arial" w:hAnsi="Arial" w:cs="Arial"/>
          <w:b/>
          <w:bCs/>
          <w:color w:val="000000" w:themeColor="text1"/>
          <w:sz w:val="22"/>
          <w:szCs w:val="22"/>
        </w:rPr>
        <w:t>Figs.3c,3d</w:t>
      </w:r>
      <w:r w:rsidR="007F75F5" w:rsidRPr="00CD2448">
        <w:rPr>
          <w:rFonts w:ascii="Arial" w:hAnsi="Arial" w:cs="Arial"/>
          <w:color w:val="000000" w:themeColor="text1"/>
          <w:sz w:val="22"/>
          <w:szCs w:val="22"/>
        </w:rPr>
        <w:t xml:space="preserve"> </w:t>
      </w:r>
      <w:r w:rsidR="0019148A" w:rsidRPr="00CD2448">
        <w:rPr>
          <w:rFonts w:ascii="Arial" w:hAnsi="Arial" w:cs="Arial"/>
          <w:color w:val="000000" w:themeColor="text1"/>
          <w:sz w:val="22"/>
          <w:szCs w:val="22"/>
        </w:rPr>
        <w:t xml:space="preserve">recreated </w:t>
      </w:r>
      <w:r w:rsidR="007F75F5" w:rsidRPr="00CD2448">
        <w:rPr>
          <w:rFonts w:ascii="Arial" w:hAnsi="Arial" w:cs="Arial"/>
          <w:color w:val="000000" w:themeColor="text1"/>
          <w:sz w:val="22"/>
          <w:szCs w:val="22"/>
        </w:rPr>
        <w:t xml:space="preserve">here for convenience; also found </w:t>
      </w:r>
      <w:r w:rsidR="004157E1" w:rsidRPr="00CD2448">
        <w:rPr>
          <w:rFonts w:ascii="Arial" w:hAnsi="Arial" w:cs="Arial"/>
          <w:color w:val="000000" w:themeColor="text1"/>
          <w:sz w:val="22"/>
          <w:szCs w:val="22"/>
        </w:rPr>
        <w:t xml:space="preserve">in the </w:t>
      </w:r>
      <w:r w:rsidR="007F75F5" w:rsidRPr="00CD2448">
        <w:rPr>
          <w:rFonts w:ascii="Arial" w:hAnsi="Arial" w:cs="Arial"/>
          <w:b/>
          <w:bCs/>
          <w:color w:val="000000" w:themeColor="text1"/>
          <w:sz w:val="22"/>
          <w:szCs w:val="22"/>
        </w:rPr>
        <w:t>Fig</w:t>
      </w:r>
      <w:r w:rsidR="004157E1" w:rsidRPr="00CD2448">
        <w:rPr>
          <w:rFonts w:ascii="Arial" w:hAnsi="Arial" w:cs="Arial"/>
          <w:b/>
          <w:bCs/>
          <w:color w:val="000000" w:themeColor="text1"/>
          <w:sz w:val="22"/>
          <w:szCs w:val="22"/>
        </w:rPr>
        <w:t xml:space="preserve">. </w:t>
      </w:r>
      <w:r w:rsidR="007F75F5" w:rsidRPr="00CD2448">
        <w:rPr>
          <w:rFonts w:ascii="Arial" w:hAnsi="Arial" w:cs="Arial"/>
          <w:b/>
          <w:bCs/>
          <w:color w:val="000000" w:themeColor="text1"/>
          <w:sz w:val="22"/>
          <w:szCs w:val="22"/>
        </w:rPr>
        <w:t>3</w:t>
      </w:r>
      <w:r w:rsidR="007F75F5" w:rsidRPr="00CD2448">
        <w:rPr>
          <w:rFonts w:ascii="Arial" w:hAnsi="Arial" w:cs="Arial"/>
          <w:color w:val="000000" w:themeColor="text1"/>
          <w:sz w:val="22"/>
          <w:szCs w:val="22"/>
        </w:rPr>
        <w:t xml:space="preserve"> data file “</w:t>
      </w:r>
      <w:proofErr w:type="spellStart"/>
      <w:r w:rsidR="007F75F5" w:rsidRPr="00CD2448">
        <w:rPr>
          <w:rFonts w:ascii="Arial" w:hAnsi="Arial" w:cs="Arial"/>
          <w:color w:val="000000" w:themeColor="text1"/>
          <w:sz w:val="22"/>
          <w:szCs w:val="22"/>
        </w:rPr>
        <w:t>TT_R_vs_NR_PRE_POST</w:t>
      </w:r>
      <w:proofErr w:type="spellEnd"/>
      <w:r w:rsidR="007F75F5" w:rsidRPr="00CD2448">
        <w:rPr>
          <w:rFonts w:ascii="Arial" w:hAnsi="Arial" w:cs="Arial"/>
          <w:color w:val="000000" w:themeColor="text1"/>
          <w:sz w:val="22"/>
          <w:szCs w:val="22"/>
        </w:rPr>
        <w:t>” tab).</w:t>
      </w:r>
      <w:r w:rsidR="002B3DB1" w:rsidRPr="00CD2448">
        <w:rPr>
          <w:rFonts w:ascii="Arial" w:hAnsi="Arial" w:cs="Arial"/>
          <w:color w:val="000000" w:themeColor="text1"/>
          <w:sz w:val="22"/>
          <w:szCs w:val="22"/>
        </w:rPr>
        <w:t xml:space="preserve"> Together with transcriptomic signals for acute immune activation (IL-15), corroborated by T-cell studies </w:t>
      </w:r>
      <w:r w:rsidR="002B3DB1"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&lt;EndNote&gt;&lt;Cite&gt;&lt;Author&gt;Szałach&lt;/Author&gt;&lt;Year&gt;2025&lt;/Year&gt;&lt;RecNum&gt;118&lt;/RecNum&gt;&lt;DisplayText&gt;[31]&lt;/DisplayText&gt;&lt;record&gt;&lt;rec-number&gt;118&lt;/rec-number&gt;&lt;foreign-keys&gt;&lt;key app="EN" db-id="dzsadpavbdaf27ef9zmxw006vzddp0epfpxa" timestamp="1773079680"&gt;118&lt;/key&gt;&lt;/foreign-keys&gt;&lt;ref-type name="Journal Article"&gt;17&lt;/ref-type&gt;&lt;contributors&gt;&lt;authors&gt;&lt;author&gt;Szałach, Ł.P.&lt;/author&gt;&lt;author&gt;Ciesielska-Figlon, K.&lt;/author&gt;&lt;author&gt;Daca, A.&lt;/author&gt;&lt;author&gt;Cubała, W.J.&lt;/author&gt;&lt;author&gt;Lisowska, K.A.&lt;/author&gt;&lt;/authors&gt;&lt;/contributors&gt;&lt;titles&gt;&lt;title&gt;The effect of ketamine on the immune system in patients with treatment-resistant depression&lt;/title&gt;&lt;secondary-title&gt;Int J Mol Sci&lt;/secondary-title&gt;&lt;/titles&gt;&lt;periodical&gt;&lt;full-title&gt;Int J Mol Sci&lt;/full-title&gt;&lt;/periodical&gt;&lt;pages&gt;7500&lt;/pages&gt;&lt;volume&gt;26&lt;/volume&gt;&lt;dates&gt;&lt;year&gt;2025&lt;/year&gt;&lt;/dates&gt;&lt;urls&gt;&lt;/urls&gt;&lt;/record&gt;&lt;/Cite&gt;&lt;/EndNote&gt;</w:instrText>
      </w:r>
      <w:r w:rsidR="002B3DB1"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[31]</w:t>
      </w:r>
      <w:r w:rsidR="002B3DB1" w:rsidRPr="00CD2448">
        <w:rPr>
          <w:rFonts w:ascii="Arial" w:hAnsi="Arial" w:cs="Arial"/>
          <w:color w:val="000000" w:themeColor="text1"/>
          <w:sz w:val="22"/>
          <w:szCs w:val="22"/>
        </w:rPr>
        <w:fldChar w:fldCharType="end"/>
      </w:r>
      <w:r w:rsidR="002B3DB1" w:rsidRPr="00CD2448">
        <w:rPr>
          <w:rFonts w:ascii="Arial" w:hAnsi="Arial" w:cs="Arial"/>
          <w:color w:val="000000" w:themeColor="text1"/>
          <w:sz w:val="22"/>
          <w:szCs w:val="22"/>
        </w:rPr>
        <w:t>, this suggests that antidepressant response to ketamine may be associated with redistribution of activated immune cell populations as opposed to depletion</w:t>
      </w:r>
      <w:r w:rsidR="00534AD9" w:rsidRPr="00CD2448">
        <w:rPr>
          <w:rFonts w:ascii="Arial" w:hAnsi="Arial" w:cs="Arial"/>
          <w:color w:val="000000" w:themeColor="text1"/>
          <w:sz w:val="22"/>
          <w:szCs w:val="22"/>
        </w:rPr>
        <w:t xml:space="preserve">. </w:t>
      </w:r>
    </w:p>
    <w:p w14:paraId="0A5C251A" w14:textId="77777777" w:rsidR="00534AD9" w:rsidRPr="00CD2448" w:rsidRDefault="00534AD9" w:rsidP="002B3DB1">
      <w:pPr>
        <w:rPr>
          <w:rFonts w:ascii="Arial" w:hAnsi="Arial" w:cs="Arial"/>
          <w:color w:val="000000" w:themeColor="text1"/>
          <w:sz w:val="22"/>
          <w:szCs w:val="22"/>
        </w:rPr>
      </w:pPr>
    </w:p>
    <w:p w14:paraId="2E5CD2C8" w14:textId="4145E787" w:rsidR="00534AD9" w:rsidRPr="00CD2448" w:rsidRDefault="00534AD9" w:rsidP="002B3DB1">
      <w:pPr>
        <w:rPr>
          <w:rFonts w:ascii="Arial" w:hAnsi="Arial" w:cs="Arial"/>
          <w:i/>
          <w:iCs/>
          <w:color w:val="000000" w:themeColor="text1"/>
          <w:sz w:val="22"/>
          <w:szCs w:val="22"/>
        </w:rPr>
      </w:pPr>
      <w:r w:rsidRPr="00CD2448">
        <w:rPr>
          <w:rFonts w:ascii="Arial" w:hAnsi="Arial" w:cs="Arial"/>
          <w:i/>
          <w:iCs/>
          <w:color w:val="000000" w:themeColor="text1"/>
          <w:sz w:val="22"/>
          <w:szCs w:val="22"/>
        </w:rPr>
        <w:t>SPECC1L-ADORA2A Read-Through Transcript Corroboration (</w:t>
      </w:r>
      <w:r w:rsidRPr="00CD2448">
        <w:rPr>
          <w:rFonts w:ascii="Arial" w:hAnsi="Arial" w:cs="Arial"/>
          <w:b/>
          <w:bCs/>
          <w:i/>
          <w:iCs/>
          <w:color w:val="000000" w:themeColor="text1"/>
          <w:sz w:val="22"/>
          <w:szCs w:val="22"/>
        </w:rPr>
        <w:t>Figs</w:t>
      </w:r>
      <w:r w:rsidR="006F7A63" w:rsidRPr="00CD2448">
        <w:rPr>
          <w:rFonts w:ascii="Arial" w:hAnsi="Arial" w:cs="Arial"/>
          <w:b/>
          <w:bCs/>
          <w:i/>
          <w:iCs/>
          <w:color w:val="000000" w:themeColor="text1"/>
          <w:sz w:val="22"/>
          <w:szCs w:val="22"/>
        </w:rPr>
        <w:t>.</w:t>
      </w:r>
      <w:r w:rsidRPr="00CD2448">
        <w:rPr>
          <w:rFonts w:ascii="Arial" w:hAnsi="Arial" w:cs="Arial"/>
          <w:b/>
          <w:bCs/>
          <w:i/>
          <w:iCs/>
          <w:color w:val="000000" w:themeColor="text1"/>
          <w:sz w:val="22"/>
          <w:szCs w:val="22"/>
        </w:rPr>
        <w:t>S3,S4</w:t>
      </w:r>
      <w:r w:rsidRPr="00CD2448">
        <w:rPr>
          <w:rFonts w:ascii="Arial" w:hAnsi="Arial" w:cs="Arial"/>
          <w:i/>
          <w:iCs/>
          <w:color w:val="000000" w:themeColor="text1"/>
          <w:sz w:val="22"/>
          <w:szCs w:val="22"/>
        </w:rPr>
        <w:t>)</w:t>
      </w:r>
    </w:p>
    <w:p w14:paraId="7D70EF15" w14:textId="08E985D1" w:rsidR="00534AD9" w:rsidRPr="00CD2448" w:rsidRDefault="00534AD9" w:rsidP="002243A9">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A recent study found that the antidepressant effects of ketamine, acute intermittent hypoxia, and electroconvulsive therapy all relied on an adenosine surge in the murine prefrontal cortex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&lt;EndNote&gt;&lt;Cite&gt;&lt;Author&gt;Yue&lt;/Author&gt;&lt;Year&gt;2026&lt;/Year&gt;&lt;RecNum&gt;117&lt;/RecNum&gt;&lt;DisplayText&gt;[33]&lt;/DisplayText&gt;&lt;record&gt;&lt;rec-number&gt;117&lt;/rec-number&gt;&lt;foreign-keys&gt;&lt;key app="EN" db-id="dzsadpavbdaf27ef9zmxw006vzddp0epfpxa" timestamp="1773079667"&gt;117&lt;/key&gt;&lt;/foreign-keys&gt;&lt;ref-type name="Journal Article"&gt;17&lt;/ref-type&gt;&lt;contributors&gt;&lt;authors&gt;&lt;author&gt;Yue, C.&lt;/author&gt;&lt;author&gt;Wang, N.&lt;/author&gt;&lt;author&gt;Zhai, H.&lt;/author&gt;&lt;author&gt;Yuan, Z.&lt;/author&gt;&lt;author&gt;Cui, Y.&lt;/author&gt;&lt;author&gt;Quan, J.&lt;/author&gt;&lt;author&gt;Zhou, Y.&lt;/author&gt;&lt;author&gt;Fan, X.&lt;/author&gt;&lt;author&gt;Wang, H.&lt;/author&gt;&lt;author&gt;Wu, Z.&lt;/author&gt;&lt;author&gt;Mi, H.&lt;/author&gt;&lt;author&gt;Ge, W.&lt;/author&gt;&lt;author&gt;Li, Y.&lt;/author&gt;&lt;author&gt;Wang, X.&lt;/author&gt;&lt;author&gt;Luo, M.&lt;/author&gt;&lt;/authors&gt;&lt;/contributors&gt;&lt;titles&gt;&lt;title&gt;Adenosine signalling drives antidepressant actions of ketamine and ECT&lt;/title&gt;&lt;secondary-title&gt;Nature&lt;/secondary-title&gt;&lt;/titles&gt;&lt;periodical&gt;&lt;full-title&gt;Nature&lt;/full-title&gt;&lt;/periodical&gt;&lt;pages&gt;423-431&lt;/pages&gt;&lt;volume&gt;649&lt;/volume&gt;&lt;dates&gt;&lt;year&gt;2026&lt;/year&gt;&lt;/dates&gt;&lt;urls&gt;&lt;/urls&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[33]</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A read-through transcript for the A2A receptor (SPECC1L-ADORA2A) was by far the top differentially expressed whole-blood gene post-ketamine in responders versus non-responders (</w:t>
      </w:r>
      <w:r w:rsidRPr="00CD2448">
        <w:rPr>
          <w:rFonts w:ascii="Arial" w:hAnsi="Arial" w:cs="Arial"/>
          <w:b/>
          <w:bCs/>
          <w:color w:val="000000" w:themeColor="text1"/>
          <w:sz w:val="22"/>
          <w:szCs w:val="22"/>
        </w:rPr>
        <w:t>Fig.3d</w:t>
      </w:r>
      <w:r w:rsidRPr="00CD2448">
        <w:rPr>
          <w:rFonts w:ascii="Arial" w:hAnsi="Arial" w:cs="Arial"/>
          <w:color w:val="000000" w:themeColor="text1"/>
          <w:sz w:val="22"/>
          <w:szCs w:val="22"/>
        </w:rPr>
        <w:t>). Legitimate read-through events were confirmed in the present study using the Integrative Genomics Viewer (IGV) (</w:t>
      </w:r>
      <w:r w:rsidRPr="00CD2448">
        <w:rPr>
          <w:rFonts w:ascii="Arial" w:hAnsi="Arial" w:cs="Arial"/>
          <w:b/>
          <w:bCs/>
          <w:color w:val="000000" w:themeColor="text1"/>
          <w:sz w:val="22"/>
          <w:szCs w:val="22"/>
        </w:rPr>
        <w:t>Fig.S3a</w:t>
      </w:r>
      <w:r w:rsidRPr="00CD2448">
        <w:rPr>
          <w:rFonts w:ascii="Arial" w:hAnsi="Arial" w:cs="Arial"/>
          <w:color w:val="000000" w:themeColor="text1"/>
          <w:sz w:val="22"/>
          <w:szCs w:val="22"/>
        </w:rPr>
        <w:t>), and this transcript persisted with an alternative alignment method (Salmon), where it remained a nominally significant DEG (p=0.07)</w:t>
      </w:r>
      <w:r w:rsidR="007F3DEF" w:rsidRPr="007F3DEF">
        <w:rPr>
          <w:rFonts w:ascii="Arial" w:hAnsi="Arial" w:cs="Arial"/>
          <w:color w:val="000000" w:themeColor="text1"/>
          <w:sz w:val="22"/>
          <w:szCs w:val="22"/>
        </w:rPr>
        <w:t xml:space="preserve"> </w:t>
      </w:r>
      <w:r w:rsidR="007F3DEF" w:rsidRPr="00CD2448">
        <w:rPr>
          <w:rFonts w:ascii="Arial" w:hAnsi="Arial" w:cs="Arial"/>
          <w:color w:val="000000" w:themeColor="text1"/>
          <w:sz w:val="22"/>
          <w:szCs w:val="22"/>
        </w:rPr>
        <w:t>(</w:t>
      </w:r>
      <w:r w:rsidR="007F3DEF" w:rsidRPr="00CD2448">
        <w:rPr>
          <w:rFonts w:ascii="Arial" w:hAnsi="Arial" w:cs="Arial"/>
          <w:b/>
          <w:bCs/>
          <w:color w:val="000000" w:themeColor="text1"/>
          <w:sz w:val="22"/>
          <w:szCs w:val="22"/>
        </w:rPr>
        <w:t>Fig.S3</w:t>
      </w:r>
      <w:r w:rsidR="007F3DEF">
        <w:rPr>
          <w:rFonts w:ascii="Arial" w:hAnsi="Arial" w:cs="Arial"/>
          <w:b/>
          <w:bCs/>
          <w:color w:val="000000" w:themeColor="text1"/>
          <w:sz w:val="22"/>
          <w:szCs w:val="22"/>
        </w:rPr>
        <w:t>b</w:t>
      </w:r>
      <w:r w:rsidR="007F3DEF" w:rsidRPr="00CD2448">
        <w:rPr>
          <w:rFonts w:ascii="Arial" w:hAnsi="Arial" w:cs="Arial"/>
          <w:color w:val="000000" w:themeColor="text1"/>
          <w:sz w:val="22"/>
          <w:szCs w:val="22"/>
        </w:rPr>
        <w:t>)—</w:t>
      </w:r>
      <w:r w:rsidRPr="00CD2448">
        <w:rPr>
          <w:rFonts w:ascii="Arial" w:hAnsi="Arial" w:cs="Arial"/>
          <w:color w:val="000000" w:themeColor="text1"/>
          <w:sz w:val="22"/>
          <w:szCs w:val="22"/>
        </w:rPr>
        <w:t>, consistent with our primary analysis (</w:t>
      </w:r>
      <w:r w:rsidRPr="00CD2448">
        <w:rPr>
          <w:rFonts w:ascii="Arial" w:hAnsi="Arial" w:cs="Arial"/>
          <w:b/>
          <w:bCs/>
          <w:color w:val="000000" w:themeColor="text1"/>
          <w:sz w:val="22"/>
          <w:szCs w:val="22"/>
        </w:rPr>
        <w:t>Fig.</w:t>
      </w:r>
      <w:r w:rsidR="005E2F96" w:rsidRPr="00CD2448">
        <w:rPr>
          <w:rFonts w:ascii="Arial" w:hAnsi="Arial" w:cs="Arial"/>
          <w:b/>
          <w:bCs/>
          <w:color w:val="000000" w:themeColor="text1"/>
          <w:sz w:val="22"/>
          <w:szCs w:val="22"/>
        </w:rPr>
        <w:t xml:space="preserve"> </w:t>
      </w:r>
      <w:r w:rsidRPr="00CD2448">
        <w:rPr>
          <w:rFonts w:ascii="Arial" w:hAnsi="Arial" w:cs="Arial"/>
          <w:b/>
          <w:bCs/>
          <w:color w:val="000000" w:themeColor="text1"/>
          <w:sz w:val="22"/>
          <w:szCs w:val="22"/>
        </w:rPr>
        <w:t>3</w:t>
      </w:r>
      <w:r w:rsidR="00994090">
        <w:rPr>
          <w:rFonts w:ascii="Arial" w:hAnsi="Arial" w:cs="Arial"/>
          <w:b/>
          <w:bCs/>
          <w:color w:val="000000" w:themeColor="text1"/>
          <w:sz w:val="22"/>
          <w:szCs w:val="22"/>
        </w:rPr>
        <w:t>d</w:t>
      </w:r>
      <w:r w:rsidR="007F3DEF">
        <w:rPr>
          <w:rFonts w:ascii="Arial" w:hAnsi="Arial" w:cs="Arial"/>
          <w:b/>
          <w:bCs/>
          <w:color w:val="000000" w:themeColor="text1"/>
          <w:sz w:val="22"/>
          <w:szCs w:val="22"/>
        </w:rPr>
        <w:t>)</w:t>
      </w:r>
      <w:r w:rsidRPr="00CD2448">
        <w:rPr>
          <w:rFonts w:ascii="Arial" w:hAnsi="Arial" w:cs="Arial"/>
          <w:color w:val="000000" w:themeColor="text1"/>
          <w:sz w:val="22"/>
          <w:szCs w:val="22"/>
        </w:rPr>
        <w:t>. Read lengths averaged ~3-fold greater (7,0</w:t>
      </w:r>
      <w:r w:rsidR="00535E31">
        <w:rPr>
          <w:rFonts w:ascii="Arial" w:hAnsi="Arial" w:cs="Arial"/>
          <w:color w:val="000000" w:themeColor="text1"/>
          <w:sz w:val="22"/>
          <w:szCs w:val="22"/>
        </w:rPr>
        <w:t>85</w:t>
      </w:r>
      <w:r w:rsidRPr="00CD2448">
        <w:rPr>
          <w:rFonts w:ascii="Arial" w:hAnsi="Arial" w:cs="Arial"/>
          <w:color w:val="000000" w:themeColor="text1"/>
          <w:sz w:val="22"/>
          <w:szCs w:val="22"/>
        </w:rPr>
        <w:t xml:space="preserve"> base pairs [bp]) than canonical ADORA2A reads (2,</w:t>
      </w:r>
      <w:r w:rsidR="00535E31">
        <w:rPr>
          <w:rFonts w:ascii="Arial" w:hAnsi="Arial" w:cs="Arial"/>
          <w:color w:val="000000" w:themeColor="text1"/>
          <w:sz w:val="22"/>
          <w:szCs w:val="22"/>
        </w:rPr>
        <w:t>185</w:t>
      </w:r>
      <w:r w:rsidRPr="00CD2448">
        <w:rPr>
          <w:rFonts w:ascii="Arial" w:hAnsi="Arial" w:cs="Arial"/>
          <w:color w:val="000000" w:themeColor="text1"/>
          <w:sz w:val="22"/>
          <w:szCs w:val="22"/>
        </w:rPr>
        <w:t xml:space="preserve"> bp) (</w:t>
      </w:r>
      <w:r w:rsidRPr="00CD2448">
        <w:rPr>
          <w:rFonts w:ascii="Arial" w:hAnsi="Arial" w:cs="Arial"/>
          <w:b/>
          <w:bCs/>
          <w:color w:val="000000" w:themeColor="text1"/>
          <w:sz w:val="22"/>
          <w:szCs w:val="22"/>
        </w:rPr>
        <w:t>Fig.S3d</w:t>
      </w:r>
      <w:r w:rsidRPr="00CD2448">
        <w:rPr>
          <w:rFonts w:ascii="Arial" w:hAnsi="Arial" w:cs="Arial"/>
          <w:color w:val="000000" w:themeColor="text1"/>
          <w:sz w:val="22"/>
          <w:szCs w:val="22"/>
        </w:rPr>
        <w:t xml:space="preserve">)—a hallmark of true read-through transcription. The presence of SPECC1L-ADORA2A read-through transcripts in the brain was further confirmed using publicly available postmortem </w:t>
      </w:r>
      <w:proofErr w:type="spellStart"/>
      <w:r w:rsidRPr="00CD2448">
        <w:rPr>
          <w:rFonts w:ascii="Arial" w:hAnsi="Arial" w:cs="Arial"/>
          <w:color w:val="000000" w:themeColor="text1"/>
          <w:sz w:val="22"/>
          <w:szCs w:val="22"/>
        </w:rPr>
        <w:t>subgenual</w:t>
      </w:r>
      <w:proofErr w:type="spellEnd"/>
      <w:r w:rsidRPr="00CD2448">
        <w:rPr>
          <w:rFonts w:ascii="Arial" w:hAnsi="Arial" w:cs="Arial"/>
          <w:color w:val="000000" w:themeColor="text1"/>
          <w:sz w:val="22"/>
          <w:szCs w:val="22"/>
        </w:rPr>
        <w:t xml:space="preserve"> anterior cingulate cortex deep-sequencing data from donors with MDD and controls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&lt;EndNote&gt;&lt;Cite&gt;&lt;Author&gt;Akula&lt;/Author&gt;&lt;Year&gt;2021&lt;/Year&gt;&lt;RecNum&gt;157&lt;/RecNum&gt;&lt;DisplayText&gt;[34]&lt;/DisplayText&gt;&lt;record&gt;&lt;rec-number&gt;157&lt;/rec-number&gt;&lt;foreign-keys&gt;&lt;key app="EN" db-id="dzsadpavbdaf27ef9zmxw006vzddp0epfpxa" timestamp="1773084315"&gt;157&lt;/key&gt;&lt;/foreign-keys&gt;&lt;ref-type name="Journal Article"&gt;17&lt;/ref-type&gt;&lt;contributors&gt;&lt;authors&gt;&lt;author&gt;Akula, N.&lt;/author&gt;&lt;author&gt;Marenco, S.&lt;/author&gt;&lt;author&gt;Johnson, K.&lt;/author&gt;&lt;author&gt;Feng, N.&lt;/author&gt;&lt;author&gt;Zhu, K.&lt;/author&gt;&lt;author&gt;Schulmann, A.&lt;/author&gt;&lt;author&gt;Corona, W.&lt;/author&gt;&lt;author&gt;Jiang, X.&lt;/author&gt;&lt;author&gt;Cross, J.&lt;/author&gt;&lt;author&gt;England, B.&lt;/author&gt;&lt;author&gt;Nathan, A.&lt;/author&gt;&lt;author&gt;Detera-Wadleigh, S.&lt;/author&gt;&lt;author&gt;Xu, Q.&lt;/author&gt;&lt;author&gt;Auluck, P.K.&lt;/author&gt;&lt;author&gt;An, K.&lt;/author&gt;&lt;author&gt;Kramer, R.&lt;/author&gt;&lt;author&gt;Apud, J.&lt;/author&gt;&lt;author&gt;Harris, B.T.&lt;/author&gt;&lt;author&gt;Rhodes, C.H.&lt;/author&gt;&lt;author&gt;Lipska, B.K.&lt;/author&gt;&lt;author&gt;McMahon, F.J.&lt;/author&gt;&lt;/authors&gt;&lt;/contributors&gt;&lt;titles&gt;&lt;title&gt;Deep transcriptome sequencing of subgenual anterior cingulate cortex reveals cross-diagnostic and diagnosis-specific RNA expression changes in major psychiatric disorders&lt;/title&gt;&lt;secondary-title&gt;Neuropsychopharmacology&lt;/secondary-title&gt;&lt;/titles&gt;&lt;periodical&gt;&lt;full-title&gt;Neuropsychopharmacology&lt;/full-title&gt;&lt;abbr-1&gt;Neuropsychopharmacology&lt;/abbr-1&gt;&lt;/periodical&gt;&lt;pages&gt;1364-1372&lt;/pages&gt;&lt;volume&gt;46&lt;/volume&gt;&lt;dates&gt;&lt;year&gt;2021&lt;/year&gt;&lt;/dates&gt;&lt;urls&gt;&lt;/urls&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[34]</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where normalized expression levels approximated those of ADORA2A itself, again with ~3-fold longer read lengths (</w:t>
      </w:r>
      <w:r w:rsidRPr="00CD2448">
        <w:rPr>
          <w:rFonts w:ascii="Arial" w:hAnsi="Arial" w:cs="Arial"/>
          <w:b/>
          <w:bCs/>
          <w:color w:val="000000" w:themeColor="text1"/>
          <w:sz w:val="22"/>
          <w:szCs w:val="22"/>
        </w:rPr>
        <w:t>Fig.S4</w:t>
      </w:r>
      <w:r w:rsidRPr="00CD2448">
        <w:rPr>
          <w:rFonts w:ascii="Arial" w:hAnsi="Arial" w:cs="Arial"/>
          <w:color w:val="000000" w:themeColor="text1"/>
          <w:sz w:val="22"/>
          <w:szCs w:val="22"/>
        </w:rPr>
        <w:t>).</w:t>
      </w:r>
    </w:p>
    <w:p w14:paraId="6DF766AC" w14:textId="77777777" w:rsidR="00534AD9" w:rsidRPr="00CD2448" w:rsidRDefault="00534AD9" w:rsidP="002B3DB1">
      <w:pPr>
        <w:rPr>
          <w:rFonts w:ascii="Arial" w:hAnsi="Arial" w:cs="Arial"/>
          <w:i/>
          <w:iCs/>
          <w:color w:val="000000" w:themeColor="text1"/>
          <w:sz w:val="22"/>
          <w:szCs w:val="22"/>
        </w:rPr>
      </w:pPr>
    </w:p>
    <w:p w14:paraId="56322034" w14:textId="1166073B" w:rsidR="00534AD9" w:rsidRPr="00CD2448" w:rsidRDefault="00534AD9" w:rsidP="00534AD9">
      <w:pPr>
        <w:rPr>
          <w:rFonts w:ascii="Arial" w:hAnsi="Arial" w:cs="Arial"/>
          <w:i/>
          <w:iCs/>
          <w:color w:val="000000" w:themeColor="text1"/>
          <w:sz w:val="22"/>
          <w:szCs w:val="22"/>
        </w:rPr>
      </w:pPr>
      <w:r w:rsidRPr="00CD2448">
        <w:rPr>
          <w:rFonts w:ascii="Arial" w:hAnsi="Arial" w:cs="Arial"/>
          <w:i/>
          <w:iCs/>
          <w:color w:val="000000" w:themeColor="text1"/>
          <w:sz w:val="22"/>
          <w:szCs w:val="22"/>
        </w:rPr>
        <w:t xml:space="preserve">Extended Description of Findings from </w:t>
      </w:r>
      <w:proofErr w:type="spellStart"/>
      <w:r w:rsidRPr="00CD2448">
        <w:rPr>
          <w:rFonts w:ascii="Arial" w:hAnsi="Arial" w:cs="Arial"/>
          <w:i/>
          <w:iCs/>
          <w:color w:val="000000" w:themeColor="text1"/>
          <w:sz w:val="22"/>
          <w:szCs w:val="22"/>
        </w:rPr>
        <w:t>BayesPrism</w:t>
      </w:r>
      <w:proofErr w:type="spellEnd"/>
      <w:r w:rsidRPr="00CD2448">
        <w:rPr>
          <w:rFonts w:ascii="Arial" w:hAnsi="Arial" w:cs="Arial"/>
          <w:i/>
          <w:iCs/>
          <w:color w:val="000000" w:themeColor="text1"/>
          <w:sz w:val="22"/>
          <w:szCs w:val="22"/>
        </w:rPr>
        <w:t xml:space="preserve"> Cell-Type </w:t>
      </w:r>
      <w:r w:rsidR="00660ACD" w:rsidRPr="00CD2448">
        <w:rPr>
          <w:rFonts w:ascii="Arial" w:hAnsi="Arial" w:cs="Arial"/>
          <w:i/>
          <w:iCs/>
          <w:color w:val="000000" w:themeColor="text1"/>
          <w:sz w:val="22"/>
          <w:szCs w:val="22"/>
        </w:rPr>
        <w:t>Enrichment and Differential Expression</w:t>
      </w:r>
      <w:r w:rsidRPr="00CD2448">
        <w:rPr>
          <w:rFonts w:ascii="Arial" w:hAnsi="Arial" w:cs="Arial"/>
          <w:i/>
          <w:iCs/>
          <w:color w:val="000000" w:themeColor="text1"/>
          <w:sz w:val="22"/>
          <w:szCs w:val="22"/>
        </w:rPr>
        <w:t xml:space="preserve"> (</w:t>
      </w:r>
      <w:r w:rsidRPr="00CD2448">
        <w:rPr>
          <w:rFonts w:ascii="Arial" w:hAnsi="Arial" w:cs="Arial"/>
          <w:b/>
          <w:bCs/>
          <w:i/>
          <w:iCs/>
          <w:color w:val="000000" w:themeColor="text1"/>
          <w:sz w:val="22"/>
          <w:szCs w:val="22"/>
        </w:rPr>
        <w:t>Fig</w:t>
      </w:r>
      <w:r w:rsidR="00DF7921" w:rsidRPr="00CD2448">
        <w:rPr>
          <w:rFonts w:ascii="Arial" w:hAnsi="Arial" w:cs="Arial"/>
          <w:b/>
          <w:bCs/>
          <w:i/>
          <w:iCs/>
          <w:color w:val="000000" w:themeColor="text1"/>
          <w:sz w:val="22"/>
          <w:szCs w:val="22"/>
        </w:rPr>
        <w:t>.</w:t>
      </w:r>
      <w:r w:rsidRPr="00CD2448">
        <w:rPr>
          <w:rFonts w:ascii="Arial" w:hAnsi="Arial" w:cs="Arial"/>
          <w:b/>
          <w:bCs/>
          <w:i/>
          <w:iCs/>
          <w:color w:val="000000" w:themeColor="text1"/>
          <w:sz w:val="22"/>
          <w:szCs w:val="22"/>
        </w:rPr>
        <w:t>S6</w:t>
      </w:r>
      <w:r w:rsidRPr="00CD2448">
        <w:rPr>
          <w:rFonts w:ascii="Arial" w:hAnsi="Arial" w:cs="Arial"/>
          <w:i/>
          <w:iCs/>
          <w:color w:val="000000" w:themeColor="text1"/>
          <w:sz w:val="22"/>
          <w:szCs w:val="22"/>
        </w:rPr>
        <w:t>)</w:t>
      </w:r>
    </w:p>
    <w:p w14:paraId="10F2EBFF" w14:textId="696A2DAB" w:rsidR="00534AD9" w:rsidRPr="00CD2448" w:rsidRDefault="00816BFA" w:rsidP="00534AD9">
      <w:pPr>
        <w:ind w:firstLine="720"/>
        <w:rPr>
          <w:rFonts w:ascii="Arial" w:hAnsi="Arial" w:cs="Arial"/>
          <w:b/>
          <w:bCs/>
          <w:color w:val="000000" w:themeColor="text1"/>
          <w:sz w:val="22"/>
          <w:szCs w:val="22"/>
        </w:rPr>
      </w:pPr>
      <w:r w:rsidRPr="00CD2448">
        <w:rPr>
          <w:rFonts w:ascii="Arial" w:hAnsi="Arial" w:cs="Arial"/>
          <w:color w:val="000000" w:themeColor="text1"/>
          <w:sz w:val="22"/>
          <w:szCs w:val="22"/>
        </w:rPr>
        <w:t>B-cell</w:t>
      </w:r>
      <w:r w:rsidR="00534AD9" w:rsidRPr="00CD2448">
        <w:rPr>
          <w:rFonts w:ascii="Arial" w:hAnsi="Arial" w:cs="Arial"/>
          <w:color w:val="000000" w:themeColor="text1"/>
          <w:sz w:val="22"/>
          <w:szCs w:val="22"/>
        </w:rPr>
        <w:t xml:space="preserve">s express functional N-methyl-D-aspartate receptors (NMDARs), and non-competitive antagonists such as memantine and </w:t>
      </w:r>
      <w:proofErr w:type="spellStart"/>
      <w:r w:rsidR="00534AD9" w:rsidRPr="00CD2448">
        <w:rPr>
          <w:rFonts w:ascii="Arial" w:hAnsi="Arial" w:cs="Arial"/>
          <w:color w:val="000000" w:themeColor="text1"/>
          <w:sz w:val="22"/>
          <w:szCs w:val="22"/>
        </w:rPr>
        <w:t>ifenprodil</w:t>
      </w:r>
      <w:proofErr w:type="spellEnd"/>
      <w:r w:rsidR="00534AD9" w:rsidRPr="00CD2448">
        <w:rPr>
          <w:rFonts w:ascii="Arial" w:hAnsi="Arial" w:cs="Arial"/>
          <w:color w:val="000000" w:themeColor="text1"/>
          <w:sz w:val="22"/>
          <w:szCs w:val="22"/>
        </w:rPr>
        <w:t xml:space="preserve"> inhibit </w:t>
      </w:r>
      <w:r w:rsidRPr="00CD2448">
        <w:rPr>
          <w:rFonts w:ascii="Arial" w:hAnsi="Arial" w:cs="Arial"/>
          <w:color w:val="000000" w:themeColor="text1"/>
          <w:sz w:val="22"/>
          <w:szCs w:val="22"/>
        </w:rPr>
        <w:t>B-cell</w:t>
      </w:r>
      <w:r w:rsidR="00534AD9" w:rsidRPr="00CD2448">
        <w:rPr>
          <w:rFonts w:ascii="Arial" w:hAnsi="Arial" w:cs="Arial"/>
          <w:color w:val="000000" w:themeColor="text1"/>
          <w:sz w:val="22"/>
          <w:szCs w:val="22"/>
        </w:rPr>
        <w:t xml:space="preserve"> receptor- and lipopolysaccharide-driven proliferation and immunoglobulin G (IgG) secretion </w:t>
      </w:r>
      <w:r w:rsidR="00534AD9"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ExcludeYear="1"&gt;&lt;Author&gt;Simma&lt;/Author&gt;&lt;Year&gt;2014&lt;/Year&gt;&lt;RecNum&gt;43&lt;/RecNum&gt;&lt;DisplayText&gt;[35]&lt;/DisplayText&gt;&lt;record&gt;&lt;rec-number&gt;43&lt;/rec-number&gt;&lt;foreign-keys&gt;&lt;key app="EN" db-id="dzsadpavbdaf27ef9zmxw006vzddp0epfpxa" timestamp="1759159643"&gt;43&lt;/key&gt;&lt;/foreign-keys&gt;&lt;ref-type name="Journal Article"&gt;17&lt;/ref-type&gt;&lt;contributors&gt;&lt;authors&gt;&lt;author&gt;Simma, Narasimhulu&lt;/author&gt;&lt;author&gt;Bose, Tanima&lt;/author&gt;&lt;author&gt;Kahlfuß, Sascha&lt;/author&gt;&lt;author&gt;Mankiewicz, Judith&lt;/author&gt;&lt;author&gt;Lowinus, Theresa&lt;/author&gt;&lt;author&gt;Lühder, Fred&lt;/author&gt;&lt;author&gt;Schüler, Thomas&lt;/author&gt;&lt;author&gt;Schraven, Burkhart&lt;/author&gt;&lt;author&gt;Heine, Martin&lt;/author&gt;&lt;author&gt;Bommhardt, Ursula&lt;/author&gt;&lt;/authors&gt;&lt;/contributors&gt;&lt;titles&gt;&lt;title&gt;NMDA-receptor antagonists block B-cell function but foster IL-10 production in BCR/CD40-activated B cells&lt;/title&gt;&lt;secondary-title&gt;Cell Commun Signal&lt;/secondary-title&gt;&lt;alt-title&gt;Cell Communication and Signaling&lt;/alt-title&gt;&lt;/titles&gt;&lt;alt-periodical&gt;&lt;full-title&gt;Cell Communication and Signaling&lt;/full-title&gt;&lt;abbr-1&gt;Cell Communication and Signaling&lt;/abbr-1&gt;&lt;/alt-periodical&gt;&lt;pages&gt;75&lt;/pages&gt;&lt;volume&gt;12&lt;/volume&gt;&lt;number&gt;1&lt;/number&gt;&lt;keywords&gt;&lt;keyword&gt;B cell&lt;/keyword&gt;&lt;keyword&gt;B10&lt;/keyword&gt;&lt;keyword&gt;Ifenprodil&lt;/keyword&gt;&lt;keyword&gt;IL-10&lt;/keyword&gt;&lt;keyword&gt;KCa3.1&lt;/keyword&gt;&lt;keyword&gt;Kv1.3&lt;/keyword&gt;&lt;keyword&gt;LPS&lt;/keyword&gt;&lt;keyword&gt;Memantine&lt;/keyword&gt;&lt;keyword&gt;NMDA-receptor antagonist&lt;/keyword&gt;&lt;/keywords&gt;&lt;dates&gt;&lt;year&gt;2014&lt;/year&gt;&lt;pub-dates&gt;&lt;date&gt;2014/12/05/&lt;/date&gt;&lt;/pub-dates&gt;&lt;/dates&gt;&lt;isbn&gt;1478-811X&lt;/isbn&gt;&lt;urls&gt;&lt;related-urls&gt;&lt;url&gt;https://doi.org/10.1186/s12964-014-0075-5&lt;/url&gt;&lt;/related-urls&gt;&lt;/urls&gt;&lt;electronic-resource-num&gt;10.1186/s12964-014-0075-5&lt;/electronic-resource-num&gt;&lt;remote-database-provider&gt;BioMed Central&lt;/remote-database-provider&gt;&lt;access-date&gt;2025/09/21/19:40:55&lt;/access-date&gt;&lt;/record&gt;&lt;/Cite&gt;&lt;/EndNote&gt;</w:instrText>
      </w:r>
      <w:r w:rsidR="00534AD9"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[35]</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 xml:space="preserve">, supporting a potential link between </w:t>
      </w:r>
      <w:r w:rsidRPr="00CD2448">
        <w:rPr>
          <w:rFonts w:ascii="Arial" w:hAnsi="Arial" w:cs="Arial"/>
          <w:color w:val="000000" w:themeColor="text1"/>
          <w:sz w:val="22"/>
          <w:szCs w:val="22"/>
        </w:rPr>
        <w:t>B-cell</w:t>
      </w:r>
      <w:r w:rsidR="00534AD9" w:rsidRPr="00CD2448">
        <w:rPr>
          <w:rFonts w:ascii="Arial" w:hAnsi="Arial" w:cs="Arial"/>
          <w:color w:val="000000" w:themeColor="text1"/>
          <w:sz w:val="22"/>
          <w:szCs w:val="22"/>
        </w:rPr>
        <w:t xml:space="preserve"> overactivity and our observed ketamine-related transcriptomic effects. Given these established effects, and the strong concordance with our CBC data, underlying cellular activity </w:t>
      </w:r>
      <w:r w:rsidR="00E02F46" w:rsidRPr="00CD2448">
        <w:rPr>
          <w:rFonts w:ascii="Arial" w:hAnsi="Arial" w:cs="Arial"/>
          <w:color w:val="000000" w:themeColor="text1"/>
          <w:sz w:val="22"/>
          <w:szCs w:val="22"/>
        </w:rPr>
        <w:t xml:space="preserve">was examined </w:t>
      </w:r>
      <w:r w:rsidR="00534AD9" w:rsidRPr="00CD2448">
        <w:rPr>
          <w:rFonts w:ascii="Arial" w:hAnsi="Arial" w:cs="Arial"/>
          <w:color w:val="000000" w:themeColor="text1"/>
          <w:sz w:val="22"/>
          <w:szCs w:val="22"/>
        </w:rPr>
        <w:t xml:space="preserve">in greater detail. </w:t>
      </w:r>
      <w:proofErr w:type="spellStart"/>
      <w:r w:rsidR="00534AD9" w:rsidRPr="00CD2448">
        <w:rPr>
          <w:rFonts w:ascii="Arial" w:hAnsi="Arial" w:cs="Arial"/>
          <w:i/>
          <w:iCs/>
          <w:color w:val="000000" w:themeColor="text1"/>
          <w:sz w:val="22"/>
          <w:szCs w:val="22"/>
        </w:rPr>
        <w:t>BayesPrism</w:t>
      </w:r>
      <w:proofErr w:type="spellEnd"/>
      <w:r w:rsidR="00534AD9" w:rsidRPr="00CD2448">
        <w:rPr>
          <w:rFonts w:ascii="Arial" w:hAnsi="Arial" w:cs="Arial"/>
          <w:color w:val="000000" w:themeColor="text1"/>
          <w:sz w:val="22"/>
          <w:szCs w:val="22"/>
        </w:rPr>
        <w:t xml:space="preserve"> was used with a single cell </w:t>
      </w:r>
      <w:r w:rsidR="00534AD9" w:rsidRPr="00CD2448">
        <w:rPr>
          <w:rFonts w:ascii="Arial" w:hAnsi="Arial" w:cs="Arial"/>
          <w:color w:val="000000" w:themeColor="text1"/>
          <w:sz w:val="22"/>
          <w:szCs w:val="22"/>
        </w:rPr>
        <w:lastRenderedPageBreak/>
        <w:t xml:space="preserve">reference </w:t>
      </w:r>
      <w:r w:rsidR="00534AD9" w:rsidRPr="00CD2448">
        <w:rPr>
          <w:rFonts w:ascii="Arial" w:hAnsi="Arial" w:cs="Arial"/>
          <w:color w:val="000000" w:themeColor="text1"/>
          <w:sz w:val="22"/>
          <w:szCs w:val="22"/>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C41394" w:rsidRPr="00CD2448">
        <w:rPr>
          <w:rFonts w:ascii="Arial" w:hAnsi="Arial" w:cs="Arial"/>
          <w:color w:val="000000" w:themeColor="text1"/>
          <w:sz w:val="22"/>
          <w:szCs w:val="22"/>
        </w:rPr>
        <w:instrText xml:space="preserve"> ADDIN EN.CITE </w:instrText>
      </w:r>
      <w:r w:rsidR="00C41394" w:rsidRPr="00CD2448">
        <w:rPr>
          <w:rFonts w:ascii="Arial" w:hAnsi="Arial" w:cs="Arial"/>
          <w:color w:val="000000" w:themeColor="text1"/>
          <w:sz w:val="22"/>
          <w:szCs w:val="22"/>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C41394" w:rsidRPr="00CD2448">
        <w:rPr>
          <w:rFonts w:ascii="Arial" w:hAnsi="Arial" w:cs="Arial"/>
          <w:color w:val="000000" w:themeColor="text1"/>
          <w:sz w:val="22"/>
          <w:szCs w:val="22"/>
        </w:rPr>
        <w:instrText xml:space="preserve"> ADDIN EN.CITE.DATA </w:instrText>
      </w:r>
      <w:r w:rsidR="00C41394" w:rsidRPr="00CD2448">
        <w:rPr>
          <w:rFonts w:ascii="Arial" w:hAnsi="Arial" w:cs="Arial"/>
          <w:color w:val="000000" w:themeColor="text1"/>
          <w:sz w:val="22"/>
          <w:szCs w:val="22"/>
        </w:rPr>
      </w:r>
      <w:r w:rsidR="00C41394"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r>
      <w:r w:rsidR="00534AD9"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[21]</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 xml:space="preserve"> to model immune-cell-type-specific differential expression patterns </w:t>
      </w:r>
      <w:r w:rsidR="00534AD9" w:rsidRPr="00CD2448">
        <w:rPr>
          <w:rFonts w:ascii="Arial" w:hAnsi="Arial" w:cs="Arial"/>
          <w:color w:val="000000" w:themeColor="text1"/>
          <w:sz w:val="22"/>
          <w:szCs w:val="22"/>
        </w:rPr>
        <w:fldChar w:fldCharType="begin">
          <w:fldData xml:space="preserve">PEVuZE5vdGU+PENpdGUgRXhjbHVkZVllYXI9IjEiPjxBdXRob3I+QXNoa2FyPC9BdXRob3I+PFll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</w:fldData>
        </w:fldChar>
      </w:r>
      <w:r w:rsidR="00C41394" w:rsidRPr="00CD2448">
        <w:rPr>
          <w:rFonts w:ascii="Arial" w:hAnsi="Arial" w:cs="Arial"/>
          <w:color w:val="000000" w:themeColor="text1"/>
          <w:sz w:val="22"/>
          <w:szCs w:val="22"/>
        </w:rPr>
        <w:instrText xml:space="preserve"> ADDIN EN.CITE </w:instrText>
      </w:r>
      <w:r w:rsidR="00C41394" w:rsidRPr="00CD2448">
        <w:rPr>
          <w:rFonts w:ascii="Arial" w:hAnsi="Arial" w:cs="Arial"/>
          <w:color w:val="000000" w:themeColor="text1"/>
          <w:sz w:val="22"/>
          <w:szCs w:val="22"/>
        </w:rPr>
        <w:fldChar w:fldCharType="begin">
          <w:fldData xml:space="preserve">PEVuZE5vdGU+PENpdGUgRXhjbHVkZVllYXI9IjEiPjxBdXRob3I+QXNoa2FyPC9BdXRob3I+PFll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</w:fldData>
        </w:fldChar>
      </w:r>
      <w:r w:rsidR="00C41394" w:rsidRPr="00CD2448">
        <w:rPr>
          <w:rFonts w:ascii="Arial" w:hAnsi="Arial" w:cs="Arial"/>
          <w:color w:val="000000" w:themeColor="text1"/>
          <w:sz w:val="22"/>
          <w:szCs w:val="22"/>
        </w:rPr>
        <w:instrText xml:space="preserve"> ADDIN EN.CITE.DATA </w:instrText>
      </w:r>
      <w:r w:rsidR="00C41394" w:rsidRPr="00CD2448">
        <w:rPr>
          <w:rFonts w:ascii="Arial" w:hAnsi="Arial" w:cs="Arial"/>
          <w:color w:val="000000" w:themeColor="text1"/>
          <w:sz w:val="22"/>
          <w:szCs w:val="22"/>
        </w:rPr>
      </w:r>
      <w:r w:rsidR="00C41394"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r>
      <w:r w:rsidR="00534AD9"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[36-38]</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 xml:space="preserve">. Forty-eight cell types with sufficiently distinct marker DEGs (see </w:t>
      </w:r>
      <w:r w:rsidR="00534AD9" w:rsidRPr="00CD2448">
        <w:rPr>
          <w:rFonts w:ascii="Arial" w:hAnsi="Arial" w:cs="Arial"/>
          <w:color w:val="000000" w:themeColor="text1"/>
          <w:sz w:val="22"/>
          <w:szCs w:val="22"/>
        </w:rPr>
        <w:fldChar w:fldCharType="begin"/>
      </w:r>
      <w:r w:rsidR="00534AD9" w:rsidRPr="00CD2448">
        <w:rPr>
          <w:rFonts w:ascii="Arial" w:hAnsi="Arial" w:cs="Arial"/>
          <w:color w:val="000000" w:themeColor="text1"/>
          <w:sz w:val="22"/>
          <w:szCs w:val="22"/>
        </w:rPr>
        <w:instrText xml:space="preserve"> ADDIN EN.CITE &lt;EndNote&gt;&lt;Cite ExcludeYear="1"&gt;&lt;Author&gt;Chu&lt;/Author&gt;&lt;Year&gt;2022&lt;/Year&gt;&lt;RecNum&gt;34&lt;/RecNum&gt;&lt;DisplayText&gt;[20]&lt;/DisplayText&gt;&lt;record&gt;&lt;rec-number&gt;34&lt;/rec-number&gt;&lt;foreign-keys&gt;&lt;key app="EN" db-id="dzsadpavbdaf27ef9zmxw006vzddp0epfpxa" timestamp="1759159643"&gt;34&lt;/key&gt;&lt;/foreign-keys&gt;&lt;ref-type name="Journal Article"&gt;17&lt;/ref-type&gt;&lt;contributors&gt;&lt;authors&gt;&lt;author&gt;Chu, Tinyi&lt;/author&gt;&lt;author&gt;Wang, Zhong&lt;/author&gt;&lt;author&gt;Pe’er, Dana&lt;/author&gt;&lt;author&gt;Danko, Charles G.&lt;/author&gt;&lt;/authors&gt;&lt;/contributors&gt;&lt;titles&gt;&lt;title&gt;Cell type and gene expression deconvolution with BayesPrism enables Bayesian integrative analysis across bulk and single-cell RNA sequencing in oncology&lt;/title&gt;&lt;secondary-title&gt;Nat Cancer&lt;/secondary-title&gt;&lt;alt-title&gt;Nat Cancer&lt;/alt-title&gt;&lt;/titles&gt;&lt;periodical&gt;&lt;full-title&gt;Nature Cancer&lt;/full-title&gt;&lt;abbr-1&gt;Nat Cancer&lt;/abbr-1&gt;&lt;/periodical&gt;&lt;alt-periodical&gt;&lt;full-title&gt;Nature Cancer&lt;/full-title&gt;&lt;abbr-1&gt;Nat Cancer&lt;/abbr-1&gt;&lt;/alt-periodical&gt;&lt;pages&gt;505-517&lt;/pages&gt;&lt;volume&gt;3&lt;/volume&gt;&lt;number&gt;4&lt;/number&gt;&lt;keywords&gt;&lt;keyword&gt;Bayes Theorem&lt;/keyword&gt;&lt;keyword&gt;Cancer&lt;/keyword&gt;&lt;keyword&gt;Cancer genomics&lt;/keyword&gt;&lt;keyword&gt;Endothelial Cells&lt;/keyword&gt;&lt;keyword&gt;Gene Expression&lt;/keyword&gt;&lt;keyword&gt;Head and Neck Neoplasms&lt;/keyword&gt;&lt;keyword&gt;Humans&lt;/keyword&gt;&lt;keyword&gt;Melanoma&lt;/keyword&gt;&lt;keyword&gt;Melanoma, Cutaneous Malignant&lt;/keyword&gt;&lt;keyword&gt;Sequence Analysis, RNA&lt;/keyword&gt;&lt;keyword&gt;Single-Cell Analysis&lt;/keyword&gt;&lt;keyword&gt;Skin Neoplasms&lt;/keyword&gt;&lt;keyword&gt;Statistical methods&lt;/keyword&gt;&lt;/keywords&gt;&lt;dates&gt;&lt;year&gt;2022&lt;/year&gt;&lt;pub-dates&gt;&lt;date&gt;2022/04//&lt;/date&gt;&lt;/pub-dates&gt;&lt;/dates&gt;&lt;isbn&gt;2662-1347&lt;/isbn&gt;&lt;urls&gt;&lt;related-urls&gt;&lt;url&gt;https://www.nature.com/articles/s43018-022-00356-3&lt;/url&gt;&lt;/related-urls&gt;&lt;/urls&gt;&lt;electronic-resource-num&gt;10.1038/s43018-022-00356-3&lt;/electronic-resource-num&gt;&lt;remote-database-provider&gt;www.nature.com&lt;/remote-database-provider&gt;&lt;language&gt;en&lt;/language&gt;&lt;access-date&gt;2025/03/09/15:09:16&lt;/access-date&gt;&lt;/record&gt;&lt;/Cite&gt;&lt;/EndNote&gt;</w:instrText>
      </w:r>
      <w:r w:rsidR="00534AD9" w:rsidRPr="00CD2448">
        <w:rPr>
          <w:rFonts w:ascii="Arial" w:hAnsi="Arial" w:cs="Arial"/>
          <w:color w:val="000000" w:themeColor="text1"/>
          <w:sz w:val="22"/>
          <w:szCs w:val="22"/>
        </w:rPr>
        <w:fldChar w:fldCharType="separate"/>
      </w:r>
      <w:r w:rsidR="00534AD9" w:rsidRPr="00CD2448">
        <w:rPr>
          <w:rFonts w:ascii="Arial" w:hAnsi="Arial" w:cs="Arial"/>
          <w:noProof/>
          <w:color w:val="000000" w:themeColor="text1"/>
          <w:sz w:val="22"/>
          <w:szCs w:val="22"/>
        </w:rPr>
        <w:t>[20]</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 were included in this analysis (</w:t>
      </w:r>
      <w:r w:rsidR="00534AD9" w:rsidRPr="00CD2448">
        <w:rPr>
          <w:rFonts w:ascii="Arial" w:hAnsi="Arial" w:cs="Arial"/>
          <w:b/>
          <w:bCs/>
          <w:color w:val="000000" w:themeColor="text1"/>
          <w:sz w:val="22"/>
          <w:szCs w:val="22"/>
        </w:rPr>
        <w:t>Table S</w:t>
      </w:r>
      <w:r w:rsidR="00704BC7">
        <w:rPr>
          <w:rFonts w:ascii="Arial" w:hAnsi="Arial" w:cs="Arial"/>
          <w:b/>
          <w:bCs/>
          <w:color w:val="000000" w:themeColor="text1"/>
          <w:sz w:val="22"/>
          <w:szCs w:val="22"/>
        </w:rPr>
        <w:t>5</w:t>
      </w:r>
      <w:r w:rsidR="00534AD9" w:rsidRPr="00CD2448">
        <w:rPr>
          <w:rFonts w:ascii="Arial" w:hAnsi="Arial" w:cs="Arial"/>
          <w:b/>
          <w:bCs/>
          <w:color w:val="000000" w:themeColor="text1"/>
          <w:sz w:val="22"/>
          <w:szCs w:val="22"/>
        </w:rPr>
        <w:t xml:space="preserve">). </w:t>
      </w:r>
      <w:bookmarkStart w:id="15" w:name="OLE_LINK48"/>
      <w:r w:rsidR="00534AD9" w:rsidRPr="00CD2448">
        <w:rPr>
          <w:rFonts w:ascii="Arial" w:hAnsi="Arial" w:cs="Arial"/>
          <w:color w:val="000000" w:themeColor="text1"/>
          <w:sz w:val="22"/>
          <w:szCs w:val="22"/>
        </w:rPr>
        <w:t xml:space="preserve">Instead of pathway-specific IPA, competitive, rank-based enrichment (via Dream/Zenith </w:t>
      </w:r>
      <w:r w:rsidR="00534AD9"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ExcludeYear="1"&gt;&lt;Author&gt;Hoffman&lt;/Author&gt;&lt;Year&gt;2021&lt;/Year&gt;&lt;RecNum&gt;26&lt;/RecNum&gt;&lt;DisplayText&gt;[6, 39]&lt;/DisplayText&gt;&lt;record&gt;&lt;rec-number&gt;26&lt;/rec-number&gt;&lt;foreign-keys&gt;&lt;key app="EN" db-id="dzsadpavbdaf27ef9zmxw006vzddp0epfpxa" timestamp="1759159643"&gt;26&lt;/key&gt;&lt;/foreign-keys&gt;&lt;ref-type name="Journal Article"&gt;17&lt;/ref-type&gt;&lt;contributors&gt;&lt;authors&gt;&lt;author&gt;Hoffman, Gabriel E&lt;/author&gt;&lt;author&gt;Roussos, Panos&lt;/author&gt;&lt;/authors&gt;&lt;/contributors&gt;&lt;titles&gt;&lt;title&gt;Dream: powerful differential expression analysis for repeated measures designs&lt;/title&gt;&lt;secondary-title&gt;Bioinformatics&lt;/secondary-title&gt;&lt;/titles&gt;&lt;periodical&gt;&lt;full-title&gt;Bioinformatics&lt;/full-title&gt;&lt;/periodical&gt;&lt;pages&gt;192-201&lt;/pages&gt;&lt;volume&gt;37&lt;/volume&gt;&lt;number&gt;2&lt;/number&gt;&lt;dates&gt;&lt;year&gt;2021&lt;/year&gt;&lt;/dates&gt;&lt;isbn&gt;1367-4803&lt;/isbn&gt;&lt;urls&gt;&lt;related-urls&gt;&lt;url&gt;https://academic.oup.com/bioinformatics/article/37/2/192/5878955&lt;/url&gt;&lt;/related-urls&gt;&lt;/urls&gt;&lt;electronic-resource-num&gt;10.1093/bioinformatics/btaa687&lt;/electronic-resource-num&gt;&lt;/record&gt;&lt;/Cite&gt;&lt;Cite&gt;&lt;RecNum&gt;47&lt;/RecNum&gt;&lt;record&gt;&lt;rec-number&gt;47&lt;/rec-number&gt;&lt;foreign-keys&gt;&lt;key app="EN" db-id="dzsadpavbdaf27ef9zmxw006vzddp0epfpxa" timestamp="1759159643"&gt;47&lt;/key&gt;&lt;/foreign-keys&gt;&lt;ref-type name="Journal Article"&gt;17&lt;/ref-type&gt;&lt;contributors&gt;&lt;/contributors&gt;&lt;titles&gt;&lt;title&gt;Gene set analysis following differential expression using linear (mixed) modeling with dream&lt;/title&gt;&lt;/titles&gt;&lt;dates&gt;&lt;/dates&gt;&lt;urls&gt;&lt;related-urls&gt;&lt;url&gt;https://diseaseneurogenomics.github.io/zenith/&lt;/url&gt;&lt;/related-urls&gt;&lt;/urls&gt;&lt;language&gt;en&lt;/language&gt;&lt;access-date&gt;2025/08/30/02:39:13&lt;/access-date&gt;&lt;/record&gt;&lt;/Cite&gt;&lt;/EndNote&gt;</w:instrText>
      </w:r>
      <w:r w:rsidR="00534AD9"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[6, 39]</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 was used here to broadly assess functional changes across predicted cell types (with Gene Ontology Molecular Function (</w:t>
      </w:r>
      <w:bookmarkStart w:id="16" w:name="_Hlk209808567"/>
      <w:r w:rsidR="00534AD9" w:rsidRPr="00CD2448">
        <w:rPr>
          <w:rFonts w:ascii="Arial" w:hAnsi="Arial" w:cs="Arial"/>
          <w:color w:val="000000" w:themeColor="text1"/>
          <w:sz w:val="22"/>
          <w:szCs w:val="22"/>
        </w:rPr>
        <w:t>GO:MF</w:t>
      </w:r>
      <w:bookmarkEnd w:id="16"/>
      <w:r w:rsidR="00534AD9" w:rsidRPr="00CD2448">
        <w:rPr>
          <w:rFonts w:ascii="Arial" w:hAnsi="Arial" w:cs="Arial"/>
          <w:color w:val="000000" w:themeColor="text1"/>
          <w:sz w:val="22"/>
          <w:szCs w:val="22"/>
        </w:rPr>
        <w:t>) terms).</w:t>
      </w:r>
      <w:r w:rsidR="00534AD9" w:rsidRPr="00CD2448">
        <w:rPr>
          <w:rFonts w:ascii="Arial" w:hAnsi="Arial" w:cs="Arial"/>
          <w:b/>
          <w:bCs/>
          <w:color w:val="000000" w:themeColor="text1"/>
          <w:sz w:val="22"/>
          <w:szCs w:val="22"/>
        </w:rPr>
        <w:t xml:space="preserve"> </w:t>
      </w:r>
      <w:r w:rsidR="00534AD9" w:rsidRPr="00CD2448">
        <w:rPr>
          <w:rFonts w:ascii="Arial" w:hAnsi="Arial" w:cs="Arial"/>
          <w:color w:val="000000" w:themeColor="text1"/>
          <w:sz w:val="22"/>
          <w:szCs w:val="22"/>
        </w:rPr>
        <w:t xml:space="preserve">This conservative approach was intended to provide a more unbiased overview of altered cellular activity, which minimizes sensitivity to artificial expression differences that may arise from </w:t>
      </w:r>
      <w:proofErr w:type="spellStart"/>
      <w:r w:rsidR="00534AD9" w:rsidRPr="00CD2448">
        <w:rPr>
          <w:rFonts w:ascii="Arial" w:hAnsi="Arial" w:cs="Arial"/>
          <w:i/>
          <w:iCs/>
          <w:color w:val="000000" w:themeColor="text1"/>
          <w:sz w:val="22"/>
          <w:szCs w:val="22"/>
        </w:rPr>
        <w:t>BayesPrism’s</w:t>
      </w:r>
      <w:proofErr w:type="spellEnd"/>
      <w:r w:rsidR="00534AD9" w:rsidRPr="00CD2448">
        <w:rPr>
          <w:rFonts w:ascii="Arial" w:hAnsi="Arial" w:cs="Arial"/>
          <w:color w:val="000000" w:themeColor="text1"/>
          <w:sz w:val="22"/>
          <w:szCs w:val="22"/>
        </w:rPr>
        <w:t xml:space="preserve"> use of single-cell reference priors </w:t>
      </w:r>
      <w:r w:rsidR="00534AD9"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ExcludeYear="1"&gt;&lt;Author&gt;Subramanian&lt;/Author&gt;&lt;Year&gt;2005&lt;/Year&gt;&lt;RecNum&gt;48&lt;/RecNum&gt;&lt;DisplayText&gt;[40]&lt;/DisplayText&gt;&lt;record&gt;&lt;rec-number&gt;48&lt;/rec-number&gt;&lt;foreign-keys&gt;&lt;key app="EN" db-id="dzsadpavbdaf27ef9zmxw006vzddp0epfpxa" timestamp="1759159643"&gt;48&lt;/key&gt;&lt;/foreign-keys&gt;&lt;ref-type name="Journal Article"&gt;17&lt;/ref-type&gt;&lt;contributors&gt;&lt;authors&gt;&lt;author&gt;Subramanian, Aravind&lt;/author&gt;&lt;author&gt;Tamayo, Pablo&lt;/author&gt;&lt;author&gt;Mootha, Vamsi K.&lt;/author&gt;&lt;author&gt;Mukherjee, Sayan&lt;/author&gt;&lt;author&gt;Ebert, Benjamin L.&lt;/author&gt;&lt;author&gt;Gillette, Michael A.&lt;/author&gt;&lt;author&gt;Paulovich, Amanda&lt;/author&gt;&lt;author&gt;Pomeroy, Scott L.&lt;/author&gt;&lt;author&gt;Golub, Todd R.&lt;/author&gt;&lt;author&gt;Lander, Eric S.&lt;/author&gt;&lt;author&gt;Mesirov, Jill P.&lt;/author&gt;&lt;/authors&gt;&lt;/contributors&gt;&lt;titles&gt;&lt;title&gt;Gene set enrichment analysis: A knowledge-based approach for interpreting genome-wide expression profiles&lt;/title&gt;&lt;secondary-title&gt;Proc Natl Acad Sci&lt;/secondary-title&gt;&lt;short-title&gt;Gene set enrichment analysis&lt;/short-title&gt;&lt;/titles&gt;&lt;periodical&gt;&lt;full-title&gt;Proc Natl Acad Sci&lt;/full-title&gt;&lt;/periodical&gt;&lt;pages&gt;15545-15550&lt;/pages&gt;&lt;volume&gt;102&lt;/volume&gt;&lt;number&gt;43&lt;/number&gt;&lt;dates&gt;&lt;year&gt;2005&lt;/year&gt;&lt;pub-dates&gt;&lt;date&gt;2005/10/25/&lt;/date&gt;&lt;/pub-dates&gt;&lt;/dates&gt;&lt;urls&gt;&lt;related-urls&gt;&lt;url&gt;https://www.pnas.org/doi/10.1073/pnas.0506580102&lt;/url&gt;&lt;/related-urls&gt;&lt;/urls&gt;&lt;electronic-resource-num&gt;10.1073/pnas.0506580102&lt;/electronic-resource-num&gt;&lt;remote-database-provider&gt;pnas.org (Atypon)&lt;/remote-database-provider&gt;&lt;access-date&gt;2025/08/30/02:46:01&lt;/access-date&gt;&lt;/record&gt;&lt;/Cite&gt;&lt;/EndNote&gt;</w:instrText>
      </w:r>
      <w:r w:rsidR="00534AD9"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[40]</w:t>
      </w:r>
      <w:r w:rsidR="00534AD9" w:rsidRPr="00CD2448">
        <w:rPr>
          <w:rFonts w:ascii="Arial" w:hAnsi="Arial" w:cs="Arial"/>
          <w:color w:val="000000" w:themeColor="text1"/>
          <w:sz w:val="22"/>
          <w:szCs w:val="22"/>
        </w:rPr>
        <w:fldChar w:fldCharType="end"/>
      </w:r>
      <w:r w:rsidR="00534AD9" w:rsidRPr="00CD2448">
        <w:rPr>
          <w:rFonts w:ascii="Arial" w:hAnsi="Arial" w:cs="Arial"/>
          <w:color w:val="000000" w:themeColor="text1"/>
          <w:sz w:val="22"/>
          <w:szCs w:val="22"/>
        </w:rPr>
        <w:t>.</w:t>
      </w:r>
      <w:bookmarkEnd w:id="15"/>
      <w:r w:rsidR="00534AD9" w:rsidRPr="00CD2448">
        <w:rPr>
          <w:rFonts w:ascii="Arial" w:hAnsi="Arial" w:cs="Arial"/>
          <w:b/>
          <w:bCs/>
          <w:color w:val="000000" w:themeColor="text1"/>
          <w:sz w:val="22"/>
          <w:szCs w:val="22"/>
        </w:rPr>
        <w:t xml:space="preserve"> </w:t>
      </w:r>
    </w:p>
    <w:p w14:paraId="52545506" w14:textId="4F6F02A9" w:rsidR="00534AD9" w:rsidRPr="00CD2448" w:rsidRDefault="00534AD9" w:rsidP="00534AD9">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NK-relevant findings can be found in the main text. For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 xml:space="preserve"> populations at baseline, </w:t>
      </w:r>
      <w:r w:rsidR="00280B19" w:rsidRPr="00CD2448">
        <w:rPr>
          <w:rFonts w:ascii="Arial" w:hAnsi="Arial" w:cs="Arial"/>
          <w:color w:val="000000" w:themeColor="text1"/>
          <w:sz w:val="22"/>
          <w:szCs w:val="22"/>
        </w:rPr>
        <w:t xml:space="preserve">ketamine </w:t>
      </w:r>
      <w:r w:rsidRPr="00CD2448">
        <w:rPr>
          <w:rFonts w:ascii="Arial" w:hAnsi="Arial" w:cs="Arial"/>
          <w:color w:val="000000" w:themeColor="text1"/>
          <w:sz w:val="22"/>
          <w:szCs w:val="22"/>
        </w:rPr>
        <w:t xml:space="preserve">responders exhibited overactivity in memory and naive lambda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 xml:space="preserve"> subsets, characterized by markers such as </w:t>
      </w:r>
      <w:r w:rsidRPr="00CD2448">
        <w:rPr>
          <w:rFonts w:ascii="Arial" w:hAnsi="Arial" w:cs="Arial"/>
          <w:i/>
          <w:iCs/>
          <w:color w:val="000000" w:themeColor="text1"/>
          <w:sz w:val="22"/>
          <w:szCs w:val="22"/>
        </w:rPr>
        <w:t>IGLC2, IGLC3</w:t>
      </w:r>
      <w:r w:rsidRPr="00CD2448">
        <w:rPr>
          <w:rFonts w:ascii="Arial" w:hAnsi="Arial" w:cs="Arial"/>
          <w:color w:val="000000" w:themeColor="text1"/>
          <w:sz w:val="22"/>
          <w:szCs w:val="22"/>
        </w:rPr>
        <w:t xml:space="preserve">, and </w:t>
      </w:r>
      <w:r w:rsidRPr="00CD2448">
        <w:rPr>
          <w:rFonts w:ascii="Arial" w:hAnsi="Arial" w:cs="Arial"/>
          <w:i/>
          <w:iCs/>
          <w:color w:val="000000" w:themeColor="text1"/>
          <w:sz w:val="22"/>
          <w:szCs w:val="22"/>
        </w:rPr>
        <w:t>TCL1A</w:t>
      </w:r>
      <w:r w:rsidRPr="00CD2448">
        <w:rPr>
          <w:rFonts w:ascii="Arial" w:hAnsi="Arial" w:cs="Arial"/>
          <w:color w:val="000000" w:themeColor="text1"/>
          <w:sz w:val="22"/>
          <w:szCs w:val="22"/>
        </w:rPr>
        <w:t xml:space="preserve">, while showing underactivity in intermediate lambda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s, which expressed CD22 (</w:t>
      </w:r>
      <w:r w:rsidRPr="00CD2448">
        <w:rPr>
          <w:rFonts w:ascii="Arial" w:hAnsi="Arial" w:cs="Arial"/>
          <w:i/>
          <w:iCs/>
          <w:color w:val="000000" w:themeColor="text1"/>
          <w:sz w:val="22"/>
          <w:szCs w:val="22"/>
        </w:rPr>
        <w:t>SIGLEC-2</w:t>
      </w:r>
      <w:r w:rsidRPr="00CD2448">
        <w:rPr>
          <w:rFonts w:ascii="Arial" w:hAnsi="Arial" w:cs="Arial"/>
          <w:color w:val="000000" w:themeColor="text1"/>
          <w:sz w:val="22"/>
          <w:szCs w:val="22"/>
        </w:rPr>
        <w:t xml:space="preserve">) as a key differentiating marker. Following ketamine treatment, significant downregulation was observed across virtually all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 xml:space="preserve"> populations, including both kappa and lambda variants of naive, memory, and intermediate subsets. This broad suppressive effect on </w:t>
      </w:r>
      <w:r w:rsidR="00816BFA" w:rsidRPr="00CD2448">
        <w:rPr>
          <w:rFonts w:ascii="Arial" w:hAnsi="Arial" w:cs="Arial"/>
          <w:color w:val="000000" w:themeColor="text1"/>
          <w:sz w:val="22"/>
          <w:szCs w:val="22"/>
        </w:rPr>
        <w:t>B-cell</w:t>
      </w:r>
      <w:r w:rsidRPr="00CD2448">
        <w:rPr>
          <w:rFonts w:ascii="Arial" w:hAnsi="Arial" w:cs="Arial"/>
          <w:color w:val="000000" w:themeColor="text1"/>
          <w:sz w:val="22"/>
          <w:szCs w:val="22"/>
        </w:rPr>
        <w:t xml:space="preserve"> activity post-treatment aligns with our differential expression and prior deconvolution data, suggesting a comprehensive modulation of humoral immunity in ketamine responders.</w:t>
      </w:r>
    </w:p>
    <w:p w14:paraId="084EBAA6" w14:textId="77EC62A4" w:rsidR="00534AD9" w:rsidRPr="00CD2448" w:rsidRDefault="00534AD9" w:rsidP="00534AD9">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In the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compartment, the CD4+ effector memory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subtype (CD4 TEM_2) is the only CD4 TEM subset (of four) that does not express </w:t>
      </w:r>
      <w:r w:rsidRPr="00CD2448">
        <w:rPr>
          <w:rFonts w:ascii="Arial" w:hAnsi="Arial" w:cs="Arial"/>
          <w:i/>
          <w:iCs/>
          <w:color w:val="000000" w:themeColor="text1"/>
          <w:sz w:val="22"/>
          <w:szCs w:val="22"/>
        </w:rPr>
        <w:t>IL-7R</w:t>
      </w:r>
      <w:r w:rsidRPr="00CD2448">
        <w:rPr>
          <w:rFonts w:ascii="Arial" w:hAnsi="Arial" w:cs="Arial"/>
          <w:color w:val="000000" w:themeColor="text1"/>
          <w:sz w:val="22"/>
          <w:szCs w:val="22"/>
        </w:rPr>
        <w:t xml:space="preserve"> as a marker gene and is also predicted to have the most differential activity in ketamine responders (baseline and after treatment). Its markers indicate robust effector functions, including </w:t>
      </w:r>
      <w:r w:rsidRPr="00CD2448">
        <w:rPr>
          <w:rFonts w:ascii="Arial" w:hAnsi="Arial" w:cs="Arial"/>
          <w:i/>
          <w:iCs/>
          <w:color w:val="000000" w:themeColor="text1"/>
          <w:sz w:val="22"/>
          <w:szCs w:val="22"/>
        </w:rPr>
        <w:t>GZMK</w:t>
      </w:r>
      <w:r w:rsidRPr="00CD2448">
        <w:rPr>
          <w:rFonts w:ascii="Arial" w:hAnsi="Arial" w:cs="Arial"/>
          <w:color w:val="000000" w:themeColor="text1"/>
          <w:sz w:val="22"/>
          <w:szCs w:val="22"/>
        </w:rPr>
        <w:t xml:space="preserve"> (cytotoxicity), TIGIT (inhibitory receptor), </w:t>
      </w:r>
      <w:r w:rsidRPr="00CD2448">
        <w:rPr>
          <w:rFonts w:ascii="Arial" w:hAnsi="Arial" w:cs="Arial"/>
          <w:i/>
          <w:iCs/>
          <w:color w:val="000000" w:themeColor="text1"/>
          <w:sz w:val="22"/>
          <w:szCs w:val="22"/>
        </w:rPr>
        <w:t>IFNG-AS1</w:t>
      </w:r>
      <w:r w:rsidRPr="00CD2448">
        <w:rPr>
          <w:rFonts w:ascii="Arial" w:hAnsi="Arial" w:cs="Arial"/>
          <w:color w:val="000000" w:themeColor="text1"/>
          <w:sz w:val="22"/>
          <w:szCs w:val="22"/>
        </w:rPr>
        <w:t xml:space="preserve"> (IFN-γ regulation), and </w:t>
      </w:r>
      <w:r w:rsidRPr="00CD2448">
        <w:rPr>
          <w:rFonts w:ascii="Arial" w:hAnsi="Arial" w:cs="Arial"/>
          <w:i/>
          <w:iCs/>
          <w:color w:val="000000" w:themeColor="text1"/>
          <w:sz w:val="22"/>
          <w:szCs w:val="22"/>
        </w:rPr>
        <w:t>CD40LG</w:t>
      </w:r>
      <w:r w:rsidRPr="00CD2448">
        <w:rPr>
          <w:rFonts w:ascii="Arial" w:hAnsi="Arial" w:cs="Arial"/>
          <w:color w:val="000000" w:themeColor="text1"/>
          <w:sz w:val="22"/>
          <w:szCs w:val="22"/>
        </w:rPr>
        <w:t xml:space="preserve">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help). The upregulation of pathways related to antigen recognition,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receptor signaling, and protein synthesis, coupled with downregulation of calmodulin and phosphatidylinositol-3,4,5-trisphosphate binding, indicates a cell state primed for rapid effector responses. This subtype appears to be highly responsive to antigenic stimuli and poised for immediate effector functions, potentially representing a more terminally differentiated or recently activated state within the CD4 TEM compartment. Post-ketamine, this primed effector type is predicted to be downregulated in responders. </w:t>
      </w:r>
    </w:p>
    <w:p w14:paraId="4F5B2242" w14:textId="35057D19" w:rsidR="00534AD9" w:rsidRPr="00CD2448" w:rsidRDefault="00534AD9" w:rsidP="00534AD9">
      <w:pPr>
        <w:ind w:firstLine="720"/>
        <w:rPr>
          <w:rFonts w:ascii="Arial" w:hAnsi="Arial" w:cs="Arial"/>
          <w:color w:val="000000" w:themeColor="text1"/>
          <w:sz w:val="22"/>
          <w:szCs w:val="22"/>
        </w:rPr>
      </w:pPr>
      <w:r w:rsidRPr="00CD2448">
        <w:rPr>
          <w:rFonts w:ascii="Arial" w:hAnsi="Arial" w:cs="Arial"/>
          <w:color w:val="000000" w:themeColor="text1"/>
          <w:sz w:val="22"/>
          <w:szCs w:val="22"/>
        </w:rPr>
        <w:t xml:space="preserve">At baseline, ketamine responders also exhibited a distinct CD8+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profile characterized by increased activity of naïve cells and decreased representation of specific memory subsets (TCM_2, TEM_3, and TEM_5). The downregulated TCM_2 population is distinguished by IL-7R and GATA3 expression, suggesting a homeostatic memory subset dependent on IL-7 signaling, while the diminished TEM_3 and TEM_5 populations display cytotoxic profiles (GZMK/KLRD1 and GZMH/GNLY/GZMB, respectively) with features of terminally differentiated effector cells. Following ketamine treatment, expansion of TEM_1 and TEM_4 subsets, which share cytotoxic markers but exhibit distinct cytokine and activation profiles, was observed. This pattern aligned with our IL-7/IL-15 rebalancing hypothesis, as the expanded post-treatment subsets lacked </w:t>
      </w:r>
      <w:r w:rsidRPr="00CD2448">
        <w:rPr>
          <w:rFonts w:ascii="Arial" w:hAnsi="Arial" w:cs="Arial"/>
          <w:i/>
          <w:iCs/>
          <w:color w:val="000000" w:themeColor="text1"/>
          <w:sz w:val="22"/>
          <w:szCs w:val="22"/>
        </w:rPr>
        <w:t>IL-7R</w:t>
      </w:r>
      <w:r w:rsidRPr="00CD2448">
        <w:rPr>
          <w:rFonts w:ascii="Arial" w:hAnsi="Arial" w:cs="Arial"/>
          <w:color w:val="000000" w:themeColor="text1"/>
          <w:sz w:val="22"/>
          <w:szCs w:val="22"/>
        </w:rPr>
        <w:t xml:space="preserve"> expression but had markers consistent with IL-15 responsiveness, especially NK-cell associated receptors (NKG7, KLRD1). The shift from IL-7R-expressing central memory cells toward terminally differentiated effector populations suggests that ketamine may promote CD8+ </w:t>
      </w:r>
      <w:r w:rsidR="00816BFA" w:rsidRPr="00CD2448">
        <w:rPr>
          <w:rFonts w:ascii="Arial" w:hAnsi="Arial" w:cs="Arial"/>
          <w:color w:val="000000" w:themeColor="text1"/>
          <w:sz w:val="22"/>
          <w:szCs w:val="22"/>
        </w:rPr>
        <w:t>T-cell</w:t>
      </w:r>
      <w:r w:rsidRPr="00CD2448">
        <w:rPr>
          <w:rFonts w:ascii="Arial" w:hAnsi="Arial" w:cs="Arial"/>
          <w:color w:val="000000" w:themeColor="text1"/>
          <w:sz w:val="22"/>
          <w:szCs w:val="22"/>
        </w:rPr>
        <w:t xml:space="preserve"> differentiation through preferential IL-15 signaling, potentially enhancing cytotoxic function while reducing dependence on IL-7-mediated homeostasis.</w:t>
      </w:r>
    </w:p>
    <w:p w14:paraId="56B99916" w14:textId="77777777" w:rsidR="00660ACD" w:rsidRPr="00CD2448" w:rsidRDefault="00660ACD" w:rsidP="00534AD9">
      <w:pPr>
        <w:ind w:firstLine="720"/>
        <w:rPr>
          <w:rFonts w:ascii="Arial" w:hAnsi="Arial" w:cs="Arial"/>
          <w:color w:val="000000" w:themeColor="text1"/>
          <w:sz w:val="22"/>
          <w:szCs w:val="22"/>
        </w:rPr>
      </w:pPr>
    </w:p>
    <w:p w14:paraId="2EF7B6A5" w14:textId="0D723726" w:rsidR="00660ACD" w:rsidRPr="00CD2448" w:rsidRDefault="00660ACD" w:rsidP="00660ACD">
      <w:pPr>
        <w:rPr>
          <w:rFonts w:ascii="Arial" w:hAnsi="Arial" w:cs="Arial"/>
          <w:i/>
          <w:iCs/>
          <w:color w:val="000000" w:themeColor="text1"/>
          <w:sz w:val="22"/>
          <w:szCs w:val="22"/>
        </w:rPr>
      </w:pPr>
      <w:r w:rsidRPr="00CD2448">
        <w:rPr>
          <w:rFonts w:ascii="Arial" w:hAnsi="Arial" w:cs="Arial"/>
          <w:i/>
          <w:iCs/>
          <w:color w:val="000000" w:themeColor="text1"/>
          <w:sz w:val="22"/>
          <w:szCs w:val="22"/>
        </w:rPr>
        <w:t>Sensitivity Analysis for The Influence of Comorbid Medical Illnesses and Anti-Inflammatory Medication (</w:t>
      </w:r>
      <w:r w:rsidRPr="00CD2448">
        <w:rPr>
          <w:rFonts w:ascii="Arial" w:hAnsi="Arial" w:cs="Arial"/>
          <w:b/>
          <w:bCs/>
          <w:i/>
          <w:iCs/>
          <w:color w:val="000000" w:themeColor="text1"/>
          <w:sz w:val="20"/>
          <w:szCs w:val="20"/>
        </w:rPr>
        <w:t>Figs</w:t>
      </w:r>
      <w:r w:rsidR="00E3144B" w:rsidRPr="00CD2448">
        <w:rPr>
          <w:rFonts w:ascii="Arial" w:hAnsi="Arial" w:cs="Arial"/>
          <w:b/>
          <w:bCs/>
          <w:i/>
          <w:iCs/>
          <w:color w:val="000000" w:themeColor="text1"/>
          <w:sz w:val="20"/>
          <w:szCs w:val="20"/>
        </w:rPr>
        <w:t>.</w:t>
      </w:r>
      <w:r w:rsidRPr="00CD2448">
        <w:rPr>
          <w:rFonts w:ascii="Arial" w:hAnsi="Arial" w:cs="Arial"/>
          <w:b/>
          <w:bCs/>
          <w:i/>
          <w:iCs/>
          <w:color w:val="000000" w:themeColor="text1"/>
          <w:sz w:val="20"/>
          <w:szCs w:val="20"/>
        </w:rPr>
        <w:t>S9,S10</w:t>
      </w:r>
      <w:r w:rsidRPr="00CD2448">
        <w:rPr>
          <w:rFonts w:ascii="Arial" w:hAnsi="Arial" w:cs="Arial"/>
          <w:i/>
          <w:iCs/>
          <w:color w:val="000000" w:themeColor="text1"/>
          <w:sz w:val="22"/>
          <w:szCs w:val="22"/>
        </w:rPr>
        <w:t>)</w:t>
      </w:r>
    </w:p>
    <w:p w14:paraId="7026A44A" w14:textId="0DD051ED" w:rsidR="00660ACD" w:rsidRPr="00CD2448" w:rsidRDefault="00660ACD" w:rsidP="00660ACD">
      <w:pPr>
        <w:rPr>
          <w:rFonts w:ascii="Arial" w:hAnsi="Arial" w:cs="Arial"/>
          <w:color w:val="000000" w:themeColor="text1"/>
          <w:sz w:val="22"/>
          <w:szCs w:val="22"/>
        </w:rPr>
      </w:pPr>
      <w:r w:rsidRPr="00CD2448">
        <w:rPr>
          <w:rFonts w:ascii="Arial" w:hAnsi="Arial" w:cs="Arial"/>
          <w:color w:val="000000" w:themeColor="text1"/>
          <w:sz w:val="22"/>
          <w:szCs w:val="22"/>
        </w:rPr>
        <w:tab/>
      </w:r>
      <w:bookmarkStart w:id="17" w:name="OLE_LINK53"/>
      <w:r w:rsidRPr="00CD2448">
        <w:rPr>
          <w:rFonts w:ascii="Arial" w:hAnsi="Arial" w:cs="Arial"/>
          <w:color w:val="000000" w:themeColor="text1"/>
          <w:sz w:val="22"/>
          <w:szCs w:val="22"/>
        </w:rPr>
        <w:t>Several sensitivity analyses were conducted</w:t>
      </w:r>
      <w:r w:rsidRPr="00CD2448" w:rsidDel="00F63099">
        <w:rPr>
          <w:rFonts w:ascii="Arial" w:hAnsi="Arial" w:cs="Arial"/>
          <w:color w:val="000000" w:themeColor="text1"/>
          <w:sz w:val="22"/>
          <w:szCs w:val="22"/>
        </w:rPr>
        <w:t xml:space="preserve"> </w:t>
      </w:r>
      <w:r w:rsidRPr="00CD2448">
        <w:rPr>
          <w:rFonts w:ascii="Arial" w:hAnsi="Arial" w:cs="Arial"/>
          <w:color w:val="000000" w:themeColor="text1"/>
          <w:sz w:val="22"/>
          <w:szCs w:val="22"/>
        </w:rPr>
        <w:t xml:space="preserve">to assess whether comorbid inflammatory conditions or anti-inflammatory medication use could bias cytokine findings. Although patients taking scheduled NSAIDs or corticosteroids were excluded at screening, as-needed (PRN) use was permitted. A validated ASAS-NSAID equivalence score was calculated for each patient over a peri-infusion window spanning seven days before </w:t>
      </w:r>
      <w:r w:rsidRPr="00CD2448">
        <w:rPr>
          <w:rFonts w:ascii="Arial" w:hAnsi="Arial" w:cs="Arial"/>
          <w:color w:val="000000" w:themeColor="text1"/>
          <w:sz w:val="22"/>
          <w:szCs w:val="22"/>
        </w:rPr>
        <w:fldChar w:fldCharType="begin">
          <w:fldData xml:space="preserve">PEVuZE5vdGU+PENpdGU+PEF1dGhvcj7DgWx2YXJlei1Tb3JpYTwvQXV0aG9yPjxZZWFyPjIwMDY8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</w:fldData>
        </w:fldChar>
      </w:r>
      <w:r w:rsidRPr="00CD2448">
        <w:rPr>
          <w:rFonts w:ascii="Arial" w:hAnsi="Arial" w:cs="Arial"/>
          <w:color w:val="000000" w:themeColor="text1"/>
          <w:sz w:val="22"/>
          <w:szCs w:val="22"/>
        </w:rPr>
        <w:instrText xml:space="preserve"> ADDIN EN.CITE </w:instrText>
      </w:r>
      <w:r w:rsidRPr="00CD2448">
        <w:rPr>
          <w:rFonts w:ascii="Arial" w:hAnsi="Arial" w:cs="Arial"/>
          <w:color w:val="000000" w:themeColor="text1"/>
          <w:sz w:val="22"/>
          <w:szCs w:val="22"/>
        </w:rPr>
        <w:fldChar w:fldCharType="begin">
          <w:fldData xml:space="preserve">PEVuZE5vdGU+PENpdGU+PEF1dGhvcj7DgWx2YXJlei1Tb3JpYTwvQXV0aG9yPjxZZWFyPjIwMDY8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</w:fldData>
        </w:fldChar>
      </w:r>
      <w:r w:rsidRPr="00CD2448">
        <w:rPr>
          <w:rFonts w:ascii="Arial" w:hAnsi="Arial" w:cs="Arial"/>
          <w:color w:val="000000" w:themeColor="text1"/>
          <w:sz w:val="22"/>
          <w:szCs w:val="22"/>
        </w:rPr>
        <w:instrText xml:space="preserve"> ADDIN EN.CITE.DATA </w:instrText>
      </w:r>
      <w:r w:rsidRPr="00CD2448">
        <w:rPr>
          <w:rFonts w:ascii="Arial" w:hAnsi="Arial" w:cs="Arial"/>
          <w:color w:val="000000" w:themeColor="text1"/>
          <w:sz w:val="22"/>
          <w:szCs w:val="22"/>
        </w:rPr>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r>
      <w:r w:rsidRPr="00CD2448">
        <w:rPr>
          <w:rFonts w:ascii="Arial" w:hAnsi="Arial" w:cs="Arial"/>
          <w:color w:val="000000" w:themeColor="text1"/>
          <w:sz w:val="22"/>
          <w:szCs w:val="22"/>
        </w:rPr>
        <w:fldChar w:fldCharType="separate"/>
      </w:r>
      <w:r w:rsidRPr="00CD2448">
        <w:rPr>
          <w:rFonts w:ascii="Arial" w:hAnsi="Arial" w:cs="Arial"/>
          <w:noProof/>
          <w:color w:val="000000" w:themeColor="text1"/>
          <w:sz w:val="22"/>
          <w:szCs w:val="22"/>
        </w:rPr>
        <w:t>[24-27]</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through three days after each infusion, quantifying cumulative NSAID exposure relative to the maximum recommended daily dose </w:t>
      </w:r>
      <w:r w:rsidRPr="00CD2448">
        <w:rPr>
          <w:rFonts w:ascii="Arial" w:hAnsi="Arial" w:cs="Arial"/>
          <w:color w:val="000000" w:themeColor="text1"/>
          <w:sz w:val="22"/>
          <w:szCs w:val="22"/>
        </w:rPr>
        <w:fldChar w:fldCharType="begin"/>
      </w:r>
      <w:r w:rsidRPr="00CD2448">
        <w:rPr>
          <w:rFonts w:ascii="Arial" w:hAnsi="Arial" w:cs="Arial"/>
          <w:color w:val="000000" w:themeColor="text1"/>
          <w:sz w:val="22"/>
          <w:szCs w:val="22"/>
        </w:rPr>
        <w:instrText xml:space="preserve"> ADDIN EN.CITE &lt;EndNote&gt;&lt;Cite&gt;&lt;Author&gt;Dougados&lt;/Author&gt;&lt;Year&gt;2011&lt;/Year&gt;&lt;RecNum&gt;163&lt;/RecNum&gt;&lt;DisplayText&gt;[28]&lt;/DisplayText&gt;&lt;record&gt;&lt;rec-number&gt;163&lt;/rec-number&gt;&lt;foreign-keys&gt;&lt;key app="EN" db-id="dzsadpavbdaf27ef9zmxw006vzddp0epfpxa" timestamp="1773168037"&gt;163&lt;/key&gt;&lt;/foreign-keys&gt;&lt;ref-type name="Journal Article"&gt;17&lt;/ref-type&gt;&lt;contributors&gt;&lt;authors&gt;&lt;author&gt;Dougados, M.&lt;/author&gt;&lt;author&gt;Simon, P.&lt;/author&gt;&lt;author&gt;Braun, J.&lt;/author&gt;&lt;author&gt;Burgos-Vargas, R.&lt;/author&gt;&lt;author&gt;Maksymowych, W.P.&lt;/author&gt;&lt;author&gt;Sieper, J.&lt;/author&gt;&lt;author&gt;van der Heijde, D.&lt;/author&gt;&lt;/authors&gt;&lt;/contributors&gt;&lt;titles&gt;&lt;title&gt;ASAS recommendations for collecting, analysing and reporting NSAID intake in clinical trials/epidemiological studies in axial spondyloarthritis&lt;/title&gt;&lt;secondary-title&gt;Ann Rheum Dis&lt;/secondary-title&gt;&lt;/titles&gt;&lt;periodical&gt;&lt;full-title&gt;Ann Rheum Dis&lt;/full-title&gt;&lt;/periodical&gt;&lt;pages&gt;249-251&lt;/pages&gt;&lt;volume&gt;70&lt;/volume&gt;&lt;dates&gt;&lt;year&gt;2011&lt;/year&gt;&lt;/dates&gt;&lt;urls&gt;&lt;/urls&gt;&lt;/record&gt;&lt;/Cite&gt;&lt;/EndNote&gt;</w:instrText>
      </w:r>
      <w:r w:rsidRPr="00CD2448">
        <w:rPr>
          <w:rFonts w:ascii="Arial" w:hAnsi="Arial" w:cs="Arial"/>
          <w:color w:val="000000" w:themeColor="text1"/>
          <w:sz w:val="22"/>
          <w:szCs w:val="22"/>
        </w:rPr>
        <w:fldChar w:fldCharType="separate"/>
      </w:r>
      <w:r w:rsidRPr="00CD2448">
        <w:rPr>
          <w:rFonts w:ascii="Arial" w:hAnsi="Arial" w:cs="Arial"/>
          <w:noProof/>
          <w:color w:val="000000" w:themeColor="text1"/>
          <w:sz w:val="22"/>
          <w:szCs w:val="22"/>
        </w:rPr>
        <w:t>[28]</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Approximately half of TRD patients used PRN NSAIDs during this period (n=18–22/39 across infusions; </w:t>
      </w:r>
      <w:r w:rsidRPr="00CD2448">
        <w:rPr>
          <w:rFonts w:ascii="Arial" w:hAnsi="Arial" w:cs="Arial"/>
          <w:b/>
          <w:bCs/>
          <w:color w:val="000000" w:themeColor="text1"/>
          <w:sz w:val="22"/>
          <w:szCs w:val="22"/>
        </w:rPr>
        <w:t>Fig.S9a</w:t>
      </w:r>
      <w:r w:rsidRPr="00CD2448">
        <w:rPr>
          <w:rFonts w:ascii="Arial" w:hAnsi="Arial" w:cs="Arial"/>
          <w:color w:val="000000" w:themeColor="text1"/>
          <w:sz w:val="22"/>
          <w:szCs w:val="22"/>
        </w:rPr>
        <w:t xml:space="preserve">), consistent with pooled prevalence estimates of comorbid pain in depression (~40–60%)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&lt;EndNote&gt;&lt;Cite&gt;&lt;Author&gt;Aaron&lt;/Author&gt;&lt;Year&gt;2025&lt;/Year&gt;&lt;RecNum&gt;167&lt;/RecNum&gt;&lt;DisplayText&gt;[41, 42]&lt;/DisplayText&gt;&lt;record&gt;&lt;rec-number&gt;167&lt;/rec-number&gt;&lt;foreign-keys&gt;&lt;key app="EN" db-id="dzsadpavbdaf27ef9zmxw006vzddp0epfpxa" timestamp="1773168553"&gt;167&lt;/key&gt;&lt;/foreign-keys&gt;&lt;ref-type name="Journal Article"&gt;17&lt;/ref-type&gt;&lt;contributors&gt;&lt;authors&gt;&lt;author&gt;Aaron, R.V.&lt;/author&gt;&lt;author&gt;Ravyts, S.G.&lt;/author&gt;&lt;author&gt;Carnahan, N.D.&lt;/author&gt;&lt;author&gt;Bhattiprolu, K.&lt;/author&gt;&lt;author&gt;Harte, N.&lt;/author&gt;&lt;author&gt;McCaulley, C.C.&lt;/author&gt;&lt;author&gt;Vitalicia, L.&lt;/author&gt;&lt;author&gt;Rogers, A.B.&lt;/author&gt;&lt;author&gt;Wegener, S.T.&lt;/author&gt;&lt;author&gt;Dudeney, J.&lt;/author&gt;&lt;/authors&gt;&lt;/contributors&gt;&lt;titles&gt;&lt;title&gt;Prevalence of depression and anxiety among adults with chronic pain: A systematic review and meta-analysis&lt;/title&gt;&lt;secondary-title&gt;JAMA Netw Open&lt;/secondary-title&gt;&lt;/titles&gt;&lt;periodical&gt;&lt;full-title&gt;JAMA Netw Open&lt;/full-title&gt;&lt;/periodical&gt;&lt;pages&gt;e250268&lt;/pages&gt;&lt;volume&gt;8&lt;/volume&gt;&lt;dates&gt;&lt;year&gt;2025&lt;/year&gt;&lt;/dates&gt;&lt;urls&gt;&lt;/urls&gt;&lt;/record&gt;&lt;/Cite&gt;&lt;Cite&gt;&lt;Author&gt;Bair&lt;/Author&gt;&lt;Year&gt;2003&lt;/Year&gt;&lt;RecNum&gt;166&lt;/RecNum&gt;&lt;record&gt;&lt;rec-number&gt;166&lt;/rec-number&gt;&lt;foreign-keys&gt;&lt;key app="EN" db-id="dzsadpavbdaf27ef9zmxw006vzddp0epfpxa" timestamp="1773168465"&gt;166&lt;/key&gt;&lt;/foreign-keys&gt;&lt;ref-type name="Journal Article"&gt;17&lt;/ref-type&gt;&lt;contributors&gt;&lt;authors&gt;&lt;author&gt;Bair, M.J.&lt;/author&gt;&lt;author&gt;Robinson, R.L.&lt;/author&gt;&lt;author&gt;Katon, W.&lt;/author&gt;&lt;author&gt;Kroenke, K.&lt;/author&gt;&lt;/authors&gt;&lt;/contributors&gt;&lt;titles&gt;&lt;title&gt;Depression and pain comorbidity: A literature review&lt;/title&gt;&lt;secondary-title&gt;Arch Intern Med&lt;/secondary-title&gt;&lt;/titles&gt;&lt;periodical&gt;&lt;full-title&gt;Arch Intern Med&lt;/full-title&gt;&lt;/periodical&gt;&lt;pages&gt;2433-2445&lt;/pages&gt;&lt;volume&gt;163&lt;/volume&gt;&lt;dates&gt;&lt;year&gt;2003&lt;/year&gt;&lt;/dates&gt;&lt;urls&gt;&lt;/urls&gt;&lt;/record&gt;&lt;/Cite&gt;&lt;/EndNote&gt;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[41, 42]</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w:t>
      </w:r>
    </w:p>
    <w:p w14:paraId="1579AE9C" w14:textId="77777777" w:rsidR="00660ACD" w:rsidRPr="00CD2448" w:rsidRDefault="00660ACD" w:rsidP="00660ACD">
      <w:pPr>
        <w:rPr>
          <w:rFonts w:ascii="Arial" w:hAnsi="Arial" w:cs="Arial"/>
          <w:color w:val="000000" w:themeColor="text1"/>
          <w:sz w:val="22"/>
          <w:szCs w:val="22"/>
        </w:rPr>
      </w:pPr>
      <w:r w:rsidRPr="00CD2448">
        <w:rPr>
          <w:rFonts w:ascii="Arial" w:hAnsi="Arial" w:cs="Arial"/>
          <w:color w:val="000000" w:themeColor="text1"/>
          <w:sz w:val="22"/>
          <w:szCs w:val="22"/>
        </w:rPr>
        <w:tab/>
        <w:t xml:space="preserve">Regarding medical comorbidities, patients were extensively screened and excluded for conditions that could influence brain morphology. Four patients had autoimmune or allergic diagnoses judged by a blinded physician to potentially influence immune function (allergic rhinitis n=2, celiac disease n=1, </w:t>
      </w:r>
      <w:bookmarkStart w:id="18" w:name="OLE_LINK117"/>
      <w:r w:rsidRPr="00CD2448">
        <w:rPr>
          <w:rFonts w:ascii="Arial" w:hAnsi="Arial" w:cs="Arial"/>
          <w:color w:val="000000" w:themeColor="text1"/>
          <w:sz w:val="22"/>
          <w:szCs w:val="22"/>
        </w:rPr>
        <w:t>Hashimoto's thyroiditis</w:t>
      </w:r>
      <w:bookmarkEnd w:id="18"/>
      <w:r w:rsidRPr="00CD2448">
        <w:rPr>
          <w:rFonts w:ascii="Arial" w:hAnsi="Arial" w:cs="Arial"/>
          <w:color w:val="000000" w:themeColor="text1"/>
          <w:sz w:val="22"/>
          <w:szCs w:val="22"/>
        </w:rPr>
        <w:t xml:space="preserve"> n=1). All had C-reactive protein (CRP) levels &lt;2 mg/L at baseline and throughout the study. The patient with Hashimoto's thyroiditis had been stable on thyroid replacement for years prior to enrollment, with thyroid-stimulating hormone (TSH) levels remaining within normal limits across all study timepoints.</w:t>
      </w:r>
    </w:p>
    <w:p w14:paraId="782C5695" w14:textId="321BF561" w:rsidR="00660ACD" w:rsidRPr="00CD2448" w:rsidRDefault="00660ACD" w:rsidP="00660ACD">
      <w:pPr>
        <w:rPr>
          <w:rFonts w:ascii="Arial" w:hAnsi="Arial" w:cs="Arial"/>
          <w:color w:val="000000" w:themeColor="text1"/>
          <w:sz w:val="22"/>
          <w:szCs w:val="22"/>
        </w:rPr>
      </w:pPr>
      <w:r w:rsidRPr="00CD2448">
        <w:rPr>
          <w:rFonts w:ascii="Arial" w:hAnsi="Arial" w:cs="Arial"/>
          <w:color w:val="000000" w:themeColor="text1"/>
          <w:sz w:val="22"/>
          <w:szCs w:val="22"/>
        </w:rPr>
        <w:lastRenderedPageBreak/>
        <w:tab/>
        <w:t>Given the small number of patients with immune comorbidities (n=4), all comorbidity analyses should be considered exploratory. Cell sizes were insufficient to support statistical comparisons across the full 2×2 combination of NSAID use and comorbidity status; NSAID exposure was therefore examined as the primary grouping variable, with comorbid patients highlighted to allow visual inspection of their distribution (</w:t>
      </w:r>
      <w:r w:rsidRPr="00CD2448">
        <w:rPr>
          <w:rFonts w:ascii="Arial" w:hAnsi="Arial" w:cs="Arial"/>
          <w:b/>
          <w:bCs/>
          <w:color w:val="000000" w:themeColor="text1"/>
          <w:sz w:val="22"/>
          <w:szCs w:val="22"/>
        </w:rPr>
        <w:t>Fig.S9b</w:t>
      </w:r>
      <w:r w:rsidRPr="00CD2448">
        <w:rPr>
          <w:rFonts w:ascii="Arial" w:hAnsi="Arial" w:cs="Arial"/>
          <w:color w:val="000000" w:themeColor="text1"/>
          <w:sz w:val="22"/>
          <w:szCs w:val="22"/>
        </w:rPr>
        <w:t xml:space="preserve">). Baseline cytokine levels were largely unaffected by NSAID use (all p-uncorrected&gt;0.05), with the exception of IL-4 (p=0.018) and Eotaxin (p=0.049), neither of which survived Benjamini-Hochberg correction (p-adj=0.36 and p-adj=0.49, respectively; </w:t>
      </w:r>
      <w:r w:rsidRPr="00CD2448">
        <w:rPr>
          <w:rFonts w:ascii="Arial" w:hAnsi="Arial" w:cs="Arial"/>
          <w:b/>
          <w:bCs/>
          <w:color w:val="000000" w:themeColor="text1"/>
          <w:sz w:val="22"/>
          <w:szCs w:val="22"/>
        </w:rPr>
        <w:t>Fig.S9b</w:t>
      </w:r>
      <w:r w:rsidRPr="00CD2448">
        <w:rPr>
          <w:rFonts w:ascii="Arial" w:hAnsi="Arial" w:cs="Arial"/>
          <w:color w:val="000000" w:themeColor="text1"/>
          <w:sz w:val="22"/>
          <w:szCs w:val="22"/>
        </w:rPr>
        <w:t>), consistent with the covariate-adjusted primary models (</w:t>
      </w:r>
      <w:r w:rsidRPr="00CD2448">
        <w:rPr>
          <w:rFonts w:ascii="Arial" w:hAnsi="Arial" w:cs="Arial"/>
          <w:b/>
          <w:bCs/>
          <w:color w:val="000000" w:themeColor="text1"/>
          <w:sz w:val="22"/>
          <w:szCs w:val="22"/>
        </w:rPr>
        <w:t>Fig.4</w:t>
      </w:r>
      <w:r w:rsidRPr="00CD2448">
        <w:rPr>
          <w:rFonts w:ascii="Arial" w:hAnsi="Arial" w:cs="Arial"/>
          <w:color w:val="000000" w:themeColor="text1"/>
          <w:sz w:val="22"/>
          <w:szCs w:val="22"/>
        </w:rPr>
        <w:t>).</w:t>
      </w:r>
    </w:p>
    <w:p w14:paraId="58029002" w14:textId="28D36BB5" w:rsidR="00660ACD" w:rsidRPr="00CD2448" w:rsidRDefault="00660ACD" w:rsidP="00660ACD">
      <w:pPr>
        <w:rPr>
          <w:rFonts w:ascii="Arial" w:hAnsi="Arial" w:cs="Arial"/>
          <w:color w:val="000000" w:themeColor="text1"/>
          <w:sz w:val="22"/>
          <w:szCs w:val="22"/>
        </w:rPr>
      </w:pPr>
      <w:r w:rsidRPr="00CD2448">
        <w:rPr>
          <w:rFonts w:ascii="Arial" w:hAnsi="Arial" w:cs="Arial"/>
          <w:color w:val="000000" w:themeColor="text1"/>
          <w:sz w:val="22"/>
          <w:szCs w:val="22"/>
        </w:rPr>
        <w:tab/>
        <w:t>The study also examined whether NSAID exposure or comorbidity status could confound cytokine responses to treatment or cytokine moderation of antidepressant response. First, ASAS score and comorbid illness were each entered separately as covariates in models predicting cytokine levels, assessing both the main effects on baseline levels and interactions with treatment (</w:t>
      </w:r>
      <w:r w:rsidRPr="00CD2448">
        <w:rPr>
          <w:rFonts w:ascii="Arial" w:hAnsi="Arial" w:cs="Arial"/>
          <w:b/>
          <w:bCs/>
          <w:color w:val="000000" w:themeColor="text1"/>
          <w:sz w:val="22"/>
          <w:szCs w:val="22"/>
        </w:rPr>
        <w:t>Fig</w:t>
      </w:r>
      <w:r w:rsidR="00550344" w:rsidRPr="00CD2448">
        <w:rPr>
          <w:rFonts w:ascii="Arial" w:hAnsi="Arial" w:cs="Arial"/>
          <w:b/>
          <w:bCs/>
          <w:color w:val="000000" w:themeColor="text1"/>
          <w:sz w:val="22"/>
          <w:szCs w:val="22"/>
        </w:rPr>
        <w:t>s</w:t>
      </w:r>
      <w:r w:rsidRPr="00CD2448">
        <w:rPr>
          <w:rFonts w:ascii="Arial" w:hAnsi="Arial" w:cs="Arial"/>
          <w:b/>
          <w:bCs/>
          <w:color w:val="000000" w:themeColor="text1"/>
          <w:sz w:val="22"/>
          <w:szCs w:val="22"/>
        </w:rPr>
        <w:t>.S10a,</w:t>
      </w:r>
      <w:r w:rsidR="00550344" w:rsidRPr="00CD2448">
        <w:rPr>
          <w:rFonts w:ascii="Arial" w:hAnsi="Arial" w:cs="Arial"/>
          <w:b/>
          <w:bCs/>
          <w:color w:val="000000" w:themeColor="text1"/>
          <w:sz w:val="22"/>
          <w:szCs w:val="22"/>
        </w:rPr>
        <w:t>S</w:t>
      </w:r>
      <w:r w:rsidRPr="00CD2448">
        <w:rPr>
          <w:rFonts w:ascii="Arial" w:hAnsi="Arial" w:cs="Arial"/>
          <w:b/>
          <w:bCs/>
          <w:color w:val="000000" w:themeColor="text1"/>
          <w:sz w:val="22"/>
          <w:szCs w:val="22"/>
        </w:rPr>
        <w:t>10b</w:t>
      </w:r>
      <w:r w:rsidRPr="00CD2448">
        <w:rPr>
          <w:rFonts w:ascii="Arial" w:hAnsi="Arial" w:cs="Arial"/>
          <w:color w:val="000000" w:themeColor="text1"/>
          <w:sz w:val="22"/>
          <w:szCs w:val="22"/>
        </w:rPr>
        <w:t xml:space="preserve">). Across these models, the only significant effect was a greater ketamine-induced reduction in IL-1ra among patients with higher NSAID exposure (p=0.001, </w:t>
      </w:r>
      <w:r w:rsidRPr="00CD2448">
        <w:rPr>
          <w:rFonts w:ascii="Arial" w:hAnsi="Arial" w:cs="Arial"/>
          <w:b/>
          <w:bCs/>
          <w:color w:val="000000" w:themeColor="text1"/>
          <w:sz w:val="22"/>
          <w:szCs w:val="22"/>
        </w:rPr>
        <w:t>Fig.S10</w:t>
      </w:r>
      <w:r w:rsidR="00040381" w:rsidRPr="00CD2448">
        <w:rPr>
          <w:rFonts w:ascii="Arial" w:hAnsi="Arial" w:cs="Arial"/>
          <w:b/>
          <w:bCs/>
          <w:color w:val="000000" w:themeColor="text1"/>
          <w:sz w:val="22"/>
          <w:szCs w:val="22"/>
        </w:rPr>
        <w:t>a</w:t>
      </w:r>
      <w:r w:rsidRPr="00CD2448">
        <w:rPr>
          <w:rFonts w:ascii="Arial" w:hAnsi="Arial" w:cs="Arial"/>
          <w:color w:val="000000" w:themeColor="text1"/>
          <w:sz w:val="22"/>
          <w:szCs w:val="22"/>
        </w:rPr>
        <w:t xml:space="preserve">), consistent with prior work using NSAIDs alongside experimental immune stimulation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&lt;EndNote&gt;&lt;Cite&gt;&lt;Author&gt;Bessler&lt;/Author&gt;&lt;Year&gt;2017&lt;/Year&gt;&lt;RecNum&gt;164&lt;/RecNum&gt;&lt;DisplayText&gt;[43, 44]&lt;/DisplayText&gt;&lt;record&gt;&lt;rec-number&gt;164&lt;/rec-number&gt;&lt;foreign-keys&gt;&lt;key app="EN" db-id="dzsadpavbdaf27ef9zmxw006vzddp0epfpxa" timestamp="1773168258"&gt;164&lt;/key&gt;&lt;/foreign-keys&gt;&lt;ref-type name="Journal Article"&gt;17&lt;/ref-type&gt;&lt;contributors&gt;&lt;authors&gt;&lt;author&gt;Bessler, H.&lt;/author&gt;&lt;author&gt;Cohen-Terica, D.&lt;/author&gt;&lt;author&gt;Djaldetti, M.&lt;/author&gt;&lt;author&gt;Sirota, P.&lt;/author&gt;&lt;/authors&gt;&lt;/contributors&gt;&lt;titles&gt;&lt;title&gt;The effect of ibuprofen on cytokine production by mononuclear cells from schizophrenic patients&lt;/title&gt;&lt;secondary-title&gt;Folia Biol (Praha)&lt;/secondary-title&gt;&lt;/titles&gt;&lt;periodical&gt;&lt;full-title&gt;Folia Biol (Praha)&lt;/full-title&gt;&lt;/periodical&gt;&lt;pages&gt;13-19&lt;/pages&gt;&lt;volume&gt;63&lt;/volume&gt;&lt;dates&gt;&lt;year&gt;2017&lt;/year&gt;&lt;/dates&gt;&lt;urls&gt;&lt;/urls&gt;&lt;/record&gt;&lt;/Cite&gt;&lt;Cite&gt;&lt;Author&gt;Bessler&lt;/Author&gt;&lt;Year&gt;2002&lt;/Year&gt;&lt;RecNum&gt;165&lt;/RecNum&gt;&lt;record&gt;&lt;rec-number&gt;165&lt;/rec-number&gt;&lt;foreign-keys&gt;&lt;key app="EN" db-id="dzsadpavbdaf27ef9zmxw006vzddp0epfpxa" timestamp="1773168298"&gt;165&lt;/key&gt;&lt;/foreign-keys&gt;&lt;ref-type name="Journal Article"&gt;17&lt;/ref-type&gt;&lt;contributors&gt;&lt;authors&gt;&lt;author&gt;Bessler, H.&lt;/author&gt;&lt;author&gt;Ziyada, S.&lt;/author&gt;&lt;author&gt;Bergman, M.&lt;/author&gt;&lt;author&gt;Punsky, I.&lt;/author&gt;&lt;author&gt;Sirota, L.&lt;/author&gt;&lt;/authors&gt;&lt;/contributors&gt;&lt;titles&gt;&lt;title&gt;Indomethacin and ibuprofen effect on IL-1ra production by mononuclear cells of preterm newborns and adults&lt;/title&gt;&lt;secondary-title&gt;Biol Neonate&lt;/secondary-title&gt;&lt;/titles&gt;&lt;periodical&gt;&lt;full-title&gt;Biol Neonate&lt;/full-title&gt;&lt;/periodical&gt;&lt;pages&gt;73-77&lt;/pages&gt;&lt;volume&gt;82&lt;/volume&gt;&lt;dates&gt;&lt;year&gt;2002&lt;/year&gt;&lt;/dates&gt;&lt;urls&gt;&lt;/urls&gt;&lt;/record&gt;&lt;/Cite&gt;&lt;/EndNote&gt;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[43, 44]</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Second, to assess whether these variables could confound cytokine moderation of antidepressant response, ASAS score and comorbidity were entered separately (</w:t>
      </w:r>
      <w:r w:rsidRPr="00CD2448">
        <w:rPr>
          <w:rFonts w:ascii="Arial" w:hAnsi="Arial" w:cs="Arial"/>
          <w:b/>
          <w:bCs/>
          <w:color w:val="000000" w:themeColor="text1"/>
          <w:sz w:val="22"/>
          <w:szCs w:val="22"/>
        </w:rPr>
        <w:t>Fig.S10c-f</w:t>
      </w:r>
      <w:r w:rsidRPr="00CD2448">
        <w:rPr>
          <w:rFonts w:ascii="Arial" w:hAnsi="Arial" w:cs="Arial"/>
          <w:color w:val="000000" w:themeColor="text1"/>
          <w:sz w:val="22"/>
          <w:szCs w:val="22"/>
        </w:rPr>
        <w:t>) and jointly (</w:t>
      </w:r>
      <w:r w:rsidRPr="00CD2448">
        <w:rPr>
          <w:rFonts w:ascii="Arial" w:hAnsi="Arial" w:cs="Arial"/>
          <w:b/>
          <w:bCs/>
          <w:color w:val="000000" w:themeColor="text1"/>
          <w:sz w:val="22"/>
          <w:szCs w:val="22"/>
        </w:rPr>
        <w:t>Fig.S10g-i</w:t>
      </w:r>
      <w:r w:rsidRPr="00CD2448">
        <w:rPr>
          <w:rFonts w:ascii="Arial" w:hAnsi="Arial" w:cs="Arial"/>
          <w:color w:val="000000" w:themeColor="text1"/>
          <w:sz w:val="22"/>
          <w:szCs w:val="22"/>
        </w:rPr>
        <w:t xml:space="preserve">) as covariates in the primary cytokine × treatment interaction models predicting MADRS score. Cytokine × treatment interactions from </w:t>
      </w:r>
      <w:r w:rsidRPr="00CD2448">
        <w:rPr>
          <w:rFonts w:ascii="Arial" w:hAnsi="Arial" w:cs="Arial"/>
          <w:b/>
          <w:bCs/>
          <w:color w:val="000000" w:themeColor="text1"/>
          <w:sz w:val="22"/>
          <w:szCs w:val="22"/>
        </w:rPr>
        <w:t>Fig</w:t>
      </w:r>
      <w:r w:rsidR="00040381" w:rsidRPr="00CD2448">
        <w:rPr>
          <w:rFonts w:ascii="Arial" w:hAnsi="Arial" w:cs="Arial"/>
          <w:b/>
          <w:bCs/>
          <w:color w:val="000000" w:themeColor="text1"/>
          <w:sz w:val="22"/>
          <w:szCs w:val="22"/>
        </w:rPr>
        <w:t>ure</w:t>
      </w:r>
      <w:r w:rsidRPr="00CD2448">
        <w:rPr>
          <w:rFonts w:ascii="Arial" w:hAnsi="Arial" w:cs="Arial"/>
          <w:b/>
          <w:bCs/>
          <w:color w:val="000000" w:themeColor="text1"/>
          <w:sz w:val="22"/>
          <w:szCs w:val="22"/>
        </w:rPr>
        <w:t xml:space="preserve"> 4</w:t>
      </w:r>
      <w:r w:rsidRPr="00CD2448">
        <w:rPr>
          <w:rFonts w:ascii="Arial" w:hAnsi="Arial" w:cs="Arial"/>
          <w:color w:val="000000" w:themeColor="text1"/>
          <w:sz w:val="22"/>
          <w:szCs w:val="22"/>
        </w:rPr>
        <w:t xml:space="preserve"> were unchanged across all model specifications, and fixed effect estimates for ASAS score and comorbidity were uniformly non-significant, indicating that PRN NSAID use and autoimmune/allergic diagnoses did not confound the primary findings.</w:t>
      </w:r>
    </w:p>
    <w:bookmarkEnd w:id="17"/>
    <w:p w14:paraId="6ACF54DE" w14:textId="77777777" w:rsidR="00660ACD" w:rsidRPr="00CD2448" w:rsidRDefault="00660ACD" w:rsidP="00534AD9">
      <w:pPr>
        <w:ind w:firstLine="720"/>
        <w:rPr>
          <w:rFonts w:ascii="Arial" w:hAnsi="Arial" w:cs="Arial"/>
          <w:color w:val="000000" w:themeColor="text1"/>
          <w:sz w:val="22"/>
          <w:szCs w:val="22"/>
        </w:rPr>
      </w:pPr>
    </w:p>
    <w:p w14:paraId="763E2167" w14:textId="77777777" w:rsidR="00534AD9" w:rsidRPr="00CD2448" w:rsidRDefault="00534AD9" w:rsidP="00534AD9">
      <w:pPr>
        <w:jc w:val="both"/>
        <w:rPr>
          <w:rFonts w:ascii="Arial" w:hAnsi="Arial" w:cs="Arial"/>
          <w:i/>
          <w:iCs/>
          <w:color w:val="000000" w:themeColor="text1"/>
          <w:sz w:val="22"/>
          <w:szCs w:val="22"/>
        </w:rPr>
      </w:pPr>
    </w:p>
    <w:p w14:paraId="7899A1DD" w14:textId="77777777" w:rsidR="00BA3321" w:rsidRPr="00CD2448" w:rsidRDefault="00BA3321" w:rsidP="007F3F8E">
      <w:pPr>
        <w:spacing w:after="160" w:line="278" w:lineRule="auto"/>
        <w:jc w:val="both"/>
        <w:rPr>
          <w:rFonts w:ascii="Arial" w:hAnsi="Arial" w:cs="Arial"/>
          <w:b/>
          <w:bCs/>
          <w:color w:val="000000" w:themeColor="text1"/>
          <w:sz w:val="22"/>
          <w:szCs w:val="22"/>
        </w:rPr>
      </w:pPr>
      <w:r w:rsidRPr="00CD2448">
        <w:rPr>
          <w:rFonts w:ascii="Arial" w:hAnsi="Arial" w:cs="Arial"/>
          <w:b/>
          <w:bCs/>
          <w:color w:val="000000" w:themeColor="text1"/>
          <w:sz w:val="22"/>
          <w:szCs w:val="22"/>
        </w:rPr>
        <w:br w:type="page"/>
      </w:r>
    </w:p>
    <w:p w14:paraId="1667D2C5" w14:textId="3E3B00C7" w:rsidR="004D51E3" w:rsidRPr="00CD2448" w:rsidRDefault="002E7738" w:rsidP="007F3F8E">
      <w:pPr>
        <w:jc w:val="both"/>
        <w:rPr>
          <w:rFonts w:ascii="Arial" w:hAnsi="Arial" w:cs="Arial"/>
          <w:b/>
          <w:bCs/>
          <w:color w:val="000000" w:themeColor="text1"/>
          <w:sz w:val="28"/>
          <w:szCs w:val="28"/>
        </w:rPr>
      </w:pPr>
      <w:r w:rsidRPr="00CD2448">
        <w:rPr>
          <w:rFonts w:ascii="Arial" w:hAnsi="Arial" w:cs="Arial"/>
          <w:b/>
          <w:bCs/>
          <w:color w:val="000000" w:themeColor="text1"/>
          <w:sz w:val="28"/>
          <w:szCs w:val="28"/>
        </w:rPr>
        <w:lastRenderedPageBreak/>
        <w:t>Supplementary Tables</w:t>
      </w:r>
    </w:p>
    <w:p w14:paraId="69E961E4" w14:textId="77777777" w:rsidR="00BA739B" w:rsidRPr="00CD2448" w:rsidRDefault="00BA739B" w:rsidP="00BA739B">
      <w:pPr>
        <w:jc w:val="both"/>
        <w:rPr>
          <w:rFonts w:ascii="Arial" w:hAnsi="Arial" w:cs="Arial"/>
          <w:b/>
          <w:bCs/>
          <w:color w:val="000000" w:themeColor="text1"/>
          <w:sz w:val="20"/>
          <w:szCs w:val="20"/>
        </w:rPr>
      </w:pPr>
    </w:p>
    <w:p w14:paraId="0090BE5B" w14:textId="1D82CA0C" w:rsidR="00BA739B" w:rsidRPr="00CD2448" w:rsidRDefault="00BA739B" w:rsidP="00415257">
      <w:pPr>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Table S1: Differential Gene Expression in iPSC-Derived Neurons Following Treatment with Rapid-Acting Antidepressants </w:t>
      </w:r>
      <w:r w:rsidRPr="00CD2448">
        <w:rPr>
          <w:rFonts w:ascii="Arial" w:hAnsi="Arial" w:cs="Arial"/>
          <w:color w:val="000000" w:themeColor="text1"/>
          <w:sz w:val="20"/>
          <w:szCs w:val="20"/>
        </w:rPr>
        <w:t>The top portion of the  table summarizes the number of DEGs in iPSC-derived neurons following 24-hour exposure to various rapid-acting antidepressant compounds. Cell lines were derived from female patients with TRD (n=5, PBMC-derived) and HVs (n=5, fibroblast-derived). All treatments were compared against 0.1% acetonitrile vehicle control, with significance threshold set at p &lt; 0.05. The psychedelic compounds (LSD and psilocybin) induced more extensive transcriptional changes than ketamine or its metabolite (2</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,6</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)-HNK</w:t>
      </w:r>
      <w:r w:rsidRPr="00CD2448">
        <w:rPr>
          <w:rFonts w:ascii="Arial" w:hAnsi="Arial" w:cs="Arial"/>
          <w:b/>
          <w:bCs/>
          <w:color w:val="000000" w:themeColor="text1"/>
          <w:sz w:val="20"/>
          <w:szCs w:val="20"/>
        </w:rPr>
        <w:t xml:space="preserve">. </w:t>
      </w:r>
      <w:r w:rsidRPr="00CD2448">
        <w:rPr>
          <w:rFonts w:ascii="Arial" w:hAnsi="Arial" w:cs="Arial"/>
          <w:color w:val="000000" w:themeColor="text1"/>
          <w:sz w:val="20"/>
          <w:szCs w:val="20"/>
        </w:rPr>
        <w:t xml:space="preserve">Fewer ketamine samples were sequenced due to several having unexpectedly low viability compared to all other samples at the time of RNA processing. </w:t>
      </w:r>
    </w:p>
    <w:p w14:paraId="4873AE2B" w14:textId="77777777" w:rsidR="00180522" w:rsidRPr="00CD2448" w:rsidRDefault="00180522" w:rsidP="007F3F8E">
      <w:pPr>
        <w:jc w:val="both"/>
        <w:rPr>
          <w:rFonts w:ascii="Arial" w:hAnsi="Arial" w:cs="Arial"/>
          <w:color w:val="000000" w:themeColor="text1"/>
          <w:sz w:val="22"/>
          <w:szCs w:val="22"/>
          <w:u w:val="single"/>
        </w:rPr>
      </w:pPr>
    </w:p>
    <w:tbl>
      <w:tblPr>
        <w:tblStyle w:val="TableGrid"/>
        <w:tblW w:w="0" w:type="auto"/>
        <w:tblInd w:w="-5" w:type="dxa"/>
        <w:tblLook w:val="04A0" w:firstRow="1" w:lastRow="0" w:firstColumn="1" w:lastColumn="0" w:noHBand="0" w:noVBand="1"/>
      </w:tblPr>
      <w:tblGrid>
        <w:gridCol w:w="960"/>
        <w:gridCol w:w="1591"/>
        <w:gridCol w:w="1295"/>
        <w:gridCol w:w="1699"/>
        <w:gridCol w:w="1265"/>
        <w:gridCol w:w="1200"/>
        <w:gridCol w:w="2785"/>
      </w:tblGrid>
      <w:tr w:rsidR="00EF3617" w:rsidRPr="00CD2448" w14:paraId="7D52512D" w14:textId="77777777" w:rsidTr="00A51F11">
        <w:trPr>
          <w:trHeight w:val="20"/>
        </w:trPr>
        <w:tc>
          <w:tcPr>
            <w:tcW w:w="960" w:type="dxa"/>
            <w:hideMark/>
          </w:tcPr>
          <w:p w14:paraId="280D8B10" w14:textId="77777777"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Cell Lines</w:t>
            </w:r>
          </w:p>
        </w:tc>
        <w:tc>
          <w:tcPr>
            <w:tcW w:w="1591" w:type="dxa"/>
          </w:tcPr>
          <w:p w14:paraId="2A9CA0D5" w14:textId="77777777"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Source</w:t>
            </w:r>
          </w:p>
        </w:tc>
        <w:tc>
          <w:tcPr>
            <w:tcW w:w="1201" w:type="dxa"/>
            <w:hideMark/>
          </w:tcPr>
          <w:p w14:paraId="55D2D1CF" w14:textId="77777777"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Treatments (24hrs)</w:t>
            </w:r>
          </w:p>
        </w:tc>
        <w:tc>
          <w:tcPr>
            <w:tcW w:w="0" w:type="auto"/>
            <w:hideMark/>
          </w:tcPr>
          <w:p w14:paraId="13C7E884" w14:textId="77777777"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Concentrations</w:t>
            </w:r>
          </w:p>
        </w:tc>
        <w:tc>
          <w:tcPr>
            <w:tcW w:w="0" w:type="auto"/>
          </w:tcPr>
          <w:p w14:paraId="1BF470D8" w14:textId="376C7B93"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TRD Samples</w:t>
            </w:r>
          </w:p>
        </w:tc>
        <w:tc>
          <w:tcPr>
            <w:tcW w:w="0" w:type="auto"/>
          </w:tcPr>
          <w:p w14:paraId="2A07E8EB" w14:textId="7E05FE5A" w:rsidR="00EF3617" w:rsidRPr="00CD2448" w:rsidRDefault="007F3F4B"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 xml:space="preserve">HV </w:t>
            </w:r>
            <w:r w:rsidR="00EF3617" w:rsidRPr="00CD2448">
              <w:rPr>
                <w:rFonts w:ascii="Arial" w:hAnsi="Arial" w:cs="Arial"/>
                <w:b/>
                <w:bCs/>
                <w:color w:val="000000" w:themeColor="text1"/>
                <w:sz w:val="20"/>
                <w:szCs w:val="20"/>
              </w:rPr>
              <w:t>Samples</w:t>
            </w:r>
          </w:p>
        </w:tc>
        <w:tc>
          <w:tcPr>
            <w:tcW w:w="0" w:type="auto"/>
            <w:hideMark/>
          </w:tcPr>
          <w:p w14:paraId="772FBC28" w14:textId="27FC8574" w:rsidR="00EF3617" w:rsidRPr="00CD2448" w:rsidRDefault="00EF3617" w:rsidP="00400021">
            <w:pPr>
              <w:jc w:val="center"/>
              <w:rPr>
                <w:rFonts w:ascii="Arial" w:hAnsi="Arial" w:cs="Arial"/>
                <w:b/>
                <w:bCs/>
                <w:color w:val="000000" w:themeColor="text1"/>
                <w:sz w:val="20"/>
                <w:szCs w:val="20"/>
              </w:rPr>
            </w:pPr>
            <w:r w:rsidRPr="00CD2448">
              <w:rPr>
                <w:rFonts w:ascii="Arial" w:hAnsi="Arial" w:cs="Arial"/>
                <w:b/>
                <w:bCs/>
                <w:color w:val="000000" w:themeColor="text1"/>
                <w:sz w:val="20"/>
                <w:szCs w:val="20"/>
              </w:rPr>
              <w:t xml:space="preserve">Number of DEGs </w:t>
            </w:r>
            <w:r w:rsidRPr="00CD2448">
              <w:rPr>
                <w:rFonts w:ascii="Arial" w:hAnsi="Arial" w:cs="Arial"/>
                <w:i/>
                <w:iCs/>
                <w:color w:val="000000" w:themeColor="text1"/>
                <w:sz w:val="20"/>
                <w:szCs w:val="20"/>
              </w:rPr>
              <w:t>(vs</w:t>
            </w:r>
            <w:r w:rsidR="001E2F0E" w:rsidRPr="00CD2448">
              <w:rPr>
                <w:rFonts w:ascii="Arial" w:hAnsi="Arial" w:cs="Arial"/>
                <w:i/>
                <w:iCs/>
                <w:color w:val="000000" w:themeColor="text1"/>
                <w:sz w:val="20"/>
                <w:szCs w:val="20"/>
              </w:rPr>
              <w:t xml:space="preserve"> </w:t>
            </w:r>
            <w:r w:rsidRPr="00CD2448">
              <w:rPr>
                <w:rFonts w:ascii="Arial" w:hAnsi="Arial" w:cs="Arial"/>
                <w:i/>
                <w:iCs/>
                <w:color w:val="000000" w:themeColor="text1"/>
                <w:sz w:val="20"/>
                <w:szCs w:val="20"/>
              </w:rPr>
              <w:t>Acetonitrile 0.1% Vehicle)</w:t>
            </w:r>
          </w:p>
        </w:tc>
      </w:tr>
      <w:tr w:rsidR="00400021" w:rsidRPr="00CD2448" w14:paraId="1140BC2B" w14:textId="77777777" w:rsidTr="00A51F11">
        <w:trPr>
          <w:trHeight w:val="20"/>
        </w:trPr>
        <w:tc>
          <w:tcPr>
            <w:tcW w:w="2551" w:type="dxa"/>
            <w:gridSpan w:val="2"/>
            <w:vMerge w:val="restart"/>
            <w:hideMark/>
          </w:tcPr>
          <w:p w14:paraId="058ABC4C" w14:textId="37BCF4F5" w:rsidR="00400021" w:rsidRPr="00CD2448" w:rsidRDefault="00400021" w:rsidP="00400021">
            <w:pPr>
              <w:jc w:val="center"/>
              <w:rPr>
                <w:rFonts w:ascii="Arial" w:hAnsi="Arial" w:cs="Arial"/>
                <w:color w:val="000000" w:themeColor="text1"/>
                <w:sz w:val="20"/>
                <w:szCs w:val="20"/>
              </w:rPr>
            </w:pPr>
            <w:r w:rsidRPr="00CD2448">
              <w:rPr>
                <w:rFonts w:ascii="Arial" w:hAnsi="Arial" w:cs="Arial"/>
                <w:b/>
                <w:bCs/>
                <w:color w:val="000000" w:themeColor="text1"/>
                <w:sz w:val="20"/>
                <w:szCs w:val="20"/>
              </w:rPr>
              <w:t xml:space="preserve">TRD </w:t>
            </w:r>
            <w:r w:rsidRPr="00CD2448">
              <w:rPr>
                <w:rFonts w:ascii="Arial" w:hAnsi="Arial" w:cs="Arial"/>
                <w:color w:val="000000" w:themeColor="text1"/>
                <w:sz w:val="20"/>
                <w:szCs w:val="20"/>
              </w:rPr>
              <w:t>(n = 5)</w:t>
            </w:r>
          </w:p>
          <w:p w14:paraId="0E986FD3" w14:textId="77777777" w:rsidR="00400021" w:rsidRPr="00CD2448" w:rsidRDefault="00400021" w:rsidP="00400021">
            <w:pPr>
              <w:jc w:val="center"/>
              <w:rPr>
                <w:rFonts w:ascii="Arial" w:hAnsi="Arial" w:cs="Arial"/>
                <w:color w:val="000000" w:themeColor="text1"/>
                <w:sz w:val="20"/>
                <w:szCs w:val="20"/>
              </w:rPr>
            </w:pPr>
            <w:r w:rsidRPr="00CD2448">
              <w:rPr>
                <w:rFonts w:ascii="Arial" w:hAnsi="Arial" w:cs="Arial"/>
                <w:color w:val="000000" w:themeColor="text1"/>
                <w:sz w:val="20"/>
                <w:szCs w:val="20"/>
              </w:rPr>
              <w:t>All female</w:t>
            </w:r>
          </w:p>
          <w:p w14:paraId="768C7906" w14:textId="3666535A" w:rsidR="00400021" w:rsidRPr="00CD2448" w:rsidRDefault="00400021" w:rsidP="00400021">
            <w:pPr>
              <w:jc w:val="center"/>
              <w:rPr>
                <w:rFonts w:ascii="Arial" w:hAnsi="Arial" w:cs="Arial"/>
                <w:color w:val="000000" w:themeColor="text1"/>
                <w:sz w:val="20"/>
                <w:szCs w:val="20"/>
              </w:rPr>
            </w:pPr>
            <w:r w:rsidRPr="00CD2448">
              <w:rPr>
                <w:rFonts w:ascii="Arial" w:hAnsi="Arial" w:cs="Arial"/>
                <w:color w:val="000000" w:themeColor="text1"/>
                <w:sz w:val="20"/>
                <w:szCs w:val="20"/>
              </w:rPr>
              <w:t>PBMC-derived</w:t>
            </w:r>
          </w:p>
        </w:tc>
        <w:tc>
          <w:tcPr>
            <w:tcW w:w="1201" w:type="dxa"/>
            <w:hideMark/>
          </w:tcPr>
          <w:p w14:paraId="060BCC7A"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(2</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,6</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)-HNK</w:t>
            </w:r>
          </w:p>
        </w:tc>
        <w:tc>
          <w:tcPr>
            <w:tcW w:w="0" w:type="auto"/>
            <w:hideMark/>
          </w:tcPr>
          <w:p w14:paraId="0DB00A03"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 xml:space="preserve">1 </w:t>
            </w:r>
            <w:proofErr w:type="spellStart"/>
            <w:r w:rsidRPr="00CD2448">
              <w:rPr>
                <w:rFonts w:ascii="Arial" w:hAnsi="Arial" w:cs="Arial"/>
                <w:color w:val="000000" w:themeColor="text1"/>
                <w:sz w:val="20"/>
                <w:szCs w:val="20"/>
              </w:rPr>
              <w:t>uM</w:t>
            </w:r>
            <w:proofErr w:type="spellEnd"/>
          </w:p>
        </w:tc>
        <w:tc>
          <w:tcPr>
            <w:tcW w:w="0" w:type="auto"/>
          </w:tcPr>
          <w:p w14:paraId="251C8DCE" w14:textId="45B5BA91"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7</w:t>
            </w:r>
          </w:p>
        </w:tc>
        <w:tc>
          <w:tcPr>
            <w:tcW w:w="0" w:type="auto"/>
          </w:tcPr>
          <w:p w14:paraId="0B0D0F9F" w14:textId="3512770D"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11</w:t>
            </w:r>
          </w:p>
        </w:tc>
        <w:tc>
          <w:tcPr>
            <w:tcW w:w="0" w:type="auto"/>
            <w:hideMark/>
          </w:tcPr>
          <w:p w14:paraId="357CD694" w14:textId="0C7F4F2C"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802</w:t>
            </w:r>
          </w:p>
        </w:tc>
      </w:tr>
      <w:tr w:rsidR="00400021" w:rsidRPr="00CD2448" w14:paraId="18510120" w14:textId="77777777" w:rsidTr="00A51F11">
        <w:trPr>
          <w:trHeight w:val="20"/>
        </w:trPr>
        <w:tc>
          <w:tcPr>
            <w:tcW w:w="2551" w:type="dxa"/>
            <w:gridSpan w:val="2"/>
            <w:vMerge/>
            <w:noWrap/>
            <w:hideMark/>
          </w:tcPr>
          <w:p w14:paraId="62900459" w14:textId="77777777" w:rsidR="00400021" w:rsidRPr="00CD2448" w:rsidRDefault="00400021" w:rsidP="00400021">
            <w:pPr>
              <w:jc w:val="center"/>
              <w:rPr>
                <w:rFonts w:ascii="Arial" w:hAnsi="Arial" w:cs="Arial"/>
                <w:color w:val="000000" w:themeColor="text1"/>
                <w:sz w:val="20"/>
                <w:szCs w:val="20"/>
              </w:rPr>
            </w:pPr>
          </w:p>
        </w:tc>
        <w:tc>
          <w:tcPr>
            <w:tcW w:w="1201" w:type="dxa"/>
            <w:hideMark/>
          </w:tcPr>
          <w:p w14:paraId="4A03B627"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Ketamine</w:t>
            </w:r>
          </w:p>
        </w:tc>
        <w:tc>
          <w:tcPr>
            <w:tcW w:w="0" w:type="auto"/>
            <w:hideMark/>
          </w:tcPr>
          <w:p w14:paraId="0B6FDE9F"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 xml:space="preserve">1 </w:t>
            </w:r>
            <w:proofErr w:type="spellStart"/>
            <w:r w:rsidRPr="00CD2448">
              <w:rPr>
                <w:rFonts w:ascii="Arial" w:hAnsi="Arial" w:cs="Arial"/>
                <w:color w:val="000000" w:themeColor="text1"/>
                <w:sz w:val="20"/>
                <w:szCs w:val="20"/>
              </w:rPr>
              <w:t>uM</w:t>
            </w:r>
            <w:proofErr w:type="spellEnd"/>
          </w:p>
        </w:tc>
        <w:tc>
          <w:tcPr>
            <w:tcW w:w="0" w:type="auto"/>
          </w:tcPr>
          <w:p w14:paraId="5C30ACD4" w14:textId="17C6EE6E"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4</w:t>
            </w:r>
          </w:p>
        </w:tc>
        <w:tc>
          <w:tcPr>
            <w:tcW w:w="0" w:type="auto"/>
          </w:tcPr>
          <w:p w14:paraId="67EC2E7B" w14:textId="206DF009"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1</w:t>
            </w:r>
          </w:p>
        </w:tc>
        <w:tc>
          <w:tcPr>
            <w:tcW w:w="0" w:type="auto"/>
            <w:hideMark/>
          </w:tcPr>
          <w:p w14:paraId="5DBC352E" w14:textId="0F1D08ED"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310</w:t>
            </w:r>
          </w:p>
        </w:tc>
      </w:tr>
      <w:tr w:rsidR="00400021" w:rsidRPr="00CD2448" w14:paraId="5B3AD65B" w14:textId="77777777" w:rsidTr="00A51F11">
        <w:trPr>
          <w:trHeight w:val="20"/>
        </w:trPr>
        <w:tc>
          <w:tcPr>
            <w:tcW w:w="2551" w:type="dxa"/>
            <w:gridSpan w:val="2"/>
            <w:vMerge w:val="restart"/>
            <w:noWrap/>
          </w:tcPr>
          <w:p w14:paraId="14543299" w14:textId="77777777" w:rsidR="00400021" w:rsidRPr="00CD2448" w:rsidRDefault="00400021" w:rsidP="00400021">
            <w:pPr>
              <w:jc w:val="center"/>
              <w:rPr>
                <w:rFonts w:ascii="Arial" w:hAnsi="Arial" w:cs="Arial"/>
                <w:color w:val="000000" w:themeColor="text1"/>
                <w:sz w:val="20"/>
                <w:szCs w:val="20"/>
              </w:rPr>
            </w:pPr>
            <w:r w:rsidRPr="00CD2448">
              <w:rPr>
                <w:rFonts w:ascii="Arial" w:hAnsi="Arial" w:cs="Arial"/>
                <w:b/>
                <w:bCs/>
                <w:color w:val="000000" w:themeColor="text1"/>
                <w:sz w:val="20"/>
                <w:szCs w:val="20"/>
              </w:rPr>
              <w:t xml:space="preserve">HV </w:t>
            </w:r>
            <w:r w:rsidRPr="00CD2448">
              <w:rPr>
                <w:rFonts w:ascii="Arial" w:hAnsi="Arial" w:cs="Arial"/>
                <w:color w:val="000000" w:themeColor="text1"/>
                <w:sz w:val="20"/>
                <w:szCs w:val="20"/>
              </w:rPr>
              <w:t>(n = 5)</w:t>
            </w:r>
          </w:p>
          <w:p w14:paraId="3013B74B" w14:textId="77777777" w:rsidR="00400021" w:rsidRPr="00CD2448" w:rsidRDefault="00400021" w:rsidP="00400021">
            <w:pPr>
              <w:jc w:val="center"/>
              <w:rPr>
                <w:rFonts w:ascii="Arial" w:hAnsi="Arial" w:cs="Arial"/>
                <w:color w:val="000000" w:themeColor="text1"/>
                <w:sz w:val="20"/>
                <w:szCs w:val="20"/>
              </w:rPr>
            </w:pPr>
            <w:r w:rsidRPr="00CD2448">
              <w:rPr>
                <w:rFonts w:ascii="Arial" w:hAnsi="Arial" w:cs="Arial"/>
                <w:color w:val="000000" w:themeColor="text1"/>
                <w:sz w:val="20"/>
                <w:szCs w:val="20"/>
              </w:rPr>
              <w:t>All female</w:t>
            </w:r>
          </w:p>
          <w:p w14:paraId="19E1F59D" w14:textId="7D25D971" w:rsidR="00400021" w:rsidRPr="00CD2448" w:rsidRDefault="00400021" w:rsidP="00400021">
            <w:pPr>
              <w:jc w:val="center"/>
              <w:rPr>
                <w:rFonts w:ascii="Arial" w:hAnsi="Arial" w:cs="Arial"/>
                <w:color w:val="000000" w:themeColor="text1"/>
                <w:sz w:val="20"/>
                <w:szCs w:val="20"/>
              </w:rPr>
            </w:pPr>
            <w:r w:rsidRPr="00CD2448">
              <w:rPr>
                <w:rFonts w:ascii="Arial" w:hAnsi="Arial" w:cs="Arial"/>
                <w:color w:val="000000" w:themeColor="text1"/>
                <w:sz w:val="20"/>
                <w:szCs w:val="20"/>
              </w:rPr>
              <w:t>Fibroblast-derived</w:t>
            </w:r>
          </w:p>
        </w:tc>
        <w:tc>
          <w:tcPr>
            <w:tcW w:w="1201" w:type="dxa"/>
            <w:hideMark/>
          </w:tcPr>
          <w:p w14:paraId="0C985690"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Psilocybin</w:t>
            </w:r>
          </w:p>
        </w:tc>
        <w:tc>
          <w:tcPr>
            <w:tcW w:w="0" w:type="auto"/>
            <w:hideMark/>
          </w:tcPr>
          <w:p w14:paraId="4B3D9393"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 xml:space="preserve">10 </w:t>
            </w:r>
            <w:proofErr w:type="spellStart"/>
            <w:r w:rsidRPr="00CD2448">
              <w:rPr>
                <w:rFonts w:ascii="Arial" w:hAnsi="Arial" w:cs="Arial"/>
                <w:color w:val="000000" w:themeColor="text1"/>
                <w:sz w:val="20"/>
                <w:szCs w:val="20"/>
              </w:rPr>
              <w:t>uM</w:t>
            </w:r>
            <w:proofErr w:type="spellEnd"/>
          </w:p>
        </w:tc>
        <w:tc>
          <w:tcPr>
            <w:tcW w:w="0" w:type="auto"/>
          </w:tcPr>
          <w:p w14:paraId="4065E595" w14:textId="23C11E9F"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7</w:t>
            </w:r>
          </w:p>
        </w:tc>
        <w:tc>
          <w:tcPr>
            <w:tcW w:w="0" w:type="auto"/>
          </w:tcPr>
          <w:p w14:paraId="67F22E88" w14:textId="349E5998"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4</w:t>
            </w:r>
          </w:p>
        </w:tc>
        <w:tc>
          <w:tcPr>
            <w:tcW w:w="0" w:type="auto"/>
            <w:hideMark/>
          </w:tcPr>
          <w:p w14:paraId="14535043" w14:textId="6AC02256"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1450</w:t>
            </w:r>
          </w:p>
        </w:tc>
      </w:tr>
      <w:tr w:rsidR="00400021" w:rsidRPr="00CD2448" w14:paraId="27E9D38B" w14:textId="77777777" w:rsidTr="00A51F11">
        <w:trPr>
          <w:trHeight w:val="20"/>
        </w:trPr>
        <w:tc>
          <w:tcPr>
            <w:tcW w:w="2551" w:type="dxa"/>
            <w:gridSpan w:val="2"/>
            <w:vMerge/>
            <w:noWrap/>
          </w:tcPr>
          <w:p w14:paraId="203D9A82" w14:textId="77777777" w:rsidR="00400021" w:rsidRPr="00CD2448" w:rsidRDefault="00400021" w:rsidP="001E2F0E">
            <w:pPr>
              <w:rPr>
                <w:rFonts w:ascii="Arial" w:hAnsi="Arial" w:cs="Arial"/>
                <w:color w:val="000000" w:themeColor="text1"/>
                <w:sz w:val="20"/>
                <w:szCs w:val="20"/>
              </w:rPr>
            </w:pPr>
          </w:p>
        </w:tc>
        <w:tc>
          <w:tcPr>
            <w:tcW w:w="1201" w:type="dxa"/>
            <w:hideMark/>
          </w:tcPr>
          <w:p w14:paraId="765D3FDF"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0" w:type="auto"/>
            <w:hideMark/>
          </w:tcPr>
          <w:p w14:paraId="72683543" w14:textId="77777777"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 xml:space="preserve">10 </w:t>
            </w:r>
            <w:proofErr w:type="spellStart"/>
            <w:r w:rsidRPr="00CD2448">
              <w:rPr>
                <w:rFonts w:ascii="Arial" w:hAnsi="Arial" w:cs="Arial"/>
                <w:color w:val="000000" w:themeColor="text1"/>
                <w:sz w:val="20"/>
                <w:szCs w:val="20"/>
              </w:rPr>
              <w:t>uM</w:t>
            </w:r>
            <w:proofErr w:type="spellEnd"/>
          </w:p>
        </w:tc>
        <w:tc>
          <w:tcPr>
            <w:tcW w:w="0" w:type="auto"/>
          </w:tcPr>
          <w:p w14:paraId="54AAC269" w14:textId="70C02E8E"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6</w:t>
            </w:r>
          </w:p>
        </w:tc>
        <w:tc>
          <w:tcPr>
            <w:tcW w:w="0" w:type="auto"/>
          </w:tcPr>
          <w:p w14:paraId="23B5A524" w14:textId="080453F1"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5</w:t>
            </w:r>
          </w:p>
        </w:tc>
        <w:tc>
          <w:tcPr>
            <w:tcW w:w="0" w:type="auto"/>
            <w:hideMark/>
          </w:tcPr>
          <w:p w14:paraId="22D030B8" w14:textId="50F009D2"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1883</w:t>
            </w:r>
          </w:p>
        </w:tc>
      </w:tr>
      <w:tr w:rsidR="00400021" w:rsidRPr="00CD2448" w14:paraId="5FF309F1" w14:textId="77777777" w:rsidTr="00A51F11">
        <w:trPr>
          <w:trHeight w:val="20"/>
        </w:trPr>
        <w:tc>
          <w:tcPr>
            <w:tcW w:w="2551" w:type="dxa"/>
            <w:gridSpan w:val="2"/>
            <w:vMerge/>
            <w:noWrap/>
          </w:tcPr>
          <w:p w14:paraId="33D45D9E" w14:textId="77777777" w:rsidR="00400021" w:rsidRPr="00CD2448" w:rsidRDefault="00400021" w:rsidP="001E2F0E">
            <w:pPr>
              <w:rPr>
                <w:rFonts w:ascii="Arial" w:hAnsi="Arial" w:cs="Arial"/>
                <w:color w:val="000000" w:themeColor="text1"/>
                <w:sz w:val="20"/>
                <w:szCs w:val="20"/>
              </w:rPr>
            </w:pPr>
          </w:p>
        </w:tc>
        <w:tc>
          <w:tcPr>
            <w:tcW w:w="1201" w:type="dxa"/>
          </w:tcPr>
          <w:p w14:paraId="7518430C" w14:textId="64C1DCA8"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Vehicle</w:t>
            </w:r>
          </w:p>
        </w:tc>
        <w:tc>
          <w:tcPr>
            <w:tcW w:w="0" w:type="auto"/>
          </w:tcPr>
          <w:p w14:paraId="3ED11C98" w14:textId="334D14B5" w:rsidR="00400021" w:rsidRPr="00CD2448" w:rsidRDefault="00400021" w:rsidP="001E2F0E">
            <w:pPr>
              <w:rPr>
                <w:rFonts w:ascii="Arial" w:hAnsi="Arial" w:cs="Arial"/>
                <w:color w:val="000000" w:themeColor="text1"/>
                <w:sz w:val="20"/>
                <w:szCs w:val="20"/>
              </w:rPr>
            </w:pPr>
            <w:r w:rsidRPr="00CD2448">
              <w:rPr>
                <w:rFonts w:ascii="Arial" w:hAnsi="Arial" w:cs="Arial"/>
                <w:i/>
                <w:iCs/>
                <w:color w:val="000000" w:themeColor="text1"/>
                <w:sz w:val="20"/>
                <w:szCs w:val="20"/>
              </w:rPr>
              <w:t>Acetonitrile 0.1%</w:t>
            </w:r>
          </w:p>
        </w:tc>
        <w:tc>
          <w:tcPr>
            <w:tcW w:w="0" w:type="auto"/>
          </w:tcPr>
          <w:p w14:paraId="7742C902" w14:textId="7EB79220"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5</w:t>
            </w:r>
          </w:p>
        </w:tc>
        <w:tc>
          <w:tcPr>
            <w:tcW w:w="0" w:type="auto"/>
          </w:tcPr>
          <w:p w14:paraId="5826511A" w14:textId="2F2021A5"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7</w:t>
            </w:r>
          </w:p>
        </w:tc>
        <w:tc>
          <w:tcPr>
            <w:tcW w:w="0" w:type="auto"/>
          </w:tcPr>
          <w:p w14:paraId="51024A8E" w14:textId="4BAD422D" w:rsidR="00400021" w:rsidRPr="00CD2448" w:rsidRDefault="00400021" w:rsidP="001E2F0E">
            <w:pPr>
              <w:rPr>
                <w:rFonts w:ascii="Arial" w:hAnsi="Arial" w:cs="Arial"/>
                <w:color w:val="000000" w:themeColor="text1"/>
                <w:sz w:val="20"/>
                <w:szCs w:val="20"/>
              </w:rPr>
            </w:pPr>
            <w:r w:rsidRPr="00CD2448">
              <w:rPr>
                <w:rFonts w:ascii="Arial" w:hAnsi="Arial" w:cs="Arial"/>
                <w:color w:val="000000" w:themeColor="text1"/>
                <w:sz w:val="20"/>
                <w:szCs w:val="20"/>
              </w:rPr>
              <w:t>N/A</w:t>
            </w:r>
          </w:p>
        </w:tc>
      </w:tr>
    </w:tbl>
    <w:p w14:paraId="3D8DF877" w14:textId="77777777" w:rsidR="006D57F0" w:rsidRPr="00CD2448" w:rsidRDefault="006D57F0" w:rsidP="00415257">
      <w:pPr>
        <w:rPr>
          <w:rFonts w:ascii="Arial" w:hAnsi="Arial" w:cs="Arial"/>
          <w:color w:val="000000" w:themeColor="text1"/>
          <w:sz w:val="20"/>
          <w:szCs w:val="20"/>
        </w:rPr>
      </w:pPr>
      <w:bookmarkStart w:id="19" w:name="OLE_LINK35"/>
      <w:r w:rsidRPr="00CD2448">
        <w:rPr>
          <w:rFonts w:ascii="Arial" w:hAnsi="Arial" w:cs="Arial"/>
          <w:color w:val="000000" w:themeColor="text1"/>
          <w:sz w:val="20"/>
          <w:szCs w:val="20"/>
        </w:rPr>
        <w:t>Abbreviations: iPSC: induced pluripotent stem cells; TRD: treatment-resistant depression; HV: healthy volunteer; DEGs: differentially expressed genes; (2</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,6</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)-HNK: (2R,6</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w:t>
      </w:r>
      <w:proofErr w:type="spellStart"/>
      <w:r w:rsidRPr="00CD2448">
        <w:rPr>
          <w:rFonts w:ascii="Arial" w:hAnsi="Arial" w:cs="Arial"/>
          <w:color w:val="000000" w:themeColor="text1"/>
          <w:sz w:val="20"/>
          <w:szCs w:val="20"/>
        </w:rPr>
        <w:t>hydroxynorketamine</w:t>
      </w:r>
      <w:proofErr w:type="spellEnd"/>
      <w:r w:rsidRPr="00CD2448">
        <w:rPr>
          <w:rFonts w:ascii="Arial" w:hAnsi="Arial" w:cs="Arial"/>
          <w:color w:val="000000" w:themeColor="text1"/>
          <w:sz w:val="20"/>
          <w:szCs w:val="20"/>
        </w:rPr>
        <w:t>; PBMCs: peripheral blood mononuclear cells</w:t>
      </w:r>
    </w:p>
    <w:p w14:paraId="5A217DE6" w14:textId="395D64F6" w:rsidR="00BA739B" w:rsidRPr="00CD2448" w:rsidRDefault="00BA739B">
      <w:pPr>
        <w:spacing w:after="160" w:line="278" w:lineRule="auto"/>
        <w:rPr>
          <w:rFonts w:ascii="Arial" w:hAnsi="Arial" w:cs="Arial"/>
          <w:color w:val="000000" w:themeColor="text1"/>
          <w:sz w:val="20"/>
          <w:szCs w:val="20"/>
        </w:rPr>
      </w:pPr>
      <w:r w:rsidRPr="00CD2448">
        <w:rPr>
          <w:rFonts w:ascii="Arial" w:hAnsi="Arial" w:cs="Arial"/>
          <w:color w:val="000000" w:themeColor="text1"/>
          <w:sz w:val="20"/>
          <w:szCs w:val="20"/>
        </w:rPr>
        <w:br w:type="page"/>
      </w:r>
    </w:p>
    <w:p w14:paraId="770963FE" w14:textId="77777777" w:rsidR="00BA739B" w:rsidRPr="00CD2448" w:rsidRDefault="00BA739B" w:rsidP="00F84119">
      <w:pPr>
        <w:rPr>
          <w:rFonts w:ascii="Arial" w:hAnsi="Arial" w:cs="Arial"/>
          <w:color w:val="000000" w:themeColor="text1"/>
          <w:sz w:val="20"/>
          <w:szCs w:val="20"/>
        </w:rPr>
      </w:pPr>
      <w:r w:rsidRPr="00CD2448">
        <w:rPr>
          <w:rStyle w:val="Strong"/>
          <w:rFonts w:ascii="Arial" w:hAnsi="Arial" w:cs="Arial"/>
          <w:color w:val="000000" w:themeColor="text1"/>
          <w:sz w:val="20"/>
          <w:szCs w:val="20"/>
        </w:rPr>
        <w:lastRenderedPageBreak/>
        <w:t>Supplementary Table S2.</w:t>
      </w:r>
      <w:r w:rsidRPr="00CD2448">
        <w:rPr>
          <w:rFonts w:ascii="Arial" w:hAnsi="Arial" w:cs="Arial"/>
          <w:color w:val="000000" w:themeColor="text1"/>
          <w:sz w:val="20"/>
          <w:szCs w:val="20"/>
        </w:rPr>
        <w:t xml:space="preserve"> </w:t>
      </w:r>
      <w:r w:rsidRPr="00CD2448">
        <w:rPr>
          <w:rStyle w:val="Emphasis"/>
          <w:rFonts w:ascii="Arial" w:hAnsi="Arial" w:cs="Arial"/>
          <w:b/>
          <w:bCs/>
          <w:i w:val="0"/>
          <w:iCs w:val="0"/>
          <w:color w:val="000000" w:themeColor="text1"/>
          <w:sz w:val="20"/>
          <w:szCs w:val="20"/>
        </w:rPr>
        <w:t>Overlap between induced pluripotent stem cell (iPSC)-derived gene expression signatures and cerebrospinal fluid (CSF) proteomic results across treatment conditions.</w:t>
      </w:r>
      <w:r w:rsidRPr="00CD2448">
        <w:rPr>
          <w:rFonts w:ascii="Arial" w:hAnsi="Arial" w:cs="Arial"/>
          <w:color w:val="000000" w:themeColor="text1"/>
          <w:sz w:val="20"/>
          <w:szCs w:val="20"/>
        </w:rPr>
        <w:t xml:space="preserve"> This table summarizes genes identified in both the iPSC differential expression results and in CSF proteomic analyses across timepoints. The “iPSC Conditions &amp; CSF Timepoints” column lists the specific treatment conditions and CSF collection timepoints in which each gene was found. The “Drugs” column reports the unique treatments ((2</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,6</w:t>
      </w:r>
      <w:r w:rsidRPr="00CD2448">
        <w:rPr>
          <w:rFonts w:ascii="Arial" w:hAnsi="Arial" w:cs="Arial"/>
          <w:i/>
          <w:iCs/>
          <w:color w:val="000000" w:themeColor="text1"/>
          <w:sz w:val="20"/>
          <w:szCs w:val="20"/>
        </w:rPr>
        <w:t>R</w:t>
      </w:r>
      <w:r w:rsidRPr="00CD2448">
        <w:rPr>
          <w:rFonts w:ascii="Arial" w:hAnsi="Arial" w:cs="Arial"/>
          <w:color w:val="000000" w:themeColor="text1"/>
          <w:sz w:val="20"/>
          <w:szCs w:val="20"/>
        </w:rPr>
        <w:t xml:space="preserve">-hydroxynorketamine (HNK), LSD, psilocybin, ketamine) associated with each gene, while “Num Drugs” provides a count of how many distinct drugs were associated with each gene. Num Pairs indicates how many CSF-timepoint x Drug combinations there were. </w:t>
      </w:r>
      <w:proofErr w:type="spellStart"/>
      <w:r w:rsidRPr="00CD2448">
        <w:rPr>
          <w:rFonts w:ascii="Arial" w:hAnsi="Arial" w:cs="Arial"/>
          <w:color w:val="000000" w:themeColor="text1"/>
          <w:sz w:val="20"/>
          <w:szCs w:val="20"/>
        </w:rPr>
        <w:t>Agree_pct</w:t>
      </w:r>
      <w:proofErr w:type="spellEnd"/>
      <w:r w:rsidRPr="00CD2448">
        <w:rPr>
          <w:rFonts w:ascii="Arial" w:hAnsi="Arial" w:cs="Arial"/>
          <w:color w:val="000000" w:themeColor="text1"/>
          <w:sz w:val="20"/>
          <w:szCs w:val="20"/>
        </w:rPr>
        <w:t xml:space="preserve"> indicates what proportion of the IPSC-CSF pairings for that gene/protein were expressed in the same direction (up- vs down-regulated) at a given CSF timepoint. </w:t>
      </w:r>
      <w:proofErr w:type="spellStart"/>
      <w:r w:rsidRPr="00CD2448">
        <w:rPr>
          <w:rFonts w:ascii="Arial" w:hAnsi="Arial" w:cs="Arial"/>
          <w:color w:val="000000" w:themeColor="text1"/>
          <w:sz w:val="20"/>
          <w:szCs w:val="20"/>
        </w:rPr>
        <w:t>ipsc_dir</w:t>
      </w:r>
      <w:proofErr w:type="spellEnd"/>
      <w:r w:rsidRPr="00CD2448">
        <w:rPr>
          <w:rFonts w:ascii="Arial" w:hAnsi="Arial" w:cs="Arial"/>
          <w:color w:val="000000" w:themeColor="text1"/>
          <w:sz w:val="20"/>
          <w:szCs w:val="20"/>
        </w:rPr>
        <w:t xml:space="preserve"> and </w:t>
      </w:r>
      <w:proofErr w:type="spellStart"/>
      <w:r w:rsidRPr="00CD2448">
        <w:rPr>
          <w:rFonts w:ascii="Arial" w:hAnsi="Arial" w:cs="Arial"/>
          <w:color w:val="000000" w:themeColor="text1"/>
          <w:sz w:val="20"/>
          <w:szCs w:val="20"/>
        </w:rPr>
        <w:t>csf_dir</w:t>
      </w:r>
      <w:proofErr w:type="spellEnd"/>
      <w:r w:rsidRPr="00CD2448">
        <w:rPr>
          <w:rFonts w:ascii="Arial" w:hAnsi="Arial" w:cs="Arial"/>
          <w:color w:val="000000" w:themeColor="text1"/>
          <w:sz w:val="20"/>
          <w:szCs w:val="20"/>
        </w:rPr>
        <w:t xml:space="preserve"> indicate the direction of expression (values of 100 and 0 indicate that for every CSF timepoint the direction of expression remained consistent across all measures).</w:t>
      </w:r>
    </w:p>
    <w:p w14:paraId="4EF6F1E1" w14:textId="77777777" w:rsidR="008459D6" w:rsidRPr="00CD2448" w:rsidRDefault="008459D6" w:rsidP="007F3F8E">
      <w:pPr>
        <w:jc w:val="both"/>
        <w:rPr>
          <w:rFonts w:ascii="Arial" w:hAnsi="Arial" w:cs="Arial"/>
          <w:color w:val="000000" w:themeColor="text1"/>
          <w:sz w:val="20"/>
          <w:szCs w:val="20"/>
        </w:rPr>
      </w:pPr>
    </w:p>
    <w:tbl>
      <w:tblPr>
        <w:tblStyle w:val="GridTable1Light"/>
        <w:tblW w:w="5000" w:type="pct"/>
        <w:tblLayout w:type="fixed"/>
        <w:tblLook w:val="04A0" w:firstRow="1" w:lastRow="0" w:firstColumn="1" w:lastColumn="0" w:noHBand="0" w:noVBand="1"/>
      </w:tblPr>
      <w:tblGrid>
        <w:gridCol w:w="1526"/>
        <w:gridCol w:w="4597"/>
        <w:gridCol w:w="934"/>
        <w:gridCol w:w="831"/>
        <w:gridCol w:w="934"/>
        <w:gridCol w:w="727"/>
        <w:gridCol w:w="615"/>
        <w:gridCol w:w="626"/>
      </w:tblGrid>
      <w:tr w:rsidR="002E7738" w:rsidRPr="00CD2448" w14:paraId="2C1470E2" w14:textId="77777777" w:rsidTr="00507D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1BCA69C" w14:textId="77777777" w:rsidR="002E7738" w:rsidRPr="00CD2448" w:rsidRDefault="002E7738" w:rsidP="00AB156B">
            <w:pPr>
              <w:rPr>
                <w:rFonts w:ascii="Arial" w:hAnsi="Arial" w:cs="Arial"/>
                <w:color w:val="000000" w:themeColor="text1"/>
                <w:sz w:val="20"/>
                <w:szCs w:val="20"/>
              </w:rPr>
            </w:pPr>
            <w:bookmarkStart w:id="20" w:name="_Hlk223592949"/>
            <w:bookmarkEnd w:id="19"/>
            <w:r w:rsidRPr="00CD2448">
              <w:rPr>
                <w:rFonts w:ascii="Arial" w:hAnsi="Arial" w:cs="Arial"/>
                <w:color w:val="000000" w:themeColor="text1"/>
                <w:sz w:val="20"/>
                <w:szCs w:val="20"/>
              </w:rPr>
              <w:t>Gene/Protein</w:t>
            </w:r>
          </w:p>
        </w:tc>
        <w:tc>
          <w:tcPr>
            <w:tcW w:w="2130" w:type="pct"/>
            <w:noWrap/>
            <w:hideMark/>
          </w:tcPr>
          <w:p w14:paraId="5D506E22"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b w:val="0"/>
                <w:bCs w:val="0"/>
                <w:color w:val="000000" w:themeColor="text1"/>
                <w:sz w:val="20"/>
                <w:szCs w:val="20"/>
              </w:rPr>
              <w:t>iPSC Conditions &amp; CSF Timepoints</w:t>
            </w:r>
          </w:p>
          <w:p w14:paraId="719E08C8"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CD2448">
              <w:rPr>
                <w:rFonts w:ascii="Arial" w:hAnsi="Arial" w:cs="Arial"/>
                <w:b w:val="0"/>
                <w:bCs w:val="0"/>
                <w:color w:val="000000" w:themeColor="text1"/>
                <w:sz w:val="20"/>
                <w:szCs w:val="20"/>
              </w:rPr>
              <w:t xml:space="preserve">(Formatted as “iPSC </w:t>
            </w:r>
            <w:proofErr w:type="spellStart"/>
            <w:r w:rsidRPr="00CD2448">
              <w:rPr>
                <w:rFonts w:ascii="Arial" w:hAnsi="Arial" w:cs="Arial"/>
                <w:b w:val="0"/>
                <w:bCs w:val="0"/>
                <w:color w:val="000000" w:themeColor="text1"/>
                <w:sz w:val="20"/>
                <w:szCs w:val="20"/>
              </w:rPr>
              <w:t>Condition_CSF</w:t>
            </w:r>
            <w:proofErr w:type="spellEnd"/>
            <w:r w:rsidRPr="00CD2448">
              <w:rPr>
                <w:rFonts w:ascii="Arial" w:hAnsi="Arial" w:cs="Arial"/>
                <w:b w:val="0"/>
                <w:bCs w:val="0"/>
                <w:color w:val="000000" w:themeColor="text1"/>
                <w:sz w:val="20"/>
                <w:szCs w:val="20"/>
              </w:rPr>
              <w:t xml:space="preserve"> Draw Time”</w:t>
            </w:r>
            <w:r w:rsidRPr="00CD2448">
              <w:rPr>
                <w:rFonts w:ascii="Arial" w:hAnsi="Arial" w:cs="Arial"/>
                <w:b w:val="0"/>
                <w:bCs w:val="0"/>
                <w:color w:val="000000" w:themeColor="text1"/>
                <w:sz w:val="20"/>
                <w:szCs w:val="20"/>
              </w:rPr>
              <w:br/>
              <w:t xml:space="preserve"> (minutes post-ketamine infusion))</w:t>
            </w:r>
          </w:p>
        </w:tc>
        <w:tc>
          <w:tcPr>
            <w:tcW w:w="433" w:type="pct"/>
            <w:noWrap/>
            <w:hideMark/>
          </w:tcPr>
          <w:p w14:paraId="56C3D937"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CD2448">
              <w:rPr>
                <w:rFonts w:ascii="Arial" w:hAnsi="Arial" w:cs="Arial"/>
                <w:b w:val="0"/>
                <w:bCs w:val="0"/>
                <w:color w:val="000000" w:themeColor="text1"/>
                <w:sz w:val="20"/>
                <w:szCs w:val="20"/>
              </w:rPr>
              <w:t>Drugs</w:t>
            </w:r>
          </w:p>
        </w:tc>
        <w:tc>
          <w:tcPr>
            <w:tcW w:w="385" w:type="pct"/>
            <w:noWrap/>
            <w:hideMark/>
          </w:tcPr>
          <w:p w14:paraId="3270F6DC"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r w:rsidRPr="00CD2448">
              <w:rPr>
                <w:rFonts w:ascii="Arial" w:hAnsi="Arial" w:cs="Arial"/>
                <w:b w:val="0"/>
                <w:bCs w:val="0"/>
                <w:color w:val="000000" w:themeColor="text1"/>
                <w:sz w:val="20"/>
                <w:szCs w:val="20"/>
              </w:rPr>
              <w:t>Num</w:t>
            </w:r>
            <w:r w:rsidRPr="00CD2448">
              <w:rPr>
                <w:rFonts w:ascii="Arial" w:hAnsi="Arial" w:cs="Arial"/>
                <w:b w:val="0"/>
                <w:bCs w:val="0"/>
                <w:color w:val="000000" w:themeColor="text1"/>
                <w:sz w:val="20"/>
                <w:szCs w:val="20"/>
              </w:rPr>
              <w:br/>
              <w:t>Drugs</w:t>
            </w:r>
          </w:p>
        </w:tc>
        <w:tc>
          <w:tcPr>
            <w:tcW w:w="433" w:type="pct"/>
            <w:noWrap/>
            <w:hideMark/>
          </w:tcPr>
          <w:p w14:paraId="32BB34A2"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proofErr w:type="spellStart"/>
            <w:r w:rsidRPr="00CD2448">
              <w:rPr>
                <w:rFonts w:ascii="Arial" w:hAnsi="Arial" w:cs="Arial"/>
                <w:b w:val="0"/>
                <w:bCs w:val="0"/>
                <w:color w:val="000000" w:themeColor="text1"/>
                <w:sz w:val="20"/>
                <w:szCs w:val="20"/>
              </w:rPr>
              <w:t>n_pairs</w:t>
            </w:r>
            <w:proofErr w:type="spellEnd"/>
          </w:p>
        </w:tc>
        <w:tc>
          <w:tcPr>
            <w:tcW w:w="337" w:type="pct"/>
            <w:noWrap/>
            <w:hideMark/>
          </w:tcPr>
          <w:p w14:paraId="52DEF51B"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proofErr w:type="spellStart"/>
            <w:r w:rsidRPr="00CD2448">
              <w:rPr>
                <w:rFonts w:ascii="Arial" w:hAnsi="Arial" w:cs="Arial"/>
                <w:b w:val="0"/>
                <w:bCs w:val="0"/>
                <w:color w:val="000000" w:themeColor="text1"/>
                <w:sz w:val="20"/>
                <w:szCs w:val="20"/>
              </w:rPr>
              <w:t>agree_pct</w:t>
            </w:r>
            <w:proofErr w:type="spellEnd"/>
          </w:p>
        </w:tc>
        <w:tc>
          <w:tcPr>
            <w:tcW w:w="285" w:type="pct"/>
            <w:noWrap/>
            <w:hideMark/>
          </w:tcPr>
          <w:p w14:paraId="4E6DE6DF"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proofErr w:type="spellStart"/>
            <w:r w:rsidRPr="00CD2448">
              <w:rPr>
                <w:rFonts w:ascii="Arial" w:hAnsi="Arial" w:cs="Arial"/>
                <w:b w:val="0"/>
                <w:bCs w:val="0"/>
                <w:color w:val="000000" w:themeColor="text1"/>
                <w:sz w:val="20"/>
                <w:szCs w:val="20"/>
              </w:rPr>
              <w:t>ipsc_dir</w:t>
            </w:r>
            <w:proofErr w:type="spellEnd"/>
          </w:p>
        </w:tc>
        <w:tc>
          <w:tcPr>
            <w:tcW w:w="290" w:type="pct"/>
            <w:noWrap/>
            <w:hideMark/>
          </w:tcPr>
          <w:p w14:paraId="693EDF96" w14:textId="77777777" w:rsidR="002E7738" w:rsidRPr="00CD2448" w:rsidRDefault="002E7738" w:rsidP="00AB156B">
            <w:pPr>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000000" w:themeColor="text1"/>
                <w:sz w:val="20"/>
                <w:szCs w:val="20"/>
              </w:rPr>
            </w:pPr>
            <w:proofErr w:type="spellStart"/>
            <w:r w:rsidRPr="00CD2448">
              <w:rPr>
                <w:rFonts w:ascii="Arial" w:hAnsi="Arial" w:cs="Arial"/>
                <w:b w:val="0"/>
                <w:bCs w:val="0"/>
                <w:color w:val="000000" w:themeColor="text1"/>
                <w:sz w:val="20"/>
                <w:szCs w:val="20"/>
              </w:rPr>
              <w:t>csf_dir</w:t>
            </w:r>
            <w:proofErr w:type="spellEnd"/>
          </w:p>
        </w:tc>
      </w:tr>
      <w:tr w:rsidR="002E7738" w:rsidRPr="00CD2448" w14:paraId="3915CF4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73B5D74" w14:textId="77777777" w:rsidR="002E7738" w:rsidRPr="00CD2448" w:rsidRDefault="002E7738" w:rsidP="00AB156B">
            <w:pPr>
              <w:rPr>
                <w:rFonts w:ascii="Arial" w:hAnsi="Arial" w:cs="Arial"/>
                <w:b w:val="0"/>
                <w:bCs w:val="0"/>
                <w:color w:val="000000" w:themeColor="text1"/>
                <w:sz w:val="20"/>
                <w:szCs w:val="20"/>
              </w:rPr>
            </w:pPr>
            <w:bookmarkStart w:id="21" w:name="OLE_LINK73"/>
            <w:bookmarkStart w:id="22" w:name="_Hlk220760007"/>
            <w:r w:rsidRPr="00CD2448">
              <w:rPr>
                <w:rFonts w:ascii="Arial" w:hAnsi="Arial" w:cs="Arial"/>
                <w:color w:val="000000" w:themeColor="text1"/>
                <w:sz w:val="20"/>
                <w:szCs w:val="20"/>
              </w:rPr>
              <w:t>ACVRL1</w:t>
            </w:r>
            <w:bookmarkEnd w:id="21"/>
          </w:p>
        </w:tc>
        <w:tc>
          <w:tcPr>
            <w:tcW w:w="2130" w:type="pct"/>
            <w:noWrap/>
            <w:hideMark/>
          </w:tcPr>
          <w:p w14:paraId="2B7CEC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 Psil1024_1440</w:t>
            </w:r>
          </w:p>
        </w:tc>
        <w:tc>
          <w:tcPr>
            <w:tcW w:w="433" w:type="pct"/>
            <w:noWrap/>
            <w:hideMark/>
          </w:tcPr>
          <w:p w14:paraId="72832D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2D71AEE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7D5059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0E91943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1EFE92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BD081F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433AD1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4BE71C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CCL2</w:t>
            </w:r>
          </w:p>
        </w:tc>
        <w:tc>
          <w:tcPr>
            <w:tcW w:w="2130" w:type="pct"/>
            <w:noWrap/>
            <w:hideMark/>
          </w:tcPr>
          <w:p w14:paraId="69207B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 LSD24_1440; LSD24_230; LSD24_360; LSD24_720; Psil1024_1440; Psil1024_230; Psil1024_360; Psil1024_720</w:t>
            </w:r>
          </w:p>
        </w:tc>
        <w:tc>
          <w:tcPr>
            <w:tcW w:w="433" w:type="pct"/>
            <w:noWrap/>
            <w:hideMark/>
          </w:tcPr>
          <w:p w14:paraId="1E2030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53E5E97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363B863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12</w:t>
            </w:r>
          </w:p>
        </w:tc>
        <w:tc>
          <w:tcPr>
            <w:tcW w:w="337" w:type="pct"/>
            <w:noWrap/>
            <w:hideMark/>
          </w:tcPr>
          <w:p w14:paraId="249937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4FDF64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DDD0C7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328AC9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D84E563" w14:textId="77777777" w:rsidR="002E7738" w:rsidRPr="00CD2448" w:rsidRDefault="002E7738" w:rsidP="00AB156B">
            <w:pPr>
              <w:rPr>
                <w:rFonts w:ascii="Arial" w:hAnsi="Arial" w:cs="Arial"/>
                <w:color w:val="000000" w:themeColor="text1"/>
                <w:sz w:val="20"/>
                <w:szCs w:val="20"/>
              </w:rPr>
            </w:pPr>
            <w:bookmarkStart w:id="23" w:name="OLE_LINK74"/>
            <w:r w:rsidRPr="00CD2448">
              <w:rPr>
                <w:rFonts w:ascii="Arial" w:hAnsi="Arial" w:cs="Arial"/>
                <w:color w:val="000000" w:themeColor="text1"/>
                <w:sz w:val="20"/>
                <w:szCs w:val="20"/>
              </w:rPr>
              <w:t>CCN3</w:t>
            </w:r>
            <w:bookmarkEnd w:id="23"/>
          </w:p>
        </w:tc>
        <w:tc>
          <w:tcPr>
            <w:tcW w:w="2130" w:type="pct"/>
            <w:noWrap/>
            <w:hideMark/>
          </w:tcPr>
          <w:p w14:paraId="5E60D51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 LSD24_1440; LSD24_230; LSD24_360; LSD24_720; Psil1024_1440; Psil1024_230; Psil1024_360; Psil1024_720</w:t>
            </w:r>
          </w:p>
        </w:tc>
        <w:tc>
          <w:tcPr>
            <w:tcW w:w="433" w:type="pct"/>
            <w:noWrap/>
            <w:hideMark/>
          </w:tcPr>
          <w:p w14:paraId="43DCA4A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2A69DA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4CFBAFF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12</w:t>
            </w:r>
          </w:p>
        </w:tc>
        <w:tc>
          <w:tcPr>
            <w:tcW w:w="337" w:type="pct"/>
            <w:noWrap/>
            <w:hideMark/>
          </w:tcPr>
          <w:p w14:paraId="6E9B7B5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DD6AD5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FC3BCA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16C20D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A7285A9" w14:textId="77777777" w:rsidR="002E7738" w:rsidRPr="00CD2448" w:rsidRDefault="002E7738" w:rsidP="00AB156B">
            <w:pPr>
              <w:rPr>
                <w:rFonts w:ascii="Arial" w:hAnsi="Arial" w:cs="Arial"/>
                <w:color w:val="000000" w:themeColor="text1"/>
                <w:sz w:val="20"/>
                <w:szCs w:val="20"/>
              </w:rPr>
            </w:pPr>
            <w:bookmarkStart w:id="24" w:name="OLE_LINK75"/>
            <w:r w:rsidRPr="00CD2448">
              <w:rPr>
                <w:rFonts w:ascii="Arial" w:hAnsi="Arial" w:cs="Arial"/>
                <w:color w:val="000000" w:themeColor="text1"/>
                <w:sz w:val="20"/>
                <w:szCs w:val="20"/>
              </w:rPr>
              <w:t>CD74</w:t>
            </w:r>
            <w:bookmarkEnd w:id="24"/>
          </w:p>
        </w:tc>
        <w:tc>
          <w:tcPr>
            <w:tcW w:w="2130" w:type="pct"/>
            <w:noWrap/>
            <w:hideMark/>
          </w:tcPr>
          <w:p w14:paraId="067E659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 LSD24_1440; LSD24_360; LSD24_720; Psil1024_1440; Psil1024_360; Psil1024_720</w:t>
            </w:r>
          </w:p>
        </w:tc>
        <w:tc>
          <w:tcPr>
            <w:tcW w:w="433" w:type="pct"/>
            <w:noWrap/>
            <w:hideMark/>
          </w:tcPr>
          <w:p w14:paraId="3A0BE00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749DDFF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67A5800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9</w:t>
            </w:r>
          </w:p>
        </w:tc>
        <w:tc>
          <w:tcPr>
            <w:tcW w:w="337" w:type="pct"/>
            <w:noWrap/>
            <w:hideMark/>
          </w:tcPr>
          <w:p w14:paraId="532EB95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289C63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A85932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EF2F07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C344C0B" w14:textId="77777777" w:rsidR="002E7738" w:rsidRPr="00CD2448" w:rsidRDefault="002E7738" w:rsidP="00AB156B">
            <w:pPr>
              <w:rPr>
                <w:rFonts w:ascii="Arial" w:hAnsi="Arial" w:cs="Arial"/>
                <w:color w:val="000000" w:themeColor="text1"/>
                <w:sz w:val="20"/>
                <w:szCs w:val="20"/>
              </w:rPr>
            </w:pPr>
            <w:bookmarkStart w:id="25" w:name="OLE_LINK76"/>
            <w:r w:rsidRPr="00CD2448">
              <w:rPr>
                <w:rFonts w:ascii="Arial" w:hAnsi="Arial" w:cs="Arial"/>
                <w:color w:val="000000" w:themeColor="text1"/>
                <w:sz w:val="20"/>
                <w:szCs w:val="20"/>
              </w:rPr>
              <w:t>CHI3L1</w:t>
            </w:r>
            <w:bookmarkEnd w:id="25"/>
          </w:p>
        </w:tc>
        <w:tc>
          <w:tcPr>
            <w:tcW w:w="2130" w:type="pct"/>
            <w:noWrap/>
            <w:hideMark/>
          </w:tcPr>
          <w:p w14:paraId="1D56127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 LSD24_1440; LSD24_360; LSD24_720; Psil1024_1440; Psil1024_360; Psil1024_720</w:t>
            </w:r>
          </w:p>
        </w:tc>
        <w:tc>
          <w:tcPr>
            <w:tcW w:w="433" w:type="pct"/>
            <w:noWrap/>
            <w:hideMark/>
          </w:tcPr>
          <w:p w14:paraId="0A0F629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B45B19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0BB9CD7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9</w:t>
            </w:r>
          </w:p>
        </w:tc>
        <w:tc>
          <w:tcPr>
            <w:tcW w:w="337" w:type="pct"/>
            <w:noWrap/>
            <w:hideMark/>
          </w:tcPr>
          <w:p w14:paraId="720AF94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A0A36D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4E5CCE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434B27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8FF0B2D" w14:textId="77777777" w:rsidR="002E7738" w:rsidRPr="00CD2448" w:rsidRDefault="002E7738" w:rsidP="00AB156B">
            <w:pPr>
              <w:rPr>
                <w:rFonts w:ascii="Arial" w:hAnsi="Arial" w:cs="Arial"/>
                <w:color w:val="000000" w:themeColor="text1"/>
                <w:sz w:val="20"/>
                <w:szCs w:val="20"/>
              </w:rPr>
            </w:pPr>
            <w:bookmarkStart w:id="26" w:name="OLE_LINK77"/>
            <w:r w:rsidRPr="00CD2448">
              <w:rPr>
                <w:rFonts w:ascii="Arial" w:hAnsi="Arial" w:cs="Arial"/>
                <w:color w:val="000000" w:themeColor="text1"/>
                <w:sz w:val="20"/>
                <w:szCs w:val="20"/>
              </w:rPr>
              <w:t>CTSS</w:t>
            </w:r>
            <w:bookmarkEnd w:id="26"/>
          </w:p>
        </w:tc>
        <w:tc>
          <w:tcPr>
            <w:tcW w:w="2130" w:type="pct"/>
            <w:noWrap/>
            <w:hideMark/>
          </w:tcPr>
          <w:p w14:paraId="5B5C74F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 Psil1024_1440</w:t>
            </w:r>
          </w:p>
        </w:tc>
        <w:tc>
          <w:tcPr>
            <w:tcW w:w="433" w:type="pct"/>
            <w:noWrap/>
            <w:hideMark/>
          </w:tcPr>
          <w:p w14:paraId="04FF393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4E42A98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6E6E82D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209F954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52DBC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699C55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274A3D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4B02001" w14:textId="77777777" w:rsidR="002E7738" w:rsidRPr="00CD2448" w:rsidRDefault="002E7738" w:rsidP="00AB156B">
            <w:pPr>
              <w:rPr>
                <w:rFonts w:ascii="Arial" w:hAnsi="Arial" w:cs="Arial"/>
                <w:color w:val="000000" w:themeColor="text1"/>
                <w:sz w:val="20"/>
                <w:szCs w:val="20"/>
              </w:rPr>
            </w:pPr>
            <w:bookmarkStart w:id="27" w:name="OLE_LINK78"/>
            <w:r w:rsidRPr="00CD2448">
              <w:rPr>
                <w:rFonts w:ascii="Arial" w:hAnsi="Arial" w:cs="Arial"/>
                <w:color w:val="000000" w:themeColor="text1"/>
                <w:sz w:val="20"/>
                <w:szCs w:val="20"/>
              </w:rPr>
              <w:t>CXCL1</w:t>
            </w:r>
            <w:bookmarkEnd w:id="27"/>
          </w:p>
        </w:tc>
        <w:tc>
          <w:tcPr>
            <w:tcW w:w="2130" w:type="pct"/>
            <w:noWrap/>
            <w:hideMark/>
          </w:tcPr>
          <w:p w14:paraId="53C8A1D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HNK124_120; HNK124_230; HNK124_360; HNK124_720; LSD24_120; LSD24_230; LSD24_360; LSD24_720; Psil1024_120; Psil1024_230; Psil1024_360; Psil1024_720</w:t>
            </w:r>
          </w:p>
        </w:tc>
        <w:tc>
          <w:tcPr>
            <w:tcW w:w="433" w:type="pct"/>
            <w:noWrap/>
            <w:hideMark/>
          </w:tcPr>
          <w:p w14:paraId="52F5F9B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4179D3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79ABE11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12</w:t>
            </w:r>
          </w:p>
        </w:tc>
        <w:tc>
          <w:tcPr>
            <w:tcW w:w="337" w:type="pct"/>
            <w:noWrap/>
            <w:hideMark/>
          </w:tcPr>
          <w:p w14:paraId="51E6874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3E0352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B64509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47D206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FBF74E1"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ICAM1</w:t>
            </w:r>
          </w:p>
        </w:tc>
        <w:tc>
          <w:tcPr>
            <w:tcW w:w="2130" w:type="pct"/>
            <w:noWrap/>
            <w:hideMark/>
          </w:tcPr>
          <w:p w14:paraId="6EF3D7E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 Psil1024_1440</w:t>
            </w:r>
          </w:p>
        </w:tc>
        <w:tc>
          <w:tcPr>
            <w:tcW w:w="433" w:type="pct"/>
            <w:noWrap/>
            <w:hideMark/>
          </w:tcPr>
          <w:p w14:paraId="1BAE454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7A4B3F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54982E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6D2E21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DCC99B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D32E4B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066913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F5062FC" w14:textId="77777777" w:rsidR="002E7738" w:rsidRPr="00CD2448" w:rsidRDefault="002E7738" w:rsidP="00AB156B">
            <w:pPr>
              <w:rPr>
                <w:rFonts w:ascii="Arial" w:hAnsi="Arial" w:cs="Arial"/>
                <w:color w:val="000000" w:themeColor="text1"/>
                <w:sz w:val="20"/>
                <w:szCs w:val="20"/>
              </w:rPr>
            </w:pPr>
            <w:bookmarkStart w:id="28" w:name="OLE_LINK79"/>
            <w:r w:rsidRPr="00CD2448">
              <w:rPr>
                <w:rFonts w:ascii="Arial" w:hAnsi="Arial" w:cs="Arial"/>
                <w:color w:val="000000" w:themeColor="text1"/>
                <w:sz w:val="20"/>
                <w:szCs w:val="20"/>
              </w:rPr>
              <w:t>ICOSLG</w:t>
            </w:r>
            <w:bookmarkEnd w:id="28"/>
          </w:p>
        </w:tc>
        <w:tc>
          <w:tcPr>
            <w:tcW w:w="2130" w:type="pct"/>
            <w:noWrap/>
            <w:hideMark/>
          </w:tcPr>
          <w:p w14:paraId="09F242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 LSD24_1440; LSD24_230; LSD24_360; LSD24_720; Psil1024_1440; Psil1024_230; Psil1024_360; Psil1024_720</w:t>
            </w:r>
          </w:p>
        </w:tc>
        <w:tc>
          <w:tcPr>
            <w:tcW w:w="433" w:type="pct"/>
            <w:noWrap/>
            <w:hideMark/>
          </w:tcPr>
          <w:p w14:paraId="2DEA2FA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C31EE8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7298B65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12</w:t>
            </w:r>
          </w:p>
        </w:tc>
        <w:tc>
          <w:tcPr>
            <w:tcW w:w="337" w:type="pct"/>
            <w:noWrap/>
            <w:hideMark/>
          </w:tcPr>
          <w:p w14:paraId="679806C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E485AE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8D437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C96E38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9DE15F7" w14:textId="77777777" w:rsidR="002E7738" w:rsidRPr="00CD2448" w:rsidRDefault="002E7738" w:rsidP="00AB156B">
            <w:pPr>
              <w:rPr>
                <w:rFonts w:ascii="Arial" w:hAnsi="Arial" w:cs="Arial"/>
                <w:color w:val="000000" w:themeColor="text1"/>
                <w:sz w:val="20"/>
                <w:szCs w:val="20"/>
              </w:rPr>
            </w:pPr>
            <w:bookmarkStart w:id="29" w:name="OLE_LINK80"/>
            <w:r w:rsidRPr="00CD2448">
              <w:rPr>
                <w:rFonts w:ascii="Arial" w:hAnsi="Arial" w:cs="Arial"/>
                <w:color w:val="000000" w:themeColor="text1"/>
                <w:sz w:val="20"/>
                <w:szCs w:val="20"/>
              </w:rPr>
              <w:t>IL1R1</w:t>
            </w:r>
            <w:bookmarkEnd w:id="29"/>
          </w:p>
        </w:tc>
        <w:tc>
          <w:tcPr>
            <w:tcW w:w="2130" w:type="pct"/>
            <w:noWrap/>
            <w:hideMark/>
          </w:tcPr>
          <w:p w14:paraId="67FD91E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 Psil1024_1440</w:t>
            </w:r>
          </w:p>
        </w:tc>
        <w:tc>
          <w:tcPr>
            <w:tcW w:w="433" w:type="pct"/>
            <w:noWrap/>
            <w:hideMark/>
          </w:tcPr>
          <w:p w14:paraId="05D3175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E336F4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664198C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7D8E6F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C48C80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F2EAC5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ED8797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3A42615" w14:textId="77777777" w:rsidR="002E7738" w:rsidRPr="00CD2448" w:rsidRDefault="002E7738" w:rsidP="00AB156B">
            <w:pPr>
              <w:rPr>
                <w:rFonts w:ascii="Arial" w:hAnsi="Arial" w:cs="Arial"/>
                <w:color w:val="000000" w:themeColor="text1"/>
                <w:sz w:val="20"/>
                <w:szCs w:val="20"/>
              </w:rPr>
            </w:pPr>
            <w:bookmarkStart w:id="30" w:name="OLE_LINK81"/>
            <w:r w:rsidRPr="00CD2448">
              <w:rPr>
                <w:rFonts w:ascii="Arial" w:hAnsi="Arial" w:cs="Arial"/>
                <w:color w:val="000000" w:themeColor="text1"/>
                <w:sz w:val="20"/>
                <w:szCs w:val="20"/>
              </w:rPr>
              <w:t>LGALS3</w:t>
            </w:r>
            <w:bookmarkEnd w:id="30"/>
          </w:p>
        </w:tc>
        <w:tc>
          <w:tcPr>
            <w:tcW w:w="2130" w:type="pct"/>
            <w:noWrap/>
            <w:hideMark/>
          </w:tcPr>
          <w:p w14:paraId="7B55E4B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HNK124_230; LSD24_230; Psil1024_230</w:t>
            </w:r>
          </w:p>
        </w:tc>
        <w:tc>
          <w:tcPr>
            <w:tcW w:w="433" w:type="pct"/>
            <w:noWrap/>
            <w:hideMark/>
          </w:tcPr>
          <w:p w14:paraId="29335E4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32B3922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2DFA679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7A63DC2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40179A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7A5632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23060C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1B8EF4D" w14:textId="77777777" w:rsidR="002E7738" w:rsidRPr="00CD2448" w:rsidRDefault="002E7738" w:rsidP="00AB156B">
            <w:pPr>
              <w:rPr>
                <w:rFonts w:ascii="Arial" w:hAnsi="Arial" w:cs="Arial"/>
                <w:color w:val="000000" w:themeColor="text1"/>
                <w:sz w:val="20"/>
                <w:szCs w:val="20"/>
              </w:rPr>
            </w:pPr>
            <w:bookmarkStart w:id="31" w:name="OLE_LINK82"/>
            <w:r w:rsidRPr="00CD2448">
              <w:rPr>
                <w:rFonts w:ascii="Arial" w:hAnsi="Arial" w:cs="Arial"/>
                <w:color w:val="000000" w:themeColor="text1"/>
                <w:sz w:val="20"/>
                <w:szCs w:val="20"/>
              </w:rPr>
              <w:t>MCAM</w:t>
            </w:r>
            <w:bookmarkEnd w:id="31"/>
          </w:p>
        </w:tc>
        <w:tc>
          <w:tcPr>
            <w:tcW w:w="2130" w:type="pct"/>
            <w:noWrap/>
            <w:hideMark/>
          </w:tcPr>
          <w:p w14:paraId="4EC116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 Psil1024_1440</w:t>
            </w:r>
          </w:p>
        </w:tc>
        <w:tc>
          <w:tcPr>
            <w:tcW w:w="433" w:type="pct"/>
            <w:noWrap/>
            <w:hideMark/>
          </w:tcPr>
          <w:p w14:paraId="6083F33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41170B8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2C2225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351377B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6E5491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5315FA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518894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4FD0EC8" w14:textId="77777777" w:rsidR="002E7738" w:rsidRPr="00CD2448" w:rsidRDefault="002E7738" w:rsidP="00AB156B">
            <w:pPr>
              <w:rPr>
                <w:rFonts w:ascii="Arial" w:hAnsi="Arial" w:cs="Arial"/>
                <w:color w:val="000000" w:themeColor="text1"/>
                <w:sz w:val="20"/>
                <w:szCs w:val="20"/>
              </w:rPr>
            </w:pPr>
            <w:bookmarkStart w:id="32" w:name="OLE_LINK83"/>
            <w:r w:rsidRPr="00CD2448">
              <w:rPr>
                <w:rFonts w:ascii="Arial" w:hAnsi="Arial" w:cs="Arial"/>
                <w:color w:val="000000" w:themeColor="text1"/>
                <w:sz w:val="20"/>
                <w:szCs w:val="20"/>
              </w:rPr>
              <w:t>PLAT</w:t>
            </w:r>
            <w:bookmarkEnd w:id="32"/>
          </w:p>
        </w:tc>
        <w:tc>
          <w:tcPr>
            <w:tcW w:w="2130" w:type="pct"/>
            <w:noWrap/>
            <w:hideMark/>
          </w:tcPr>
          <w:p w14:paraId="7B2CBE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HNK124_720; LSD24_720; Psil1024_720</w:t>
            </w:r>
          </w:p>
        </w:tc>
        <w:tc>
          <w:tcPr>
            <w:tcW w:w="433" w:type="pct"/>
            <w:noWrap/>
            <w:hideMark/>
          </w:tcPr>
          <w:p w14:paraId="7E90AA7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0EE9650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2AD5EC3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6BD349E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3C5FF0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DD666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7B6EE2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95756B7" w14:textId="77777777" w:rsidR="002E7738" w:rsidRPr="00CD2448" w:rsidRDefault="002E7738" w:rsidP="00AB156B">
            <w:pPr>
              <w:rPr>
                <w:rFonts w:ascii="Arial" w:hAnsi="Arial" w:cs="Arial"/>
                <w:color w:val="000000" w:themeColor="text1"/>
                <w:sz w:val="20"/>
                <w:szCs w:val="20"/>
              </w:rPr>
            </w:pPr>
            <w:bookmarkStart w:id="33" w:name="OLE_LINK84"/>
            <w:r w:rsidRPr="00CD2448">
              <w:rPr>
                <w:rFonts w:ascii="Arial" w:hAnsi="Arial" w:cs="Arial"/>
                <w:color w:val="000000" w:themeColor="text1"/>
                <w:sz w:val="20"/>
                <w:szCs w:val="20"/>
              </w:rPr>
              <w:t>SDC4</w:t>
            </w:r>
            <w:bookmarkEnd w:id="33"/>
          </w:p>
        </w:tc>
        <w:tc>
          <w:tcPr>
            <w:tcW w:w="2130" w:type="pct"/>
            <w:noWrap/>
            <w:hideMark/>
          </w:tcPr>
          <w:p w14:paraId="66A66F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HNK124_720; LSD24_1440; LSD24_720; Psil1024_1440; Psil1024_720</w:t>
            </w:r>
          </w:p>
        </w:tc>
        <w:tc>
          <w:tcPr>
            <w:tcW w:w="433" w:type="pct"/>
            <w:noWrap/>
            <w:hideMark/>
          </w:tcPr>
          <w:p w14:paraId="1A1E52C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LSD; </w:t>
            </w:r>
            <w:proofErr w:type="spellStart"/>
            <w:r w:rsidRPr="00CD2448">
              <w:rPr>
                <w:rFonts w:ascii="Arial" w:hAnsi="Arial" w:cs="Arial"/>
                <w:color w:val="000000" w:themeColor="text1"/>
                <w:sz w:val="20"/>
                <w:szCs w:val="20"/>
              </w:rPr>
              <w:t>Psil</w:t>
            </w:r>
            <w:proofErr w:type="spellEnd"/>
          </w:p>
        </w:tc>
        <w:tc>
          <w:tcPr>
            <w:tcW w:w="385" w:type="pct"/>
            <w:noWrap/>
            <w:hideMark/>
          </w:tcPr>
          <w:p w14:paraId="185A0F1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433" w:type="pct"/>
            <w:noWrap/>
            <w:hideMark/>
          </w:tcPr>
          <w:p w14:paraId="520259D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3F3DA7E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B5F537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311AA1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17B280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FDA1D2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lastRenderedPageBreak/>
              <w:t>BMP6</w:t>
            </w:r>
          </w:p>
        </w:tc>
        <w:tc>
          <w:tcPr>
            <w:tcW w:w="2130" w:type="pct"/>
            <w:noWrap/>
            <w:hideMark/>
          </w:tcPr>
          <w:p w14:paraId="1D9E92E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 Psil1024_1440; Psil1024_360; Psil1024_720</w:t>
            </w:r>
          </w:p>
        </w:tc>
        <w:tc>
          <w:tcPr>
            <w:tcW w:w="433" w:type="pct"/>
            <w:noWrap/>
            <w:hideMark/>
          </w:tcPr>
          <w:p w14:paraId="67777B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DD7D17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0B8B5F3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7CD119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7CC461A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4E35D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2561ED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CBC28E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C2</w:t>
            </w:r>
          </w:p>
        </w:tc>
        <w:tc>
          <w:tcPr>
            <w:tcW w:w="2130" w:type="pct"/>
            <w:noWrap/>
            <w:hideMark/>
          </w:tcPr>
          <w:p w14:paraId="7979156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Psil1024_1440</w:t>
            </w:r>
          </w:p>
        </w:tc>
        <w:tc>
          <w:tcPr>
            <w:tcW w:w="433" w:type="pct"/>
            <w:noWrap/>
            <w:hideMark/>
          </w:tcPr>
          <w:p w14:paraId="35361BA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77D0BC3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1DD0D02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6ECD9F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17AB04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AC8BF0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92CCFD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CEA75D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CD109</w:t>
            </w:r>
          </w:p>
        </w:tc>
        <w:tc>
          <w:tcPr>
            <w:tcW w:w="2130" w:type="pct"/>
            <w:noWrap/>
            <w:hideMark/>
          </w:tcPr>
          <w:p w14:paraId="49B6F75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 Psil1024_1440; Psil1024_230; Psil1024_360; Psil1024_720</w:t>
            </w:r>
          </w:p>
        </w:tc>
        <w:tc>
          <w:tcPr>
            <w:tcW w:w="433" w:type="pct"/>
            <w:noWrap/>
            <w:hideMark/>
          </w:tcPr>
          <w:p w14:paraId="0B3ACC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9B877F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4DF752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8</w:t>
            </w:r>
          </w:p>
        </w:tc>
        <w:tc>
          <w:tcPr>
            <w:tcW w:w="337" w:type="pct"/>
            <w:noWrap/>
            <w:hideMark/>
          </w:tcPr>
          <w:p w14:paraId="6B9F4A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907E25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E84012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DD383E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572E5E6B" w14:textId="77777777" w:rsidR="002E7738" w:rsidRPr="00CD2448" w:rsidRDefault="002E7738" w:rsidP="00AB156B">
            <w:pPr>
              <w:rPr>
                <w:rFonts w:ascii="Arial" w:hAnsi="Arial" w:cs="Arial"/>
                <w:color w:val="000000" w:themeColor="text1"/>
                <w:sz w:val="20"/>
                <w:szCs w:val="20"/>
              </w:rPr>
            </w:pPr>
            <w:bookmarkStart w:id="34" w:name="OLE_LINK85"/>
            <w:r w:rsidRPr="00CD2448">
              <w:rPr>
                <w:rFonts w:ascii="Arial" w:hAnsi="Arial" w:cs="Arial"/>
                <w:color w:val="000000" w:themeColor="text1"/>
                <w:sz w:val="20"/>
                <w:szCs w:val="20"/>
              </w:rPr>
              <w:t>CPM</w:t>
            </w:r>
            <w:bookmarkEnd w:id="34"/>
          </w:p>
        </w:tc>
        <w:tc>
          <w:tcPr>
            <w:tcW w:w="2130" w:type="pct"/>
            <w:noWrap/>
            <w:hideMark/>
          </w:tcPr>
          <w:p w14:paraId="28E91D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 LSD24_1440; LSD24_360; LSD24_720</w:t>
            </w:r>
          </w:p>
        </w:tc>
        <w:tc>
          <w:tcPr>
            <w:tcW w:w="433" w:type="pct"/>
            <w:noWrap/>
            <w:hideMark/>
          </w:tcPr>
          <w:p w14:paraId="1221FBB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 LSD</w:t>
            </w:r>
          </w:p>
        </w:tc>
        <w:tc>
          <w:tcPr>
            <w:tcW w:w="385" w:type="pct"/>
            <w:noWrap/>
            <w:hideMark/>
          </w:tcPr>
          <w:p w14:paraId="3CC2294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7FB5FFB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04205D3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8A5986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3D42D1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C6E830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677407A"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CPPED1</w:t>
            </w:r>
          </w:p>
        </w:tc>
        <w:tc>
          <w:tcPr>
            <w:tcW w:w="2130" w:type="pct"/>
            <w:noWrap/>
            <w:hideMark/>
          </w:tcPr>
          <w:p w14:paraId="07F17E3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LSD24_120; LSD24_1440; LSD24_230; LSD24_360; LSD24_720; Psil1024_120; Psil1024_1440; Psil1024_230; Psil1024_360; Psil1024_720</w:t>
            </w:r>
          </w:p>
        </w:tc>
        <w:tc>
          <w:tcPr>
            <w:tcW w:w="433" w:type="pct"/>
            <w:noWrap/>
            <w:hideMark/>
          </w:tcPr>
          <w:p w14:paraId="5682A0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C48972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37DC5A3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w:t>
            </w:r>
          </w:p>
        </w:tc>
        <w:tc>
          <w:tcPr>
            <w:tcW w:w="337" w:type="pct"/>
            <w:noWrap/>
            <w:hideMark/>
          </w:tcPr>
          <w:p w14:paraId="1B7E952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22DAFF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DC4A80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E2D554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6A4D099"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DKK1</w:t>
            </w:r>
          </w:p>
        </w:tc>
        <w:tc>
          <w:tcPr>
            <w:tcW w:w="2130" w:type="pct"/>
            <w:noWrap/>
            <w:hideMark/>
          </w:tcPr>
          <w:p w14:paraId="3BE3548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 Psil1024_1440; Psil1024_720</w:t>
            </w:r>
          </w:p>
        </w:tc>
        <w:tc>
          <w:tcPr>
            <w:tcW w:w="433" w:type="pct"/>
            <w:noWrap/>
            <w:hideMark/>
          </w:tcPr>
          <w:p w14:paraId="1B2D80F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3BB8CAE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3B4E18C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E1A527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2DB02A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7010BC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B784E2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C2CDD4F" w14:textId="77777777" w:rsidR="002E7738" w:rsidRPr="00CD2448" w:rsidRDefault="002E7738" w:rsidP="00AB156B">
            <w:pPr>
              <w:rPr>
                <w:rFonts w:ascii="Arial" w:hAnsi="Arial" w:cs="Arial"/>
                <w:color w:val="000000" w:themeColor="text1"/>
                <w:sz w:val="20"/>
                <w:szCs w:val="20"/>
              </w:rPr>
            </w:pPr>
            <w:bookmarkStart w:id="35" w:name="OLE_LINK41"/>
            <w:r w:rsidRPr="00CD2448">
              <w:rPr>
                <w:rFonts w:ascii="Arial" w:hAnsi="Arial" w:cs="Arial"/>
                <w:color w:val="000000" w:themeColor="text1"/>
                <w:sz w:val="20"/>
                <w:szCs w:val="20"/>
              </w:rPr>
              <w:t>DPP4</w:t>
            </w:r>
            <w:bookmarkEnd w:id="35"/>
          </w:p>
        </w:tc>
        <w:tc>
          <w:tcPr>
            <w:tcW w:w="2130" w:type="pct"/>
            <w:noWrap/>
            <w:hideMark/>
          </w:tcPr>
          <w:p w14:paraId="5032DDD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Psil1024_1440</w:t>
            </w:r>
          </w:p>
        </w:tc>
        <w:tc>
          <w:tcPr>
            <w:tcW w:w="433" w:type="pct"/>
            <w:noWrap/>
            <w:hideMark/>
          </w:tcPr>
          <w:p w14:paraId="4A7464A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E4650A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1A92004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6E2147D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DCD9E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441CD9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0B1EC9D"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15C0305"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DSG2</w:t>
            </w:r>
          </w:p>
        </w:tc>
        <w:tc>
          <w:tcPr>
            <w:tcW w:w="2130" w:type="pct"/>
            <w:noWrap/>
            <w:hideMark/>
          </w:tcPr>
          <w:p w14:paraId="61EC952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Psil1024_1440; Psil1024_360</w:t>
            </w:r>
          </w:p>
        </w:tc>
        <w:tc>
          <w:tcPr>
            <w:tcW w:w="433" w:type="pct"/>
            <w:noWrap/>
            <w:hideMark/>
          </w:tcPr>
          <w:p w14:paraId="4C22FE2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757D7AE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9E0F4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760F5F8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6CFD5B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E47B9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E0AA7F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4CF05A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GPR37</w:t>
            </w:r>
          </w:p>
        </w:tc>
        <w:tc>
          <w:tcPr>
            <w:tcW w:w="2130" w:type="pct"/>
            <w:noWrap/>
            <w:hideMark/>
          </w:tcPr>
          <w:p w14:paraId="6518772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LSD24_720; Psil1024_1440; Psil1024_230; Psil1024_720</w:t>
            </w:r>
          </w:p>
        </w:tc>
        <w:tc>
          <w:tcPr>
            <w:tcW w:w="433" w:type="pct"/>
            <w:noWrap/>
            <w:hideMark/>
          </w:tcPr>
          <w:p w14:paraId="769F5EA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5AFEAD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7744352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0EB92B6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0C22A3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3DB45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B5B9E4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9DAD2A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GRN</w:t>
            </w:r>
          </w:p>
        </w:tc>
        <w:tc>
          <w:tcPr>
            <w:tcW w:w="2130" w:type="pct"/>
            <w:noWrap/>
            <w:hideMark/>
          </w:tcPr>
          <w:p w14:paraId="4AD0FAC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w:t>
            </w:r>
          </w:p>
        </w:tc>
        <w:tc>
          <w:tcPr>
            <w:tcW w:w="433" w:type="pct"/>
            <w:noWrap/>
            <w:hideMark/>
          </w:tcPr>
          <w:p w14:paraId="4E32A75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 LSD</w:t>
            </w:r>
          </w:p>
        </w:tc>
        <w:tc>
          <w:tcPr>
            <w:tcW w:w="385" w:type="pct"/>
            <w:noWrap/>
            <w:hideMark/>
          </w:tcPr>
          <w:p w14:paraId="084BCEF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5F5093D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314416A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C25574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F917C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5B1D4A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4D4A62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IFNGR2</w:t>
            </w:r>
          </w:p>
        </w:tc>
        <w:tc>
          <w:tcPr>
            <w:tcW w:w="2130" w:type="pct"/>
            <w:noWrap/>
            <w:hideMark/>
          </w:tcPr>
          <w:p w14:paraId="5CF6BF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 Psil1024_1440; Psil1024_230; Psil1024_360; Psil1024_720</w:t>
            </w:r>
          </w:p>
        </w:tc>
        <w:tc>
          <w:tcPr>
            <w:tcW w:w="433" w:type="pct"/>
            <w:noWrap/>
            <w:hideMark/>
          </w:tcPr>
          <w:p w14:paraId="012B8D1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7ED0F60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317B9E1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8</w:t>
            </w:r>
          </w:p>
        </w:tc>
        <w:tc>
          <w:tcPr>
            <w:tcW w:w="337" w:type="pct"/>
            <w:noWrap/>
            <w:hideMark/>
          </w:tcPr>
          <w:p w14:paraId="6E6C060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12F630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1F6D76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F2C4D8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236A19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IL15</w:t>
            </w:r>
          </w:p>
        </w:tc>
        <w:tc>
          <w:tcPr>
            <w:tcW w:w="2130" w:type="pct"/>
            <w:noWrap/>
            <w:hideMark/>
          </w:tcPr>
          <w:p w14:paraId="54E10E4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LSD24_720; Psil1024_1440; Psil1024_230; Psil1024_720</w:t>
            </w:r>
          </w:p>
        </w:tc>
        <w:tc>
          <w:tcPr>
            <w:tcW w:w="433" w:type="pct"/>
            <w:noWrap/>
            <w:hideMark/>
          </w:tcPr>
          <w:p w14:paraId="58EE2C2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4421F83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63C3A7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2F9B8A9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D20DF3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120B77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FBB667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1A78F3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IL18R1</w:t>
            </w:r>
          </w:p>
        </w:tc>
        <w:tc>
          <w:tcPr>
            <w:tcW w:w="2130" w:type="pct"/>
            <w:noWrap/>
            <w:hideMark/>
          </w:tcPr>
          <w:p w14:paraId="042DC99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LSD24_720; Psil1024_1440; Psil1024_230; Psil1024_720</w:t>
            </w:r>
          </w:p>
        </w:tc>
        <w:tc>
          <w:tcPr>
            <w:tcW w:w="433" w:type="pct"/>
            <w:noWrap/>
            <w:hideMark/>
          </w:tcPr>
          <w:p w14:paraId="6B9A3C9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1713CEF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DF8A1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7648DFB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4BC8DE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09CF0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3F6C59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357527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LGALS8</w:t>
            </w:r>
          </w:p>
        </w:tc>
        <w:tc>
          <w:tcPr>
            <w:tcW w:w="2130" w:type="pct"/>
            <w:noWrap/>
            <w:hideMark/>
          </w:tcPr>
          <w:p w14:paraId="6803EB5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 Psil1024_1440; Psil1024_230; Psil1024_360; Psil1024_720</w:t>
            </w:r>
          </w:p>
        </w:tc>
        <w:tc>
          <w:tcPr>
            <w:tcW w:w="433" w:type="pct"/>
            <w:noWrap/>
            <w:hideMark/>
          </w:tcPr>
          <w:p w14:paraId="796813F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28D3B14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5C446E2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8</w:t>
            </w:r>
          </w:p>
        </w:tc>
        <w:tc>
          <w:tcPr>
            <w:tcW w:w="337" w:type="pct"/>
            <w:noWrap/>
            <w:hideMark/>
          </w:tcPr>
          <w:p w14:paraId="48435A1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AE4D2F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77F268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177AD8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D08026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LIF</w:t>
            </w:r>
          </w:p>
        </w:tc>
        <w:tc>
          <w:tcPr>
            <w:tcW w:w="2130" w:type="pct"/>
            <w:noWrap/>
            <w:hideMark/>
          </w:tcPr>
          <w:p w14:paraId="2752337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HNK124_120; HNK124_1440; HNK124_230; HNK124_360; HNK124_720; Psil1024_120; Psil1024_1440; Psil1024_230; Psil1024_360; Psil1024_720</w:t>
            </w:r>
          </w:p>
        </w:tc>
        <w:tc>
          <w:tcPr>
            <w:tcW w:w="433" w:type="pct"/>
            <w:noWrap/>
            <w:hideMark/>
          </w:tcPr>
          <w:p w14:paraId="178D3F9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w:t>
            </w:r>
            <w:proofErr w:type="spellStart"/>
            <w:r w:rsidRPr="00CD2448">
              <w:rPr>
                <w:rFonts w:ascii="Arial" w:hAnsi="Arial" w:cs="Arial"/>
                <w:color w:val="000000" w:themeColor="text1"/>
                <w:sz w:val="20"/>
                <w:szCs w:val="20"/>
              </w:rPr>
              <w:t>Psil</w:t>
            </w:r>
            <w:proofErr w:type="spellEnd"/>
          </w:p>
        </w:tc>
        <w:tc>
          <w:tcPr>
            <w:tcW w:w="385" w:type="pct"/>
            <w:noWrap/>
            <w:hideMark/>
          </w:tcPr>
          <w:p w14:paraId="20CD31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7AFBD3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w:t>
            </w:r>
          </w:p>
        </w:tc>
        <w:tc>
          <w:tcPr>
            <w:tcW w:w="337" w:type="pct"/>
            <w:noWrap/>
            <w:hideMark/>
          </w:tcPr>
          <w:p w14:paraId="29DF23B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06989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BC64CA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9EAD6A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7484453"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MATN3</w:t>
            </w:r>
          </w:p>
        </w:tc>
        <w:tc>
          <w:tcPr>
            <w:tcW w:w="2130" w:type="pct"/>
            <w:noWrap/>
            <w:hideMark/>
          </w:tcPr>
          <w:p w14:paraId="7A71CD6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 Psil1024_1440; Psil1024_720</w:t>
            </w:r>
          </w:p>
        </w:tc>
        <w:tc>
          <w:tcPr>
            <w:tcW w:w="433" w:type="pct"/>
            <w:noWrap/>
            <w:hideMark/>
          </w:tcPr>
          <w:p w14:paraId="7AE31EB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761F762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30049E3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C3795E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B7E8F8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1558C0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55EB499"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51393E73"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NECTIN2</w:t>
            </w:r>
          </w:p>
        </w:tc>
        <w:tc>
          <w:tcPr>
            <w:tcW w:w="2130" w:type="pct"/>
            <w:noWrap/>
            <w:hideMark/>
          </w:tcPr>
          <w:p w14:paraId="1C1DA42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HNK124_720; Psil1024_1440; Psil1024_720</w:t>
            </w:r>
          </w:p>
        </w:tc>
        <w:tc>
          <w:tcPr>
            <w:tcW w:w="433" w:type="pct"/>
            <w:noWrap/>
            <w:hideMark/>
          </w:tcPr>
          <w:p w14:paraId="382F7F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w:t>
            </w:r>
            <w:proofErr w:type="spellStart"/>
            <w:r w:rsidRPr="00CD2448">
              <w:rPr>
                <w:rFonts w:ascii="Arial" w:hAnsi="Arial" w:cs="Arial"/>
                <w:color w:val="000000" w:themeColor="text1"/>
                <w:sz w:val="20"/>
                <w:szCs w:val="20"/>
              </w:rPr>
              <w:t>Psil</w:t>
            </w:r>
            <w:proofErr w:type="spellEnd"/>
          </w:p>
        </w:tc>
        <w:tc>
          <w:tcPr>
            <w:tcW w:w="385" w:type="pct"/>
            <w:noWrap/>
            <w:hideMark/>
          </w:tcPr>
          <w:p w14:paraId="1134897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278A6C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047CD4C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3FAD99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97B2C4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AEFD32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D4347BF" w14:textId="77777777" w:rsidR="002E7738" w:rsidRPr="00CD2448" w:rsidRDefault="002E7738" w:rsidP="00AB156B">
            <w:pPr>
              <w:rPr>
                <w:rFonts w:ascii="Arial" w:hAnsi="Arial" w:cs="Arial"/>
                <w:color w:val="000000" w:themeColor="text1"/>
                <w:sz w:val="20"/>
                <w:szCs w:val="20"/>
              </w:rPr>
            </w:pPr>
            <w:bookmarkStart w:id="36" w:name="OLE_LINK43"/>
            <w:r w:rsidRPr="00CD2448">
              <w:rPr>
                <w:rFonts w:ascii="Arial" w:hAnsi="Arial" w:cs="Arial"/>
                <w:color w:val="000000" w:themeColor="text1"/>
                <w:sz w:val="20"/>
                <w:szCs w:val="20"/>
              </w:rPr>
              <w:t>NMNAT1</w:t>
            </w:r>
            <w:bookmarkEnd w:id="36"/>
          </w:p>
        </w:tc>
        <w:tc>
          <w:tcPr>
            <w:tcW w:w="2130" w:type="pct"/>
            <w:noWrap/>
            <w:hideMark/>
          </w:tcPr>
          <w:p w14:paraId="09242F0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HNK124_230; LSD24_230</w:t>
            </w:r>
          </w:p>
        </w:tc>
        <w:tc>
          <w:tcPr>
            <w:tcW w:w="433" w:type="pct"/>
            <w:noWrap/>
            <w:hideMark/>
          </w:tcPr>
          <w:p w14:paraId="4C2CBB5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 LSD</w:t>
            </w:r>
          </w:p>
        </w:tc>
        <w:tc>
          <w:tcPr>
            <w:tcW w:w="385" w:type="pct"/>
            <w:noWrap/>
            <w:hideMark/>
          </w:tcPr>
          <w:p w14:paraId="6B1BE15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27A1375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6ED542B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66CA00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044D01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E0933C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D836B7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OSMR</w:t>
            </w:r>
          </w:p>
        </w:tc>
        <w:tc>
          <w:tcPr>
            <w:tcW w:w="2130" w:type="pct"/>
            <w:noWrap/>
            <w:hideMark/>
          </w:tcPr>
          <w:p w14:paraId="55BF4D5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Psil1024_1440</w:t>
            </w:r>
          </w:p>
        </w:tc>
        <w:tc>
          <w:tcPr>
            <w:tcW w:w="433" w:type="pct"/>
            <w:noWrap/>
            <w:hideMark/>
          </w:tcPr>
          <w:p w14:paraId="2707B00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CF965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36C5E7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6153568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52ACFA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66E3C3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FF03B9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213D6F9" w14:textId="050BA941" w:rsidR="002E7738" w:rsidRPr="00CD2448" w:rsidRDefault="00F23A0C" w:rsidP="00AB156B">
            <w:pPr>
              <w:rPr>
                <w:rFonts w:ascii="Arial" w:hAnsi="Arial" w:cs="Arial"/>
                <w:color w:val="000000" w:themeColor="text1"/>
                <w:sz w:val="20"/>
                <w:szCs w:val="20"/>
              </w:rPr>
            </w:pPr>
            <w:r w:rsidRPr="00CD2448">
              <w:rPr>
                <w:rFonts w:ascii="Arial" w:hAnsi="Arial" w:cs="Arial"/>
                <w:color w:val="000000" w:themeColor="text1"/>
                <w:sz w:val="20"/>
                <w:szCs w:val="20"/>
              </w:rPr>
              <w:t>SIRPB1</w:t>
            </w:r>
          </w:p>
        </w:tc>
        <w:tc>
          <w:tcPr>
            <w:tcW w:w="2130" w:type="pct"/>
            <w:noWrap/>
            <w:hideMark/>
          </w:tcPr>
          <w:p w14:paraId="3E2AD01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HNK124_720; Psil1024_1440; Psil1024_720</w:t>
            </w:r>
          </w:p>
        </w:tc>
        <w:tc>
          <w:tcPr>
            <w:tcW w:w="433" w:type="pct"/>
            <w:noWrap/>
            <w:hideMark/>
          </w:tcPr>
          <w:p w14:paraId="0B7E070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HNK; </w:t>
            </w:r>
            <w:proofErr w:type="spellStart"/>
            <w:r w:rsidRPr="00CD2448">
              <w:rPr>
                <w:rFonts w:ascii="Arial" w:hAnsi="Arial" w:cs="Arial"/>
                <w:color w:val="000000" w:themeColor="text1"/>
                <w:sz w:val="20"/>
                <w:szCs w:val="20"/>
              </w:rPr>
              <w:t>Psil</w:t>
            </w:r>
            <w:proofErr w:type="spellEnd"/>
          </w:p>
        </w:tc>
        <w:tc>
          <w:tcPr>
            <w:tcW w:w="385" w:type="pct"/>
            <w:noWrap/>
            <w:hideMark/>
          </w:tcPr>
          <w:p w14:paraId="7CE171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FD9F39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1762CCA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451488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D584F8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51D41D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E2A332A" w14:textId="77777777" w:rsidR="002E7738" w:rsidRPr="00CD2448" w:rsidRDefault="002E7738" w:rsidP="00AB156B">
            <w:pPr>
              <w:rPr>
                <w:rFonts w:ascii="Arial" w:hAnsi="Arial" w:cs="Arial"/>
                <w:color w:val="000000" w:themeColor="text1"/>
                <w:sz w:val="20"/>
                <w:szCs w:val="20"/>
              </w:rPr>
            </w:pPr>
            <w:bookmarkStart w:id="37" w:name="OLE_LINK47"/>
            <w:r w:rsidRPr="00CD2448">
              <w:rPr>
                <w:rFonts w:ascii="Arial" w:hAnsi="Arial" w:cs="Arial"/>
                <w:color w:val="000000" w:themeColor="text1"/>
                <w:sz w:val="20"/>
                <w:szCs w:val="20"/>
              </w:rPr>
              <w:t>PTGDS</w:t>
            </w:r>
            <w:bookmarkEnd w:id="37"/>
          </w:p>
        </w:tc>
        <w:tc>
          <w:tcPr>
            <w:tcW w:w="2130" w:type="pct"/>
            <w:noWrap/>
            <w:hideMark/>
          </w:tcPr>
          <w:p w14:paraId="33F9DE6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 Psil1024_1440; Psil1024_720</w:t>
            </w:r>
          </w:p>
        </w:tc>
        <w:tc>
          <w:tcPr>
            <w:tcW w:w="433" w:type="pct"/>
            <w:noWrap/>
            <w:hideMark/>
          </w:tcPr>
          <w:p w14:paraId="13D4D5F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6721AE2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1222582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4A9C5EB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6BEA02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B69CE5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r>
      <w:tr w:rsidR="002E7738" w:rsidRPr="00CD2448" w14:paraId="6335DAF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E746A7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QPCT</w:t>
            </w:r>
          </w:p>
        </w:tc>
        <w:tc>
          <w:tcPr>
            <w:tcW w:w="2130" w:type="pct"/>
            <w:noWrap/>
            <w:hideMark/>
          </w:tcPr>
          <w:p w14:paraId="532627E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 Psil1024_1440; Psil1024_360; Psil1024_720</w:t>
            </w:r>
          </w:p>
        </w:tc>
        <w:tc>
          <w:tcPr>
            <w:tcW w:w="433" w:type="pct"/>
            <w:noWrap/>
            <w:hideMark/>
          </w:tcPr>
          <w:p w14:paraId="79D4E74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77B9C1B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2C49A6C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6</w:t>
            </w:r>
          </w:p>
        </w:tc>
        <w:tc>
          <w:tcPr>
            <w:tcW w:w="337" w:type="pct"/>
            <w:noWrap/>
            <w:hideMark/>
          </w:tcPr>
          <w:p w14:paraId="208F1E2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D8437B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45A9C9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AA664F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41D2F1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SHMT1</w:t>
            </w:r>
          </w:p>
        </w:tc>
        <w:tc>
          <w:tcPr>
            <w:tcW w:w="2130" w:type="pct"/>
            <w:noWrap/>
            <w:hideMark/>
          </w:tcPr>
          <w:p w14:paraId="0EA4292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HNK124_120; HNK124_230; LSD24_120; LSD24_230</w:t>
            </w:r>
          </w:p>
        </w:tc>
        <w:tc>
          <w:tcPr>
            <w:tcW w:w="433" w:type="pct"/>
            <w:noWrap/>
            <w:hideMark/>
          </w:tcPr>
          <w:p w14:paraId="4ACC501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 LSD</w:t>
            </w:r>
          </w:p>
        </w:tc>
        <w:tc>
          <w:tcPr>
            <w:tcW w:w="385" w:type="pct"/>
            <w:noWrap/>
            <w:hideMark/>
          </w:tcPr>
          <w:p w14:paraId="1B28F9F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0E0A456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B14937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F6A5EC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EC1C4C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A654199"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5C7B9EA2" w14:textId="77777777" w:rsidR="002E7738" w:rsidRPr="00CD2448" w:rsidRDefault="002E7738" w:rsidP="00AB156B">
            <w:pPr>
              <w:rPr>
                <w:rFonts w:ascii="Arial" w:hAnsi="Arial" w:cs="Arial"/>
                <w:color w:val="000000" w:themeColor="text1"/>
                <w:sz w:val="20"/>
                <w:szCs w:val="20"/>
              </w:rPr>
            </w:pPr>
            <w:bookmarkStart w:id="38" w:name="OLE_LINK89"/>
            <w:r w:rsidRPr="00CD2448">
              <w:rPr>
                <w:rFonts w:ascii="Arial" w:hAnsi="Arial" w:cs="Arial"/>
                <w:color w:val="000000" w:themeColor="text1"/>
                <w:sz w:val="20"/>
                <w:szCs w:val="20"/>
              </w:rPr>
              <w:t>SIRPB1</w:t>
            </w:r>
            <w:bookmarkEnd w:id="38"/>
          </w:p>
        </w:tc>
        <w:tc>
          <w:tcPr>
            <w:tcW w:w="2130" w:type="pct"/>
            <w:noWrap/>
            <w:hideMark/>
          </w:tcPr>
          <w:p w14:paraId="0D819D5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LSD24_1440</w:t>
            </w:r>
          </w:p>
        </w:tc>
        <w:tc>
          <w:tcPr>
            <w:tcW w:w="433" w:type="pct"/>
            <w:noWrap/>
            <w:hideMark/>
          </w:tcPr>
          <w:p w14:paraId="407D1EE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 LSD</w:t>
            </w:r>
          </w:p>
        </w:tc>
        <w:tc>
          <w:tcPr>
            <w:tcW w:w="385" w:type="pct"/>
            <w:noWrap/>
            <w:hideMark/>
          </w:tcPr>
          <w:p w14:paraId="1B17E5D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7ED8C24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5CA28DA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632090B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35B8E0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2EA699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99238F7"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TFPI2</w:t>
            </w:r>
          </w:p>
        </w:tc>
        <w:tc>
          <w:tcPr>
            <w:tcW w:w="2130" w:type="pct"/>
            <w:noWrap/>
            <w:hideMark/>
          </w:tcPr>
          <w:p w14:paraId="39A01FE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 Psil1024_1440; Psil1024_230; Psil1024_360; Psil1024_720</w:t>
            </w:r>
          </w:p>
        </w:tc>
        <w:tc>
          <w:tcPr>
            <w:tcW w:w="433" w:type="pct"/>
            <w:noWrap/>
            <w:hideMark/>
          </w:tcPr>
          <w:p w14:paraId="4EF5391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309BDC1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6657CCD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8</w:t>
            </w:r>
          </w:p>
        </w:tc>
        <w:tc>
          <w:tcPr>
            <w:tcW w:w="337" w:type="pct"/>
            <w:noWrap/>
            <w:hideMark/>
          </w:tcPr>
          <w:p w14:paraId="515AA74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DCF3D3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26BF6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AE9E547"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5E239A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lastRenderedPageBreak/>
              <w:t>TNFRSF13C</w:t>
            </w:r>
          </w:p>
        </w:tc>
        <w:tc>
          <w:tcPr>
            <w:tcW w:w="2130" w:type="pct"/>
            <w:noWrap/>
            <w:hideMark/>
          </w:tcPr>
          <w:p w14:paraId="72CB579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 Psil1024_1440; Psil1024_230; Psil1024_360; Psil1024_720</w:t>
            </w:r>
          </w:p>
        </w:tc>
        <w:tc>
          <w:tcPr>
            <w:tcW w:w="433" w:type="pct"/>
            <w:noWrap/>
            <w:hideMark/>
          </w:tcPr>
          <w:p w14:paraId="7DEB5EF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 xml:space="preserve">LSD; </w:t>
            </w:r>
            <w:proofErr w:type="spellStart"/>
            <w:r w:rsidRPr="00CD2448">
              <w:rPr>
                <w:rFonts w:ascii="Arial" w:hAnsi="Arial" w:cs="Arial"/>
                <w:color w:val="000000" w:themeColor="text1"/>
                <w:sz w:val="20"/>
                <w:szCs w:val="20"/>
              </w:rPr>
              <w:t>Psil</w:t>
            </w:r>
            <w:proofErr w:type="spellEnd"/>
          </w:p>
        </w:tc>
        <w:tc>
          <w:tcPr>
            <w:tcW w:w="385" w:type="pct"/>
            <w:noWrap/>
            <w:hideMark/>
          </w:tcPr>
          <w:p w14:paraId="49A63AC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433" w:type="pct"/>
            <w:noWrap/>
            <w:hideMark/>
          </w:tcPr>
          <w:p w14:paraId="092924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8</w:t>
            </w:r>
          </w:p>
        </w:tc>
        <w:tc>
          <w:tcPr>
            <w:tcW w:w="337" w:type="pct"/>
            <w:noWrap/>
            <w:hideMark/>
          </w:tcPr>
          <w:p w14:paraId="0A6579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1EF27E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EDBA22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91F61A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A0DA68B" w14:textId="77777777" w:rsidR="002E7738" w:rsidRPr="00CD2448" w:rsidRDefault="002E7738" w:rsidP="00AB156B">
            <w:pPr>
              <w:rPr>
                <w:rFonts w:ascii="Arial" w:hAnsi="Arial" w:cs="Arial"/>
                <w:color w:val="000000" w:themeColor="text1"/>
                <w:sz w:val="20"/>
                <w:szCs w:val="20"/>
              </w:rPr>
            </w:pPr>
            <w:bookmarkStart w:id="39" w:name="_Hlk209804847"/>
            <w:r w:rsidRPr="00CD2448">
              <w:rPr>
                <w:rFonts w:ascii="Arial" w:hAnsi="Arial" w:cs="Arial"/>
                <w:color w:val="000000" w:themeColor="text1"/>
                <w:sz w:val="20"/>
                <w:szCs w:val="20"/>
              </w:rPr>
              <w:t>ACAN</w:t>
            </w:r>
          </w:p>
        </w:tc>
        <w:tc>
          <w:tcPr>
            <w:tcW w:w="2130" w:type="pct"/>
            <w:noWrap/>
            <w:hideMark/>
          </w:tcPr>
          <w:p w14:paraId="48BADC7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w:t>
            </w:r>
          </w:p>
        </w:tc>
        <w:tc>
          <w:tcPr>
            <w:tcW w:w="433" w:type="pct"/>
            <w:noWrap/>
            <w:hideMark/>
          </w:tcPr>
          <w:p w14:paraId="43A997E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C345E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028331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013D5F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2A75A56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E568AF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D2994D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3F1C28C"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ACP5</w:t>
            </w:r>
          </w:p>
        </w:tc>
        <w:tc>
          <w:tcPr>
            <w:tcW w:w="2130" w:type="pct"/>
            <w:noWrap/>
            <w:hideMark/>
          </w:tcPr>
          <w:p w14:paraId="0CC132E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KET24_1440; KET24_360; KET24_720</w:t>
            </w:r>
          </w:p>
        </w:tc>
        <w:tc>
          <w:tcPr>
            <w:tcW w:w="433" w:type="pct"/>
            <w:noWrap/>
            <w:hideMark/>
          </w:tcPr>
          <w:p w14:paraId="6ACA8AA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KET</w:t>
            </w:r>
          </w:p>
        </w:tc>
        <w:tc>
          <w:tcPr>
            <w:tcW w:w="385" w:type="pct"/>
            <w:noWrap/>
            <w:hideMark/>
          </w:tcPr>
          <w:p w14:paraId="773708F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56061D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2D97760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6972E4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0D8185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9435D06"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F3F1B5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ADGRB3</w:t>
            </w:r>
          </w:p>
        </w:tc>
        <w:tc>
          <w:tcPr>
            <w:tcW w:w="2130" w:type="pct"/>
            <w:noWrap/>
            <w:hideMark/>
          </w:tcPr>
          <w:p w14:paraId="4309F89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70933E2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BC3607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1578A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4667F90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1DC88C4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1BA75B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78E3596"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854A412" w14:textId="77777777" w:rsidR="002E7738" w:rsidRPr="00CD2448" w:rsidRDefault="002E7738" w:rsidP="00AB156B">
            <w:pPr>
              <w:rPr>
                <w:rFonts w:ascii="Arial" w:hAnsi="Arial" w:cs="Arial"/>
                <w:color w:val="000000" w:themeColor="text1"/>
                <w:sz w:val="20"/>
                <w:szCs w:val="20"/>
              </w:rPr>
            </w:pPr>
            <w:bookmarkStart w:id="40" w:name="OLE_LINK46"/>
            <w:r w:rsidRPr="00CD2448">
              <w:rPr>
                <w:rFonts w:ascii="Arial" w:hAnsi="Arial" w:cs="Arial"/>
                <w:color w:val="000000" w:themeColor="text1"/>
                <w:sz w:val="20"/>
                <w:szCs w:val="20"/>
              </w:rPr>
              <w:t>ADGRE2</w:t>
            </w:r>
            <w:bookmarkEnd w:id="40"/>
          </w:p>
        </w:tc>
        <w:tc>
          <w:tcPr>
            <w:tcW w:w="2130" w:type="pct"/>
            <w:noWrap/>
            <w:hideMark/>
          </w:tcPr>
          <w:p w14:paraId="322707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Psil1024_720</w:t>
            </w:r>
          </w:p>
        </w:tc>
        <w:tc>
          <w:tcPr>
            <w:tcW w:w="433" w:type="pct"/>
            <w:noWrap/>
            <w:hideMark/>
          </w:tcPr>
          <w:p w14:paraId="1E63255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5C9BE9E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468E2F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26D8D3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744717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7C2CF0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36C80C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5AA8BB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ADGRG1</w:t>
            </w:r>
          </w:p>
        </w:tc>
        <w:tc>
          <w:tcPr>
            <w:tcW w:w="2130" w:type="pct"/>
            <w:noWrap/>
            <w:hideMark/>
          </w:tcPr>
          <w:p w14:paraId="3ABFC01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LSD24_720</w:t>
            </w:r>
          </w:p>
        </w:tc>
        <w:tc>
          <w:tcPr>
            <w:tcW w:w="433" w:type="pct"/>
            <w:noWrap/>
            <w:hideMark/>
          </w:tcPr>
          <w:p w14:paraId="69399B9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6213744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F61BC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03972CA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599999C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4AD323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628FD5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4947A6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BST2</w:t>
            </w:r>
          </w:p>
        </w:tc>
        <w:tc>
          <w:tcPr>
            <w:tcW w:w="2130" w:type="pct"/>
            <w:noWrap/>
            <w:hideMark/>
          </w:tcPr>
          <w:p w14:paraId="2F2898C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LSD24_230</w:t>
            </w:r>
          </w:p>
        </w:tc>
        <w:tc>
          <w:tcPr>
            <w:tcW w:w="433" w:type="pct"/>
            <w:noWrap/>
            <w:hideMark/>
          </w:tcPr>
          <w:p w14:paraId="437A28E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080874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DD37D3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5576DA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BA5893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88D0C9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84B571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D8C799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CA2</w:t>
            </w:r>
          </w:p>
        </w:tc>
        <w:tc>
          <w:tcPr>
            <w:tcW w:w="2130" w:type="pct"/>
            <w:noWrap/>
            <w:hideMark/>
          </w:tcPr>
          <w:p w14:paraId="0121F83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Psil1024_120</w:t>
            </w:r>
          </w:p>
        </w:tc>
        <w:tc>
          <w:tcPr>
            <w:tcW w:w="433" w:type="pct"/>
            <w:noWrap/>
            <w:hideMark/>
          </w:tcPr>
          <w:p w14:paraId="0F3C25B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117F4E6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BF0570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2E472B7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B5BC29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A44B11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3D0CEC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D57DD20"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CD164</w:t>
            </w:r>
          </w:p>
        </w:tc>
        <w:tc>
          <w:tcPr>
            <w:tcW w:w="2130" w:type="pct"/>
            <w:noWrap/>
            <w:hideMark/>
          </w:tcPr>
          <w:p w14:paraId="3ECAE61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w:t>
            </w:r>
          </w:p>
        </w:tc>
        <w:tc>
          <w:tcPr>
            <w:tcW w:w="433" w:type="pct"/>
            <w:noWrap/>
            <w:hideMark/>
          </w:tcPr>
          <w:p w14:paraId="08E92B6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4324F8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922C53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55F4A58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57ED7A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E23F09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909164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C999BE8"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CD276</w:t>
            </w:r>
          </w:p>
        </w:tc>
        <w:tc>
          <w:tcPr>
            <w:tcW w:w="2130" w:type="pct"/>
            <w:noWrap/>
            <w:hideMark/>
          </w:tcPr>
          <w:p w14:paraId="3BFEF78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w:t>
            </w:r>
          </w:p>
        </w:tc>
        <w:tc>
          <w:tcPr>
            <w:tcW w:w="433" w:type="pct"/>
            <w:noWrap/>
            <w:hideMark/>
          </w:tcPr>
          <w:p w14:paraId="3F6B1DF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0B691C0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A64A16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61904E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81892B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1C0B5B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A5A188F"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CA7D2D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CDCP1</w:t>
            </w:r>
          </w:p>
        </w:tc>
        <w:tc>
          <w:tcPr>
            <w:tcW w:w="2130" w:type="pct"/>
            <w:noWrap/>
            <w:hideMark/>
          </w:tcPr>
          <w:p w14:paraId="3D4F8AE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Psil1024_120; Psil1024_1440; Psil1024_230; Psil1024_360</w:t>
            </w:r>
          </w:p>
        </w:tc>
        <w:tc>
          <w:tcPr>
            <w:tcW w:w="433" w:type="pct"/>
            <w:noWrap/>
            <w:hideMark/>
          </w:tcPr>
          <w:p w14:paraId="2F904D6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4DF65CE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F58019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6E428DC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A459F2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BF753E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1BB81F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D6D11C5"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CLMP</w:t>
            </w:r>
          </w:p>
        </w:tc>
        <w:tc>
          <w:tcPr>
            <w:tcW w:w="2130" w:type="pct"/>
            <w:noWrap/>
            <w:hideMark/>
          </w:tcPr>
          <w:p w14:paraId="5C4F9B0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w:t>
            </w:r>
          </w:p>
        </w:tc>
        <w:tc>
          <w:tcPr>
            <w:tcW w:w="433" w:type="pct"/>
            <w:noWrap/>
            <w:hideMark/>
          </w:tcPr>
          <w:p w14:paraId="74FACA3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542D3B3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645512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0C47D49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AB2480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4829C8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733331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174DC69"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CNDP1</w:t>
            </w:r>
          </w:p>
        </w:tc>
        <w:tc>
          <w:tcPr>
            <w:tcW w:w="2130" w:type="pct"/>
            <w:noWrap/>
            <w:hideMark/>
          </w:tcPr>
          <w:p w14:paraId="4B38642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w:t>
            </w:r>
          </w:p>
        </w:tc>
        <w:tc>
          <w:tcPr>
            <w:tcW w:w="433" w:type="pct"/>
            <w:noWrap/>
            <w:hideMark/>
          </w:tcPr>
          <w:p w14:paraId="4D677CB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16277F8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0454F14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49B82AD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394F9CD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E3FF8A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E55E1D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23C3FC4"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CNTNAP2</w:t>
            </w:r>
          </w:p>
        </w:tc>
        <w:tc>
          <w:tcPr>
            <w:tcW w:w="2130" w:type="pct"/>
            <w:noWrap/>
            <w:hideMark/>
          </w:tcPr>
          <w:p w14:paraId="1C671B7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3A94A4B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37F61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8C7DE3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26A3E5B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78B0E80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5C193F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1BC9CB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FC4D12A"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CPB1</w:t>
            </w:r>
          </w:p>
        </w:tc>
        <w:tc>
          <w:tcPr>
            <w:tcW w:w="2130" w:type="pct"/>
            <w:noWrap/>
            <w:hideMark/>
          </w:tcPr>
          <w:p w14:paraId="5C99019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LSD24_120; LSD24_1440; LSD24_230; LSD24_360; LSD24_720</w:t>
            </w:r>
          </w:p>
        </w:tc>
        <w:tc>
          <w:tcPr>
            <w:tcW w:w="433" w:type="pct"/>
            <w:noWrap/>
            <w:hideMark/>
          </w:tcPr>
          <w:p w14:paraId="74DFB73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584378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C54318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5</w:t>
            </w:r>
          </w:p>
        </w:tc>
        <w:tc>
          <w:tcPr>
            <w:tcW w:w="337" w:type="pct"/>
            <w:noWrap/>
            <w:hideMark/>
          </w:tcPr>
          <w:p w14:paraId="44FDEEC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CBEFC9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5EE4AE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E51261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BD60587"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CPXM1</w:t>
            </w:r>
          </w:p>
        </w:tc>
        <w:tc>
          <w:tcPr>
            <w:tcW w:w="2130" w:type="pct"/>
            <w:noWrap/>
            <w:hideMark/>
          </w:tcPr>
          <w:p w14:paraId="5C9F0A7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LSD24_720</w:t>
            </w:r>
          </w:p>
        </w:tc>
        <w:tc>
          <w:tcPr>
            <w:tcW w:w="433" w:type="pct"/>
            <w:noWrap/>
            <w:hideMark/>
          </w:tcPr>
          <w:p w14:paraId="5C60A1B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02299FD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1E595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2FB2C67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87537F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3F021E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5BC6DB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A2ECFF1"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CRLF1</w:t>
            </w:r>
          </w:p>
        </w:tc>
        <w:tc>
          <w:tcPr>
            <w:tcW w:w="2130" w:type="pct"/>
            <w:noWrap/>
            <w:hideMark/>
          </w:tcPr>
          <w:p w14:paraId="30EC220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Psil1024_720</w:t>
            </w:r>
          </w:p>
        </w:tc>
        <w:tc>
          <w:tcPr>
            <w:tcW w:w="433" w:type="pct"/>
            <w:noWrap/>
            <w:hideMark/>
          </w:tcPr>
          <w:p w14:paraId="6DE11E7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705B55A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AF118E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0E55CCF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0CA4A7E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23C9F4A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9739FC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8C8AE6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CXCL16</w:t>
            </w:r>
          </w:p>
        </w:tc>
        <w:tc>
          <w:tcPr>
            <w:tcW w:w="2130" w:type="pct"/>
            <w:noWrap/>
            <w:hideMark/>
          </w:tcPr>
          <w:p w14:paraId="45D8CCB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w:t>
            </w:r>
          </w:p>
        </w:tc>
        <w:tc>
          <w:tcPr>
            <w:tcW w:w="433" w:type="pct"/>
            <w:noWrap/>
            <w:hideMark/>
          </w:tcPr>
          <w:p w14:paraId="2931593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6538BF0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D04D8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4DE2C9D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0651A2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1A887E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093BDD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3C5B232" w14:textId="77777777" w:rsidR="002E7738" w:rsidRPr="00CD2448" w:rsidRDefault="002E7738" w:rsidP="00AB156B">
            <w:pPr>
              <w:rPr>
                <w:rFonts w:ascii="Arial" w:hAnsi="Arial" w:cs="Arial"/>
                <w:color w:val="000000" w:themeColor="text1"/>
                <w:sz w:val="20"/>
                <w:szCs w:val="20"/>
              </w:rPr>
            </w:pPr>
            <w:bookmarkStart w:id="41" w:name="_Hlk222384897"/>
            <w:r w:rsidRPr="00CD2448">
              <w:rPr>
                <w:rFonts w:ascii="Arial" w:hAnsi="Arial" w:cs="Arial"/>
                <w:color w:val="000000" w:themeColor="text1"/>
                <w:sz w:val="20"/>
                <w:szCs w:val="20"/>
              </w:rPr>
              <w:t>DBI</w:t>
            </w:r>
          </w:p>
        </w:tc>
        <w:tc>
          <w:tcPr>
            <w:tcW w:w="2130" w:type="pct"/>
            <w:noWrap/>
            <w:hideMark/>
          </w:tcPr>
          <w:p w14:paraId="4251E94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w:t>
            </w:r>
          </w:p>
        </w:tc>
        <w:tc>
          <w:tcPr>
            <w:tcW w:w="433" w:type="pct"/>
            <w:noWrap/>
            <w:hideMark/>
          </w:tcPr>
          <w:p w14:paraId="5B6F1CB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0AD5CB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5CBAAB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1160B8C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69C4C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53B575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bookmarkEnd w:id="41"/>
      <w:tr w:rsidR="002E7738" w:rsidRPr="00CD2448" w14:paraId="47B098B9"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EE7A5C5"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DRAXIN</w:t>
            </w:r>
          </w:p>
        </w:tc>
        <w:tc>
          <w:tcPr>
            <w:tcW w:w="2130" w:type="pct"/>
            <w:noWrap/>
            <w:hideMark/>
          </w:tcPr>
          <w:p w14:paraId="57CF524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47945FA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22279A0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44C2BF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593FC2D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7E23056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209322F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735D72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5CDFBFE1"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EFNA1</w:t>
            </w:r>
          </w:p>
        </w:tc>
        <w:tc>
          <w:tcPr>
            <w:tcW w:w="2130" w:type="pct"/>
            <w:noWrap/>
            <w:hideMark/>
          </w:tcPr>
          <w:p w14:paraId="0ED1104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Psil1024_360</w:t>
            </w:r>
          </w:p>
        </w:tc>
        <w:tc>
          <w:tcPr>
            <w:tcW w:w="433" w:type="pct"/>
            <w:noWrap/>
            <w:hideMark/>
          </w:tcPr>
          <w:p w14:paraId="056B339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7CA6E4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99D8D8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1C4ACE0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CCFC56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9D4E3D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9769A8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78C7692" w14:textId="77777777" w:rsidR="002E7738" w:rsidRPr="00CD2448" w:rsidRDefault="002E7738" w:rsidP="00AB156B">
            <w:pPr>
              <w:rPr>
                <w:rFonts w:ascii="Arial" w:hAnsi="Arial" w:cs="Arial"/>
                <w:color w:val="000000" w:themeColor="text1"/>
                <w:sz w:val="20"/>
                <w:szCs w:val="20"/>
              </w:rPr>
            </w:pPr>
            <w:bookmarkStart w:id="42" w:name="_Hlk220762632"/>
            <w:r w:rsidRPr="00CD2448">
              <w:rPr>
                <w:rFonts w:ascii="Arial" w:hAnsi="Arial" w:cs="Arial"/>
                <w:color w:val="000000" w:themeColor="text1"/>
                <w:sz w:val="20"/>
                <w:szCs w:val="20"/>
              </w:rPr>
              <w:t>EPHB4</w:t>
            </w:r>
          </w:p>
        </w:tc>
        <w:tc>
          <w:tcPr>
            <w:tcW w:w="2130" w:type="pct"/>
            <w:noWrap/>
            <w:hideMark/>
          </w:tcPr>
          <w:p w14:paraId="22AD92B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w:t>
            </w:r>
          </w:p>
        </w:tc>
        <w:tc>
          <w:tcPr>
            <w:tcW w:w="433" w:type="pct"/>
            <w:noWrap/>
            <w:hideMark/>
          </w:tcPr>
          <w:p w14:paraId="77E30C0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5C50C78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2024F7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4DAE890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BCAB4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A8989C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bookmarkEnd w:id="42"/>
      <w:tr w:rsidR="002E7738" w:rsidRPr="00CD2448" w14:paraId="387576F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613696A"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ESM1</w:t>
            </w:r>
          </w:p>
        </w:tc>
        <w:tc>
          <w:tcPr>
            <w:tcW w:w="2130" w:type="pct"/>
            <w:noWrap/>
            <w:hideMark/>
          </w:tcPr>
          <w:p w14:paraId="01BFD3B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Psil1024_720</w:t>
            </w:r>
          </w:p>
        </w:tc>
        <w:tc>
          <w:tcPr>
            <w:tcW w:w="433" w:type="pct"/>
            <w:noWrap/>
            <w:hideMark/>
          </w:tcPr>
          <w:p w14:paraId="3729BC8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5732E8A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7143C7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3E5F728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6EB85B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1A8EC1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E9B5D8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D627279"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F3</w:t>
            </w:r>
          </w:p>
        </w:tc>
        <w:tc>
          <w:tcPr>
            <w:tcW w:w="2130" w:type="pct"/>
            <w:noWrap/>
            <w:hideMark/>
          </w:tcPr>
          <w:p w14:paraId="14CE460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48614B9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79EB4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E7BC29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6CE5C9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67B329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F51579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56694C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595F0989"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FCGR2A</w:t>
            </w:r>
          </w:p>
        </w:tc>
        <w:tc>
          <w:tcPr>
            <w:tcW w:w="2130" w:type="pct"/>
            <w:noWrap/>
            <w:hideMark/>
          </w:tcPr>
          <w:p w14:paraId="2DFDA75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KET24_1440; KET24_720</w:t>
            </w:r>
          </w:p>
        </w:tc>
        <w:tc>
          <w:tcPr>
            <w:tcW w:w="433" w:type="pct"/>
            <w:noWrap/>
            <w:hideMark/>
          </w:tcPr>
          <w:p w14:paraId="770A3F0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KET</w:t>
            </w:r>
          </w:p>
        </w:tc>
        <w:tc>
          <w:tcPr>
            <w:tcW w:w="385" w:type="pct"/>
            <w:noWrap/>
            <w:hideMark/>
          </w:tcPr>
          <w:p w14:paraId="5F21AC4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9DA7EC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3E3D61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53D6CA6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721EDF3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040E5A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B67697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FKBP4</w:t>
            </w:r>
          </w:p>
        </w:tc>
        <w:tc>
          <w:tcPr>
            <w:tcW w:w="2130" w:type="pct"/>
            <w:noWrap/>
            <w:hideMark/>
          </w:tcPr>
          <w:p w14:paraId="7946EBA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LSD24_120; LSD24_1440; LSD24_230; LSD24_360; LSD24_720</w:t>
            </w:r>
          </w:p>
        </w:tc>
        <w:tc>
          <w:tcPr>
            <w:tcW w:w="433" w:type="pct"/>
            <w:noWrap/>
            <w:hideMark/>
          </w:tcPr>
          <w:p w14:paraId="30CA45B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AE09F2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646345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5</w:t>
            </w:r>
          </w:p>
        </w:tc>
        <w:tc>
          <w:tcPr>
            <w:tcW w:w="337" w:type="pct"/>
            <w:noWrap/>
            <w:hideMark/>
          </w:tcPr>
          <w:p w14:paraId="7E52EF0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EA7EDE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B5D959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DBF10BD"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4B6EDB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FLT1</w:t>
            </w:r>
          </w:p>
        </w:tc>
        <w:tc>
          <w:tcPr>
            <w:tcW w:w="2130" w:type="pct"/>
            <w:noWrap/>
            <w:hideMark/>
          </w:tcPr>
          <w:p w14:paraId="78C977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w:t>
            </w:r>
          </w:p>
        </w:tc>
        <w:tc>
          <w:tcPr>
            <w:tcW w:w="433" w:type="pct"/>
            <w:noWrap/>
            <w:hideMark/>
          </w:tcPr>
          <w:p w14:paraId="64056E1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3F5CCC1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60F15A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6BBE8C7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081ED70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222B99F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073C27C"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5F22BB5"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FLT3LG</w:t>
            </w:r>
          </w:p>
        </w:tc>
        <w:tc>
          <w:tcPr>
            <w:tcW w:w="2130" w:type="pct"/>
            <w:noWrap/>
            <w:hideMark/>
          </w:tcPr>
          <w:p w14:paraId="56837AC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w:t>
            </w:r>
          </w:p>
        </w:tc>
        <w:tc>
          <w:tcPr>
            <w:tcW w:w="433" w:type="pct"/>
            <w:noWrap/>
            <w:hideMark/>
          </w:tcPr>
          <w:p w14:paraId="0D09C4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4ABEF3B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A9945D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051A35E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5993D4F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75DB19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60F799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3F8B87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FUCA1</w:t>
            </w:r>
          </w:p>
        </w:tc>
        <w:tc>
          <w:tcPr>
            <w:tcW w:w="2130" w:type="pct"/>
            <w:noWrap/>
            <w:hideMark/>
          </w:tcPr>
          <w:p w14:paraId="27CA31A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Psil1024_120; Psil1024_1440; Psil1024_230; Psil1024_360; Psil1024_720</w:t>
            </w:r>
          </w:p>
        </w:tc>
        <w:tc>
          <w:tcPr>
            <w:tcW w:w="433" w:type="pct"/>
            <w:noWrap/>
            <w:hideMark/>
          </w:tcPr>
          <w:p w14:paraId="12E0D44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563C692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699FFD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5</w:t>
            </w:r>
          </w:p>
        </w:tc>
        <w:tc>
          <w:tcPr>
            <w:tcW w:w="337" w:type="pct"/>
            <w:noWrap/>
            <w:hideMark/>
          </w:tcPr>
          <w:p w14:paraId="3CF7ACD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4ADE1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DAF38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9BD780A"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AB7DE8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FYB1</w:t>
            </w:r>
          </w:p>
        </w:tc>
        <w:tc>
          <w:tcPr>
            <w:tcW w:w="2130" w:type="pct"/>
            <w:noWrap/>
            <w:hideMark/>
          </w:tcPr>
          <w:p w14:paraId="7AE1EBD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LSD24_120; LSD24_230</w:t>
            </w:r>
          </w:p>
        </w:tc>
        <w:tc>
          <w:tcPr>
            <w:tcW w:w="433" w:type="pct"/>
            <w:noWrap/>
            <w:hideMark/>
          </w:tcPr>
          <w:p w14:paraId="4821737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658814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C63D50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2CF0911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23FBCD0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0DF4F73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734297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4B2D6CC"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GLRX</w:t>
            </w:r>
          </w:p>
        </w:tc>
        <w:tc>
          <w:tcPr>
            <w:tcW w:w="2130" w:type="pct"/>
            <w:noWrap/>
            <w:hideMark/>
          </w:tcPr>
          <w:p w14:paraId="1BE72EA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Psil1024_230; Psil1024_720</w:t>
            </w:r>
          </w:p>
        </w:tc>
        <w:tc>
          <w:tcPr>
            <w:tcW w:w="433" w:type="pct"/>
            <w:noWrap/>
            <w:hideMark/>
          </w:tcPr>
          <w:p w14:paraId="0EF638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16EDF2C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187A21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0B63535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C80B61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0D5DAB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254666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728BB97"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HMBS</w:t>
            </w:r>
          </w:p>
        </w:tc>
        <w:tc>
          <w:tcPr>
            <w:tcW w:w="2130" w:type="pct"/>
            <w:noWrap/>
            <w:hideMark/>
          </w:tcPr>
          <w:p w14:paraId="40B14A2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Psil1024_120</w:t>
            </w:r>
          </w:p>
        </w:tc>
        <w:tc>
          <w:tcPr>
            <w:tcW w:w="433" w:type="pct"/>
            <w:noWrap/>
            <w:hideMark/>
          </w:tcPr>
          <w:p w14:paraId="6C7679C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182ACFA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D6D76B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2B7008A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4097F3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B60F99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3F0257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AE88490" w14:textId="77777777" w:rsidR="002E7738" w:rsidRPr="00CD2448" w:rsidRDefault="002E7738" w:rsidP="00AB156B">
            <w:pPr>
              <w:rPr>
                <w:rFonts w:ascii="Arial" w:hAnsi="Arial" w:cs="Arial"/>
                <w:color w:val="000000" w:themeColor="text1"/>
                <w:sz w:val="20"/>
                <w:szCs w:val="20"/>
              </w:rPr>
            </w:pPr>
            <w:bookmarkStart w:id="43" w:name="OLE_LINK45"/>
            <w:r w:rsidRPr="00CD2448">
              <w:rPr>
                <w:rFonts w:ascii="Arial" w:hAnsi="Arial" w:cs="Arial"/>
                <w:color w:val="000000" w:themeColor="text1"/>
                <w:sz w:val="20"/>
                <w:szCs w:val="20"/>
              </w:rPr>
              <w:t>HMOX1</w:t>
            </w:r>
            <w:bookmarkEnd w:id="43"/>
          </w:p>
        </w:tc>
        <w:tc>
          <w:tcPr>
            <w:tcW w:w="2130" w:type="pct"/>
            <w:noWrap/>
            <w:hideMark/>
          </w:tcPr>
          <w:p w14:paraId="15323C5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LSD24_720</w:t>
            </w:r>
          </w:p>
        </w:tc>
        <w:tc>
          <w:tcPr>
            <w:tcW w:w="433" w:type="pct"/>
            <w:noWrap/>
            <w:hideMark/>
          </w:tcPr>
          <w:p w14:paraId="4340A52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220C85B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57267F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210B483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8DD7B5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3D2400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1640AA0"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ED91720"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lastRenderedPageBreak/>
              <w:t>ICAM5</w:t>
            </w:r>
          </w:p>
        </w:tc>
        <w:tc>
          <w:tcPr>
            <w:tcW w:w="2130" w:type="pct"/>
            <w:noWrap/>
            <w:hideMark/>
          </w:tcPr>
          <w:p w14:paraId="3958ED8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LSD24_360; LSD24_720</w:t>
            </w:r>
          </w:p>
        </w:tc>
        <w:tc>
          <w:tcPr>
            <w:tcW w:w="433" w:type="pct"/>
            <w:noWrap/>
            <w:hideMark/>
          </w:tcPr>
          <w:p w14:paraId="239C67A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2401EF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0F0F2A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2698B87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BEAA7D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0435DCC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1971B1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5F85C6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IGFBP1</w:t>
            </w:r>
          </w:p>
        </w:tc>
        <w:tc>
          <w:tcPr>
            <w:tcW w:w="2130" w:type="pct"/>
            <w:noWrap/>
            <w:hideMark/>
          </w:tcPr>
          <w:p w14:paraId="73FE228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w:t>
            </w:r>
          </w:p>
        </w:tc>
        <w:tc>
          <w:tcPr>
            <w:tcW w:w="433" w:type="pct"/>
            <w:noWrap/>
            <w:hideMark/>
          </w:tcPr>
          <w:p w14:paraId="777E7A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A1EAC4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5C41D9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1FB04F7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9E4B29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65A40D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261891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CF67B1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IGFBP4</w:t>
            </w:r>
          </w:p>
        </w:tc>
        <w:tc>
          <w:tcPr>
            <w:tcW w:w="2130" w:type="pct"/>
            <w:noWrap/>
            <w:hideMark/>
          </w:tcPr>
          <w:p w14:paraId="16DC533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w:t>
            </w:r>
          </w:p>
        </w:tc>
        <w:tc>
          <w:tcPr>
            <w:tcW w:w="433" w:type="pct"/>
            <w:noWrap/>
            <w:hideMark/>
          </w:tcPr>
          <w:p w14:paraId="1D70E0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0E6F322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AE336D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59BCA76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5701D6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92598B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7D62F2D"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2D41510"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IL1RAP</w:t>
            </w:r>
          </w:p>
        </w:tc>
        <w:tc>
          <w:tcPr>
            <w:tcW w:w="2130" w:type="pct"/>
            <w:noWrap/>
            <w:hideMark/>
          </w:tcPr>
          <w:p w14:paraId="6D38D00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w:t>
            </w:r>
          </w:p>
        </w:tc>
        <w:tc>
          <w:tcPr>
            <w:tcW w:w="433" w:type="pct"/>
            <w:noWrap/>
            <w:hideMark/>
          </w:tcPr>
          <w:p w14:paraId="3791150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53E1674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094389D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7F0C24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FD28E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BAD064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672100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EDCAE55"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IL1RL2</w:t>
            </w:r>
          </w:p>
        </w:tc>
        <w:tc>
          <w:tcPr>
            <w:tcW w:w="2130" w:type="pct"/>
            <w:noWrap/>
            <w:hideMark/>
          </w:tcPr>
          <w:p w14:paraId="0318DCA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 HNK124_360; HNK124_720</w:t>
            </w:r>
          </w:p>
        </w:tc>
        <w:tc>
          <w:tcPr>
            <w:tcW w:w="433" w:type="pct"/>
            <w:noWrap/>
            <w:hideMark/>
          </w:tcPr>
          <w:p w14:paraId="6BD6C4F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294F3C0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FBFCD4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5C3442F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5BF8D8F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4A8452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6176819"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0DDF088"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MET</w:t>
            </w:r>
          </w:p>
        </w:tc>
        <w:tc>
          <w:tcPr>
            <w:tcW w:w="2130" w:type="pct"/>
            <w:noWrap/>
            <w:hideMark/>
          </w:tcPr>
          <w:p w14:paraId="2D613AF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w:t>
            </w:r>
          </w:p>
        </w:tc>
        <w:tc>
          <w:tcPr>
            <w:tcW w:w="433" w:type="pct"/>
            <w:noWrap/>
            <w:hideMark/>
          </w:tcPr>
          <w:p w14:paraId="0620F4D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395DE2C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1D0C93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21C56C8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DE0329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D014DE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71030B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B01493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MMP3</w:t>
            </w:r>
          </w:p>
        </w:tc>
        <w:tc>
          <w:tcPr>
            <w:tcW w:w="2130" w:type="pct"/>
            <w:noWrap/>
            <w:hideMark/>
          </w:tcPr>
          <w:p w14:paraId="0B63B84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HNK124_360; HNK124_720</w:t>
            </w:r>
          </w:p>
        </w:tc>
        <w:tc>
          <w:tcPr>
            <w:tcW w:w="433" w:type="pct"/>
            <w:noWrap/>
            <w:hideMark/>
          </w:tcPr>
          <w:p w14:paraId="0BA12CB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413D802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F698AC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3EFD690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AB40E7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89C811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38689A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32A61A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NCAM1</w:t>
            </w:r>
          </w:p>
        </w:tc>
        <w:tc>
          <w:tcPr>
            <w:tcW w:w="2130" w:type="pct"/>
            <w:noWrap/>
            <w:hideMark/>
          </w:tcPr>
          <w:p w14:paraId="4BF231B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2569393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0C45AE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7E12A8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429ADF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3E03177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7A9434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D37CFE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B5ABDFA"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NOMO1</w:t>
            </w:r>
          </w:p>
        </w:tc>
        <w:tc>
          <w:tcPr>
            <w:tcW w:w="2130" w:type="pct"/>
            <w:noWrap/>
            <w:hideMark/>
          </w:tcPr>
          <w:p w14:paraId="13370D8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w:t>
            </w:r>
          </w:p>
        </w:tc>
        <w:tc>
          <w:tcPr>
            <w:tcW w:w="433" w:type="pct"/>
            <w:noWrap/>
            <w:hideMark/>
          </w:tcPr>
          <w:p w14:paraId="420E57C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3B4AF49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59629A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2CC8117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25274A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052A2A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FEB2F5B"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12F402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NRCAM</w:t>
            </w:r>
          </w:p>
        </w:tc>
        <w:tc>
          <w:tcPr>
            <w:tcW w:w="2130" w:type="pct"/>
            <w:noWrap/>
            <w:hideMark/>
          </w:tcPr>
          <w:p w14:paraId="6CBC4C9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Psil1024_120; Psil1024_1440; Psil1024_230; Psil1024_360; Psil1024_720</w:t>
            </w:r>
          </w:p>
        </w:tc>
        <w:tc>
          <w:tcPr>
            <w:tcW w:w="433" w:type="pct"/>
            <w:noWrap/>
            <w:hideMark/>
          </w:tcPr>
          <w:p w14:paraId="0ED225F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2F06BBD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061C5E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5</w:t>
            </w:r>
          </w:p>
        </w:tc>
        <w:tc>
          <w:tcPr>
            <w:tcW w:w="337" w:type="pct"/>
            <w:noWrap/>
            <w:hideMark/>
          </w:tcPr>
          <w:p w14:paraId="31F3219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575C676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EF8F56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r>
      <w:tr w:rsidR="002E7738" w:rsidRPr="00CD2448" w14:paraId="6CA3C58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7C84A613"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NT5E</w:t>
            </w:r>
          </w:p>
        </w:tc>
        <w:tc>
          <w:tcPr>
            <w:tcW w:w="2130" w:type="pct"/>
            <w:noWrap/>
            <w:hideMark/>
          </w:tcPr>
          <w:p w14:paraId="07E4160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Psil1024_230</w:t>
            </w:r>
          </w:p>
        </w:tc>
        <w:tc>
          <w:tcPr>
            <w:tcW w:w="433" w:type="pct"/>
            <w:noWrap/>
            <w:hideMark/>
          </w:tcPr>
          <w:p w14:paraId="542DA60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7647C0D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9BF12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724098E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3361D9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E1953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9CEB353"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1DCFECA"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PECAM1</w:t>
            </w:r>
          </w:p>
        </w:tc>
        <w:tc>
          <w:tcPr>
            <w:tcW w:w="2130" w:type="pct"/>
            <w:noWrap/>
            <w:hideMark/>
          </w:tcPr>
          <w:p w14:paraId="7627813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w:t>
            </w:r>
          </w:p>
        </w:tc>
        <w:tc>
          <w:tcPr>
            <w:tcW w:w="433" w:type="pct"/>
            <w:noWrap/>
            <w:hideMark/>
          </w:tcPr>
          <w:p w14:paraId="64961D0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6DE3CEB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77EE98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3AD2853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94E45C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0AD7F49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02446C5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9C23DA9" w14:textId="77777777" w:rsidR="002E7738" w:rsidRPr="00CD2448" w:rsidRDefault="002E7738" w:rsidP="00AB156B">
            <w:pPr>
              <w:rPr>
                <w:rFonts w:ascii="Arial" w:hAnsi="Arial" w:cs="Arial"/>
                <w:color w:val="000000" w:themeColor="text1"/>
                <w:sz w:val="20"/>
                <w:szCs w:val="20"/>
              </w:rPr>
            </w:pPr>
            <w:bookmarkStart w:id="44" w:name="OLE_LINK88"/>
            <w:r w:rsidRPr="00CD2448">
              <w:rPr>
                <w:rFonts w:ascii="Arial" w:hAnsi="Arial" w:cs="Arial"/>
                <w:color w:val="000000" w:themeColor="text1"/>
                <w:sz w:val="20"/>
                <w:szCs w:val="20"/>
              </w:rPr>
              <w:t>PLIN3</w:t>
            </w:r>
            <w:bookmarkEnd w:id="44"/>
          </w:p>
        </w:tc>
        <w:tc>
          <w:tcPr>
            <w:tcW w:w="2130" w:type="pct"/>
            <w:noWrap/>
            <w:hideMark/>
          </w:tcPr>
          <w:p w14:paraId="1BC4535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HNK124_230; HNK124_720</w:t>
            </w:r>
          </w:p>
        </w:tc>
        <w:tc>
          <w:tcPr>
            <w:tcW w:w="433" w:type="pct"/>
            <w:noWrap/>
            <w:hideMark/>
          </w:tcPr>
          <w:p w14:paraId="55BCF28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4CB06C3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73592D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4D500A4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12A7A93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512EE1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098CD8F"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5FC9E0C"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PTS</w:t>
            </w:r>
          </w:p>
        </w:tc>
        <w:tc>
          <w:tcPr>
            <w:tcW w:w="2130" w:type="pct"/>
            <w:noWrap/>
            <w:hideMark/>
          </w:tcPr>
          <w:p w14:paraId="1747E97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HNK124_230</w:t>
            </w:r>
          </w:p>
        </w:tc>
        <w:tc>
          <w:tcPr>
            <w:tcW w:w="433" w:type="pct"/>
            <w:noWrap/>
            <w:hideMark/>
          </w:tcPr>
          <w:p w14:paraId="3CD3253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0B4752F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4A45EEF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77EC9C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B37B5E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34A9DE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73866E6"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112BF98"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ROBO1</w:t>
            </w:r>
          </w:p>
        </w:tc>
        <w:tc>
          <w:tcPr>
            <w:tcW w:w="2130" w:type="pct"/>
            <w:noWrap/>
            <w:hideMark/>
          </w:tcPr>
          <w:p w14:paraId="174CD92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w:t>
            </w:r>
          </w:p>
        </w:tc>
        <w:tc>
          <w:tcPr>
            <w:tcW w:w="433" w:type="pct"/>
            <w:noWrap/>
            <w:hideMark/>
          </w:tcPr>
          <w:p w14:paraId="7A326F3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BE1CC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06783B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3E34999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02F4D96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0643EF1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22B85D8"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9D08E12"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ROBO2</w:t>
            </w:r>
          </w:p>
        </w:tc>
        <w:tc>
          <w:tcPr>
            <w:tcW w:w="2130" w:type="pct"/>
            <w:noWrap/>
            <w:hideMark/>
          </w:tcPr>
          <w:p w14:paraId="60E718C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1CAEC5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7DA360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0957958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0010B7A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1C6290C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0C591FF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F9D832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6ABA7DC4" w14:textId="77777777" w:rsidR="002E7738" w:rsidRPr="00CD2448" w:rsidRDefault="002E7738" w:rsidP="00AB156B">
            <w:pPr>
              <w:rPr>
                <w:rFonts w:ascii="Arial" w:hAnsi="Arial" w:cs="Arial"/>
                <w:color w:val="000000" w:themeColor="text1"/>
                <w:sz w:val="20"/>
                <w:szCs w:val="20"/>
              </w:rPr>
            </w:pPr>
            <w:bookmarkStart w:id="45" w:name="OLE_LINK87"/>
            <w:r w:rsidRPr="00CD2448">
              <w:rPr>
                <w:rFonts w:ascii="Arial" w:hAnsi="Arial" w:cs="Arial"/>
                <w:color w:val="000000" w:themeColor="text1"/>
                <w:sz w:val="20"/>
                <w:szCs w:val="20"/>
              </w:rPr>
              <w:t>ROR1</w:t>
            </w:r>
            <w:bookmarkEnd w:id="45"/>
          </w:p>
        </w:tc>
        <w:tc>
          <w:tcPr>
            <w:tcW w:w="2130" w:type="pct"/>
            <w:noWrap/>
            <w:hideMark/>
          </w:tcPr>
          <w:p w14:paraId="0F77C14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HNK124_720</w:t>
            </w:r>
          </w:p>
        </w:tc>
        <w:tc>
          <w:tcPr>
            <w:tcW w:w="433" w:type="pct"/>
            <w:noWrap/>
            <w:hideMark/>
          </w:tcPr>
          <w:p w14:paraId="003EFBB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0B4C62E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0C7BA26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7E10E5E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951945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79B5698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927FCB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8BC8034"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SCG3</w:t>
            </w:r>
          </w:p>
        </w:tc>
        <w:tc>
          <w:tcPr>
            <w:tcW w:w="2130" w:type="pct"/>
            <w:noWrap/>
            <w:hideMark/>
          </w:tcPr>
          <w:p w14:paraId="128EFDF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LSD24_360; LSD24_720</w:t>
            </w:r>
          </w:p>
        </w:tc>
        <w:tc>
          <w:tcPr>
            <w:tcW w:w="433" w:type="pct"/>
            <w:noWrap/>
            <w:hideMark/>
          </w:tcPr>
          <w:p w14:paraId="12B2CE7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0A7993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8AE126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790596A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6720B5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402AE88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r>
      <w:tr w:rsidR="002E7738" w:rsidRPr="00CD2448" w14:paraId="0511911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E1667EC"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SERPINB1</w:t>
            </w:r>
          </w:p>
        </w:tc>
        <w:tc>
          <w:tcPr>
            <w:tcW w:w="2130" w:type="pct"/>
            <w:noWrap/>
            <w:hideMark/>
          </w:tcPr>
          <w:p w14:paraId="5C9D9D1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w:t>
            </w:r>
          </w:p>
        </w:tc>
        <w:tc>
          <w:tcPr>
            <w:tcW w:w="433" w:type="pct"/>
            <w:noWrap/>
            <w:hideMark/>
          </w:tcPr>
          <w:p w14:paraId="25A0DC8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2738874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EAA61A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2971C3C6"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C7056E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CC38D5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0464427"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DF783A3"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SERPINB6</w:t>
            </w:r>
          </w:p>
        </w:tc>
        <w:tc>
          <w:tcPr>
            <w:tcW w:w="2130" w:type="pct"/>
            <w:noWrap/>
            <w:hideMark/>
          </w:tcPr>
          <w:p w14:paraId="6B81AFB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LSD24_360; LSD24_720</w:t>
            </w:r>
          </w:p>
        </w:tc>
        <w:tc>
          <w:tcPr>
            <w:tcW w:w="433" w:type="pct"/>
            <w:noWrap/>
            <w:hideMark/>
          </w:tcPr>
          <w:p w14:paraId="694020A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5C329B6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C81E49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3E2A50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84F4BC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51B382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0BD0FF1"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2B15C0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SIGLEC10</w:t>
            </w:r>
          </w:p>
        </w:tc>
        <w:tc>
          <w:tcPr>
            <w:tcW w:w="2130" w:type="pct"/>
            <w:noWrap/>
            <w:hideMark/>
          </w:tcPr>
          <w:p w14:paraId="5924DD9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LSD24_720</w:t>
            </w:r>
          </w:p>
        </w:tc>
        <w:tc>
          <w:tcPr>
            <w:tcW w:w="433" w:type="pct"/>
            <w:noWrap/>
            <w:hideMark/>
          </w:tcPr>
          <w:p w14:paraId="76561AF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60561EA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2E380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4CBEFA2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559033C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81FA30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79E9FF4"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40195B54"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SIRPA</w:t>
            </w:r>
          </w:p>
        </w:tc>
        <w:tc>
          <w:tcPr>
            <w:tcW w:w="2130" w:type="pct"/>
            <w:noWrap/>
            <w:hideMark/>
          </w:tcPr>
          <w:p w14:paraId="27D189F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Psil1024_230; Psil1024_360; Psil1024_720</w:t>
            </w:r>
          </w:p>
        </w:tc>
        <w:tc>
          <w:tcPr>
            <w:tcW w:w="433" w:type="pct"/>
            <w:noWrap/>
            <w:hideMark/>
          </w:tcPr>
          <w:p w14:paraId="2CA7C5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3B4B76C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9194D2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AB25B6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6768CCF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3A8BFE1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AAB1A16"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B6B1BF3" w14:textId="77777777" w:rsidR="002E7738" w:rsidRPr="00CD2448" w:rsidRDefault="002E7738" w:rsidP="00AB156B">
            <w:pPr>
              <w:rPr>
                <w:rFonts w:ascii="Arial" w:hAnsi="Arial" w:cs="Arial"/>
                <w:color w:val="000000" w:themeColor="text1"/>
                <w:sz w:val="20"/>
                <w:szCs w:val="20"/>
              </w:rPr>
            </w:pPr>
            <w:bookmarkStart w:id="46" w:name="OLE_LINK86"/>
            <w:r w:rsidRPr="00CD2448">
              <w:rPr>
                <w:rFonts w:ascii="Arial" w:hAnsi="Arial" w:cs="Arial"/>
                <w:color w:val="000000" w:themeColor="text1"/>
                <w:sz w:val="20"/>
                <w:szCs w:val="20"/>
              </w:rPr>
              <w:t>SLITRK6</w:t>
            </w:r>
            <w:bookmarkEnd w:id="46"/>
          </w:p>
        </w:tc>
        <w:tc>
          <w:tcPr>
            <w:tcW w:w="2130" w:type="pct"/>
            <w:noWrap/>
            <w:hideMark/>
          </w:tcPr>
          <w:p w14:paraId="271BF79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w:t>
            </w:r>
          </w:p>
        </w:tc>
        <w:tc>
          <w:tcPr>
            <w:tcW w:w="433" w:type="pct"/>
            <w:noWrap/>
            <w:hideMark/>
          </w:tcPr>
          <w:p w14:paraId="76F7470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076CE78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7FC10C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1C1C3BC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22DC51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0EFCD7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54F9BDE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114C17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SOD2</w:t>
            </w:r>
          </w:p>
        </w:tc>
        <w:tc>
          <w:tcPr>
            <w:tcW w:w="2130" w:type="pct"/>
            <w:noWrap/>
            <w:hideMark/>
          </w:tcPr>
          <w:p w14:paraId="644FD03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64F3DF3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AC6356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20FB07F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596D188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495384D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241BAE4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2615F81D"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BF6EDCF"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TEK</w:t>
            </w:r>
          </w:p>
        </w:tc>
        <w:tc>
          <w:tcPr>
            <w:tcW w:w="2130" w:type="pct"/>
            <w:noWrap/>
            <w:hideMark/>
          </w:tcPr>
          <w:p w14:paraId="1B0DDC1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LSD24_360; LSD24_720</w:t>
            </w:r>
          </w:p>
        </w:tc>
        <w:tc>
          <w:tcPr>
            <w:tcW w:w="433" w:type="pct"/>
            <w:noWrap/>
            <w:hideMark/>
          </w:tcPr>
          <w:p w14:paraId="7DC1398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78C9658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6148082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236E084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0</w:t>
            </w:r>
          </w:p>
        </w:tc>
        <w:tc>
          <w:tcPr>
            <w:tcW w:w="285" w:type="pct"/>
            <w:noWrap/>
            <w:hideMark/>
          </w:tcPr>
          <w:p w14:paraId="4F41520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Down</w:t>
            </w:r>
          </w:p>
        </w:tc>
        <w:tc>
          <w:tcPr>
            <w:tcW w:w="290" w:type="pct"/>
            <w:noWrap/>
            <w:hideMark/>
          </w:tcPr>
          <w:p w14:paraId="17F4D181"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616E05F"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33DC377E"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THBS2</w:t>
            </w:r>
          </w:p>
        </w:tc>
        <w:tc>
          <w:tcPr>
            <w:tcW w:w="2130" w:type="pct"/>
            <w:noWrap/>
            <w:hideMark/>
          </w:tcPr>
          <w:p w14:paraId="2249B72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LSD24_720</w:t>
            </w:r>
          </w:p>
        </w:tc>
        <w:tc>
          <w:tcPr>
            <w:tcW w:w="433" w:type="pct"/>
            <w:noWrap/>
            <w:hideMark/>
          </w:tcPr>
          <w:p w14:paraId="010395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0196BC6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0EC5A61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4F817EF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35F049D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E4DB49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71DB9886"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6AA8796"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TNFRSF12A</w:t>
            </w:r>
          </w:p>
        </w:tc>
        <w:tc>
          <w:tcPr>
            <w:tcW w:w="2130" w:type="pct"/>
            <w:noWrap/>
            <w:hideMark/>
          </w:tcPr>
          <w:p w14:paraId="27204EA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Psil1024_720</w:t>
            </w:r>
          </w:p>
        </w:tc>
        <w:tc>
          <w:tcPr>
            <w:tcW w:w="433" w:type="pct"/>
            <w:noWrap/>
            <w:hideMark/>
          </w:tcPr>
          <w:p w14:paraId="1D750E6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2EB5E9F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3DEA30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5F21BAC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C085A9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787051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3753FC9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107743F8"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TNFRSF14</w:t>
            </w:r>
          </w:p>
        </w:tc>
        <w:tc>
          <w:tcPr>
            <w:tcW w:w="2130" w:type="pct"/>
            <w:noWrap/>
            <w:hideMark/>
          </w:tcPr>
          <w:p w14:paraId="4A773B2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Psil1024_1440; Psil1024_230; Psil1024_360; Psil1024_720</w:t>
            </w:r>
          </w:p>
        </w:tc>
        <w:tc>
          <w:tcPr>
            <w:tcW w:w="433" w:type="pct"/>
            <w:noWrap/>
            <w:hideMark/>
          </w:tcPr>
          <w:p w14:paraId="5B258B54"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proofErr w:type="spellStart"/>
            <w:r w:rsidRPr="00CD2448">
              <w:rPr>
                <w:rFonts w:ascii="Arial" w:hAnsi="Arial" w:cs="Arial"/>
                <w:color w:val="000000" w:themeColor="text1"/>
                <w:sz w:val="20"/>
                <w:szCs w:val="20"/>
              </w:rPr>
              <w:t>Psil</w:t>
            </w:r>
            <w:proofErr w:type="spellEnd"/>
          </w:p>
        </w:tc>
        <w:tc>
          <w:tcPr>
            <w:tcW w:w="385" w:type="pct"/>
            <w:noWrap/>
            <w:hideMark/>
          </w:tcPr>
          <w:p w14:paraId="4A5F03E2"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3A24E44C"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4</w:t>
            </w:r>
          </w:p>
        </w:tc>
        <w:tc>
          <w:tcPr>
            <w:tcW w:w="337" w:type="pct"/>
            <w:noWrap/>
            <w:hideMark/>
          </w:tcPr>
          <w:p w14:paraId="3457005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08B5D7F0"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4329D81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1DB022F2"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C0F0274"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TNFSF14</w:t>
            </w:r>
          </w:p>
        </w:tc>
        <w:tc>
          <w:tcPr>
            <w:tcW w:w="2130" w:type="pct"/>
            <w:noWrap/>
            <w:hideMark/>
          </w:tcPr>
          <w:p w14:paraId="56DDF9CD"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LSD24_720</w:t>
            </w:r>
          </w:p>
        </w:tc>
        <w:tc>
          <w:tcPr>
            <w:tcW w:w="433" w:type="pct"/>
            <w:noWrap/>
            <w:hideMark/>
          </w:tcPr>
          <w:p w14:paraId="1CC5094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4E01165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1AC41BD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337" w:type="pct"/>
            <w:noWrap/>
            <w:hideMark/>
          </w:tcPr>
          <w:p w14:paraId="706D056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2176569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53E545B5"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4A43C1F5"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093970DD"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VCAM1</w:t>
            </w:r>
          </w:p>
        </w:tc>
        <w:tc>
          <w:tcPr>
            <w:tcW w:w="2130" w:type="pct"/>
            <w:noWrap/>
            <w:hideMark/>
          </w:tcPr>
          <w:p w14:paraId="7BAB84AE"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HNK124_1440; HNK124_720</w:t>
            </w:r>
          </w:p>
        </w:tc>
        <w:tc>
          <w:tcPr>
            <w:tcW w:w="433" w:type="pct"/>
            <w:noWrap/>
            <w:hideMark/>
          </w:tcPr>
          <w:p w14:paraId="7E0E027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HNK</w:t>
            </w:r>
          </w:p>
        </w:tc>
        <w:tc>
          <w:tcPr>
            <w:tcW w:w="385" w:type="pct"/>
            <w:noWrap/>
            <w:hideMark/>
          </w:tcPr>
          <w:p w14:paraId="7A8187C9"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5643344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2</w:t>
            </w:r>
          </w:p>
        </w:tc>
        <w:tc>
          <w:tcPr>
            <w:tcW w:w="337" w:type="pct"/>
            <w:noWrap/>
            <w:hideMark/>
          </w:tcPr>
          <w:p w14:paraId="6B38CD1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7D2215D8"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1FACFBC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r w:rsidR="002E7738" w:rsidRPr="00CD2448" w14:paraId="68EE4DAE" w14:textId="77777777" w:rsidTr="00507D15">
        <w:trPr>
          <w:trHeight w:val="300"/>
        </w:trPr>
        <w:tc>
          <w:tcPr>
            <w:cnfStyle w:val="001000000000" w:firstRow="0" w:lastRow="0" w:firstColumn="1" w:lastColumn="0" w:oddVBand="0" w:evenVBand="0" w:oddHBand="0" w:evenHBand="0" w:firstRowFirstColumn="0" w:firstRowLastColumn="0" w:lastRowFirstColumn="0" w:lastRowLastColumn="0"/>
            <w:tcW w:w="707" w:type="pct"/>
            <w:noWrap/>
            <w:hideMark/>
          </w:tcPr>
          <w:p w14:paraId="2474A47B" w14:textId="77777777" w:rsidR="002E7738" w:rsidRPr="00CD2448" w:rsidRDefault="002E7738" w:rsidP="00AB156B">
            <w:pPr>
              <w:rPr>
                <w:rFonts w:ascii="Arial" w:hAnsi="Arial" w:cs="Arial"/>
                <w:color w:val="000000" w:themeColor="text1"/>
                <w:sz w:val="20"/>
                <w:szCs w:val="20"/>
              </w:rPr>
            </w:pPr>
            <w:r w:rsidRPr="00CD2448">
              <w:rPr>
                <w:rFonts w:ascii="Arial" w:hAnsi="Arial" w:cs="Arial"/>
                <w:color w:val="000000" w:themeColor="text1"/>
                <w:sz w:val="20"/>
                <w:szCs w:val="20"/>
              </w:rPr>
              <w:t>VWA1</w:t>
            </w:r>
          </w:p>
        </w:tc>
        <w:tc>
          <w:tcPr>
            <w:tcW w:w="2130" w:type="pct"/>
            <w:noWrap/>
            <w:hideMark/>
          </w:tcPr>
          <w:p w14:paraId="29D6B94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LSD24_1440; LSD24_230; LSD24_720</w:t>
            </w:r>
          </w:p>
        </w:tc>
        <w:tc>
          <w:tcPr>
            <w:tcW w:w="433" w:type="pct"/>
            <w:noWrap/>
            <w:hideMark/>
          </w:tcPr>
          <w:p w14:paraId="2D8FCF23"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LSD</w:t>
            </w:r>
          </w:p>
        </w:tc>
        <w:tc>
          <w:tcPr>
            <w:tcW w:w="385" w:type="pct"/>
            <w:noWrap/>
            <w:hideMark/>
          </w:tcPr>
          <w:p w14:paraId="010A377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w:t>
            </w:r>
          </w:p>
        </w:tc>
        <w:tc>
          <w:tcPr>
            <w:tcW w:w="433" w:type="pct"/>
            <w:noWrap/>
            <w:hideMark/>
          </w:tcPr>
          <w:p w14:paraId="7FFEFAEA"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3</w:t>
            </w:r>
          </w:p>
        </w:tc>
        <w:tc>
          <w:tcPr>
            <w:tcW w:w="337" w:type="pct"/>
            <w:noWrap/>
            <w:hideMark/>
          </w:tcPr>
          <w:p w14:paraId="73ECDAAB"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100</w:t>
            </w:r>
          </w:p>
        </w:tc>
        <w:tc>
          <w:tcPr>
            <w:tcW w:w="285" w:type="pct"/>
            <w:noWrap/>
            <w:hideMark/>
          </w:tcPr>
          <w:p w14:paraId="608DBA7F"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c>
          <w:tcPr>
            <w:tcW w:w="290" w:type="pct"/>
            <w:noWrap/>
            <w:hideMark/>
          </w:tcPr>
          <w:p w14:paraId="38387507" w14:textId="77777777" w:rsidR="002E7738" w:rsidRPr="00CD2448" w:rsidRDefault="002E7738" w:rsidP="00AB156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20"/>
                <w:szCs w:val="20"/>
              </w:rPr>
            </w:pPr>
            <w:r w:rsidRPr="00CD2448">
              <w:rPr>
                <w:rFonts w:ascii="Arial" w:hAnsi="Arial" w:cs="Arial"/>
                <w:color w:val="000000" w:themeColor="text1"/>
                <w:sz w:val="20"/>
                <w:szCs w:val="20"/>
              </w:rPr>
              <w:t>Up</w:t>
            </w:r>
          </w:p>
        </w:tc>
      </w:tr>
    </w:tbl>
    <w:p w14:paraId="04C993CE" w14:textId="77777777" w:rsidR="00880F36" w:rsidRPr="00CD2448" w:rsidRDefault="00880F36" w:rsidP="00F84119">
      <w:pPr>
        <w:spacing w:line="278" w:lineRule="auto"/>
        <w:rPr>
          <w:rFonts w:ascii="Arial" w:eastAsiaTheme="majorEastAsia" w:hAnsi="Arial" w:cs="Arial"/>
          <w:b/>
          <w:bCs/>
          <w:color w:val="000000" w:themeColor="text1"/>
          <w:sz w:val="20"/>
          <w:szCs w:val="20"/>
        </w:rPr>
      </w:pPr>
      <w:bookmarkStart w:id="47" w:name="OLE_LINK33"/>
      <w:bookmarkEnd w:id="20"/>
      <w:bookmarkEnd w:id="22"/>
      <w:bookmarkEnd w:id="39"/>
    </w:p>
    <w:p w14:paraId="304D9BCA" w14:textId="77777777" w:rsidR="00880F36" w:rsidRPr="00CD2448" w:rsidRDefault="00880F36">
      <w:pPr>
        <w:spacing w:after="160" w:line="278" w:lineRule="auto"/>
        <w:rPr>
          <w:rFonts w:ascii="Arial" w:eastAsiaTheme="majorEastAsia" w:hAnsi="Arial" w:cs="Arial"/>
          <w:b/>
          <w:bCs/>
          <w:color w:val="000000" w:themeColor="text1"/>
          <w:sz w:val="20"/>
          <w:szCs w:val="20"/>
        </w:rPr>
      </w:pPr>
      <w:r w:rsidRPr="00CD2448">
        <w:rPr>
          <w:rFonts w:ascii="Arial" w:eastAsiaTheme="majorEastAsia" w:hAnsi="Arial" w:cs="Arial"/>
          <w:b/>
          <w:bCs/>
          <w:color w:val="000000" w:themeColor="text1"/>
          <w:sz w:val="20"/>
          <w:szCs w:val="20"/>
        </w:rPr>
        <w:br w:type="page"/>
      </w:r>
    </w:p>
    <w:p w14:paraId="349B3C31" w14:textId="4437EB60" w:rsidR="002E7738" w:rsidRPr="00CD2448" w:rsidRDefault="006D57F0" w:rsidP="00F84119">
      <w:pPr>
        <w:spacing w:line="278" w:lineRule="auto"/>
        <w:rPr>
          <w:rFonts w:ascii="Arial" w:eastAsiaTheme="majorEastAsia" w:hAnsi="Arial" w:cs="Arial"/>
          <w:color w:val="000000" w:themeColor="text1"/>
          <w:sz w:val="20"/>
          <w:szCs w:val="20"/>
        </w:rPr>
      </w:pPr>
      <w:r w:rsidRPr="00CD2448">
        <w:rPr>
          <w:rFonts w:ascii="Arial" w:eastAsiaTheme="majorEastAsia" w:hAnsi="Arial" w:cs="Arial"/>
          <w:b/>
          <w:bCs/>
          <w:color w:val="000000" w:themeColor="text1"/>
          <w:sz w:val="20"/>
          <w:szCs w:val="20"/>
        </w:rPr>
        <w:lastRenderedPageBreak/>
        <w:t xml:space="preserve">Supplementary </w:t>
      </w:r>
      <w:bookmarkStart w:id="48" w:name="OLE_LINK137"/>
      <w:r w:rsidRPr="00CD2448">
        <w:rPr>
          <w:rFonts w:ascii="Arial" w:eastAsiaTheme="majorEastAsia" w:hAnsi="Arial" w:cs="Arial"/>
          <w:b/>
          <w:bCs/>
          <w:color w:val="000000" w:themeColor="text1"/>
          <w:sz w:val="20"/>
          <w:szCs w:val="20"/>
        </w:rPr>
        <w:t>Table S3</w:t>
      </w:r>
      <w:bookmarkEnd w:id="48"/>
      <w:r w:rsidRPr="00CD2448">
        <w:rPr>
          <w:rFonts w:ascii="Arial" w:eastAsiaTheme="majorEastAsia" w:hAnsi="Arial" w:cs="Arial"/>
          <w:b/>
          <w:bCs/>
          <w:color w:val="000000" w:themeColor="text1"/>
          <w:sz w:val="20"/>
          <w:szCs w:val="20"/>
        </w:rPr>
        <w:t xml:space="preserve">: Baseline demographic and clinical characteristics of study participants. </w:t>
      </w:r>
      <w:r w:rsidRPr="00CD2448">
        <w:rPr>
          <w:rFonts w:ascii="Arial" w:eastAsiaTheme="majorEastAsia" w:hAnsi="Arial" w:cs="Arial"/>
          <w:color w:val="000000" w:themeColor="text1"/>
          <w:sz w:val="20"/>
          <w:szCs w:val="20"/>
        </w:rPr>
        <w:t xml:space="preserve">Demographic and clinical variables for HVs (n=25) and patients with TRD (n=39) enrolled in a randomized, double-blind, placebo-controlled crossover trial of intravenous ketamine </w:t>
      </w:r>
      <w:r w:rsidRPr="00CD2448">
        <w:rPr>
          <w:rFonts w:ascii="Arial" w:eastAsiaTheme="majorEastAsia" w:hAnsi="Arial" w:cs="Arial"/>
          <w:b/>
          <w:bCs/>
          <w:color w:val="000000" w:themeColor="text1"/>
          <w:sz w:val="20"/>
          <w:szCs w:val="20"/>
        </w:rPr>
        <w:t>(NCT00088699).</w:t>
      </w:r>
      <w:r w:rsidRPr="00CD2448">
        <w:rPr>
          <w:rFonts w:ascii="Arial" w:hAnsi="Arial" w:cs="Arial"/>
          <w:b/>
          <w:bCs/>
          <w:color w:val="000000" w:themeColor="text1"/>
          <w:sz w:val="20"/>
          <w:szCs w:val="20"/>
        </w:rPr>
        <w:t> </w:t>
      </w:r>
      <w:r w:rsidRPr="00CD2448">
        <w:rPr>
          <w:rFonts w:ascii="Arial" w:eastAsiaTheme="majorEastAsia" w:hAnsi="Arial" w:cs="Arial"/>
          <w:color w:val="000000" w:themeColor="text1"/>
          <w:sz w:val="20"/>
          <w:szCs w:val="20"/>
        </w:rPr>
        <w:t xml:space="preserve">The TRD cohort represents a highly treatment-refractory population, with patients having failed to respond to a mean of 4.95 adequate antidepressant trials and 3.32 augmentation strategies, as defined by the Antidepressant Treatment History Form (ATHF) established by </w:t>
      </w:r>
      <w:proofErr w:type="spellStart"/>
      <w:r w:rsidRPr="00CD2448">
        <w:rPr>
          <w:rFonts w:ascii="Arial" w:eastAsiaTheme="majorEastAsia" w:hAnsi="Arial" w:cs="Arial"/>
          <w:color w:val="000000" w:themeColor="text1"/>
          <w:sz w:val="20"/>
          <w:szCs w:val="20"/>
        </w:rPr>
        <w:t>Sackeim</w:t>
      </w:r>
      <w:proofErr w:type="spellEnd"/>
      <w:r w:rsidRPr="00CD2448">
        <w:rPr>
          <w:rFonts w:ascii="Arial" w:eastAsiaTheme="majorEastAsia" w:hAnsi="Arial" w:cs="Arial"/>
          <w:color w:val="000000" w:themeColor="text1"/>
          <w:sz w:val="20"/>
          <w:szCs w:val="20"/>
        </w:rPr>
        <w:t xml:space="preserve"> </w:t>
      </w:r>
      <w:r w:rsidR="00B5545C" w:rsidRPr="00CD2448">
        <w:rPr>
          <w:rFonts w:ascii="Arial" w:eastAsiaTheme="majorEastAsia" w:hAnsi="Arial" w:cs="Arial"/>
          <w:color w:val="000000" w:themeColor="text1"/>
          <w:sz w:val="20"/>
          <w:szCs w:val="20"/>
        </w:rPr>
        <w:t xml:space="preserve">and colleagues </w:t>
      </w:r>
      <w:r w:rsidR="005B3FF3" w:rsidRPr="00CD2448">
        <w:rPr>
          <w:rFonts w:ascii="Arial" w:eastAsiaTheme="majorEastAsia" w:hAnsi="Arial" w:cs="Arial"/>
          <w:color w:val="000000" w:themeColor="text1"/>
          <w:sz w:val="20"/>
          <w:szCs w:val="20"/>
        </w:rPr>
        <w:fldChar w:fldCharType="begin"/>
      </w:r>
      <w:r w:rsidR="005B3FF3" w:rsidRPr="00CD2448">
        <w:rPr>
          <w:rFonts w:ascii="Arial" w:eastAsiaTheme="majorEastAsia" w:hAnsi="Arial" w:cs="Arial"/>
          <w:color w:val="000000" w:themeColor="text1"/>
          <w:sz w:val="20"/>
          <w:szCs w:val="20"/>
        </w:rPr>
        <w:instrText xml:space="preserve"> ADDIN EN.CITE &lt;EndNote&gt;&lt;Cite&gt;&lt;Author&gt;Sackeim&lt;/Author&gt;&lt;Year&gt;2001&lt;/Year&gt;&lt;RecNum&gt;103&lt;/RecNum&gt;&lt;DisplayText&gt;[10]&lt;/DisplayText&gt;&lt;record&gt;&lt;rec-number&gt;103&lt;/rec-number&gt;&lt;foreign-keys&gt;&lt;key app="EN" db-id="dzsadpavbdaf27ef9zmxw006vzddp0epfpxa" timestamp="1759239301"&gt;103&lt;/key&gt;&lt;/foreign-keys&gt;&lt;ref-type name="Journal Article"&gt;17&lt;/ref-type&gt;&lt;contributors&gt;&lt;authors&gt;&lt;author&gt;Sackeim, H. A.&lt;/author&gt;&lt;/authors&gt;&lt;/contributors&gt;&lt;titles&gt;&lt;title&gt;The definition and meaning of treatment-resistant depression&lt;/title&gt;&lt;secondary-title&gt;J Clin Psychiatry&lt;/secondary-title&gt;&lt;/titles&gt;&lt;periodical&gt;&lt;full-title&gt;J Clin Psychiatry&lt;/full-title&gt;&lt;/periodical&gt;&lt;pages&gt;10-17&lt;/pages&gt;&lt;volume&gt;62 (Suppl 16)&lt;/volume&gt;&lt;dates&gt;&lt;year&gt;2001&lt;/year&gt;&lt;pub-dates&gt;&lt;date&gt;2001&lt;/date&gt;&lt;/pub-dates&gt;&lt;/dates&gt;&lt;isbn&gt;0160-6689&lt;/isbn&gt;&lt;urls&gt;&lt;/urls&gt;&lt;remote-database-name&gt;PubMed&lt;/remote-database-name&gt;&lt;language&gt;eng&lt;/language&gt;&lt;/record&gt;&lt;/Cite&gt;&lt;/EndNote&gt;</w:instrText>
      </w:r>
      <w:r w:rsidR="005B3FF3" w:rsidRPr="00CD2448">
        <w:rPr>
          <w:rFonts w:ascii="Arial" w:eastAsiaTheme="majorEastAsia" w:hAnsi="Arial" w:cs="Arial"/>
          <w:color w:val="000000" w:themeColor="text1"/>
          <w:sz w:val="20"/>
          <w:szCs w:val="20"/>
        </w:rPr>
        <w:fldChar w:fldCharType="separate"/>
      </w:r>
      <w:r w:rsidR="005B3FF3" w:rsidRPr="00CD2448">
        <w:rPr>
          <w:rFonts w:ascii="Arial" w:eastAsiaTheme="majorEastAsia" w:hAnsi="Arial" w:cs="Arial"/>
          <w:noProof/>
          <w:color w:val="000000" w:themeColor="text1"/>
          <w:sz w:val="20"/>
          <w:szCs w:val="20"/>
        </w:rPr>
        <w:t>[10]</w:t>
      </w:r>
      <w:r w:rsidR="005B3FF3" w:rsidRPr="00CD2448">
        <w:rPr>
          <w:rFonts w:ascii="Arial" w:eastAsiaTheme="majorEastAsia" w:hAnsi="Arial" w:cs="Arial"/>
          <w:color w:val="000000" w:themeColor="text1"/>
          <w:sz w:val="20"/>
          <w:szCs w:val="20"/>
        </w:rPr>
        <w:fldChar w:fldCharType="end"/>
      </w:r>
      <w:r w:rsidRPr="00CD2448">
        <w:rPr>
          <w:rFonts w:ascii="Arial" w:eastAsiaTheme="majorEastAsia" w:hAnsi="Arial" w:cs="Arial"/>
          <w:color w:val="000000" w:themeColor="text1"/>
          <w:sz w:val="20"/>
          <w:szCs w:val="20"/>
        </w:rPr>
        <w:t xml:space="preserve">. Notable characteristics include high rates of unemployment (84.6%), prior ECT treatment (25.6%), lithium augmentation failure (41.0%), and trauma history (46.2%). The negligible placebo response rates (0% for ≥50% MADRS reduction; 2.8% for ≥25% reduction) underscore the severity and treatment resistance of this sample. Values are presented as mean (standard deviation) for continuous variables and n (%) for categorical variables. Lithium augmentation defined as &gt; 900 mg/day or drug level &gt; 0.6 </w:t>
      </w:r>
      <w:proofErr w:type="spellStart"/>
      <w:r w:rsidRPr="00CD2448">
        <w:rPr>
          <w:rFonts w:ascii="Arial" w:eastAsiaTheme="majorEastAsia" w:hAnsi="Arial" w:cs="Arial"/>
          <w:color w:val="000000" w:themeColor="text1"/>
          <w:sz w:val="20"/>
          <w:szCs w:val="20"/>
        </w:rPr>
        <w:t>mEq</w:t>
      </w:r>
      <w:proofErr w:type="spellEnd"/>
      <w:r w:rsidRPr="00CD2448">
        <w:rPr>
          <w:rFonts w:ascii="Arial" w:eastAsiaTheme="majorEastAsia" w:hAnsi="Arial" w:cs="Arial"/>
          <w:color w:val="000000" w:themeColor="text1"/>
          <w:sz w:val="20"/>
          <w:szCs w:val="20"/>
        </w:rPr>
        <w:t xml:space="preserve">/L for at least 4 weeks. </w:t>
      </w:r>
      <w:bookmarkEnd w:id="47"/>
    </w:p>
    <w:p w14:paraId="76D47E71" w14:textId="77777777" w:rsidR="006D57F0" w:rsidRPr="00CD2448" w:rsidRDefault="006D57F0" w:rsidP="007F3F8E">
      <w:pPr>
        <w:spacing w:line="278" w:lineRule="auto"/>
        <w:jc w:val="both"/>
        <w:rPr>
          <w:rFonts w:ascii="Arial" w:hAnsi="Arial" w:cs="Arial"/>
          <w:i/>
          <w:iCs/>
          <w:color w:val="000000" w:themeColor="text1"/>
          <w:sz w:val="20"/>
          <w:szCs w:val="20"/>
        </w:rPr>
      </w:pPr>
    </w:p>
    <w:tbl>
      <w:tblPr>
        <w:tblStyle w:val="TableGrid"/>
        <w:tblpPr w:leftFromText="180" w:rightFromText="180" w:vertAnchor="text" w:horzAnchor="margin" w:tblpY="36"/>
        <w:tblOverlap w:val="never"/>
        <w:tblW w:w="5042" w:type="pct"/>
        <w:tblLook w:val="04A0" w:firstRow="1" w:lastRow="0" w:firstColumn="1" w:lastColumn="0" w:noHBand="0" w:noVBand="1"/>
      </w:tblPr>
      <w:tblGrid>
        <w:gridCol w:w="2719"/>
        <w:gridCol w:w="2720"/>
        <w:gridCol w:w="2720"/>
        <w:gridCol w:w="2722"/>
      </w:tblGrid>
      <w:tr w:rsidR="002E7738" w:rsidRPr="00CD2448" w14:paraId="61AF92BE" w14:textId="77777777" w:rsidTr="00BF114C">
        <w:trPr>
          <w:trHeight w:val="571"/>
        </w:trPr>
        <w:tc>
          <w:tcPr>
            <w:tcW w:w="1249" w:type="pct"/>
            <w:vAlign w:val="center"/>
          </w:tcPr>
          <w:p w14:paraId="672FFA1A" w14:textId="77777777" w:rsidR="002E7738" w:rsidRPr="00CD2448" w:rsidRDefault="002E7738" w:rsidP="007F3F8E">
            <w:pPr>
              <w:jc w:val="both"/>
              <w:rPr>
                <w:rFonts w:ascii="Arial" w:hAnsi="Arial" w:cs="Arial"/>
                <w:color w:val="000000" w:themeColor="text1"/>
                <w:vertAlign w:val="superscript"/>
              </w:rPr>
            </w:pPr>
            <w:bookmarkStart w:id="49" w:name="OLE_LINK72"/>
          </w:p>
        </w:tc>
        <w:tc>
          <w:tcPr>
            <w:tcW w:w="1250" w:type="pct"/>
            <w:vAlign w:val="center"/>
          </w:tcPr>
          <w:p w14:paraId="369A9482" w14:textId="6C7B5BE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H</w:t>
            </w:r>
            <w:r w:rsidR="00062A9A" w:rsidRPr="00CD2448">
              <w:rPr>
                <w:rFonts w:ascii="Arial" w:hAnsi="Arial" w:cs="Arial"/>
                <w:b/>
                <w:bCs/>
                <w:color w:val="000000" w:themeColor="text1"/>
                <w:vertAlign w:val="superscript"/>
              </w:rPr>
              <w:t>V</w:t>
            </w:r>
            <w:r w:rsidRPr="00CD2448">
              <w:rPr>
                <w:rFonts w:ascii="Arial" w:hAnsi="Arial" w:cs="Arial"/>
                <w:b/>
                <w:bCs/>
                <w:color w:val="000000" w:themeColor="text1"/>
                <w:vertAlign w:val="superscript"/>
              </w:rPr>
              <w:br/>
              <w:t>(N=25)</w:t>
            </w:r>
          </w:p>
        </w:tc>
        <w:tc>
          <w:tcPr>
            <w:tcW w:w="1250" w:type="pct"/>
            <w:vAlign w:val="center"/>
          </w:tcPr>
          <w:p w14:paraId="634009A1"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TRD</w:t>
            </w:r>
            <w:r w:rsidRPr="00CD2448">
              <w:rPr>
                <w:rFonts w:ascii="Arial" w:hAnsi="Arial" w:cs="Arial"/>
                <w:b/>
                <w:bCs/>
                <w:color w:val="000000" w:themeColor="text1"/>
                <w:vertAlign w:val="superscript"/>
              </w:rPr>
              <w:br/>
              <w:t>(N=39)</w:t>
            </w:r>
          </w:p>
        </w:tc>
        <w:tc>
          <w:tcPr>
            <w:tcW w:w="1251" w:type="pct"/>
            <w:vAlign w:val="center"/>
          </w:tcPr>
          <w:p w14:paraId="2ABE4D7E"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Overall</w:t>
            </w:r>
            <w:r w:rsidRPr="00CD2448">
              <w:rPr>
                <w:rFonts w:ascii="Arial" w:hAnsi="Arial" w:cs="Arial"/>
                <w:b/>
                <w:bCs/>
                <w:color w:val="000000" w:themeColor="text1"/>
                <w:vertAlign w:val="superscript"/>
              </w:rPr>
              <w:br/>
              <w:t>(N=64)</w:t>
            </w:r>
          </w:p>
        </w:tc>
      </w:tr>
      <w:tr w:rsidR="002E7738" w:rsidRPr="00CD2448" w14:paraId="5EF14E90" w14:textId="77777777" w:rsidTr="00BF114C">
        <w:trPr>
          <w:trHeight w:val="290"/>
        </w:trPr>
        <w:tc>
          <w:tcPr>
            <w:tcW w:w="5000" w:type="pct"/>
            <w:gridSpan w:val="4"/>
            <w:vAlign w:val="center"/>
            <w:hideMark/>
          </w:tcPr>
          <w:p w14:paraId="279D772A"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Age</w:t>
            </w:r>
          </w:p>
        </w:tc>
      </w:tr>
      <w:tr w:rsidR="002E7738" w:rsidRPr="00CD2448" w14:paraId="01E9200C" w14:textId="77777777" w:rsidTr="00BF114C">
        <w:trPr>
          <w:trHeight w:val="280"/>
        </w:trPr>
        <w:tc>
          <w:tcPr>
            <w:tcW w:w="1249" w:type="pct"/>
            <w:vAlign w:val="center"/>
            <w:hideMark/>
          </w:tcPr>
          <w:p w14:paraId="6A5FCF0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Mean (SD)</w:t>
            </w:r>
          </w:p>
        </w:tc>
        <w:tc>
          <w:tcPr>
            <w:tcW w:w="1250" w:type="pct"/>
            <w:vAlign w:val="center"/>
            <w:hideMark/>
          </w:tcPr>
          <w:p w14:paraId="7895AB1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34.0 (10.6)</w:t>
            </w:r>
          </w:p>
        </w:tc>
        <w:tc>
          <w:tcPr>
            <w:tcW w:w="1250" w:type="pct"/>
            <w:vAlign w:val="center"/>
            <w:hideMark/>
          </w:tcPr>
          <w:p w14:paraId="20D154A5"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36.3 (10.1)</w:t>
            </w:r>
          </w:p>
        </w:tc>
        <w:tc>
          <w:tcPr>
            <w:tcW w:w="1251" w:type="pct"/>
            <w:vAlign w:val="center"/>
            <w:hideMark/>
          </w:tcPr>
          <w:p w14:paraId="19A8F5C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35.4 (10.3)</w:t>
            </w:r>
          </w:p>
        </w:tc>
      </w:tr>
      <w:tr w:rsidR="002E7738" w:rsidRPr="00CD2448" w14:paraId="1190B675" w14:textId="77777777" w:rsidTr="00BF114C">
        <w:trPr>
          <w:trHeight w:val="290"/>
        </w:trPr>
        <w:tc>
          <w:tcPr>
            <w:tcW w:w="5000" w:type="pct"/>
            <w:gridSpan w:val="4"/>
            <w:vAlign w:val="center"/>
            <w:hideMark/>
          </w:tcPr>
          <w:p w14:paraId="677F168B" w14:textId="12412522" w:rsidR="002E7738" w:rsidRPr="00CD2448" w:rsidRDefault="00062A9A"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Sex</w:t>
            </w:r>
          </w:p>
        </w:tc>
      </w:tr>
      <w:tr w:rsidR="002E7738" w:rsidRPr="00CD2448" w14:paraId="6664A129" w14:textId="77777777" w:rsidTr="00BF114C">
        <w:trPr>
          <w:trHeight w:val="290"/>
        </w:trPr>
        <w:tc>
          <w:tcPr>
            <w:tcW w:w="1249" w:type="pct"/>
            <w:vAlign w:val="center"/>
            <w:hideMark/>
          </w:tcPr>
          <w:p w14:paraId="77B4567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F</w:t>
            </w:r>
          </w:p>
        </w:tc>
        <w:tc>
          <w:tcPr>
            <w:tcW w:w="1250" w:type="pct"/>
            <w:vAlign w:val="center"/>
            <w:hideMark/>
          </w:tcPr>
          <w:p w14:paraId="5C65A9EF"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16 (64.0%)</w:t>
            </w:r>
          </w:p>
        </w:tc>
        <w:tc>
          <w:tcPr>
            <w:tcW w:w="1250" w:type="pct"/>
            <w:vAlign w:val="center"/>
            <w:hideMark/>
          </w:tcPr>
          <w:p w14:paraId="43351129"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23 (59.0%)</w:t>
            </w:r>
          </w:p>
        </w:tc>
        <w:tc>
          <w:tcPr>
            <w:tcW w:w="1251" w:type="pct"/>
            <w:vAlign w:val="center"/>
            <w:hideMark/>
          </w:tcPr>
          <w:p w14:paraId="65E03BD7"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39 (60.9%)</w:t>
            </w:r>
          </w:p>
        </w:tc>
      </w:tr>
      <w:tr w:rsidR="002E7738" w:rsidRPr="00CD2448" w14:paraId="29596ED1" w14:textId="77777777" w:rsidTr="00BF114C">
        <w:trPr>
          <w:trHeight w:val="280"/>
        </w:trPr>
        <w:tc>
          <w:tcPr>
            <w:tcW w:w="1249" w:type="pct"/>
            <w:vAlign w:val="center"/>
            <w:hideMark/>
          </w:tcPr>
          <w:p w14:paraId="3D879DFA"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M</w:t>
            </w:r>
          </w:p>
        </w:tc>
        <w:tc>
          <w:tcPr>
            <w:tcW w:w="1250" w:type="pct"/>
            <w:vAlign w:val="center"/>
            <w:hideMark/>
          </w:tcPr>
          <w:p w14:paraId="16C451DF"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9 (36.0%)</w:t>
            </w:r>
          </w:p>
        </w:tc>
        <w:tc>
          <w:tcPr>
            <w:tcW w:w="1250" w:type="pct"/>
            <w:vAlign w:val="center"/>
            <w:hideMark/>
          </w:tcPr>
          <w:p w14:paraId="04858785"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16 (41.0%)</w:t>
            </w:r>
          </w:p>
        </w:tc>
        <w:tc>
          <w:tcPr>
            <w:tcW w:w="1251" w:type="pct"/>
            <w:vAlign w:val="center"/>
            <w:hideMark/>
          </w:tcPr>
          <w:p w14:paraId="11ACB2F0"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25 (39.1%)</w:t>
            </w:r>
          </w:p>
        </w:tc>
      </w:tr>
      <w:tr w:rsidR="002E7738" w:rsidRPr="00CD2448" w14:paraId="134DE432" w14:textId="77777777" w:rsidTr="00BF114C">
        <w:trPr>
          <w:trHeight w:val="290"/>
        </w:trPr>
        <w:tc>
          <w:tcPr>
            <w:tcW w:w="5000" w:type="pct"/>
            <w:gridSpan w:val="4"/>
            <w:vAlign w:val="center"/>
            <w:hideMark/>
          </w:tcPr>
          <w:p w14:paraId="66FD024B"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BMI</w:t>
            </w:r>
          </w:p>
        </w:tc>
      </w:tr>
      <w:tr w:rsidR="002E7738" w:rsidRPr="00CD2448" w14:paraId="32C35384" w14:textId="77777777" w:rsidTr="00BF114C">
        <w:trPr>
          <w:trHeight w:val="280"/>
        </w:trPr>
        <w:tc>
          <w:tcPr>
            <w:tcW w:w="1249" w:type="pct"/>
            <w:vAlign w:val="center"/>
            <w:hideMark/>
          </w:tcPr>
          <w:p w14:paraId="2E3809B0"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Mean (SD)</w:t>
            </w:r>
          </w:p>
        </w:tc>
        <w:tc>
          <w:tcPr>
            <w:tcW w:w="1250" w:type="pct"/>
            <w:vAlign w:val="center"/>
            <w:hideMark/>
          </w:tcPr>
          <w:p w14:paraId="36D86F4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27.4 (4.51)</w:t>
            </w:r>
          </w:p>
        </w:tc>
        <w:tc>
          <w:tcPr>
            <w:tcW w:w="1250" w:type="pct"/>
            <w:vAlign w:val="center"/>
            <w:hideMark/>
          </w:tcPr>
          <w:p w14:paraId="283164BD"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27.5 (6.44)</w:t>
            </w:r>
          </w:p>
        </w:tc>
        <w:tc>
          <w:tcPr>
            <w:tcW w:w="1251" w:type="pct"/>
            <w:vAlign w:val="center"/>
            <w:hideMark/>
          </w:tcPr>
          <w:p w14:paraId="09F262C2"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27.5 (5.73)</w:t>
            </w:r>
          </w:p>
        </w:tc>
      </w:tr>
      <w:tr w:rsidR="002E7738" w:rsidRPr="00CD2448" w14:paraId="48755D9A" w14:textId="77777777" w:rsidTr="00BF114C">
        <w:trPr>
          <w:trHeight w:val="290"/>
        </w:trPr>
        <w:tc>
          <w:tcPr>
            <w:tcW w:w="5000" w:type="pct"/>
            <w:gridSpan w:val="4"/>
            <w:vAlign w:val="center"/>
            <w:hideMark/>
          </w:tcPr>
          <w:p w14:paraId="0A67BAC9"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Race or Ethnicity</w:t>
            </w:r>
          </w:p>
        </w:tc>
      </w:tr>
      <w:tr w:rsidR="002E7738" w:rsidRPr="00CD2448" w14:paraId="30693730" w14:textId="77777777" w:rsidTr="00BF114C">
        <w:trPr>
          <w:trHeight w:val="290"/>
        </w:trPr>
        <w:tc>
          <w:tcPr>
            <w:tcW w:w="1249" w:type="pct"/>
            <w:vAlign w:val="center"/>
            <w:hideMark/>
          </w:tcPr>
          <w:p w14:paraId="5994B9B5"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Asian</w:t>
            </w:r>
          </w:p>
        </w:tc>
        <w:tc>
          <w:tcPr>
            <w:tcW w:w="1250" w:type="pct"/>
            <w:vAlign w:val="center"/>
            <w:hideMark/>
          </w:tcPr>
          <w:p w14:paraId="39A529A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 (4.0%)</w:t>
            </w:r>
          </w:p>
        </w:tc>
        <w:tc>
          <w:tcPr>
            <w:tcW w:w="1250" w:type="pct"/>
            <w:vAlign w:val="center"/>
            <w:hideMark/>
          </w:tcPr>
          <w:p w14:paraId="103B976E"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 (2.6%)</w:t>
            </w:r>
          </w:p>
        </w:tc>
        <w:tc>
          <w:tcPr>
            <w:tcW w:w="1251" w:type="pct"/>
            <w:vAlign w:val="center"/>
            <w:hideMark/>
          </w:tcPr>
          <w:p w14:paraId="592D0D6F"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 (3.1%)</w:t>
            </w:r>
          </w:p>
        </w:tc>
      </w:tr>
      <w:tr w:rsidR="002E7738" w:rsidRPr="00CD2448" w14:paraId="6122135C" w14:textId="77777777" w:rsidTr="00BF114C">
        <w:trPr>
          <w:trHeight w:val="280"/>
        </w:trPr>
        <w:tc>
          <w:tcPr>
            <w:tcW w:w="1249" w:type="pct"/>
            <w:vAlign w:val="center"/>
            <w:hideMark/>
          </w:tcPr>
          <w:p w14:paraId="4F76FA70"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Black</w:t>
            </w:r>
          </w:p>
        </w:tc>
        <w:tc>
          <w:tcPr>
            <w:tcW w:w="1250" w:type="pct"/>
            <w:vAlign w:val="center"/>
            <w:hideMark/>
          </w:tcPr>
          <w:p w14:paraId="227277E7"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6 (24.0%)</w:t>
            </w:r>
          </w:p>
        </w:tc>
        <w:tc>
          <w:tcPr>
            <w:tcW w:w="1250" w:type="pct"/>
            <w:vAlign w:val="center"/>
            <w:hideMark/>
          </w:tcPr>
          <w:p w14:paraId="1C6E8AE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 (5.1%)</w:t>
            </w:r>
          </w:p>
        </w:tc>
        <w:tc>
          <w:tcPr>
            <w:tcW w:w="1251" w:type="pct"/>
            <w:vAlign w:val="center"/>
            <w:hideMark/>
          </w:tcPr>
          <w:p w14:paraId="57D352F3"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8 (12.5%)</w:t>
            </w:r>
          </w:p>
        </w:tc>
      </w:tr>
      <w:tr w:rsidR="002E7738" w:rsidRPr="00CD2448" w14:paraId="3CE1C41F" w14:textId="77777777" w:rsidTr="00BF114C">
        <w:trPr>
          <w:trHeight w:val="290"/>
        </w:trPr>
        <w:tc>
          <w:tcPr>
            <w:tcW w:w="1249" w:type="pct"/>
            <w:vAlign w:val="center"/>
            <w:hideMark/>
          </w:tcPr>
          <w:p w14:paraId="734D9D8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Hispanic</w:t>
            </w:r>
          </w:p>
        </w:tc>
        <w:tc>
          <w:tcPr>
            <w:tcW w:w="1250" w:type="pct"/>
            <w:vAlign w:val="center"/>
            <w:hideMark/>
          </w:tcPr>
          <w:p w14:paraId="03A0BCC7"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 (4.0%)</w:t>
            </w:r>
          </w:p>
        </w:tc>
        <w:tc>
          <w:tcPr>
            <w:tcW w:w="1250" w:type="pct"/>
            <w:vAlign w:val="center"/>
            <w:hideMark/>
          </w:tcPr>
          <w:p w14:paraId="4876E07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0 (0%)</w:t>
            </w:r>
          </w:p>
        </w:tc>
        <w:tc>
          <w:tcPr>
            <w:tcW w:w="1251" w:type="pct"/>
            <w:vAlign w:val="center"/>
            <w:hideMark/>
          </w:tcPr>
          <w:p w14:paraId="138DAAE5"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 (1.6%)</w:t>
            </w:r>
          </w:p>
        </w:tc>
      </w:tr>
      <w:tr w:rsidR="002E7738" w:rsidRPr="00CD2448" w14:paraId="5DEB927E" w14:textId="77777777" w:rsidTr="00BF114C">
        <w:trPr>
          <w:trHeight w:val="280"/>
        </w:trPr>
        <w:tc>
          <w:tcPr>
            <w:tcW w:w="1249" w:type="pct"/>
            <w:vAlign w:val="center"/>
            <w:hideMark/>
          </w:tcPr>
          <w:p w14:paraId="3C2DA431"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Multiple</w:t>
            </w:r>
          </w:p>
        </w:tc>
        <w:tc>
          <w:tcPr>
            <w:tcW w:w="1250" w:type="pct"/>
            <w:vAlign w:val="center"/>
            <w:hideMark/>
          </w:tcPr>
          <w:p w14:paraId="3E00B7DA"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 (4.0%)</w:t>
            </w:r>
          </w:p>
        </w:tc>
        <w:tc>
          <w:tcPr>
            <w:tcW w:w="1250" w:type="pct"/>
            <w:vAlign w:val="center"/>
            <w:hideMark/>
          </w:tcPr>
          <w:p w14:paraId="3C9A0E0C"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 (5.1%)</w:t>
            </w:r>
          </w:p>
        </w:tc>
        <w:tc>
          <w:tcPr>
            <w:tcW w:w="1251" w:type="pct"/>
            <w:vAlign w:val="center"/>
            <w:hideMark/>
          </w:tcPr>
          <w:p w14:paraId="7D19B2C1"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 (4.7%)</w:t>
            </w:r>
          </w:p>
        </w:tc>
      </w:tr>
      <w:tr w:rsidR="002E7738" w:rsidRPr="00CD2448" w14:paraId="228845C4" w14:textId="77777777" w:rsidTr="00BF114C">
        <w:trPr>
          <w:trHeight w:val="290"/>
        </w:trPr>
        <w:tc>
          <w:tcPr>
            <w:tcW w:w="1249" w:type="pct"/>
            <w:vAlign w:val="center"/>
            <w:hideMark/>
          </w:tcPr>
          <w:p w14:paraId="315FD9B2"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White</w:t>
            </w:r>
          </w:p>
        </w:tc>
        <w:tc>
          <w:tcPr>
            <w:tcW w:w="1250" w:type="pct"/>
            <w:vAlign w:val="center"/>
            <w:hideMark/>
          </w:tcPr>
          <w:p w14:paraId="452F470C"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16 (64.0%)</w:t>
            </w:r>
          </w:p>
        </w:tc>
        <w:tc>
          <w:tcPr>
            <w:tcW w:w="1250" w:type="pct"/>
            <w:vAlign w:val="center"/>
            <w:hideMark/>
          </w:tcPr>
          <w:p w14:paraId="41C578D7"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33 (84.6%)</w:t>
            </w:r>
          </w:p>
        </w:tc>
        <w:tc>
          <w:tcPr>
            <w:tcW w:w="1251" w:type="pct"/>
            <w:vAlign w:val="center"/>
            <w:hideMark/>
          </w:tcPr>
          <w:p w14:paraId="4FB9B602"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49 (76.6%)</w:t>
            </w:r>
          </w:p>
        </w:tc>
      </w:tr>
      <w:tr w:rsidR="002E7738" w:rsidRPr="00CD2448" w14:paraId="6F070DF8" w14:textId="77777777" w:rsidTr="00BF114C">
        <w:trPr>
          <w:trHeight w:val="290"/>
        </w:trPr>
        <w:tc>
          <w:tcPr>
            <w:tcW w:w="5000" w:type="pct"/>
            <w:gridSpan w:val="4"/>
            <w:vAlign w:val="center"/>
          </w:tcPr>
          <w:p w14:paraId="60E93E47"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Baseline MADRS</w:t>
            </w:r>
          </w:p>
        </w:tc>
      </w:tr>
      <w:tr w:rsidR="002E7738" w:rsidRPr="00CD2448" w14:paraId="5D07DBF6" w14:textId="77777777" w:rsidTr="00BF114C">
        <w:trPr>
          <w:trHeight w:val="280"/>
        </w:trPr>
        <w:tc>
          <w:tcPr>
            <w:tcW w:w="1249" w:type="pct"/>
            <w:vAlign w:val="center"/>
            <w:hideMark/>
          </w:tcPr>
          <w:p w14:paraId="7CAFDDAC"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Mean (SD)</w:t>
            </w:r>
          </w:p>
        </w:tc>
        <w:tc>
          <w:tcPr>
            <w:tcW w:w="1250" w:type="pct"/>
            <w:vAlign w:val="center"/>
            <w:hideMark/>
          </w:tcPr>
          <w:p w14:paraId="01D815FC"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1.48 (1.64)</w:t>
            </w:r>
          </w:p>
        </w:tc>
        <w:tc>
          <w:tcPr>
            <w:tcW w:w="1250" w:type="pct"/>
            <w:vAlign w:val="center"/>
            <w:hideMark/>
          </w:tcPr>
          <w:p w14:paraId="59D019D2"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33.4 (4.52)</w:t>
            </w:r>
          </w:p>
        </w:tc>
        <w:tc>
          <w:tcPr>
            <w:tcW w:w="1251" w:type="pct"/>
            <w:vAlign w:val="center"/>
            <w:hideMark/>
          </w:tcPr>
          <w:p w14:paraId="1F7B6CC1"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20.9 (16.1)</w:t>
            </w:r>
          </w:p>
        </w:tc>
      </w:tr>
      <w:tr w:rsidR="002E7738" w:rsidRPr="00CD2448" w14:paraId="1E2782E3" w14:textId="77777777" w:rsidTr="00BF114C">
        <w:trPr>
          <w:trHeight w:val="280"/>
        </w:trPr>
        <w:tc>
          <w:tcPr>
            <w:tcW w:w="5000" w:type="pct"/>
            <w:gridSpan w:val="4"/>
            <w:vAlign w:val="center"/>
          </w:tcPr>
          <w:p w14:paraId="118E60E2"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TRD Treatment History (N=39)</w:t>
            </w:r>
          </w:p>
        </w:tc>
      </w:tr>
      <w:tr w:rsidR="002E7738" w:rsidRPr="00CD2448" w14:paraId="44867254" w14:textId="77777777" w:rsidTr="00BF114C">
        <w:trPr>
          <w:trHeight w:val="290"/>
        </w:trPr>
        <w:tc>
          <w:tcPr>
            <w:tcW w:w="2499" w:type="pct"/>
            <w:gridSpan w:val="2"/>
            <w:vAlign w:val="center"/>
          </w:tcPr>
          <w:p w14:paraId="6CD50E90" w14:textId="43310BFB"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Total Failed A</w:t>
            </w:r>
            <w:r w:rsidR="00215E43" w:rsidRPr="00CD2448">
              <w:rPr>
                <w:rFonts w:ascii="Arial" w:hAnsi="Arial" w:cs="Arial"/>
                <w:b/>
                <w:bCs/>
                <w:color w:val="000000" w:themeColor="text1"/>
                <w:vertAlign w:val="superscript"/>
              </w:rPr>
              <w:t>ntidepressant</w:t>
            </w:r>
            <w:r w:rsidRPr="00CD2448">
              <w:rPr>
                <w:rFonts w:ascii="Arial" w:hAnsi="Arial" w:cs="Arial"/>
                <w:b/>
                <w:bCs/>
                <w:color w:val="000000" w:themeColor="text1"/>
                <w:vertAlign w:val="superscript"/>
              </w:rPr>
              <w:t xml:space="preserve"> Trials (Mean (SD))</w:t>
            </w:r>
          </w:p>
        </w:tc>
        <w:tc>
          <w:tcPr>
            <w:tcW w:w="2501" w:type="pct"/>
            <w:gridSpan w:val="2"/>
            <w:vAlign w:val="center"/>
          </w:tcPr>
          <w:p w14:paraId="449C8AD2"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4.95 (2.93)</w:t>
            </w:r>
          </w:p>
        </w:tc>
      </w:tr>
      <w:tr w:rsidR="002E7738" w:rsidRPr="00CD2448" w14:paraId="2B92C374" w14:textId="77777777" w:rsidTr="00BF114C">
        <w:trPr>
          <w:trHeight w:val="280"/>
        </w:trPr>
        <w:tc>
          <w:tcPr>
            <w:tcW w:w="2499" w:type="pct"/>
            <w:gridSpan w:val="2"/>
            <w:vAlign w:val="center"/>
          </w:tcPr>
          <w:p w14:paraId="74DCEAC3"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Failed Augmentation Trials (Mean (SD))</w:t>
            </w:r>
          </w:p>
        </w:tc>
        <w:tc>
          <w:tcPr>
            <w:tcW w:w="2501" w:type="pct"/>
            <w:gridSpan w:val="2"/>
            <w:vAlign w:val="center"/>
          </w:tcPr>
          <w:p w14:paraId="5A272A68"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3.32 (3.03)</w:t>
            </w:r>
          </w:p>
        </w:tc>
      </w:tr>
      <w:tr w:rsidR="002E7738" w:rsidRPr="00CD2448" w14:paraId="35CE7BF7" w14:textId="77777777" w:rsidTr="00BF114C">
        <w:trPr>
          <w:trHeight w:val="290"/>
        </w:trPr>
        <w:tc>
          <w:tcPr>
            <w:tcW w:w="2499" w:type="pct"/>
            <w:gridSpan w:val="2"/>
            <w:vAlign w:val="center"/>
          </w:tcPr>
          <w:p w14:paraId="386113A8" w14:textId="38B6E94F"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Received Lithium Augmentation</w:t>
            </w:r>
            <w:r w:rsidR="00A72B56" w:rsidRPr="00CD2448">
              <w:rPr>
                <w:rFonts w:ascii="Arial" w:hAnsi="Arial" w:cs="Arial"/>
                <w:b/>
                <w:bCs/>
                <w:color w:val="000000" w:themeColor="text1"/>
                <w:vertAlign w:val="superscript"/>
              </w:rPr>
              <w:t xml:space="preserve"> (</w:t>
            </w:r>
            <w:r w:rsidRPr="00CD2448">
              <w:rPr>
                <w:rFonts w:ascii="Arial" w:hAnsi="Arial" w:cs="Arial"/>
                <w:b/>
                <w:bCs/>
                <w:color w:val="000000" w:themeColor="text1"/>
                <w:vertAlign w:val="superscript"/>
              </w:rPr>
              <w:t xml:space="preserve"> (n, (%))</w:t>
            </w:r>
          </w:p>
        </w:tc>
        <w:tc>
          <w:tcPr>
            <w:tcW w:w="2501" w:type="pct"/>
            <w:gridSpan w:val="2"/>
            <w:vAlign w:val="center"/>
          </w:tcPr>
          <w:p w14:paraId="7F3BD7B0"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16 (41.0%)</w:t>
            </w:r>
          </w:p>
        </w:tc>
      </w:tr>
      <w:tr w:rsidR="002E7738" w:rsidRPr="00CD2448" w14:paraId="065D358A" w14:textId="77777777" w:rsidTr="00BF114C">
        <w:trPr>
          <w:trHeight w:val="290"/>
        </w:trPr>
        <w:tc>
          <w:tcPr>
            <w:tcW w:w="2499" w:type="pct"/>
            <w:gridSpan w:val="2"/>
            <w:vAlign w:val="center"/>
          </w:tcPr>
          <w:p w14:paraId="4D768454"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Prior ECT Treatment (n, (%))</w:t>
            </w:r>
          </w:p>
        </w:tc>
        <w:tc>
          <w:tcPr>
            <w:tcW w:w="2501" w:type="pct"/>
            <w:gridSpan w:val="2"/>
            <w:vAlign w:val="center"/>
          </w:tcPr>
          <w:p w14:paraId="56BF5CF0"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10 (25.6%)</w:t>
            </w:r>
          </w:p>
        </w:tc>
      </w:tr>
      <w:tr w:rsidR="002E7738" w:rsidRPr="00CD2448" w14:paraId="24A29076" w14:textId="77777777" w:rsidTr="00BF114C">
        <w:trPr>
          <w:trHeight w:val="280"/>
        </w:trPr>
        <w:tc>
          <w:tcPr>
            <w:tcW w:w="2499" w:type="pct"/>
            <w:gridSpan w:val="2"/>
            <w:vAlign w:val="center"/>
          </w:tcPr>
          <w:p w14:paraId="40DB9426"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 xml:space="preserve">Past Suicide Attempts </w:t>
            </w:r>
            <w:r w:rsidRPr="00CD2448">
              <w:rPr>
                <w:rFonts w:ascii="Arial" w:hAnsi="Arial" w:cs="Arial"/>
                <w:color w:val="000000" w:themeColor="text1"/>
                <w:vertAlign w:val="superscript"/>
              </w:rPr>
              <w:t>(</w:t>
            </w:r>
            <w:r w:rsidRPr="00CD2448">
              <w:rPr>
                <w:rFonts w:ascii="Arial" w:hAnsi="Arial" w:cs="Arial"/>
                <w:b/>
                <w:bCs/>
                <w:color w:val="000000" w:themeColor="text1"/>
                <w:vertAlign w:val="superscript"/>
              </w:rPr>
              <w:t>Mean (SD))</w:t>
            </w:r>
          </w:p>
        </w:tc>
        <w:tc>
          <w:tcPr>
            <w:tcW w:w="2501" w:type="pct"/>
            <w:gridSpan w:val="2"/>
            <w:vAlign w:val="center"/>
          </w:tcPr>
          <w:p w14:paraId="42CF454E"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0.474 (0.725)</w:t>
            </w:r>
          </w:p>
        </w:tc>
      </w:tr>
      <w:tr w:rsidR="002E7738" w:rsidRPr="00CD2448" w14:paraId="410B9E7C" w14:textId="77777777" w:rsidTr="00BF114C">
        <w:trPr>
          <w:trHeight w:val="290"/>
        </w:trPr>
        <w:tc>
          <w:tcPr>
            <w:tcW w:w="2499" w:type="pct"/>
            <w:gridSpan w:val="2"/>
            <w:vAlign w:val="center"/>
          </w:tcPr>
          <w:p w14:paraId="0B8CD184"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Past Hospital Admissions</w:t>
            </w:r>
            <w:r w:rsidRPr="00CD2448">
              <w:rPr>
                <w:rFonts w:ascii="Arial" w:hAnsi="Arial" w:cs="Arial"/>
                <w:color w:val="000000" w:themeColor="text1"/>
                <w:vertAlign w:val="superscript"/>
              </w:rPr>
              <w:t xml:space="preserve"> (</w:t>
            </w:r>
            <w:r w:rsidRPr="00CD2448">
              <w:rPr>
                <w:rFonts w:ascii="Arial" w:hAnsi="Arial" w:cs="Arial"/>
                <w:b/>
                <w:bCs/>
                <w:color w:val="000000" w:themeColor="text1"/>
                <w:vertAlign w:val="superscript"/>
              </w:rPr>
              <w:t>Mean (SD))</w:t>
            </w:r>
          </w:p>
        </w:tc>
        <w:tc>
          <w:tcPr>
            <w:tcW w:w="2501" w:type="pct"/>
            <w:gridSpan w:val="2"/>
            <w:vAlign w:val="center"/>
          </w:tcPr>
          <w:p w14:paraId="344E75D8"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1.45 (1.72)</w:t>
            </w:r>
          </w:p>
        </w:tc>
      </w:tr>
      <w:tr w:rsidR="002E7738" w:rsidRPr="00CD2448" w14:paraId="179269A1" w14:textId="77777777" w:rsidTr="00BF114C">
        <w:trPr>
          <w:trHeight w:val="280"/>
        </w:trPr>
        <w:tc>
          <w:tcPr>
            <w:tcW w:w="2499" w:type="pct"/>
            <w:gridSpan w:val="2"/>
            <w:vAlign w:val="center"/>
            <w:hideMark/>
          </w:tcPr>
          <w:p w14:paraId="75CBCBAB"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History of Trauma, Abuse, or Neglect</w:t>
            </w:r>
          </w:p>
        </w:tc>
        <w:tc>
          <w:tcPr>
            <w:tcW w:w="2501" w:type="pct"/>
            <w:gridSpan w:val="2"/>
            <w:vAlign w:val="center"/>
          </w:tcPr>
          <w:p w14:paraId="26514A0C"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18 (46.2%)</w:t>
            </w:r>
          </w:p>
        </w:tc>
      </w:tr>
      <w:tr w:rsidR="002E7738" w:rsidRPr="00CD2448" w14:paraId="2ADAE9DF" w14:textId="77777777" w:rsidTr="00BF114C">
        <w:trPr>
          <w:trHeight w:val="290"/>
        </w:trPr>
        <w:tc>
          <w:tcPr>
            <w:tcW w:w="2499" w:type="pct"/>
            <w:gridSpan w:val="2"/>
            <w:vAlign w:val="center"/>
            <w:hideMark/>
          </w:tcPr>
          <w:p w14:paraId="66EB12F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History of Polytrauma</w:t>
            </w:r>
          </w:p>
        </w:tc>
        <w:tc>
          <w:tcPr>
            <w:tcW w:w="2501" w:type="pct"/>
            <w:gridSpan w:val="2"/>
            <w:vAlign w:val="center"/>
          </w:tcPr>
          <w:p w14:paraId="6343608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6 (15.4%)</w:t>
            </w:r>
          </w:p>
        </w:tc>
      </w:tr>
      <w:tr w:rsidR="002E7738" w:rsidRPr="00CD2448" w14:paraId="45388635" w14:textId="77777777" w:rsidTr="00BF114C">
        <w:trPr>
          <w:trHeight w:val="280"/>
        </w:trPr>
        <w:tc>
          <w:tcPr>
            <w:tcW w:w="2499" w:type="pct"/>
            <w:gridSpan w:val="2"/>
            <w:vAlign w:val="center"/>
            <w:hideMark/>
          </w:tcPr>
          <w:p w14:paraId="2B4AC6C9"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Illness Duration (Mean Years (SD))</w:t>
            </w:r>
          </w:p>
        </w:tc>
        <w:tc>
          <w:tcPr>
            <w:tcW w:w="2501" w:type="pct"/>
            <w:gridSpan w:val="2"/>
            <w:vAlign w:val="center"/>
          </w:tcPr>
          <w:p w14:paraId="6EB8DE64"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color w:val="000000" w:themeColor="text1"/>
                <w:vertAlign w:val="superscript"/>
              </w:rPr>
              <w:t>22.1 (11.6)</w:t>
            </w:r>
          </w:p>
        </w:tc>
      </w:tr>
      <w:tr w:rsidR="002E7738" w:rsidRPr="00CD2448" w14:paraId="54F2A580" w14:textId="77777777" w:rsidTr="00BF114C">
        <w:trPr>
          <w:trHeight w:val="290"/>
        </w:trPr>
        <w:tc>
          <w:tcPr>
            <w:tcW w:w="2499" w:type="pct"/>
            <w:gridSpan w:val="2"/>
            <w:vAlign w:val="center"/>
            <w:hideMark/>
          </w:tcPr>
          <w:p w14:paraId="24817E0A"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Currently Unemployed (n, (%))</w:t>
            </w:r>
          </w:p>
        </w:tc>
        <w:tc>
          <w:tcPr>
            <w:tcW w:w="2501" w:type="pct"/>
            <w:gridSpan w:val="2"/>
            <w:vAlign w:val="center"/>
          </w:tcPr>
          <w:p w14:paraId="16CD16DC"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color w:val="000000" w:themeColor="text1"/>
                <w:vertAlign w:val="superscript"/>
              </w:rPr>
              <w:t>33 (84.6%)</w:t>
            </w:r>
          </w:p>
        </w:tc>
      </w:tr>
      <w:tr w:rsidR="002E7738" w:rsidRPr="00CD2448" w14:paraId="4ED3F01F" w14:textId="77777777" w:rsidTr="00BF114C">
        <w:trPr>
          <w:trHeight w:val="290"/>
        </w:trPr>
        <w:tc>
          <w:tcPr>
            <w:tcW w:w="2499" w:type="pct"/>
            <w:gridSpan w:val="2"/>
            <w:vAlign w:val="center"/>
            <w:hideMark/>
          </w:tcPr>
          <w:p w14:paraId="7BC40673"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On Disability (n, (%))</w:t>
            </w:r>
          </w:p>
        </w:tc>
        <w:tc>
          <w:tcPr>
            <w:tcW w:w="2501" w:type="pct"/>
            <w:gridSpan w:val="2"/>
            <w:vAlign w:val="center"/>
          </w:tcPr>
          <w:p w14:paraId="2A3859A6"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4 (10.3%)</w:t>
            </w:r>
          </w:p>
        </w:tc>
      </w:tr>
      <w:tr w:rsidR="002E7738" w:rsidRPr="00CD2448" w14:paraId="6E3BBB60" w14:textId="77777777" w:rsidTr="00BF114C">
        <w:trPr>
          <w:trHeight w:val="280"/>
        </w:trPr>
        <w:tc>
          <w:tcPr>
            <w:tcW w:w="2499" w:type="pct"/>
            <w:gridSpan w:val="2"/>
            <w:vAlign w:val="center"/>
            <w:hideMark/>
          </w:tcPr>
          <w:p w14:paraId="33AFC5A8"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b/>
                <w:bCs/>
                <w:color w:val="000000" w:themeColor="text1"/>
                <w:vertAlign w:val="superscript"/>
              </w:rPr>
              <w:t>Family History of Mood Disorder (n, (%))</w:t>
            </w:r>
          </w:p>
        </w:tc>
        <w:tc>
          <w:tcPr>
            <w:tcW w:w="2501" w:type="pct"/>
            <w:gridSpan w:val="2"/>
            <w:vAlign w:val="center"/>
          </w:tcPr>
          <w:p w14:paraId="793E8330" w14:textId="77777777" w:rsidR="002E7738" w:rsidRPr="00CD2448" w:rsidRDefault="002E7738" w:rsidP="007F3F8E">
            <w:pPr>
              <w:jc w:val="both"/>
              <w:rPr>
                <w:rFonts w:ascii="Arial" w:hAnsi="Arial" w:cs="Arial"/>
                <w:b/>
                <w:bCs/>
                <w:color w:val="000000" w:themeColor="text1"/>
                <w:vertAlign w:val="superscript"/>
              </w:rPr>
            </w:pPr>
            <w:r w:rsidRPr="00CD2448">
              <w:rPr>
                <w:rFonts w:ascii="Arial" w:hAnsi="Arial" w:cs="Arial"/>
                <w:color w:val="000000" w:themeColor="text1"/>
                <w:vertAlign w:val="superscript"/>
              </w:rPr>
              <w:t>32 (82.1%)</w:t>
            </w:r>
          </w:p>
        </w:tc>
      </w:tr>
      <w:tr w:rsidR="002E7738" w:rsidRPr="00CD2448" w14:paraId="2D92F312" w14:textId="77777777" w:rsidTr="00BF114C">
        <w:trPr>
          <w:trHeight w:val="290"/>
        </w:trPr>
        <w:tc>
          <w:tcPr>
            <w:tcW w:w="5000" w:type="pct"/>
            <w:gridSpan w:val="4"/>
            <w:vAlign w:val="center"/>
          </w:tcPr>
          <w:p w14:paraId="04904425"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b/>
                <w:bCs/>
                <w:color w:val="000000" w:themeColor="text1"/>
                <w:vertAlign w:val="superscript"/>
              </w:rPr>
              <w:t>Placebo Response Rates in Study (NCT00088699)</w:t>
            </w:r>
          </w:p>
        </w:tc>
      </w:tr>
      <w:tr w:rsidR="002E7738" w:rsidRPr="00CD2448" w14:paraId="4A1D32AC" w14:textId="77777777" w:rsidTr="00BF114C">
        <w:trPr>
          <w:trHeight w:val="280"/>
        </w:trPr>
        <w:tc>
          <w:tcPr>
            <w:tcW w:w="2499" w:type="pct"/>
            <w:gridSpan w:val="2"/>
            <w:vAlign w:val="center"/>
          </w:tcPr>
          <w:p w14:paraId="7983B2C8"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Any &gt;50% Improvement in MADRS (4hr to 3d) after Placebo</w:t>
            </w:r>
          </w:p>
        </w:tc>
        <w:tc>
          <w:tcPr>
            <w:tcW w:w="2501" w:type="pct"/>
            <w:gridSpan w:val="2"/>
            <w:vAlign w:val="center"/>
          </w:tcPr>
          <w:p w14:paraId="4C6E9A2B"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0 (0%)</w:t>
            </w:r>
          </w:p>
        </w:tc>
      </w:tr>
      <w:tr w:rsidR="002E7738" w:rsidRPr="00CD2448" w14:paraId="761881B4" w14:textId="77777777" w:rsidTr="00BF114C">
        <w:trPr>
          <w:trHeight w:val="290"/>
        </w:trPr>
        <w:tc>
          <w:tcPr>
            <w:tcW w:w="2499" w:type="pct"/>
            <w:gridSpan w:val="2"/>
            <w:vAlign w:val="center"/>
          </w:tcPr>
          <w:p w14:paraId="5D2DBC29"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Any &gt;25% Improvement in MADRS (4hr to 3d) after Placebo</w:t>
            </w:r>
          </w:p>
        </w:tc>
        <w:tc>
          <w:tcPr>
            <w:tcW w:w="2501" w:type="pct"/>
            <w:gridSpan w:val="2"/>
            <w:vAlign w:val="center"/>
          </w:tcPr>
          <w:p w14:paraId="3E985C44" w14:textId="77777777" w:rsidR="002E7738" w:rsidRPr="00CD2448" w:rsidRDefault="002E7738" w:rsidP="007F3F8E">
            <w:pPr>
              <w:jc w:val="both"/>
              <w:rPr>
                <w:rFonts w:ascii="Arial" w:hAnsi="Arial" w:cs="Arial"/>
                <w:color w:val="000000" w:themeColor="text1"/>
                <w:vertAlign w:val="superscript"/>
              </w:rPr>
            </w:pPr>
            <w:r w:rsidRPr="00CD2448">
              <w:rPr>
                <w:rFonts w:ascii="Arial" w:hAnsi="Arial" w:cs="Arial"/>
                <w:color w:val="000000" w:themeColor="text1"/>
                <w:vertAlign w:val="superscript"/>
              </w:rPr>
              <w:t>1(2.8%)</w:t>
            </w:r>
          </w:p>
        </w:tc>
      </w:tr>
    </w:tbl>
    <w:bookmarkEnd w:id="49"/>
    <w:p w14:paraId="6E065DE0" w14:textId="0123E470" w:rsidR="00A51F11" w:rsidRPr="00CD2448" w:rsidRDefault="006D57F0" w:rsidP="00F84119">
      <w:pPr>
        <w:pStyle w:val="NormalWeb"/>
        <w:spacing w:line="276" w:lineRule="auto"/>
        <w:rPr>
          <w:rFonts w:ascii="Arial" w:eastAsiaTheme="majorEastAsia" w:hAnsi="Arial" w:cs="Arial"/>
          <w:color w:val="000000" w:themeColor="text1"/>
          <w:sz w:val="20"/>
          <w:szCs w:val="20"/>
        </w:rPr>
      </w:pPr>
      <w:r w:rsidRPr="00CD2448">
        <w:rPr>
          <w:rFonts w:ascii="Arial" w:eastAsiaTheme="majorEastAsia" w:hAnsi="Arial" w:cs="Arial"/>
          <w:color w:val="000000" w:themeColor="text1"/>
          <w:sz w:val="20"/>
          <w:szCs w:val="20"/>
        </w:rPr>
        <w:t>Abbreviations: TRD: treatment-resistant depression; HV: healthy volunteer; BMI: body-mass index; MADRS: Montgomery-</w:t>
      </w:r>
      <w:proofErr w:type="spellStart"/>
      <w:r w:rsidRPr="00CD2448">
        <w:rPr>
          <w:rFonts w:ascii="Arial" w:eastAsiaTheme="majorEastAsia" w:hAnsi="Arial" w:cs="Arial"/>
          <w:color w:val="000000" w:themeColor="text1"/>
          <w:sz w:val="20"/>
          <w:szCs w:val="20"/>
        </w:rPr>
        <w:t>Åsberg</w:t>
      </w:r>
      <w:proofErr w:type="spellEnd"/>
      <w:r w:rsidRPr="00CD2448">
        <w:rPr>
          <w:rFonts w:ascii="Arial" w:eastAsiaTheme="majorEastAsia" w:hAnsi="Arial" w:cs="Arial"/>
          <w:color w:val="000000" w:themeColor="text1"/>
          <w:sz w:val="20"/>
          <w:szCs w:val="20"/>
        </w:rPr>
        <w:t xml:space="preserve"> Depression Rating Scale; ECT: electroconvulsive therapy.</w:t>
      </w:r>
    </w:p>
    <w:p w14:paraId="3D895473" w14:textId="77777777" w:rsidR="00880F36" w:rsidRPr="00CD2448" w:rsidRDefault="00880F36">
      <w:pPr>
        <w:spacing w:after="160" w:line="278" w:lineRule="auto"/>
        <w:rPr>
          <w:rFonts w:ascii="Arial" w:hAnsi="Arial" w:cs="Arial"/>
          <w:b/>
          <w:bCs/>
          <w:color w:val="000000" w:themeColor="text1"/>
          <w:sz w:val="20"/>
          <w:szCs w:val="20"/>
        </w:rPr>
      </w:pPr>
      <w:r w:rsidRPr="00CD2448">
        <w:rPr>
          <w:rFonts w:ascii="Arial" w:hAnsi="Arial" w:cs="Arial"/>
          <w:b/>
          <w:bCs/>
          <w:color w:val="000000" w:themeColor="text1"/>
          <w:sz w:val="20"/>
          <w:szCs w:val="20"/>
        </w:rPr>
        <w:br w:type="page"/>
      </w:r>
    </w:p>
    <w:p w14:paraId="14FA525D" w14:textId="4CBC2DF9" w:rsidR="00220895" w:rsidRPr="00CD2448" w:rsidRDefault="005456A3" w:rsidP="00744224">
      <w:pPr>
        <w:spacing w:line="278" w:lineRule="auto"/>
        <w:rPr>
          <w:rFonts w:ascii="Arial" w:hAnsi="Arial" w:cs="Arial"/>
          <w:b/>
          <w:bCs/>
          <w:color w:val="000000" w:themeColor="text1"/>
          <w:sz w:val="20"/>
          <w:szCs w:val="20"/>
        </w:rPr>
      </w:pPr>
      <w:r w:rsidRPr="00CD2448">
        <w:rPr>
          <w:rFonts w:ascii="Arial" w:hAnsi="Arial" w:cs="Arial"/>
          <w:b/>
          <w:bCs/>
          <w:color w:val="000000" w:themeColor="text1"/>
          <w:sz w:val="20"/>
          <w:szCs w:val="20"/>
        </w:rPr>
        <w:lastRenderedPageBreak/>
        <w:t xml:space="preserve">Supplementary </w:t>
      </w:r>
      <w:r w:rsidR="00660ACD" w:rsidRPr="00CD2448">
        <w:rPr>
          <w:rFonts w:ascii="Arial" w:hAnsi="Arial" w:cs="Arial"/>
          <w:b/>
          <w:bCs/>
          <w:color w:val="000000" w:themeColor="text1"/>
          <w:sz w:val="20"/>
          <w:szCs w:val="20"/>
        </w:rPr>
        <w:t xml:space="preserve">Table S4. Demographic and Clinical Characteristics by Study Cohort and Dataset. </w:t>
      </w:r>
      <w:r w:rsidR="00660ACD" w:rsidRPr="00CD2448">
        <w:rPr>
          <w:rFonts w:ascii="Arial" w:hAnsi="Arial" w:cs="Arial"/>
          <w:color w:val="000000" w:themeColor="text1"/>
          <w:sz w:val="20"/>
          <w:szCs w:val="20"/>
        </w:rPr>
        <w:t>Demographic and clinical characteristics are presented separately for each cohort and diagnostic group contributing data to the analyses. Cohorts derived from the KMOA randomized crossover trial (NCT00088699; blood RNA, MEG, plasma cytokines) may overlap, as individual patients contributed data across multiple modalities; iPSC and CSF cohorts are independent. Age, sex, BMI, and race/ethnicity are reported for all cohorts; clinical and illness-severity variables are reported for TRD cohorts only (</w:t>
      </w:r>
      <w:r w:rsidR="00E95115" w:rsidRPr="00CD2448">
        <w:rPr>
          <w:rFonts w:ascii="Arial" w:hAnsi="Arial" w:cs="Arial"/>
          <w:color w:val="000000" w:themeColor="text1"/>
          <w:sz w:val="20"/>
          <w:szCs w:val="20"/>
        </w:rPr>
        <w:t>“</w:t>
      </w:r>
      <w:r w:rsidR="00660ACD" w:rsidRPr="00CD2448">
        <w:rPr>
          <w:rFonts w:ascii="Arial" w:hAnsi="Arial" w:cs="Arial"/>
          <w:color w:val="000000" w:themeColor="text1"/>
          <w:sz w:val="20"/>
          <w:szCs w:val="20"/>
        </w:rPr>
        <w:t>—</w:t>
      </w:r>
      <w:r w:rsidR="00E95115" w:rsidRPr="00CD2448">
        <w:rPr>
          <w:rFonts w:ascii="Arial" w:hAnsi="Arial" w:cs="Arial"/>
          <w:color w:val="000000" w:themeColor="text1"/>
          <w:sz w:val="20"/>
          <w:szCs w:val="20"/>
        </w:rPr>
        <w:t>"</w:t>
      </w:r>
      <w:r w:rsidR="00660ACD" w:rsidRPr="00CD2448">
        <w:rPr>
          <w:rFonts w:ascii="Arial" w:hAnsi="Arial" w:cs="Arial"/>
          <w:color w:val="000000" w:themeColor="text1"/>
          <w:sz w:val="20"/>
          <w:szCs w:val="20"/>
        </w:rPr>
        <w:t xml:space="preserve"> indicates not applicable for HV cohorts). BMI was not collected </w:t>
      </w:r>
      <w:r w:rsidR="00635A88" w:rsidRPr="00CD2448">
        <w:rPr>
          <w:rFonts w:ascii="Arial" w:hAnsi="Arial" w:cs="Arial"/>
          <w:color w:val="000000" w:themeColor="text1"/>
          <w:sz w:val="20"/>
          <w:szCs w:val="20"/>
        </w:rPr>
        <w:t xml:space="preserve">(NC) </w:t>
      </w:r>
      <w:r w:rsidR="00660ACD" w:rsidRPr="00CD2448">
        <w:rPr>
          <w:rFonts w:ascii="Arial" w:hAnsi="Arial" w:cs="Arial"/>
          <w:color w:val="000000" w:themeColor="text1"/>
          <w:sz w:val="20"/>
          <w:szCs w:val="20"/>
        </w:rPr>
        <w:t>for iPSC-HV</w:t>
      </w:r>
      <w:r w:rsidR="00635A88" w:rsidRPr="00CD2448">
        <w:rPr>
          <w:rFonts w:ascii="Arial" w:hAnsi="Arial" w:cs="Arial"/>
          <w:color w:val="000000" w:themeColor="text1"/>
          <w:sz w:val="20"/>
          <w:szCs w:val="20"/>
        </w:rPr>
        <w:t>s</w:t>
      </w:r>
      <w:r w:rsidR="00660ACD" w:rsidRPr="00CD2448">
        <w:rPr>
          <w:rFonts w:ascii="Arial" w:hAnsi="Arial" w:cs="Arial"/>
          <w:color w:val="000000" w:themeColor="text1"/>
          <w:sz w:val="20"/>
          <w:szCs w:val="20"/>
        </w:rPr>
        <w:t xml:space="preserve"> per protocol and </w:t>
      </w:r>
      <w:r w:rsidR="00635A88" w:rsidRPr="00CD2448">
        <w:rPr>
          <w:rFonts w:ascii="Arial" w:hAnsi="Arial" w:cs="Arial"/>
          <w:color w:val="000000" w:themeColor="text1"/>
          <w:sz w:val="20"/>
          <w:szCs w:val="20"/>
        </w:rPr>
        <w:t xml:space="preserve">is </w:t>
      </w:r>
      <w:r w:rsidR="00660ACD" w:rsidRPr="00CD2448">
        <w:rPr>
          <w:rFonts w:ascii="Arial" w:hAnsi="Arial" w:cs="Arial"/>
          <w:color w:val="000000" w:themeColor="text1"/>
          <w:sz w:val="20"/>
          <w:szCs w:val="20"/>
        </w:rPr>
        <w:t xml:space="preserve">not reported </w:t>
      </w:r>
      <w:r w:rsidR="00744224" w:rsidRPr="00CD2448">
        <w:rPr>
          <w:rFonts w:ascii="Arial" w:hAnsi="Arial" w:cs="Arial"/>
          <w:color w:val="000000" w:themeColor="text1"/>
          <w:sz w:val="20"/>
          <w:szCs w:val="20"/>
        </w:rPr>
        <w:t xml:space="preserve">(NR) </w:t>
      </w:r>
      <w:r w:rsidR="00660ACD" w:rsidRPr="00CD2448">
        <w:rPr>
          <w:rFonts w:ascii="Arial" w:hAnsi="Arial" w:cs="Arial"/>
          <w:color w:val="000000" w:themeColor="text1"/>
          <w:sz w:val="20"/>
          <w:szCs w:val="20"/>
        </w:rPr>
        <w:t xml:space="preserve">in </w:t>
      </w:r>
      <w:r w:rsidR="00ED62C9" w:rsidRPr="00CD2448">
        <w:rPr>
          <w:rFonts w:ascii="Arial" w:hAnsi="Arial" w:cs="Arial"/>
          <w:color w:val="000000" w:themeColor="text1"/>
          <w:sz w:val="20"/>
          <w:szCs w:val="20"/>
        </w:rPr>
        <w:t xml:space="preserve">the </w:t>
      </w:r>
      <w:r w:rsidR="00660ACD" w:rsidRPr="00CD2448">
        <w:rPr>
          <w:rFonts w:ascii="Arial" w:hAnsi="Arial" w:cs="Arial"/>
          <w:color w:val="000000" w:themeColor="text1"/>
          <w:sz w:val="20"/>
          <w:szCs w:val="20"/>
        </w:rPr>
        <w:t xml:space="preserve">publication for CSF-HV participants </w:t>
      </w:r>
      <w:r w:rsidR="00660ACD" w:rsidRPr="00CD2448">
        <w:rPr>
          <w:rFonts w:ascii="Arial" w:hAnsi="Arial" w:cs="Arial"/>
          <w:color w:val="000000" w:themeColor="text1"/>
          <w:sz w:val="20"/>
          <w:szCs w:val="20"/>
        </w:rPr>
        <w:fldChar w:fldCharType="begin"/>
      </w:r>
      <w:r w:rsidR="00660ACD" w:rsidRPr="00CD2448">
        <w:rPr>
          <w:rFonts w:ascii="Arial" w:hAnsi="Arial" w:cs="Arial"/>
          <w:color w:val="000000" w:themeColor="text1"/>
          <w:sz w:val="20"/>
          <w:szCs w:val="20"/>
        </w:rPr>
        <w:instrText xml:space="preserve"> ADDIN EN.CITE &lt;EndNote&gt;&lt;Cite ExcludeYear="1"&gt;&lt;Author&gt;Moaddel&lt;/Author&gt;&lt;Year&gt;2023&lt;/Year&gt;&lt;RecNum&gt;27&lt;/RecNum&gt;&lt;DisplayText&gt;[8]&lt;/DisplayText&gt;&lt;record&gt;&lt;rec-number&gt;27&lt;/rec-number&gt;&lt;foreign-keys&gt;&lt;key app="EN" db-id="dzsadpavbdaf27ef9zmxw006vzddp0epfpxa" timestamp="1759159643"&gt;27&lt;/key&gt;&lt;/foreign-keys&gt;&lt;ref-type name="Journal Article"&gt;17&lt;/ref-type&gt;&lt;contributors&gt;&lt;authors&gt;&lt;author&gt;Moaddel, Ruin&lt;/author&gt;&lt;author&gt;Farmer, Cristan A.&lt;/author&gt;&lt;author&gt;Yavi, Mani&lt;/author&gt;&lt;author&gt;Kadriu, Bashkim&lt;/author&gt;&lt;author&gt;Zhu, Min&lt;/author&gt;&lt;author&gt;Fan, Jinshui&lt;/author&gt;&lt;author&gt;Chen, Qinghua&lt;/author&gt;&lt;author&gt;Lehrmann, Elin&lt;/author&gt;&lt;author&gt;Fantoni, Giovanna&lt;/author&gt;&lt;author&gt;De, Supriyo&lt;/author&gt;&lt;author&gt;Mazucanti, Caio H.&lt;/author&gt;&lt;author&gt;Acevedo-Diaz, Elia E.&lt;/author&gt;&lt;author&gt;Yuan, Peixiong&lt;/author&gt;&lt;author&gt;Gould, Todd D.&lt;/author&gt;&lt;author&gt;Park, Lawrence T.&lt;/author&gt;&lt;author&gt;Egan, Josephine M.&lt;/author&gt;&lt;author&gt;Ferrucci, Luigi&lt;/author&gt;&lt;author&gt;Zarate, Carlos A.&lt;/author&gt;&lt;/authors&gt;&lt;/contributors&gt;&lt;titles&gt;&lt;title&gt;Cerebrospinal fluid exploratory proteomics and ketamine metabolite pharmacokinetics in human volunteers after ketamine infusion&lt;/title&gt;&lt;secondary-title&gt;iScience&lt;/secondary-title&gt;&lt;alt-title&gt;iScience&lt;/alt-title&gt;&lt;/titles&gt;&lt;periodical&gt;&lt;full-title&gt;iScience&lt;/full-title&gt;&lt;abbr-1&gt;iScience&lt;/abbr-1&gt;&lt;/periodical&gt;&lt;alt-periodical&gt;&lt;full-title&gt;iScience&lt;/full-title&gt;&lt;abbr-1&gt;iScience&lt;/abbr-1&gt;&lt;/alt-periodical&gt;&lt;pages&gt;108527&lt;/pages&gt;&lt;volume&gt;26&lt;/volume&gt;&lt;number&gt;12&lt;/number&gt;&lt;dates&gt;&lt;year&gt;2023&lt;/year&gt;&lt;pub-dates&gt;&lt;date&gt;2023/11/23/&lt;/date&gt;&lt;/pub-dates&gt;&lt;/dates&gt;&lt;isbn&gt;2589-0042&lt;/isbn&gt;&lt;urls&gt;&lt;related-urls&gt;&lt;url&gt;https://www.ncbi.nlm.nih.gov/pmc/articles/PMC10755719/&lt;/url&gt;&lt;/related-urls&gt;&lt;/urls&gt;&lt;electronic-resource-num&gt;10.1016/j.isci.2023.108527&lt;/electronic-resource-num&gt;&lt;remote-database-provider&gt;PubMed Central&lt;/remote-database-provider&gt;&lt;access-date&gt;2024/04/02/21:41:55&lt;/access-date&gt;&lt;/record&gt;&lt;/Cite&gt;&lt;/EndNote&gt;</w:instrText>
      </w:r>
      <w:r w:rsidR="00660ACD" w:rsidRPr="00CD2448">
        <w:rPr>
          <w:rFonts w:ascii="Arial" w:hAnsi="Arial" w:cs="Arial"/>
          <w:color w:val="000000" w:themeColor="text1"/>
          <w:sz w:val="20"/>
          <w:szCs w:val="20"/>
        </w:rPr>
        <w:fldChar w:fldCharType="separate"/>
      </w:r>
      <w:r w:rsidR="00660ACD" w:rsidRPr="00CD2448">
        <w:rPr>
          <w:rFonts w:ascii="Arial" w:hAnsi="Arial" w:cs="Arial"/>
          <w:noProof/>
          <w:color w:val="000000" w:themeColor="text1"/>
          <w:sz w:val="20"/>
          <w:szCs w:val="20"/>
        </w:rPr>
        <w:t>[8]</w:t>
      </w:r>
      <w:r w:rsidR="00660ACD" w:rsidRPr="00CD2448">
        <w:rPr>
          <w:rFonts w:ascii="Arial" w:hAnsi="Arial" w:cs="Arial"/>
          <w:color w:val="000000" w:themeColor="text1"/>
          <w:sz w:val="20"/>
          <w:szCs w:val="20"/>
        </w:rPr>
        <w:fldChar w:fldCharType="end"/>
      </w:r>
      <w:r w:rsidR="00660ACD" w:rsidRPr="00CD2448">
        <w:rPr>
          <w:rFonts w:ascii="Arial" w:hAnsi="Arial" w:cs="Arial"/>
          <w:color w:val="000000" w:themeColor="text1"/>
          <w:sz w:val="20"/>
          <w:szCs w:val="20"/>
        </w:rPr>
        <w:t xml:space="preserve">. </w:t>
      </w:r>
    </w:p>
    <w:tbl>
      <w:tblPr>
        <w:tblStyle w:val="GridTable1Light"/>
        <w:tblW w:w="5000" w:type="pct"/>
        <w:tblLook w:val="04A0" w:firstRow="1" w:lastRow="0" w:firstColumn="1" w:lastColumn="0" w:noHBand="0" w:noVBand="1"/>
      </w:tblPr>
      <w:tblGrid>
        <w:gridCol w:w="2076"/>
        <w:gridCol w:w="919"/>
        <w:gridCol w:w="891"/>
        <w:gridCol w:w="788"/>
        <w:gridCol w:w="997"/>
        <w:gridCol w:w="973"/>
        <w:gridCol w:w="896"/>
        <w:gridCol w:w="868"/>
        <w:gridCol w:w="1202"/>
        <w:gridCol w:w="1180"/>
      </w:tblGrid>
      <w:tr w:rsidR="00220895" w:rsidRPr="00CD2448" w14:paraId="50A85FA6" w14:textId="77777777" w:rsidTr="004B56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 w:type="pct"/>
            <w:hideMark/>
          </w:tcPr>
          <w:p w14:paraId="4FDF2D7F" w14:textId="77777777" w:rsidR="00552B2A" w:rsidRPr="00CD2448" w:rsidRDefault="00552B2A" w:rsidP="004B5642">
            <w:pPr>
              <w:rPr>
                <w:rFonts w:ascii="Arial" w:hAnsi="Arial" w:cs="Arial"/>
                <w:color w:val="000000" w:themeColor="text1"/>
                <w:sz w:val="16"/>
                <w:szCs w:val="16"/>
              </w:rPr>
            </w:pPr>
          </w:p>
        </w:tc>
        <w:tc>
          <w:tcPr>
            <w:tcW w:w="426" w:type="pct"/>
            <w:hideMark/>
          </w:tcPr>
          <w:p w14:paraId="3FE15221"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iPSC-TRD</w:t>
            </w:r>
            <w:r w:rsidRPr="00CD2448">
              <w:rPr>
                <w:rFonts w:ascii="Arial" w:hAnsi="Arial" w:cs="Arial"/>
                <w:color w:val="000000" w:themeColor="text1"/>
                <w:sz w:val="16"/>
                <w:szCs w:val="16"/>
              </w:rPr>
              <w:br/>
              <w:t>(N=5)</w:t>
            </w:r>
          </w:p>
        </w:tc>
        <w:tc>
          <w:tcPr>
            <w:tcW w:w="413" w:type="pct"/>
            <w:hideMark/>
          </w:tcPr>
          <w:p w14:paraId="42189288"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iPSC-HV</w:t>
            </w:r>
            <w:r w:rsidRPr="00CD2448">
              <w:rPr>
                <w:rFonts w:ascii="Arial" w:hAnsi="Arial" w:cs="Arial"/>
                <w:color w:val="000000" w:themeColor="text1"/>
                <w:sz w:val="16"/>
                <w:szCs w:val="16"/>
              </w:rPr>
              <w:br/>
              <w:t>(N=5)</w:t>
            </w:r>
          </w:p>
        </w:tc>
        <w:tc>
          <w:tcPr>
            <w:tcW w:w="365" w:type="pct"/>
            <w:hideMark/>
          </w:tcPr>
          <w:p w14:paraId="43BA3D61"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CSF-HV</w:t>
            </w:r>
            <w:r w:rsidRPr="00CD2448">
              <w:rPr>
                <w:rFonts w:ascii="Arial" w:hAnsi="Arial" w:cs="Arial"/>
                <w:color w:val="000000" w:themeColor="text1"/>
                <w:sz w:val="16"/>
                <w:szCs w:val="16"/>
              </w:rPr>
              <w:br/>
              <w:t>(N=9)</w:t>
            </w:r>
          </w:p>
        </w:tc>
        <w:tc>
          <w:tcPr>
            <w:tcW w:w="462" w:type="pct"/>
            <w:hideMark/>
          </w:tcPr>
          <w:p w14:paraId="5AD18123"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Blood RNA-TRD</w:t>
            </w:r>
            <w:r w:rsidRPr="00CD2448">
              <w:rPr>
                <w:rFonts w:ascii="Arial" w:hAnsi="Arial" w:cs="Arial"/>
                <w:color w:val="000000" w:themeColor="text1"/>
                <w:sz w:val="16"/>
                <w:szCs w:val="16"/>
              </w:rPr>
              <w:br/>
              <w:t>(N=16)</w:t>
            </w:r>
          </w:p>
        </w:tc>
        <w:tc>
          <w:tcPr>
            <w:tcW w:w="451" w:type="pct"/>
            <w:hideMark/>
          </w:tcPr>
          <w:p w14:paraId="3253FFD2"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Blood RNA-HV</w:t>
            </w:r>
            <w:r w:rsidRPr="00CD2448">
              <w:rPr>
                <w:rFonts w:ascii="Arial" w:hAnsi="Arial" w:cs="Arial"/>
                <w:color w:val="000000" w:themeColor="text1"/>
                <w:sz w:val="16"/>
                <w:szCs w:val="16"/>
              </w:rPr>
              <w:br/>
              <w:t>(N=11)</w:t>
            </w:r>
          </w:p>
        </w:tc>
        <w:tc>
          <w:tcPr>
            <w:tcW w:w="415" w:type="pct"/>
            <w:hideMark/>
          </w:tcPr>
          <w:p w14:paraId="5B89E88A"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MEG-TRD</w:t>
            </w:r>
            <w:r w:rsidRPr="00CD2448">
              <w:rPr>
                <w:rFonts w:ascii="Arial" w:hAnsi="Arial" w:cs="Arial"/>
                <w:color w:val="000000" w:themeColor="text1"/>
                <w:sz w:val="16"/>
                <w:szCs w:val="16"/>
              </w:rPr>
              <w:br/>
              <w:t>(N=30)</w:t>
            </w:r>
          </w:p>
        </w:tc>
        <w:tc>
          <w:tcPr>
            <w:tcW w:w="402" w:type="pct"/>
            <w:hideMark/>
          </w:tcPr>
          <w:p w14:paraId="54AADA63"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MEG-HV</w:t>
            </w:r>
            <w:r w:rsidRPr="00CD2448">
              <w:rPr>
                <w:rFonts w:ascii="Arial" w:hAnsi="Arial" w:cs="Arial"/>
                <w:color w:val="000000" w:themeColor="text1"/>
                <w:sz w:val="16"/>
                <w:szCs w:val="16"/>
              </w:rPr>
              <w:br/>
              <w:t>(N=25)</w:t>
            </w:r>
          </w:p>
        </w:tc>
        <w:tc>
          <w:tcPr>
            <w:tcW w:w="557" w:type="pct"/>
            <w:hideMark/>
          </w:tcPr>
          <w:p w14:paraId="3988E327"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Cytokine-TRD</w:t>
            </w:r>
            <w:r w:rsidRPr="00CD2448">
              <w:rPr>
                <w:rFonts w:ascii="Arial" w:hAnsi="Arial" w:cs="Arial"/>
                <w:color w:val="000000" w:themeColor="text1"/>
                <w:sz w:val="16"/>
                <w:szCs w:val="16"/>
              </w:rPr>
              <w:br/>
              <w:t>(N=39)</w:t>
            </w:r>
          </w:p>
        </w:tc>
        <w:tc>
          <w:tcPr>
            <w:tcW w:w="547" w:type="pct"/>
            <w:hideMark/>
          </w:tcPr>
          <w:p w14:paraId="537F2B2E" w14:textId="77777777" w:rsidR="00552B2A" w:rsidRPr="00CD2448" w:rsidRDefault="00552B2A" w:rsidP="004B5642">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Cytokine-HV</w:t>
            </w:r>
            <w:r w:rsidRPr="00CD2448">
              <w:rPr>
                <w:rFonts w:ascii="Arial" w:hAnsi="Arial" w:cs="Arial"/>
                <w:color w:val="000000" w:themeColor="text1"/>
                <w:sz w:val="16"/>
                <w:szCs w:val="16"/>
              </w:rPr>
              <w:br/>
              <w:t>(N=25)</w:t>
            </w:r>
          </w:p>
        </w:tc>
      </w:tr>
      <w:tr w:rsidR="00220895" w:rsidRPr="00CD2448" w14:paraId="13FDAE86" w14:textId="77777777" w:rsidTr="004B5642">
        <w:tc>
          <w:tcPr>
            <w:cnfStyle w:val="001000000000" w:firstRow="0" w:lastRow="0" w:firstColumn="1" w:lastColumn="0" w:oddVBand="0" w:evenVBand="0" w:oddHBand="0" w:evenHBand="0" w:firstRowFirstColumn="0" w:firstRowLastColumn="0" w:lastRowFirstColumn="0" w:lastRowLastColumn="0"/>
            <w:tcW w:w="5000" w:type="pct"/>
            <w:gridSpan w:val="10"/>
            <w:hideMark/>
          </w:tcPr>
          <w:p w14:paraId="666A3845" w14:textId="77777777" w:rsidR="00552B2A" w:rsidRPr="00CD2448" w:rsidRDefault="00552B2A" w:rsidP="004B5642">
            <w:pPr>
              <w:spacing w:before="100" w:beforeAutospacing="1" w:after="100" w:afterAutospacing="1"/>
              <w:rPr>
                <w:rFonts w:ascii="Arial" w:hAnsi="Arial" w:cs="Arial"/>
                <w:color w:val="000000" w:themeColor="text1"/>
                <w:sz w:val="16"/>
                <w:szCs w:val="16"/>
              </w:rPr>
            </w:pPr>
          </w:p>
        </w:tc>
      </w:tr>
      <w:tr w:rsidR="00220895" w:rsidRPr="00CD2448" w14:paraId="042CC467"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61CFD09" w14:textId="77777777" w:rsidR="00552B2A" w:rsidRPr="00CD2448" w:rsidRDefault="00552B2A" w:rsidP="004B5642">
            <w:pPr>
              <w:rPr>
                <w:rFonts w:ascii="Arial" w:hAnsi="Arial" w:cs="Arial"/>
                <w:color w:val="000000" w:themeColor="text1"/>
                <w:sz w:val="16"/>
                <w:szCs w:val="16"/>
              </w:rPr>
            </w:pPr>
            <w:r w:rsidRPr="00CD2448">
              <w:rPr>
                <w:rFonts w:ascii="Arial" w:hAnsi="Arial" w:cs="Arial"/>
                <w:color w:val="000000" w:themeColor="text1"/>
                <w:sz w:val="16"/>
                <w:szCs w:val="16"/>
              </w:rPr>
              <w:t>Age (years)</w:t>
            </w:r>
            <w:r w:rsidRPr="00CD2448">
              <w:rPr>
                <w:rFonts w:ascii="Arial" w:hAnsi="Arial" w:cs="Arial"/>
                <w:color w:val="000000" w:themeColor="text1"/>
                <w:sz w:val="16"/>
                <w:szCs w:val="16"/>
              </w:rPr>
              <w:br/>
              <w:t>Mean (SD)</w:t>
            </w:r>
          </w:p>
        </w:tc>
        <w:tc>
          <w:tcPr>
            <w:tcW w:w="426" w:type="pct"/>
            <w:hideMark/>
          </w:tcPr>
          <w:p w14:paraId="2123F82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42 (9.5)</w:t>
            </w:r>
          </w:p>
        </w:tc>
        <w:tc>
          <w:tcPr>
            <w:tcW w:w="413" w:type="pct"/>
            <w:hideMark/>
          </w:tcPr>
          <w:p w14:paraId="7BF36DEB"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37 (20)</w:t>
            </w:r>
          </w:p>
        </w:tc>
        <w:tc>
          <w:tcPr>
            <w:tcW w:w="365" w:type="pct"/>
            <w:hideMark/>
          </w:tcPr>
          <w:p w14:paraId="44CCBF5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(6.4)</w:t>
            </w:r>
          </w:p>
        </w:tc>
        <w:tc>
          <w:tcPr>
            <w:tcW w:w="462" w:type="pct"/>
            <w:hideMark/>
          </w:tcPr>
          <w:p w14:paraId="7DD546E4"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39 (13)</w:t>
            </w:r>
          </w:p>
        </w:tc>
        <w:tc>
          <w:tcPr>
            <w:tcW w:w="451" w:type="pct"/>
            <w:hideMark/>
          </w:tcPr>
          <w:p w14:paraId="7A0D944F"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38 (13)</w:t>
            </w:r>
          </w:p>
        </w:tc>
        <w:tc>
          <w:tcPr>
            <w:tcW w:w="415" w:type="pct"/>
            <w:hideMark/>
          </w:tcPr>
          <w:p w14:paraId="75FF81B9"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36 (9.9)</w:t>
            </w:r>
          </w:p>
        </w:tc>
        <w:tc>
          <w:tcPr>
            <w:tcW w:w="402" w:type="pct"/>
            <w:hideMark/>
          </w:tcPr>
          <w:p w14:paraId="66208D1E"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34 (11)</w:t>
            </w:r>
          </w:p>
        </w:tc>
        <w:tc>
          <w:tcPr>
            <w:tcW w:w="557" w:type="pct"/>
            <w:hideMark/>
          </w:tcPr>
          <w:p w14:paraId="09D29BEE"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36 (10)</w:t>
            </w:r>
          </w:p>
        </w:tc>
        <w:tc>
          <w:tcPr>
            <w:tcW w:w="547" w:type="pct"/>
            <w:hideMark/>
          </w:tcPr>
          <w:p w14:paraId="6FB4BFBE"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34 (11)</w:t>
            </w:r>
          </w:p>
        </w:tc>
      </w:tr>
      <w:tr w:rsidR="00220895" w:rsidRPr="00CD2448" w14:paraId="713E6ED4"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447757F1" w14:textId="77777777" w:rsidR="00552B2A" w:rsidRPr="00CD2448" w:rsidRDefault="00552B2A" w:rsidP="004B5642">
            <w:pPr>
              <w:rPr>
                <w:rFonts w:ascii="Arial" w:hAnsi="Arial" w:cs="Arial"/>
                <w:color w:val="000000" w:themeColor="text1"/>
                <w:sz w:val="16"/>
                <w:szCs w:val="16"/>
              </w:rPr>
            </w:pPr>
            <w:r w:rsidRPr="00CD2448">
              <w:rPr>
                <w:rFonts w:ascii="Arial" w:hAnsi="Arial" w:cs="Arial"/>
                <w:color w:val="000000" w:themeColor="text1"/>
                <w:sz w:val="16"/>
                <w:szCs w:val="16"/>
              </w:rPr>
              <w:t>Sex</w:t>
            </w:r>
          </w:p>
        </w:tc>
        <w:tc>
          <w:tcPr>
            <w:tcW w:w="426" w:type="pct"/>
            <w:hideMark/>
          </w:tcPr>
          <w:p w14:paraId="31759F0E"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13" w:type="pct"/>
            <w:hideMark/>
          </w:tcPr>
          <w:p w14:paraId="0863A226"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365" w:type="pct"/>
            <w:hideMark/>
          </w:tcPr>
          <w:p w14:paraId="715038E9"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62" w:type="pct"/>
            <w:hideMark/>
          </w:tcPr>
          <w:p w14:paraId="2DA429D2"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51" w:type="pct"/>
            <w:hideMark/>
          </w:tcPr>
          <w:p w14:paraId="0DE53BC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15" w:type="pct"/>
            <w:hideMark/>
          </w:tcPr>
          <w:p w14:paraId="2E32F6A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02" w:type="pct"/>
            <w:hideMark/>
          </w:tcPr>
          <w:p w14:paraId="742CD801"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557" w:type="pct"/>
            <w:hideMark/>
          </w:tcPr>
          <w:p w14:paraId="776783D0"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547" w:type="pct"/>
            <w:hideMark/>
          </w:tcPr>
          <w:p w14:paraId="5938C084"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r w:rsidR="00220895" w:rsidRPr="00CD2448" w14:paraId="1C2F7B4A"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32EA3EB" w14:textId="77777777" w:rsidR="00552B2A" w:rsidRPr="00CD2448" w:rsidRDefault="00552B2A" w:rsidP="004B5642">
            <w:pPr>
              <w:jc w:val="center"/>
              <w:rPr>
                <w:rFonts w:ascii="Arial" w:hAnsi="Arial" w:cs="Arial"/>
                <w:color w:val="000000" w:themeColor="text1"/>
                <w:sz w:val="16"/>
                <w:szCs w:val="16"/>
              </w:rPr>
            </w:pPr>
            <w:r w:rsidRPr="00CD2448">
              <w:rPr>
                <w:rFonts w:ascii="Arial" w:hAnsi="Arial" w:cs="Arial"/>
                <w:color w:val="000000" w:themeColor="text1"/>
                <w:sz w:val="16"/>
                <w:szCs w:val="16"/>
              </w:rPr>
              <w:t>Male</w:t>
            </w:r>
          </w:p>
        </w:tc>
        <w:tc>
          <w:tcPr>
            <w:tcW w:w="426" w:type="pct"/>
            <w:hideMark/>
          </w:tcPr>
          <w:p w14:paraId="2F532D3D"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hideMark/>
          </w:tcPr>
          <w:p w14:paraId="24FB3FDA"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hideMark/>
          </w:tcPr>
          <w:p w14:paraId="55CD4BA3"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(56%)</w:t>
            </w:r>
          </w:p>
        </w:tc>
        <w:tc>
          <w:tcPr>
            <w:tcW w:w="462" w:type="pct"/>
            <w:hideMark/>
          </w:tcPr>
          <w:p w14:paraId="3FDB83F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6 (38%)</w:t>
            </w:r>
          </w:p>
        </w:tc>
        <w:tc>
          <w:tcPr>
            <w:tcW w:w="451" w:type="pct"/>
            <w:hideMark/>
          </w:tcPr>
          <w:p w14:paraId="63621C61"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(18%)</w:t>
            </w:r>
          </w:p>
        </w:tc>
        <w:tc>
          <w:tcPr>
            <w:tcW w:w="415" w:type="pct"/>
            <w:hideMark/>
          </w:tcPr>
          <w:p w14:paraId="45E78EED"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12 (40%)</w:t>
            </w:r>
          </w:p>
        </w:tc>
        <w:tc>
          <w:tcPr>
            <w:tcW w:w="402" w:type="pct"/>
            <w:hideMark/>
          </w:tcPr>
          <w:p w14:paraId="5F630432"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9 (36%)</w:t>
            </w:r>
          </w:p>
        </w:tc>
        <w:tc>
          <w:tcPr>
            <w:tcW w:w="557" w:type="pct"/>
            <w:hideMark/>
          </w:tcPr>
          <w:p w14:paraId="74A4D3CB"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(41%)</w:t>
            </w:r>
          </w:p>
        </w:tc>
        <w:tc>
          <w:tcPr>
            <w:tcW w:w="547" w:type="pct"/>
            <w:hideMark/>
          </w:tcPr>
          <w:p w14:paraId="725E069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9 (36%)</w:t>
            </w:r>
          </w:p>
        </w:tc>
      </w:tr>
      <w:tr w:rsidR="00220895" w:rsidRPr="00CD2448" w14:paraId="00CE7A51"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649994C8" w14:textId="77777777" w:rsidR="00552B2A" w:rsidRPr="00CD2448" w:rsidRDefault="00552B2A" w:rsidP="004B5642">
            <w:pPr>
              <w:jc w:val="center"/>
              <w:rPr>
                <w:rFonts w:ascii="Arial" w:hAnsi="Arial" w:cs="Arial"/>
                <w:color w:val="000000" w:themeColor="text1"/>
                <w:sz w:val="16"/>
                <w:szCs w:val="16"/>
              </w:rPr>
            </w:pPr>
            <w:r w:rsidRPr="00CD2448">
              <w:rPr>
                <w:rFonts w:ascii="Arial" w:hAnsi="Arial" w:cs="Arial"/>
                <w:color w:val="000000" w:themeColor="text1"/>
                <w:sz w:val="16"/>
                <w:szCs w:val="16"/>
              </w:rPr>
              <w:t>Female</w:t>
            </w:r>
          </w:p>
        </w:tc>
        <w:tc>
          <w:tcPr>
            <w:tcW w:w="426" w:type="pct"/>
            <w:hideMark/>
          </w:tcPr>
          <w:p w14:paraId="72EDA0C2"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(100%)</w:t>
            </w:r>
          </w:p>
        </w:tc>
        <w:tc>
          <w:tcPr>
            <w:tcW w:w="413" w:type="pct"/>
            <w:hideMark/>
          </w:tcPr>
          <w:p w14:paraId="213D261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(100%)</w:t>
            </w:r>
          </w:p>
        </w:tc>
        <w:tc>
          <w:tcPr>
            <w:tcW w:w="365" w:type="pct"/>
            <w:hideMark/>
          </w:tcPr>
          <w:p w14:paraId="41EB24AF"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 (44%)</w:t>
            </w:r>
          </w:p>
        </w:tc>
        <w:tc>
          <w:tcPr>
            <w:tcW w:w="462" w:type="pct"/>
            <w:hideMark/>
          </w:tcPr>
          <w:p w14:paraId="74EB2FBA"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10 (62%)</w:t>
            </w:r>
          </w:p>
        </w:tc>
        <w:tc>
          <w:tcPr>
            <w:tcW w:w="451" w:type="pct"/>
            <w:hideMark/>
          </w:tcPr>
          <w:p w14:paraId="7D92F0D2"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9 (82%)</w:t>
            </w:r>
          </w:p>
        </w:tc>
        <w:tc>
          <w:tcPr>
            <w:tcW w:w="415" w:type="pct"/>
            <w:hideMark/>
          </w:tcPr>
          <w:p w14:paraId="092DAB0B"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18 (60%)</w:t>
            </w:r>
          </w:p>
        </w:tc>
        <w:tc>
          <w:tcPr>
            <w:tcW w:w="402" w:type="pct"/>
            <w:hideMark/>
          </w:tcPr>
          <w:p w14:paraId="38077720"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(64%)</w:t>
            </w:r>
          </w:p>
        </w:tc>
        <w:tc>
          <w:tcPr>
            <w:tcW w:w="557" w:type="pct"/>
            <w:hideMark/>
          </w:tcPr>
          <w:p w14:paraId="1171CDF6"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23 (59%)</w:t>
            </w:r>
          </w:p>
        </w:tc>
        <w:tc>
          <w:tcPr>
            <w:tcW w:w="547" w:type="pct"/>
            <w:hideMark/>
          </w:tcPr>
          <w:p w14:paraId="55F706D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(64%)</w:t>
            </w:r>
          </w:p>
        </w:tc>
      </w:tr>
      <w:tr w:rsidR="00220895" w:rsidRPr="00CD2448" w14:paraId="01C2B9E9"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C3733D8" w14:textId="77777777" w:rsidR="00552B2A" w:rsidRPr="00CD2448" w:rsidRDefault="00552B2A" w:rsidP="004B5642">
            <w:pPr>
              <w:rPr>
                <w:rFonts w:ascii="Arial" w:hAnsi="Arial" w:cs="Arial"/>
                <w:color w:val="000000" w:themeColor="text1"/>
                <w:sz w:val="16"/>
                <w:szCs w:val="16"/>
              </w:rPr>
            </w:pPr>
            <w:r w:rsidRPr="00CD2448">
              <w:rPr>
                <w:rFonts w:ascii="Arial" w:hAnsi="Arial" w:cs="Arial"/>
                <w:color w:val="000000" w:themeColor="text1"/>
                <w:sz w:val="16"/>
                <w:szCs w:val="16"/>
              </w:rPr>
              <w:t>BMI</w:t>
            </w:r>
            <w:r w:rsidRPr="00CD2448">
              <w:rPr>
                <w:rFonts w:ascii="Arial" w:hAnsi="Arial" w:cs="Arial"/>
                <w:color w:val="000000" w:themeColor="text1"/>
                <w:sz w:val="16"/>
                <w:szCs w:val="16"/>
              </w:rPr>
              <w:br/>
              <w:t>Mean (SD)</w:t>
            </w:r>
          </w:p>
        </w:tc>
        <w:tc>
          <w:tcPr>
            <w:tcW w:w="426" w:type="pct"/>
            <w:hideMark/>
          </w:tcPr>
          <w:p w14:paraId="3CCCA4B6"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26 (3.6)</w:t>
            </w:r>
          </w:p>
        </w:tc>
        <w:tc>
          <w:tcPr>
            <w:tcW w:w="413" w:type="pct"/>
            <w:hideMark/>
          </w:tcPr>
          <w:p w14:paraId="11D7A4C9"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NC</w:t>
            </w:r>
          </w:p>
        </w:tc>
        <w:tc>
          <w:tcPr>
            <w:tcW w:w="365" w:type="pct"/>
            <w:hideMark/>
          </w:tcPr>
          <w:p w14:paraId="18D979E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NR</w:t>
            </w:r>
          </w:p>
        </w:tc>
        <w:tc>
          <w:tcPr>
            <w:tcW w:w="462" w:type="pct"/>
            <w:hideMark/>
          </w:tcPr>
          <w:p w14:paraId="6A266650"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29 (8.6)</w:t>
            </w:r>
          </w:p>
        </w:tc>
        <w:tc>
          <w:tcPr>
            <w:tcW w:w="451" w:type="pct"/>
            <w:hideMark/>
          </w:tcPr>
          <w:p w14:paraId="5E2FEB4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28 (3.5)</w:t>
            </w:r>
          </w:p>
        </w:tc>
        <w:tc>
          <w:tcPr>
            <w:tcW w:w="415" w:type="pct"/>
            <w:hideMark/>
          </w:tcPr>
          <w:p w14:paraId="6F61989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(6.4)</w:t>
            </w:r>
          </w:p>
        </w:tc>
        <w:tc>
          <w:tcPr>
            <w:tcW w:w="402" w:type="pct"/>
            <w:hideMark/>
          </w:tcPr>
          <w:p w14:paraId="0E27F9F4"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(4.5)</w:t>
            </w:r>
          </w:p>
        </w:tc>
        <w:tc>
          <w:tcPr>
            <w:tcW w:w="557" w:type="pct"/>
            <w:hideMark/>
          </w:tcPr>
          <w:p w14:paraId="2EACCD59"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(6.4)</w:t>
            </w:r>
          </w:p>
        </w:tc>
        <w:tc>
          <w:tcPr>
            <w:tcW w:w="547" w:type="pct"/>
            <w:hideMark/>
          </w:tcPr>
          <w:p w14:paraId="364EA2A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(4.5)</w:t>
            </w:r>
          </w:p>
        </w:tc>
      </w:tr>
      <w:tr w:rsidR="00220895" w:rsidRPr="00CD2448" w14:paraId="37740585"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2662DFEF" w14:textId="77777777" w:rsidR="00552B2A" w:rsidRPr="00CD2448" w:rsidRDefault="00552B2A" w:rsidP="004B5642">
            <w:pPr>
              <w:rPr>
                <w:rFonts w:ascii="Arial" w:hAnsi="Arial" w:cs="Arial"/>
                <w:color w:val="000000" w:themeColor="text1"/>
                <w:sz w:val="16"/>
                <w:szCs w:val="16"/>
              </w:rPr>
            </w:pPr>
            <w:r w:rsidRPr="00CD2448">
              <w:rPr>
                <w:rFonts w:ascii="Arial" w:hAnsi="Arial" w:cs="Arial"/>
                <w:color w:val="000000" w:themeColor="text1"/>
                <w:sz w:val="16"/>
                <w:szCs w:val="16"/>
              </w:rPr>
              <w:t>Race or Ethnicity</w:t>
            </w:r>
          </w:p>
        </w:tc>
        <w:tc>
          <w:tcPr>
            <w:tcW w:w="4038" w:type="pct"/>
            <w:gridSpan w:val="9"/>
            <w:hideMark/>
          </w:tcPr>
          <w:p w14:paraId="3A35A7D2"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r w:rsidR="00220895" w:rsidRPr="00CD2448" w14:paraId="42C095A8" w14:textId="77777777" w:rsidTr="004B5642">
        <w:tc>
          <w:tcPr>
            <w:cnfStyle w:val="001000000000" w:firstRow="0" w:lastRow="0" w:firstColumn="1" w:lastColumn="0" w:oddVBand="0" w:evenVBand="0" w:oddHBand="0" w:evenHBand="0" w:firstRowFirstColumn="0" w:firstRowLastColumn="0" w:lastRowFirstColumn="0" w:lastRowLastColumn="0"/>
            <w:tcW w:w="962" w:type="pct"/>
            <w:vAlign w:val="center"/>
            <w:hideMark/>
          </w:tcPr>
          <w:p w14:paraId="79049E2C" w14:textId="77777777" w:rsidR="00552B2A" w:rsidRPr="00CD2448" w:rsidRDefault="00552B2A" w:rsidP="004B5642">
            <w:pPr>
              <w:jc w:val="center"/>
              <w:rPr>
                <w:rFonts w:ascii="Arial" w:hAnsi="Arial" w:cs="Arial"/>
                <w:color w:val="000000" w:themeColor="text1"/>
                <w:sz w:val="16"/>
                <w:szCs w:val="16"/>
              </w:rPr>
            </w:pPr>
            <w:r w:rsidRPr="00CD2448">
              <w:rPr>
                <w:rFonts w:ascii="Arial" w:hAnsi="Arial" w:cs="Arial"/>
                <w:color w:val="000000" w:themeColor="text1"/>
                <w:sz w:val="16"/>
                <w:szCs w:val="16"/>
              </w:rPr>
              <w:t>Black</w:t>
            </w:r>
          </w:p>
        </w:tc>
        <w:tc>
          <w:tcPr>
            <w:tcW w:w="426" w:type="pct"/>
            <w:hideMark/>
          </w:tcPr>
          <w:p w14:paraId="4134FC8A"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(20%)</w:t>
            </w:r>
          </w:p>
        </w:tc>
        <w:tc>
          <w:tcPr>
            <w:tcW w:w="413" w:type="pct"/>
            <w:hideMark/>
          </w:tcPr>
          <w:p w14:paraId="28C90C0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hideMark/>
          </w:tcPr>
          <w:p w14:paraId="43DF56D6"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 (33%)</w:t>
            </w:r>
          </w:p>
        </w:tc>
        <w:tc>
          <w:tcPr>
            <w:tcW w:w="462" w:type="pct"/>
            <w:hideMark/>
          </w:tcPr>
          <w:p w14:paraId="6A1337F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51" w:type="pct"/>
            <w:hideMark/>
          </w:tcPr>
          <w:p w14:paraId="7E56F1F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 (27%)</w:t>
            </w:r>
          </w:p>
        </w:tc>
        <w:tc>
          <w:tcPr>
            <w:tcW w:w="415" w:type="pct"/>
            <w:hideMark/>
          </w:tcPr>
          <w:p w14:paraId="688D9EDE"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(7%)</w:t>
            </w:r>
          </w:p>
        </w:tc>
        <w:tc>
          <w:tcPr>
            <w:tcW w:w="402" w:type="pct"/>
            <w:hideMark/>
          </w:tcPr>
          <w:p w14:paraId="1C149A85"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6 (24%)</w:t>
            </w:r>
          </w:p>
        </w:tc>
        <w:tc>
          <w:tcPr>
            <w:tcW w:w="557" w:type="pct"/>
            <w:hideMark/>
          </w:tcPr>
          <w:p w14:paraId="5D789B0F"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(5%)</w:t>
            </w:r>
          </w:p>
        </w:tc>
        <w:tc>
          <w:tcPr>
            <w:tcW w:w="547" w:type="pct"/>
            <w:hideMark/>
          </w:tcPr>
          <w:p w14:paraId="76E177DF"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6 (24%)</w:t>
            </w:r>
          </w:p>
        </w:tc>
      </w:tr>
      <w:tr w:rsidR="00220895" w:rsidRPr="00CD2448" w14:paraId="00A34E18" w14:textId="77777777" w:rsidTr="004B5642">
        <w:tc>
          <w:tcPr>
            <w:cnfStyle w:val="001000000000" w:firstRow="0" w:lastRow="0" w:firstColumn="1" w:lastColumn="0" w:oddVBand="0" w:evenVBand="0" w:oddHBand="0" w:evenHBand="0" w:firstRowFirstColumn="0" w:firstRowLastColumn="0" w:lastRowFirstColumn="0" w:lastRowLastColumn="0"/>
            <w:tcW w:w="962" w:type="pct"/>
            <w:vAlign w:val="center"/>
            <w:hideMark/>
          </w:tcPr>
          <w:p w14:paraId="713A1A3B" w14:textId="77777777" w:rsidR="00552B2A" w:rsidRPr="00CD2448" w:rsidRDefault="00552B2A" w:rsidP="004B5642">
            <w:pPr>
              <w:jc w:val="center"/>
              <w:rPr>
                <w:rFonts w:ascii="Arial" w:hAnsi="Arial" w:cs="Arial"/>
                <w:color w:val="000000" w:themeColor="text1"/>
                <w:sz w:val="16"/>
                <w:szCs w:val="16"/>
              </w:rPr>
            </w:pPr>
            <w:r w:rsidRPr="00CD2448">
              <w:rPr>
                <w:rFonts w:ascii="Arial" w:hAnsi="Arial" w:cs="Arial"/>
                <w:color w:val="000000" w:themeColor="text1"/>
                <w:sz w:val="16"/>
                <w:szCs w:val="16"/>
              </w:rPr>
              <w:t>White</w:t>
            </w:r>
          </w:p>
        </w:tc>
        <w:tc>
          <w:tcPr>
            <w:tcW w:w="426" w:type="pct"/>
            <w:hideMark/>
          </w:tcPr>
          <w:p w14:paraId="5D0D3F3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 (80%)</w:t>
            </w:r>
          </w:p>
        </w:tc>
        <w:tc>
          <w:tcPr>
            <w:tcW w:w="413" w:type="pct"/>
            <w:hideMark/>
          </w:tcPr>
          <w:p w14:paraId="603F35DD"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(100%)</w:t>
            </w:r>
          </w:p>
        </w:tc>
        <w:tc>
          <w:tcPr>
            <w:tcW w:w="365" w:type="pct"/>
            <w:hideMark/>
          </w:tcPr>
          <w:p w14:paraId="7402360D"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 (44%)</w:t>
            </w:r>
          </w:p>
        </w:tc>
        <w:tc>
          <w:tcPr>
            <w:tcW w:w="462" w:type="pct"/>
            <w:hideMark/>
          </w:tcPr>
          <w:p w14:paraId="13E0779A"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12 (75%)</w:t>
            </w:r>
          </w:p>
        </w:tc>
        <w:tc>
          <w:tcPr>
            <w:tcW w:w="451" w:type="pct"/>
            <w:hideMark/>
          </w:tcPr>
          <w:p w14:paraId="2559118F"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(45%)</w:t>
            </w:r>
          </w:p>
        </w:tc>
        <w:tc>
          <w:tcPr>
            <w:tcW w:w="415" w:type="pct"/>
            <w:hideMark/>
          </w:tcPr>
          <w:p w14:paraId="650360C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(90%)</w:t>
            </w:r>
          </w:p>
        </w:tc>
        <w:tc>
          <w:tcPr>
            <w:tcW w:w="402" w:type="pct"/>
            <w:hideMark/>
          </w:tcPr>
          <w:p w14:paraId="4DA4BD96"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(64%)</w:t>
            </w:r>
          </w:p>
        </w:tc>
        <w:tc>
          <w:tcPr>
            <w:tcW w:w="557" w:type="pct"/>
            <w:hideMark/>
          </w:tcPr>
          <w:p w14:paraId="4409F0AB"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(85%)</w:t>
            </w:r>
          </w:p>
        </w:tc>
        <w:tc>
          <w:tcPr>
            <w:tcW w:w="547" w:type="pct"/>
            <w:hideMark/>
          </w:tcPr>
          <w:p w14:paraId="4C62AD6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(64%)</w:t>
            </w:r>
          </w:p>
        </w:tc>
      </w:tr>
      <w:tr w:rsidR="00220895" w:rsidRPr="00CD2448" w14:paraId="73B1B503" w14:textId="77777777" w:rsidTr="004B5642">
        <w:tc>
          <w:tcPr>
            <w:cnfStyle w:val="001000000000" w:firstRow="0" w:lastRow="0" w:firstColumn="1" w:lastColumn="0" w:oddVBand="0" w:evenVBand="0" w:oddHBand="0" w:evenHBand="0" w:firstRowFirstColumn="0" w:firstRowLastColumn="0" w:lastRowFirstColumn="0" w:lastRowLastColumn="0"/>
            <w:tcW w:w="962" w:type="pct"/>
            <w:vAlign w:val="center"/>
            <w:hideMark/>
          </w:tcPr>
          <w:p w14:paraId="13F7A3FF" w14:textId="77777777" w:rsidR="00552B2A" w:rsidRPr="00CD2448" w:rsidRDefault="00552B2A" w:rsidP="004B5642">
            <w:pPr>
              <w:jc w:val="center"/>
              <w:rPr>
                <w:rFonts w:ascii="Arial" w:hAnsi="Arial" w:cs="Arial"/>
                <w:color w:val="000000" w:themeColor="text1"/>
                <w:sz w:val="16"/>
                <w:szCs w:val="16"/>
              </w:rPr>
            </w:pPr>
            <w:r w:rsidRPr="00CD2448">
              <w:rPr>
                <w:rFonts w:ascii="Arial" w:hAnsi="Arial" w:cs="Arial"/>
                <w:color w:val="000000" w:themeColor="text1"/>
                <w:sz w:val="16"/>
                <w:szCs w:val="16"/>
              </w:rPr>
              <w:t>Asian</w:t>
            </w:r>
          </w:p>
        </w:tc>
        <w:tc>
          <w:tcPr>
            <w:tcW w:w="426" w:type="pct"/>
            <w:hideMark/>
          </w:tcPr>
          <w:p w14:paraId="1E5B26BC"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hideMark/>
          </w:tcPr>
          <w:p w14:paraId="29E9C903"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hideMark/>
          </w:tcPr>
          <w:p w14:paraId="08D13798"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(11%)</w:t>
            </w:r>
          </w:p>
        </w:tc>
        <w:tc>
          <w:tcPr>
            <w:tcW w:w="462" w:type="pct"/>
            <w:hideMark/>
          </w:tcPr>
          <w:p w14:paraId="5D4E8697"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(6%)</w:t>
            </w:r>
          </w:p>
        </w:tc>
        <w:tc>
          <w:tcPr>
            <w:tcW w:w="451" w:type="pct"/>
            <w:hideMark/>
          </w:tcPr>
          <w:p w14:paraId="288E322D"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(9%)</w:t>
            </w:r>
          </w:p>
        </w:tc>
        <w:tc>
          <w:tcPr>
            <w:tcW w:w="415" w:type="pct"/>
            <w:hideMark/>
          </w:tcPr>
          <w:p w14:paraId="7227A603"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(3%)</w:t>
            </w:r>
          </w:p>
        </w:tc>
        <w:tc>
          <w:tcPr>
            <w:tcW w:w="402" w:type="pct"/>
            <w:hideMark/>
          </w:tcPr>
          <w:p w14:paraId="7618ADBC"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c>
          <w:tcPr>
            <w:tcW w:w="557" w:type="pct"/>
            <w:hideMark/>
          </w:tcPr>
          <w:p w14:paraId="2BCDEDAC"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(3%)</w:t>
            </w:r>
          </w:p>
        </w:tc>
        <w:tc>
          <w:tcPr>
            <w:tcW w:w="547" w:type="pct"/>
            <w:hideMark/>
          </w:tcPr>
          <w:p w14:paraId="1623BA60" w14:textId="77777777" w:rsidR="00552B2A" w:rsidRPr="00CD2448" w:rsidRDefault="00552B2A" w:rsidP="004B5642">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r>
      <w:tr w:rsidR="00220895" w:rsidRPr="00CD2448" w14:paraId="7EB8F6B8" w14:textId="77777777" w:rsidTr="004B5642">
        <w:tc>
          <w:tcPr>
            <w:cnfStyle w:val="001000000000" w:firstRow="0" w:lastRow="0" w:firstColumn="1" w:lastColumn="0" w:oddVBand="0" w:evenVBand="0" w:oddHBand="0" w:evenHBand="0" w:firstRowFirstColumn="0" w:firstRowLastColumn="0" w:lastRowFirstColumn="0" w:lastRowLastColumn="0"/>
            <w:tcW w:w="962" w:type="pct"/>
            <w:vAlign w:val="center"/>
            <w:hideMark/>
          </w:tcPr>
          <w:p w14:paraId="7D5A1A75" w14:textId="77777777" w:rsidR="00E754AB" w:rsidRPr="00CD2448" w:rsidRDefault="00E754AB" w:rsidP="00E754AB">
            <w:pPr>
              <w:jc w:val="center"/>
              <w:rPr>
                <w:rFonts w:ascii="Arial" w:hAnsi="Arial" w:cs="Arial"/>
                <w:color w:val="000000" w:themeColor="text1"/>
                <w:sz w:val="16"/>
                <w:szCs w:val="16"/>
              </w:rPr>
            </w:pPr>
            <w:r w:rsidRPr="00CD2448">
              <w:rPr>
                <w:rFonts w:ascii="Arial" w:hAnsi="Arial" w:cs="Arial"/>
                <w:color w:val="000000" w:themeColor="text1"/>
                <w:sz w:val="16"/>
                <w:szCs w:val="16"/>
              </w:rPr>
              <w:t>Hispanic</w:t>
            </w:r>
          </w:p>
        </w:tc>
        <w:tc>
          <w:tcPr>
            <w:tcW w:w="426" w:type="pct"/>
            <w:hideMark/>
          </w:tcPr>
          <w:p w14:paraId="04B5EBE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hideMark/>
          </w:tcPr>
          <w:p w14:paraId="52269D1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hideMark/>
          </w:tcPr>
          <w:p w14:paraId="2E65FF8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62" w:type="pct"/>
            <w:hideMark/>
          </w:tcPr>
          <w:p w14:paraId="1A07EAE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51" w:type="pct"/>
            <w:hideMark/>
          </w:tcPr>
          <w:p w14:paraId="3CCA8C9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(9%)</w:t>
            </w:r>
          </w:p>
        </w:tc>
        <w:tc>
          <w:tcPr>
            <w:tcW w:w="415" w:type="pct"/>
            <w:hideMark/>
          </w:tcPr>
          <w:p w14:paraId="41811277"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02" w:type="pct"/>
            <w:hideMark/>
          </w:tcPr>
          <w:p w14:paraId="0FAE384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c>
          <w:tcPr>
            <w:tcW w:w="557" w:type="pct"/>
            <w:hideMark/>
          </w:tcPr>
          <w:p w14:paraId="29B09AA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547" w:type="pct"/>
            <w:hideMark/>
          </w:tcPr>
          <w:p w14:paraId="7729193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r>
      <w:tr w:rsidR="00220895" w:rsidRPr="00CD2448" w14:paraId="0A6EC17F" w14:textId="77777777" w:rsidTr="004B5642">
        <w:tc>
          <w:tcPr>
            <w:cnfStyle w:val="001000000000" w:firstRow="0" w:lastRow="0" w:firstColumn="1" w:lastColumn="0" w:oddVBand="0" w:evenVBand="0" w:oddHBand="0" w:evenHBand="0" w:firstRowFirstColumn="0" w:firstRowLastColumn="0" w:lastRowFirstColumn="0" w:lastRowLastColumn="0"/>
            <w:tcW w:w="962" w:type="pct"/>
            <w:vAlign w:val="center"/>
          </w:tcPr>
          <w:p w14:paraId="6D2EBEAD" w14:textId="235D33B3" w:rsidR="00E754AB" w:rsidRPr="00CD2448" w:rsidRDefault="00E754AB" w:rsidP="00E754AB">
            <w:pPr>
              <w:jc w:val="center"/>
              <w:rPr>
                <w:rFonts w:ascii="Arial" w:hAnsi="Arial" w:cs="Arial"/>
                <w:color w:val="000000" w:themeColor="text1"/>
                <w:sz w:val="16"/>
                <w:szCs w:val="16"/>
              </w:rPr>
            </w:pPr>
            <w:r w:rsidRPr="00CD2448">
              <w:rPr>
                <w:rFonts w:ascii="Arial" w:hAnsi="Arial" w:cs="Arial"/>
                <w:color w:val="000000" w:themeColor="text1"/>
                <w:sz w:val="16"/>
                <w:szCs w:val="16"/>
              </w:rPr>
              <w:t>Multiple</w:t>
            </w:r>
          </w:p>
        </w:tc>
        <w:tc>
          <w:tcPr>
            <w:tcW w:w="426" w:type="pct"/>
          </w:tcPr>
          <w:p w14:paraId="3555F719" w14:textId="49950FD3"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tcPr>
          <w:p w14:paraId="3DF5447C" w14:textId="768CFB86"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tcPr>
          <w:p w14:paraId="0551310D" w14:textId="199A36C6"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(11%)</w:t>
            </w:r>
          </w:p>
        </w:tc>
        <w:tc>
          <w:tcPr>
            <w:tcW w:w="462" w:type="pct"/>
          </w:tcPr>
          <w:p w14:paraId="16D377B2" w14:textId="4C33FD68"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(12%)</w:t>
            </w:r>
          </w:p>
        </w:tc>
        <w:tc>
          <w:tcPr>
            <w:tcW w:w="451" w:type="pct"/>
          </w:tcPr>
          <w:p w14:paraId="49A3B570" w14:textId="018D5075"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(9%)</w:t>
            </w:r>
          </w:p>
        </w:tc>
        <w:tc>
          <w:tcPr>
            <w:tcW w:w="415" w:type="pct"/>
          </w:tcPr>
          <w:p w14:paraId="2874785C" w14:textId="25544B88"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02" w:type="pct"/>
          </w:tcPr>
          <w:p w14:paraId="173A1FC4" w14:textId="2DE26EA2"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c>
          <w:tcPr>
            <w:tcW w:w="557" w:type="pct"/>
          </w:tcPr>
          <w:p w14:paraId="2BE15A7A" w14:textId="62BB141B"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(5%)</w:t>
            </w:r>
          </w:p>
        </w:tc>
        <w:tc>
          <w:tcPr>
            <w:tcW w:w="547" w:type="pct"/>
          </w:tcPr>
          <w:p w14:paraId="7F58BD9A" w14:textId="3DFF2A6F"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(4%)</w:t>
            </w:r>
          </w:p>
        </w:tc>
      </w:tr>
      <w:tr w:rsidR="00220895" w:rsidRPr="00CD2448" w14:paraId="361BF949"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18DDE369"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Baseline MADRS</w:t>
            </w:r>
            <w:r w:rsidRPr="00CD2448">
              <w:rPr>
                <w:rFonts w:ascii="Arial" w:hAnsi="Arial" w:cs="Arial"/>
                <w:color w:val="000000" w:themeColor="text1"/>
                <w:sz w:val="16"/>
                <w:szCs w:val="16"/>
              </w:rPr>
              <w:br/>
              <w:t>Mean (SD)</w:t>
            </w:r>
          </w:p>
        </w:tc>
        <w:tc>
          <w:tcPr>
            <w:tcW w:w="426" w:type="pct"/>
            <w:hideMark/>
          </w:tcPr>
          <w:p w14:paraId="136A02A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(5.1)</w:t>
            </w:r>
          </w:p>
        </w:tc>
        <w:tc>
          <w:tcPr>
            <w:tcW w:w="413" w:type="pct"/>
            <w:hideMark/>
          </w:tcPr>
          <w:p w14:paraId="64F4431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09BDB5D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4DF5208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(4.2)</w:t>
            </w:r>
          </w:p>
        </w:tc>
        <w:tc>
          <w:tcPr>
            <w:tcW w:w="451" w:type="pct"/>
            <w:hideMark/>
          </w:tcPr>
          <w:p w14:paraId="4FEE338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003AF93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(4.9)</w:t>
            </w:r>
          </w:p>
        </w:tc>
        <w:tc>
          <w:tcPr>
            <w:tcW w:w="402" w:type="pct"/>
            <w:hideMark/>
          </w:tcPr>
          <w:p w14:paraId="7177778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0F31CAB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(4.5)</w:t>
            </w:r>
          </w:p>
        </w:tc>
        <w:tc>
          <w:tcPr>
            <w:tcW w:w="547" w:type="pct"/>
            <w:hideMark/>
          </w:tcPr>
          <w:p w14:paraId="0439BD3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492BCD16"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6A37425A"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Total Failed AD Trials</w:t>
            </w:r>
            <w:r w:rsidRPr="00CD2448">
              <w:rPr>
                <w:rFonts w:ascii="Arial" w:hAnsi="Arial" w:cs="Arial"/>
                <w:color w:val="000000" w:themeColor="text1"/>
                <w:sz w:val="16"/>
                <w:szCs w:val="16"/>
              </w:rPr>
              <w:br/>
              <w:t>Mean (SD)</w:t>
            </w:r>
          </w:p>
        </w:tc>
        <w:tc>
          <w:tcPr>
            <w:tcW w:w="426" w:type="pct"/>
            <w:hideMark/>
          </w:tcPr>
          <w:p w14:paraId="64F978E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7.2 (4.9)</w:t>
            </w:r>
          </w:p>
        </w:tc>
        <w:tc>
          <w:tcPr>
            <w:tcW w:w="413" w:type="pct"/>
            <w:hideMark/>
          </w:tcPr>
          <w:p w14:paraId="51A0C3B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1F81E08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548EB39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5.8 (3.0)</w:t>
            </w:r>
          </w:p>
        </w:tc>
        <w:tc>
          <w:tcPr>
            <w:tcW w:w="451" w:type="pct"/>
            <w:hideMark/>
          </w:tcPr>
          <w:p w14:paraId="018BA17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64BCFE6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4.6 (2.8)</w:t>
            </w:r>
          </w:p>
        </w:tc>
        <w:tc>
          <w:tcPr>
            <w:tcW w:w="402" w:type="pct"/>
            <w:hideMark/>
          </w:tcPr>
          <w:p w14:paraId="4178C8E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51BF30A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4.9 (2.9)</w:t>
            </w:r>
          </w:p>
        </w:tc>
        <w:tc>
          <w:tcPr>
            <w:tcW w:w="547" w:type="pct"/>
            <w:hideMark/>
          </w:tcPr>
          <w:p w14:paraId="2EBAA3D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1954E2E3"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3067B35D" w14:textId="45B54B80"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Failed Augmentation Trials</w:t>
            </w:r>
            <w:r w:rsidR="00EE4AFD" w:rsidRPr="00CD2448">
              <w:rPr>
                <w:rFonts w:ascii="Arial" w:hAnsi="Arial" w:cs="Arial"/>
                <w:color w:val="000000" w:themeColor="text1"/>
                <w:sz w:val="16"/>
                <w:szCs w:val="16"/>
              </w:rPr>
              <w:t xml:space="preserve"> </w:t>
            </w:r>
            <w:r w:rsidRPr="00CD2448">
              <w:rPr>
                <w:rFonts w:ascii="Arial" w:hAnsi="Arial" w:cs="Arial"/>
                <w:color w:val="000000" w:themeColor="text1"/>
                <w:sz w:val="16"/>
                <w:szCs w:val="16"/>
              </w:rPr>
              <w:t>Mean (SD)</w:t>
            </w:r>
          </w:p>
        </w:tc>
        <w:tc>
          <w:tcPr>
            <w:tcW w:w="426" w:type="pct"/>
            <w:hideMark/>
          </w:tcPr>
          <w:p w14:paraId="1558BF9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4.4 (3.4)</w:t>
            </w:r>
          </w:p>
        </w:tc>
        <w:tc>
          <w:tcPr>
            <w:tcW w:w="413" w:type="pct"/>
            <w:hideMark/>
          </w:tcPr>
          <w:p w14:paraId="08BBD92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2986955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2B1B30B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4.1 (2.8)</w:t>
            </w:r>
          </w:p>
        </w:tc>
        <w:tc>
          <w:tcPr>
            <w:tcW w:w="451" w:type="pct"/>
            <w:hideMark/>
          </w:tcPr>
          <w:p w14:paraId="4D28088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13DD455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3.1 (3.0)</w:t>
            </w:r>
          </w:p>
        </w:tc>
        <w:tc>
          <w:tcPr>
            <w:tcW w:w="402" w:type="pct"/>
            <w:hideMark/>
          </w:tcPr>
          <w:p w14:paraId="2ABB04C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63B454F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(3.0)</w:t>
            </w:r>
          </w:p>
        </w:tc>
        <w:tc>
          <w:tcPr>
            <w:tcW w:w="547" w:type="pct"/>
            <w:hideMark/>
          </w:tcPr>
          <w:p w14:paraId="182D34F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4C7A38AF"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6890D011"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Received Lithium Augmentation (n%)</w:t>
            </w:r>
          </w:p>
        </w:tc>
        <w:tc>
          <w:tcPr>
            <w:tcW w:w="426" w:type="pct"/>
            <w:hideMark/>
          </w:tcPr>
          <w:p w14:paraId="168AFF7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(40%)</w:t>
            </w:r>
          </w:p>
        </w:tc>
        <w:tc>
          <w:tcPr>
            <w:tcW w:w="413" w:type="pct"/>
            <w:hideMark/>
          </w:tcPr>
          <w:p w14:paraId="6D76F8D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0834C83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6BF2A34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7 (44%)</w:t>
            </w:r>
          </w:p>
        </w:tc>
        <w:tc>
          <w:tcPr>
            <w:tcW w:w="451" w:type="pct"/>
            <w:hideMark/>
          </w:tcPr>
          <w:p w14:paraId="566FA45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13FFFED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13 (43%)</w:t>
            </w:r>
          </w:p>
        </w:tc>
        <w:tc>
          <w:tcPr>
            <w:tcW w:w="402" w:type="pct"/>
            <w:hideMark/>
          </w:tcPr>
          <w:p w14:paraId="5EDF324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33998B6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16 (41%)</w:t>
            </w:r>
          </w:p>
        </w:tc>
        <w:tc>
          <w:tcPr>
            <w:tcW w:w="547" w:type="pct"/>
            <w:hideMark/>
          </w:tcPr>
          <w:p w14:paraId="24863A6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7ADD7585"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7DD7A2E"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Prior ECT Treatment (n %)</w:t>
            </w:r>
          </w:p>
        </w:tc>
        <w:tc>
          <w:tcPr>
            <w:tcW w:w="426" w:type="pct"/>
            <w:hideMark/>
          </w:tcPr>
          <w:p w14:paraId="56A4D9B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(20%)</w:t>
            </w:r>
          </w:p>
        </w:tc>
        <w:tc>
          <w:tcPr>
            <w:tcW w:w="413" w:type="pct"/>
            <w:hideMark/>
          </w:tcPr>
          <w:p w14:paraId="0D40A19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0382DC9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4E5661E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6 (38%)</w:t>
            </w:r>
          </w:p>
        </w:tc>
        <w:tc>
          <w:tcPr>
            <w:tcW w:w="451" w:type="pct"/>
            <w:hideMark/>
          </w:tcPr>
          <w:p w14:paraId="62F7BAB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54C2840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7 (23%)</w:t>
            </w:r>
          </w:p>
        </w:tc>
        <w:tc>
          <w:tcPr>
            <w:tcW w:w="402" w:type="pct"/>
            <w:hideMark/>
          </w:tcPr>
          <w:p w14:paraId="454FC4F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2043984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10 (26%)</w:t>
            </w:r>
          </w:p>
        </w:tc>
        <w:tc>
          <w:tcPr>
            <w:tcW w:w="547" w:type="pct"/>
            <w:hideMark/>
          </w:tcPr>
          <w:p w14:paraId="5C351117"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6EC0C0DF"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1CF26B2D"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Past Suicide Attempts</w:t>
            </w:r>
            <w:r w:rsidRPr="00CD2448">
              <w:rPr>
                <w:rFonts w:ascii="Arial" w:hAnsi="Arial" w:cs="Arial"/>
                <w:color w:val="000000" w:themeColor="text1"/>
                <w:sz w:val="16"/>
                <w:szCs w:val="16"/>
              </w:rPr>
              <w:br/>
              <w:t>Mean (SD)</w:t>
            </w:r>
          </w:p>
        </w:tc>
        <w:tc>
          <w:tcPr>
            <w:tcW w:w="426" w:type="pct"/>
            <w:hideMark/>
          </w:tcPr>
          <w:p w14:paraId="1B065A9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0.40 (0.55)</w:t>
            </w:r>
          </w:p>
        </w:tc>
        <w:tc>
          <w:tcPr>
            <w:tcW w:w="413" w:type="pct"/>
            <w:hideMark/>
          </w:tcPr>
          <w:p w14:paraId="5DCD2F8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23A48F5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7B1B621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0.40 (0.63)</w:t>
            </w:r>
          </w:p>
        </w:tc>
        <w:tc>
          <w:tcPr>
            <w:tcW w:w="451" w:type="pct"/>
            <w:hideMark/>
          </w:tcPr>
          <w:p w14:paraId="648E8DE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4BE7B64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0.50 (0.73)</w:t>
            </w:r>
          </w:p>
        </w:tc>
        <w:tc>
          <w:tcPr>
            <w:tcW w:w="402" w:type="pct"/>
            <w:hideMark/>
          </w:tcPr>
          <w:p w14:paraId="1347D0C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4522259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0.47 (0.73)</w:t>
            </w:r>
          </w:p>
        </w:tc>
        <w:tc>
          <w:tcPr>
            <w:tcW w:w="547" w:type="pct"/>
            <w:hideMark/>
          </w:tcPr>
          <w:p w14:paraId="4A09A30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1D883EA2"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73B43015"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Past Hospital Admissions</w:t>
            </w:r>
            <w:r w:rsidRPr="00CD2448">
              <w:rPr>
                <w:rFonts w:ascii="Arial" w:hAnsi="Arial" w:cs="Arial"/>
                <w:color w:val="000000" w:themeColor="text1"/>
                <w:sz w:val="16"/>
                <w:szCs w:val="16"/>
              </w:rPr>
              <w:br/>
              <w:t>Mean (SD)</w:t>
            </w:r>
          </w:p>
        </w:tc>
        <w:tc>
          <w:tcPr>
            <w:tcW w:w="426" w:type="pct"/>
            <w:hideMark/>
          </w:tcPr>
          <w:p w14:paraId="62A5863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1.4 (1.9)</w:t>
            </w:r>
          </w:p>
        </w:tc>
        <w:tc>
          <w:tcPr>
            <w:tcW w:w="413" w:type="pct"/>
            <w:hideMark/>
          </w:tcPr>
          <w:p w14:paraId="031BF90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632D48B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5B4BD07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2.1 (1.9)</w:t>
            </w:r>
          </w:p>
        </w:tc>
        <w:tc>
          <w:tcPr>
            <w:tcW w:w="451" w:type="pct"/>
            <w:hideMark/>
          </w:tcPr>
          <w:p w14:paraId="0689BF0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6D730A5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1.5 (1.7)</w:t>
            </w:r>
          </w:p>
        </w:tc>
        <w:tc>
          <w:tcPr>
            <w:tcW w:w="402" w:type="pct"/>
            <w:hideMark/>
          </w:tcPr>
          <w:p w14:paraId="715FD94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051EA15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1.4 (1.7)</w:t>
            </w:r>
          </w:p>
        </w:tc>
        <w:tc>
          <w:tcPr>
            <w:tcW w:w="547" w:type="pct"/>
            <w:hideMark/>
          </w:tcPr>
          <w:p w14:paraId="0320D49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6EDA8F3C"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ED792EA"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 xml:space="preserve">History of </w:t>
            </w:r>
            <w:bookmarkStart w:id="50" w:name="OLE_LINK220"/>
            <w:r w:rsidRPr="00CD2448">
              <w:rPr>
                <w:rFonts w:ascii="Arial" w:hAnsi="Arial" w:cs="Arial"/>
                <w:color w:val="000000" w:themeColor="text1"/>
                <w:sz w:val="16"/>
                <w:szCs w:val="16"/>
              </w:rPr>
              <w:t>Trauma, Abuse, or Neglect</w:t>
            </w:r>
            <w:bookmarkEnd w:id="50"/>
            <w:r w:rsidRPr="00CD2448">
              <w:rPr>
                <w:rFonts w:ascii="Arial" w:hAnsi="Arial" w:cs="Arial"/>
                <w:color w:val="000000" w:themeColor="text1"/>
                <w:sz w:val="16"/>
                <w:szCs w:val="16"/>
              </w:rPr>
              <w:t>( n %)</w:t>
            </w:r>
          </w:p>
        </w:tc>
        <w:tc>
          <w:tcPr>
            <w:tcW w:w="426" w:type="pct"/>
            <w:hideMark/>
          </w:tcPr>
          <w:p w14:paraId="7F2BDF1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(40%)</w:t>
            </w:r>
          </w:p>
        </w:tc>
        <w:tc>
          <w:tcPr>
            <w:tcW w:w="413" w:type="pct"/>
            <w:hideMark/>
          </w:tcPr>
          <w:p w14:paraId="511B600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223F0BF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67BAB10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7 (44%)</w:t>
            </w:r>
          </w:p>
        </w:tc>
        <w:tc>
          <w:tcPr>
            <w:tcW w:w="451" w:type="pct"/>
            <w:hideMark/>
          </w:tcPr>
          <w:p w14:paraId="002689D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6183330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13 (43%)</w:t>
            </w:r>
          </w:p>
        </w:tc>
        <w:tc>
          <w:tcPr>
            <w:tcW w:w="402" w:type="pct"/>
            <w:hideMark/>
          </w:tcPr>
          <w:p w14:paraId="014994A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7ED864E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18 (46%)</w:t>
            </w:r>
          </w:p>
        </w:tc>
        <w:tc>
          <w:tcPr>
            <w:tcW w:w="547" w:type="pct"/>
            <w:hideMark/>
          </w:tcPr>
          <w:p w14:paraId="4EA36EB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3C963E50"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51B5D234"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History of Polytrauma</w:t>
            </w:r>
          </w:p>
        </w:tc>
        <w:tc>
          <w:tcPr>
            <w:tcW w:w="426" w:type="pct"/>
            <w:hideMark/>
          </w:tcPr>
          <w:p w14:paraId="474DF3D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(20%)</w:t>
            </w:r>
          </w:p>
        </w:tc>
        <w:tc>
          <w:tcPr>
            <w:tcW w:w="413" w:type="pct"/>
            <w:hideMark/>
          </w:tcPr>
          <w:p w14:paraId="148FC4D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6A7E2D4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059B4B0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 (6%)</w:t>
            </w:r>
          </w:p>
        </w:tc>
        <w:tc>
          <w:tcPr>
            <w:tcW w:w="451" w:type="pct"/>
            <w:hideMark/>
          </w:tcPr>
          <w:p w14:paraId="319AA77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151711C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5 (17%)</w:t>
            </w:r>
          </w:p>
        </w:tc>
        <w:tc>
          <w:tcPr>
            <w:tcW w:w="402" w:type="pct"/>
            <w:hideMark/>
          </w:tcPr>
          <w:p w14:paraId="3111530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00AA668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6 (15%)</w:t>
            </w:r>
          </w:p>
        </w:tc>
        <w:tc>
          <w:tcPr>
            <w:tcW w:w="547" w:type="pct"/>
            <w:hideMark/>
          </w:tcPr>
          <w:p w14:paraId="242BBA4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0AF88F2F"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6AE16674"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Illness Duration (yrs)</w:t>
            </w:r>
            <w:r w:rsidRPr="00CD2448">
              <w:rPr>
                <w:rFonts w:ascii="Arial" w:hAnsi="Arial" w:cs="Arial"/>
                <w:color w:val="000000" w:themeColor="text1"/>
                <w:sz w:val="16"/>
                <w:szCs w:val="16"/>
              </w:rPr>
              <w:br/>
              <w:t>Mean (SD)</w:t>
            </w:r>
          </w:p>
        </w:tc>
        <w:tc>
          <w:tcPr>
            <w:tcW w:w="426" w:type="pct"/>
            <w:hideMark/>
          </w:tcPr>
          <w:p w14:paraId="64245B2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28 (15)</w:t>
            </w:r>
          </w:p>
        </w:tc>
        <w:tc>
          <w:tcPr>
            <w:tcW w:w="413" w:type="pct"/>
            <w:hideMark/>
          </w:tcPr>
          <w:p w14:paraId="61C9363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7F32AAE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55D383E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24 (14)</w:t>
            </w:r>
          </w:p>
        </w:tc>
        <w:tc>
          <w:tcPr>
            <w:tcW w:w="451" w:type="pct"/>
            <w:hideMark/>
          </w:tcPr>
          <w:p w14:paraId="2E79593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005F7FD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22 (12)</w:t>
            </w:r>
          </w:p>
        </w:tc>
        <w:tc>
          <w:tcPr>
            <w:tcW w:w="402" w:type="pct"/>
            <w:hideMark/>
          </w:tcPr>
          <w:p w14:paraId="6AB77F0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1C90B39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22 (12)</w:t>
            </w:r>
          </w:p>
        </w:tc>
        <w:tc>
          <w:tcPr>
            <w:tcW w:w="547" w:type="pct"/>
            <w:hideMark/>
          </w:tcPr>
          <w:p w14:paraId="764688B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7EB55C44"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7C99AD5A"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Currently Unemployed (n%)</w:t>
            </w:r>
          </w:p>
        </w:tc>
        <w:tc>
          <w:tcPr>
            <w:tcW w:w="426" w:type="pct"/>
            <w:hideMark/>
          </w:tcPr>
          <w:p w14:paraId="2E9C472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hideMark/>
          </w:tcPr>
          <w:p w14:paraId="3C61E3B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1269500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6D2EE12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13 (81%)</w:t>
            </w:r>
          </w:p>
        </w:tc>
        <w:tc>
          <w:tcPr>
            <w:tcW w:w="451" w:type="pct"/>
            <w:hideMark/>
          </w:tcPr>
          <w:p w14:paraId="3A803DC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64CEE65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27 (90%)</w:t>
            </w:r>
          </w:p>
        </w:tc>
        <w:tc>
          <w:tcPr>
            <w:tcW w:w="402" w:type="pct"/>
            <w:hideMark/>
          </w:tcPr>
          <w:p w14:paraId="70686D47"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7135216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33 (85%)</w:t>
            </w:r>
          </w:p>
        </w:tc>
        <w:tc>
          <w:tcPr>
            <w:tcW w:w="547" w:type="pct"/>
            <w:hideMark/>
          </w:tcPr>
          <w:p w14:paraId="1E5003F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30F241B5"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0EA1A3BA"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On Disability (n%)</w:t>
            </w:r>
          </w:p>
        </w:tc>
        <w:tc>
          <w:tcPr>
            <w:tcW w:w="426" w:type="pct"/>
            <w:hideMark/>
          </w:tcPr>
          <w:p w14:paraId="6A12D62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bookmarkStart w:id="51" w:name="OLE_LINK60"/>
            <w:r w:rsidRPr="00CD2448">
              <w:rPr>
                <w:rFonts w:ascii="Arial" w:hAnsi="Arial" w:cs="Arial"/>
                <w:color w:val="000000" w:themeColor="text1"/>
                <w:sz w:val="16"/>
                <w:szCs w:val="16"/>
              </w:rPr>
              <w:t>0 (0%)</w:t>
            </w:r>
            <w:bookmarkEnd w:id="51"/>
          </w:p>
        </w:tc>
        <w:tc>
          <w:tcPr>
            <w:tcW w:w="413" w:type="pct"/>
            <w:hideMark/>
          </w:tcPr>
          <w:p w14:paraId="6FAFAB1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365" w:type="pct"/>
            <w:hideMark/>
          </w:tcPr>
          <w:p w14:paraId="41430E9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62" w:type="pct"/>
            <w:hideMark/>
          </w:tcPr>
          <w:p w14:paraId="44934EC2"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 (19%)</w:t>
            </w:r>
          </w:p>
        </w:tc>
        <w:tc>
          <w:tcPr>
            <w:tcW w:w="451" w:type="pct"/>
            <w:hideMark/>
          </w:tcPr>
          <w:p w14:paraId="62414024"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15" w:type="pct"/>
            <w:hideMark/>
          </w:tcPr>
          <w:p w14:paraId="7C4692D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 (7%)</w:t>
            </w:r>
          </w:p>
        </w:tc>
        <w:tc>
          <w:tcPr>
            <w:tcW w:w="402" w:type="pct"/>
            <w:hideMark/>
          </w:tcPr>
          <w:p w14:paraId="3A7C6CA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557" w:type="pct"/>
            <w:hideMark/>
          </w:tcPr>
          <w:p w14:paraId="5260B94D"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 (10%)</w:t>
            </w:r>
          </w:p>
        </w:tc>
        <w:tc>
          <w:tcPr>
            <w:tcW w:w="547" w:type="pct"/>
            <w:hideMark/>
          </w:tcPr>
          <w:p w14:paraId="63B1A42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r w:rsidR="00220895" w:rsidRPr="00CD2448" w14:paraId="35BFAEB1"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58CF8DAD"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Family History of Mood Disorder (n%)</w:t>
            </w:r>
          </w:p>
        </w:tc>
        <w:tc>
          <w:tcPr>
            <w:tcW w:w="426" w:type="pct"/>
            <w:hideMark/>
          </w:tcPr>
          <w:p w14:paraId="2D7B0648"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 (80%)</w:t>
            </w:r>
          </w:p>
        </w:tc>
        <w:tc>
          <w:tcPr>
            <w:tcW w:w="413" w:type="pct"/>
            <w:hideMark/>
          </w:tcPr>
          <w:p w14:paraId="63ACC93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76B0A47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62" w:type="pct"/>
            <w:hideMark/>
          </w:tcPr>
          <w:p w14:paraId="71A14BE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11 (69%)</w:t>
            </w:r>
          </w:p>
        </w:tc>
        <w:tc>
          <w:tcPr>
            <w:tcW w:w="451" w:type="pct"/>
            <w:hideMark/>
          </w:tcPr>
          <w:p w14:paraId="53E8E5D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28C6EAC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26 (87%)</w:t>
            </w:r>
          </w:p>
        </w:tc>
        <w:tc>
          <w:tcPr>
            <w:tcW w:w="402" w:type="pct"/>
            <w:hideMark/>
          </w:tcPr>
          <w:p w14:paraId="7229EDE5"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4D9851F7"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32 (82%)</w:t>
            </w:r>
          </w:p>
        </w:tc>
        <w:tc>
          <w:tcPr>
            <w:tcW w:w="547" w:type="pct"/>
            <w:hideMark/>
          </w:tcPr>
          <w:p w14:paraId="678D609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r w:rsidR="00220895" w:rsidRPr="00CD2448" w14:paraId="2433399C"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159D7F5D"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Any PRN Anti-Inflammatory Medication Use** (n%)</w:t>
            </w:r>
          </w:p>
        </w:tc>
        <w:tc>
          <w:tcPr>
            <w:tcW w:w="426" w:type="pct"/>
            <w:hideMark/>
          </w:tcPr>
          <w:p w14:paraId="562BDC1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3" w:type="pct"/>
            <w:hideMark/>
          </w:tcPr>
          <w:p w14:paraId="6BA64460"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365" w:type="pct"/>
            <w:hideMark/>
          </w:tcPr>
          <w:p w14:paraId="649A0CA9"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62" w:type="pct"/>
            <w:hideMark/>
          </w:tcPr>
          <w:p w14:paraId="04E49DE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15 (94%)</w:t>
            </w:r>
          </w:p>
        </w:tc>
        <w:tc>
          <w:tcPr>
            <w:tcW w:w="451" w:type="pct"/>
            <w:hideMark/>
          </w:tcPr>
          <w:p w14:paraId="518AF0C6"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415" w:type="pct"/>
            <w:hideMark/>
          </w:tcPr>
          <w:p w14:paraId="5A43C2C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21 (70%)</w:t>
            </w:r>
          </w:p>
        </w:tc>
        <w:tc>
          <w:tcPr>
            <w:tcW w:w="402" w:type="pct"/>
            <w:hideMark/>
          </w:tcPr>
          <w:p w14:paraId="749541B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c>
          <w:tcPr>
            <w:tcW w:w="557" w:type="pct"/>
            <w:hideMark/>
          </w:tcPr>
          <w:p w14:paraId="1D07AE87"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28 (72%)</w:t>
            </w:r>
          </w:p>
        </w:tc>
        <w:tc>
          <w:tcPr>
            <w:tcW w:w="547" w:type="pct"/>
            <w:hideMark/>
          </w:tcPr>
          <w:p w14:paraId="4ABF33C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p>
        </w:tc>
      </w:tr>
      <w:tr w:rsidR="00220895" w:rsidRPr="00CD2448" w14:paraId="26D113A8" w14:textId="77777777" w:rsidTr="004B5642">
        <w:tc>
          <w:tcPr>
            <w:cnfStyle w:val="001000000000" w:firstRow="0" w:lastRow="0" w:firstColumn="1" w:lastColumn="0" w:oddVBand="0" w:evenVBand="0" w:oddHBand="0" w:evenHBand="0" w:firstRowFirstColumn="0" w:firstRowLastColumn="0" w:lastRowFirstColumn="0" w:lastRowLastColumn="0"/>
            <w:tcW w:w="962" w:type="pct"/>
            <w:hideMark/>
          </w:tcPr>
          <w:p w14:paraId="5C35CBFE" w14:textId="77777777" w:rsidR="00E754AB" w:rsidRPr="00CD2448" w:rsidRDefault="00E754AB" w:rsidP="00E754AB">
            <w:pPr>
              <w:rPr>
                <w:rFonts w:ascii="Arial" w:hAnsi="Arial" w:cs="Arial"/>
                <w:color w:val="000000" w:themeColor="text1"/>
                <w:sz w:val="16"/>
                <w:szCs w:val="16"/>
              </w:rPr>
            </w:pPr>
            <w:r w:rsidRPr="00CD2448">
              <w:rPr>
                <w:rFonts w:ascii="Arial" w:hAnsi="Arial" w:cs="Arial"/>
                <w:color w:val="000000" w:themeColor="text1"/>
                <w:sz w:val="16"/>
                <w:szCs w:val="16"/>
              </w:rPr>
              <w:t>Comorbid Immune-Related Diagnosis (n%)</w:t>
            </w:r>
          </w:p>
        </w:tc>
        <w:tc>
          <w:tcPr>
            <w:tcW w:w="426" w:type="pct"/>
            <w:hideMark/>
          </w:tcPr>
          <w:p w14:paraId="16DFC39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13" w:type="pct"/>
            <w:hideMark/>
          </w:tcPr>
          <w:p w14:paraId="215E418F"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365" w:type="pct"/>
            <w:hideMark/>
          </w:tcPr>
          <w:p w14:paraId="3805C10C"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0 (0%)</w:t>
            </w:r>
          </w:p>
        </w:tc>
        <w:tc>
          <w:tcPr>
            <w:tcW w:w="462" w:type="pct"/>
            <w:hideMark/>
          </w:tcPr>
          <w:p w14:paraId="4FCBC8BE"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 (19%)</w:t>
            </w:r>
          </w:p>
        </w:tc>
        <w:tc>
          <w:tcPr>
            <w:tcW w:w="451" w:type="pct"/>
            <w:hideMark/>
          </w:tcPr>
          <w:p w14:paraId="57E103A1"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415" w:type="pct"/>
            <w:hideMark/>
          </w:tcPr>
          <w:p w14:paraId="6E5512D3"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3 (10%)</w:t>
            </w:r>
          </w:p>
        </w:tc>
        <w:tc>
          <w:tcPr>
            <w:tcW w:w="402" w:type="pct"/>
            <w:hideMark/>
          </w:tcPr>
          <w:p w14:paraId="50C0129A"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c>
          <w:tcPr>
            <w:tcW w:w="557" w:type="pct"/>
            <w:hideMark/>
          </w:tcPr>
          <w:p w14:paraId="739671A3" w14:textId="23F85AEF"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4(10%)</w:t>
            </w:r>
          </w:p>
        </w:tc>
        <w:tc>
          <w:tcPr>
            <w:tcW w:w="547" w:type="pct"/>
            <w:hideMark/>
          </w:tcPr>
          <w:p w14:paraId="6D92764B" w14:textId="77777777" w:rsidR="00E754AB" w:rsidRPr="00CD2448" w:rsidRDefault="00E754AB" w:rsidP="00E754AB">
            <w:pPr>
              <w:cnfStyle w:val="000000000000" w:firstRow="0" w:lastRow="0" w:firstColumn="0" w:lastColumn="0" w:oddVBand="0" w:evenVBand="0" w:oddHBand="0" w:evenHBand="0" w:firstRowFirstColumn="0" w:firstRowLastColumn="0" w:lastRowFirstColumn="0" w:lastRowLastColumn="0"/>
              <w:rPr>
                <w:rFonts w:ascii="Arial" w:hAnsi="Arial" w:cs="Arial"/>
                <w:color w:val="000000" w:themeColor="text1"/>
                <w:sz w:val="16"/>
                <w:szCs w:val="16"/>
              </w:rPr>
            </w:pPr>
            <w:r w:rsidRPr="00CD2448">
              <w:rPr>
                <w:rFonts w:ascii="Arial" w:hAnsi="Arial" w:cs="Arial"/>
                <w:color w:val="000000" w:themeColor="text1"/>
                <w:sz w:val="16"/>
                <w:szCs w:val="16"/>
              </w:rPr>
              <w:t>—</w:t>
            </w:r>
          </w:p>
        </w:tc>
      </w:tr>
    </w:tbl>
    <w:p w14:paraId="09FE1535" w14:textId="12EACF91" w:rsidR="00220895" w:rsidRPr="00CD2448" w:rsidRDefault="00635A88" w:rsidP="00752462">
      <w:pPr>
        <w:spacing w:line="278" w:lineRule="auto"/>
        <w:rPr>
          <w:rFonts w:ascii="Arial" w:hAnsi="Arial" w:cs="Arial"/>
          <w:b/>
          <w:bCs/>
          <w:color w:val="000000" w:themeColor="text1"/>
          <w:sz w:val="20"/>
          <w:szCs w:val="20"/>
        </w:rPr>
      </w:pPr>
      <w:r w:rsidRPr="00CD2448">
        <w:rPr>
          <w:rFonts w:ascii="Arial" w:hAnsi="Arial" w:cs="Arial"/>
          <w:color w:val="000000" w:themeColor="text1"/>
          <w:sz w:val="20"/>
          <w:szCs w:val="20"/>
        </w:rPr>
        <w:t>**The variable “any PRN anti-inflammatory medication use” reflects any administration of a non-scheduled anti-inflammatory agent within a −7/+</w:t>
      </w:r>
      <w:proofErr w:type="gramStart"/>
      <w:r w:rsidRPr="00CD2448">
        <w:rPr>
          <w:rFonts w:ascii="Arial" w:hAnsi="Arial" w:cs="Arial"/>
          <w:color w:val="000000" w:themeColor="text1"/>
          <w:sz w:val="20"/>
          <w:szCs w:val="20"/>
        </w:rPr>
        <w:t>3 day</w:t>
      </w:r>
      <w:proofErr w:type="gramEnd"/>
      <w:r w:rsidRPr="00CD2448">
        <w:rPr>
          <w:rFonts w:ascii="Arial" w:hAnsi="Arial" w:cs="Arial"/>
          <w:color w:val="000000" w:themeColor="text1"/>
          <w:sz w:val="20"/>
          <w:szCs w:val="20"/>
        </w:rPr>
        <w:t xml:space="preserve"> peri-infusion lookback window; sensitivity analyses examining the influence of medication exposure (including standardized dosage and frequency) and immune-relevant comorbidities on primary cytokine and antidepressant outcomes from </w:t>
      </w:r>
      <w:r w:rsidRPr="00CD2448">
        <w:rPr>
          <w:rFonts w:ascii="Arial" w:hAnsi="Arial" w:cs="Arial"/>
          <w:b/>
          <w:bCs/>
          <w:color w:val="000000" w:themeColor="text1"/>
          <w:sz w:val="20"/>
          <w:szCs w:val="20"/>
        </w:rPr>
        <w:t>Figure 4</w:t>
      </w:r>
      <w:r w:rsidRPr="00CD2448">
        <w:rPr>
          <w:rFonts w:ascii="Arial" w:hAnsi="Arial" w:cs="Arial"/>
          <w:color w:val="000000" w:themeColor="text1"/>
          <w:sz w:val="20"/>
          <w:szCs w:val="20"/>
        </w:rPr>
        <w:t xml:space="preserve"> appear in </w:t>
      </w:r>
      <w:r w:rsidRPr="00CD2448">
        <w:rPr>
          <w:rFonts w:ascii="Arial" w:hAnsi="Arial" w:cs="Arial"/>
          <w:b/>
          <w:bCs/>
          <w:color w:val="000000" w:themeColor="text1"/>
          <w:sz w:val="20"/>
          <w:szCs w:val="20"/>
        </w:rPr>
        <w:t>Figures S9 and S10</w:t>
      </w:r>
      <w:r w:rsidRPr="00CD2448">
        <w:rPr>
          <w:rFonts w:ascii="Arial" w:hAnsi="Arial" w:cs="Arial"/>
          <w:color w:val="000000" w:themeColor="text1"/>
          <w:sz w:val="20"/>
          <w:szCs w:val="20"/>
        </w:rPr>
        <w:t xml:space="preserve">. Continuous variables are presented as mean (SD) and categorical variables as n (%). The field “Polytrauma” indicates multiple lifetime instances of psychological trauma, abuse, or neglect as indicated by the SCID-V interview. </w:t>
      </w:r>
      <w:r w:rsidR="00AD308D" w:rsidRPr="00CD2448">
        <w:rPr>
          <w:rFonts w:ascii="Arial" w:hAnsi="Arial" w:cs="Arial"/>
          <w:i/>
          <w:iCs/>
          <w:color w:val="000000" w:themeColor="text1"/>
          <w:sz w:val="20"/>
          <w:szCs w:val="20"/>
        </w:rPr>
        <w:t>Abbreviations:</w:t>
      </w:r>
      <w:r w:rsidR="00AD308D" w:rsidRPr="00CD2448">
        <w:rPr>
          <w:rFonts w:ascii="Arial" w:hAnsi="Arial" w:cs="Arial"/>
          <w:color w:val="000000" w:themeColor="text1"/>
          <w:sz w:val="20"/>
          <w:szCs w:val="20"/>
        </w:rPr>
        <w:t xml:space="preserve"> </w:t>
      </w:r>
      <w:r w:rsidR="00D06EF9" w:rsidRPr="00CD2448">
        <w:rPr>
          <w:rFonts w:ascii="Arial" w:hAnsi="Arial" w:cs="Arial"/>
          <w:color w:val="000000" w:themeColor="text1"/>
          <w:sz w:val="20"/>
          <w:szCs w:val="20"/>
        </w:rPr>
        <w:t xml:space="preserve">BMI: body-mass index; </w:t>
      </w:r>
      <w:r w:rsidR="00F87D21" w:rsidRPr="00CD2448">
        <w:rPr>
          <w:rFonts w:ascii="Arial" w:hAnsi="Arial" w:cs="Arial"/>
          <w:color w:val="000000" w:themeColor="text1"/>
          <w:sz w:val="20"/>
          <w:szCs w:val="20"/>
        </w:rPr>
        <w:t xml:space="preserve">MEG: magnetoencephalography; </w:t>
      </w:r>
      <w:r w:rsidR="00D65E92" w:rsidRPr="00CD2448">
        <w:rPr>
          <w:rFonts w:ascii="Arial" w:hAnsi="Arial" w:cs="Arial"/>
          <w:color w:val="000000" w:themeColor="text1"/>
          <w:sz w:val="20"/>
          <w:szCs w:val="20"/>
        </w:rPr>
        <w:t>TRD</w:t>
      </w:r>
      <w:r w:rsidR="00C42DC2" w:rsidRPr="00CD2448">
        <w:rPr>
          <w:rFonts w:ascii="Arial" w:hAnsi="Arial" w:cs="Arial"/>
          <w:color w:val="000000" w:themeColor="text1"/>
          <w:sz w:val="20"/>
          <w:szCs w:val="20"/>
        </w:rPr>
        <w:t>: t</w:t>
      </w:r>
      <w:r w:rsidR="00D65E92" w:rsidRPr="00CD2448">
        <w:rPr>
          <w:rFonts w:ascii="Arial" w:hAnsi="Arial" w:cs="Arial"/>
          <w:color w:val="000000" w:themeColor="text1"/>
          <w:sz w:val="20"/>
          <w:szCs w:val="20"/>
        </w:rPr>
        <w:t>reatment-</w:t>
      </w:r>
      <w:r w:rsidR="00C42DC2" w:rsidRPr="00CD2448">
        <w:rPr>
          <w:rFonts w:ascii="Arial" w:hAnsi="Arial" w:cs="Arial"/>
          <w:color w:val="000000" w:themeColor="text1"/>
          <w:sz w:val="20"/>
          <w:szCs w:val="20"/>
        </w:rPr>
        <w:t>r</w:t>
      </w:r>
      <w:r w:rsidR="00D65E92" w:rsidRPr="00CD2448">
        <w:rPr>
          <w:rFonts w:ascii="Arial" w:hAnsi="Arial" w:cs="Arial"/>
          <w:color w:val="000000" w:themeColor="text1"/>
          <w:sz w:val="20"/>
          <w:szCs w:val="20"/>
        </w:rPr>
        <w:t xml:space="preserve">esistant </w:t>
      </w:r>
      <w:r w:rsidR="00C42DC2" w:rsidRPr="00CD2448">
        <w:rPr>
          <w:rFonts w:ascii="Arial" w:hAnsi="Arial" w:cs="Arial"/>
          <w:color w:val="000000" w:themeColor="text1"/>
          <w:sz w:val="20"/>
          <w:szCs w:val="20"/>
        </w:rPr>
        <w:t>d</w:t>
      </w:r>
      <w:r w:rsidR="00D65E92" w:rsidRPr="00CD2448">
        <w:rPr>
          <w:rFonts w:ascii="Arial" w:hAnsi="Arial" w:cs="Arial"/>
          <w:color w:val="000000" w:themeColor="text1"/>
          <w:sz w:val="20"/>
          <w:szCs w:val="20"/>
        </w:rPr>
        <w:t>epression; HV</w:t>
      </w:r>
      <w:r w:rsidR="00C42DC2" w:rsidRPr="00CD2448">
        <w:rPr>
          <w:rFonts w:ascii="Arial" w:hAnsi="Arial" w:cs="Arial"/>
          <w:color w:val="000000" w:themeColor="text1"/>
          <w:sz w:val="20"/>
          <w:szCs w:val="20"/>
        </w:rPr>
        <w:t>: h</w:t>
      </w:r>
      <w:r w:rsidR="00D65E92" w:rsidRPr="00CD2448">
        <w:rPr>
          <w:rFonts w:ascii="Arial" w:hAnsi="Arial" w:cs="Arial"/>
          <w:color w:val="000000" w:themeColor="text1"/>
          <w:sz w:val="20"/>
          <w:szCs w:val="20"/>
        </w:rPr>
        <w:t xml:space="preserve">ealthy </w:t>
      </w:r>
      <w:r w:rsidR="00C42DC2" w:rsidRPr="00CD2448">
        <w:rPr>
          <w:rFonts w:ascii="Arial" w:hAnsi="Arial" w:cs="Arial"/>
          <w:color w:val="000000" w:themeColor="text1"/>
          <w:sz w:val="20"/>
          <w:szCs w:val="20"/>
        </w:rPr>
        <w:t>v</w:t>
      </w:r>
      <w:r w:rsidR="00D65E92" w:rsidRPr="00CD2448">
        <w:rPr>
          <w:rFonts w:ascii="Arial" w:hAnsi="Arial" w:cs="Arial"/>
          <w:color w:val="000000" w:themeColor="text1"/>
          <w:sz w:val="20"/>
          <w:szCs w:val="20"/>
        </w:rPr>
        <w:t>olunteer; MADRS</w:t>
      </w:r>
      <w:r w:rsidR="00C42DC2" w:rsidRPr="00CD2448">
        <w:rPr>
          <w:rFonts w:ascii="Arial" w:hAnsi="Arial" w:cs="Arial"/>
          <w:color w:val="000000" w:themeColor="text1"/>
          <w:sz w:val="20"/>
          <w:szCs w:val="20"/>
        </w:rPr>
        <w:t>:</w:t>
      </w:r>
      <w:r w:rsidR="00D65E92" w:rsidRPr="00CD2448">
        <w:rPr>
          <w:rFonts w:ascii="Arial" w:hAnsi="Arial" w:cs="Arial"/>
          <w:color w:val="000000" w:themeColor="text1"/>
          <w:sz w:val="20"/>
          <w:szCs w:val="20"/>
        </w:rPr>
        <w:t xml:space="preserve"> Montgomery-</w:t>
      </w:r>
      <w:proofErr w:type="spellStart"/>
      <w:r w:rsidR="00D65E92" w:rsidRPr="00CD2448">
        <w:rPr>
          <w:rFonts w:ascii="Arial" w:hAnsi="Arial" w:cs="Arial"/>
          <w:color w:val="000000" w:themeColor="text1"/>
          <w:sz w:val="20"/>
          <w:szCs w:val="20"/>
        </w:rPr>
        <w:t>Åsberg</w:t>
      </w:r>
      <w:proofErr w:type="spellEnd"/>
      <w:r w:rsidR="00D65E92" w:rsidRPr="00CD2448">
        <w:rPr>
          <w:rFonts w:ascii="Arial" w:hAnsi="Arial" w:cs="Arial"/>
          <w:color w:val="000000" w:themeColor="text1"/>
          <w:sz w:val="20"/>
          <w:szCs w:val="20"/>
        </w:rPr>
        <w:t xml:space="preserve"> Depression Rating Scale; AD</w:t>
      </w:r>
      <w:r w:rsidR="00C42DC2" w:rsidRPr="00CD2448">
        <w:rPr>
          <w:rFonts w:ascii="Arial" w:hAnsi="Arial" w:cs="Arial"/>
          <w:color w:val="000000" w:themeColor="text1"/>
          <w:sz w:val="20"/>
          <w:szCs w:val="20"/>
        </w:rPr>
        <w:t>: a</w:t>
      </w:r>
      <w:r w:rsidR="00D65E92" w:rsidRPr="00CD2448">
        <w:rPr>
          <w:rFonts w:ascii="Arial" w:hAnsi="Arial" w:cs="Arial"/>
          <w:color w:val="000000" w:themeColor="text1"/>
          <w:sz w:val="20"/>
          <w:szCs w:val="20"/>
        </w:rPr>
        <w:t>ntidepressant; ECT</w:t>
      </w:r>
      <w:r w:rsidR="00C42DC2" w:rsidRPr="00CD2448">
        <w:rPr>
          <w:rFonts w:ascii="Arial" w:hAnsi="Arial" w:cs="Arial"/>
          <w:color w:val="000000" w:themeColor="text1"/>
          <w:sz w:val="20"/>
          <w:szCs w:val="20"/>
        </w:rPr>
        <w:t>: e</w:t>
      </w:r>
      <w:r w:rsidR="00D65E92" w:rsidRPr="00CD2448">
        <w:rPr>
          <w:rFonts w:ascii="Arial" w:hAnsi="Arial" w:cs="Arial"/>
          <w:color w:val="000000" w:themeColor="text1"/>
          <w:sz w:val="20"/>
          <w:szCs w:val="20"/>
        </w:rPr>
        <w:t xml:space="preserve">lectroconvulsive </w:t>
      </w:r>
      <w:r w:rsidR="00C42DC2" w:rsidRPr="00CD2448">
        <w:rPr>
          <w:rFonts w:ascii="Arial" w:hAnsi="Arial" w:cs="Arial"/>
          <w:color w:val="000000" w:themeColor="text1"/>
          <w:sz w:val="20"/>
          <w:szCs w:val="20"/>
        </w:rPr>
        <w:t>t</w:t>
      </w:r>
      <w:r w:rsidR="00D65E92" w:rsidRPr="00CD2448">
        <w:rPr>
          <w:rFonts w:ascii="Arial" w:hAnsi="Arial" w:cs="Arial"/>
          <w:color w:val="000000" w:themeColor="text1"/>
          <w:sz w:val="20"/>
          <w:szCs w:val="20"/>
        </w:rPr>
        <w:t>herapy; iPSC</w:t>
      </w:r>
      <w:r w:rsidR="00C42DC2" w:rsidRPr="00CD2448">
        <w:rPr>
          <w:rFonts w:ascii="Arial" w:hAnsi="Arial" w:cs="Arial"/>
          <w:color w:val="000000" w:themeColor="text1"/>
          <w:sz w:val="20"/>
          <w:szCs w:val="20"/>
        </w:rPr>
        <w:t xml:space="preserve">; </w:t>
      </w:r>
      <w:r w:rsidR="00D65E92" w:rsidRPr="00CD2448">
        <w:rPr>
          <w:rFonts w:ascii="Arial" w:hAnsi="Arial" w:cs="Arial"/>
          <w:color w:val="000000" w:themeColor="text1"/>
          <w:sz w:val="20"/>
          <w:szCs w:val="20"/>
        </w:rPr>
        <w:t>induced pluripotent stem cell; CSF</w:t>
      </w:r>
      <w:r w:rsidR="00C42DC2" w:rsidRPr="00CD2448">
        <w:rPr>
          <w:rFonts w:ascii="Arial" w:hAnsi="Arial" w:cs="Arial"/>
          <w:color w:val="000000" w:themeColor="text1"/>
          <w:sz w:val="20"/>
          <w:szCs w:val="20"/>
        </w:rPr>
        <w:t>:</w:t>
      </w:r>
      <w:r w:rsidR="00D65E92" w:rsidRPr="00CD2448">
        <w:rPr>
          <w:rFonts w:ascii="Arial" w:hAnsi="Arial" w:cs="Arial"/>
          <w:color w:val="000000" w:themeColor="text1"/>
          <w:sz w:val="20"/>
          <w:szCs w:val="20"/>
        </w:rPr>
        <w:t xml:space="preserve"> cerebrospinal fluid; KMOA</w:t>
      </w:r>
      <w:r w:rsidR="00C42DC2" w:rsidRPr="00CD2448">
        <w:rPr>
          <w:rFonts w:ascii="Arial" w:hAnsi="Arial" w:cs="Arial"/>
          <w:color w:val="000000" w:themeColor="text1"/>
          <w:sz w:val="20"/>
          <w:szCs w:val="20"/>
        </w:rPr>
        <w:t>:</w:t>
      </w:r>
      <w:r w:rsidR="00D65E92" w:rsidRPr="00CD2448">
        <w:rPr>
          <w:rFonts w:ascii="Arial" w:hAnsi="Arial" w:cs="Arial"/>
          <w:color w:val="000000" w:themeColor="text1"/>
          <w:sz w:val="20"/>
          <w:szCs w:val="20"/>
        </w:rPr>
        <w:t xml:space="preserve"> </w:t>
      </w:r>
      <w:r w:rsidR="00C42DC2" w:rsidRPr="00CD2448">
        <w:rPr>
          <w:rFonts w:ascii="Arial" w:hAnsi="Arial" w:cs="Arial"/>
          <w:color w:val="000000" w:themeColor="text1"/>
          <w:sz w:val="20"/>
          <w:szCs w:val="20"/>
        </w:rPr>
        <w:t>k</w:t>
      </w:r>
      <w:r w:rsidR="00D65E92" w:rsidRPr="00CD2448">
        <w:rPr>
          <w:rFonts w:ascii="Arial" w:hAnsi="Arial" w:cs="Arial"/>
          <w:color w:val="000000" w:themeColor="text1"/>
          <w:sz w:val="20"/>
          <w:szCs w:val="20"/>
        </w:rPr>
        <w:t xml:space="preserve">etamine </w:t>
      </w:r>
      <w:r w:rsidR="00C42DC2" w:rsidRPr="00CD2448">
        <w:rPr>
          <w:rFonts w:ascii="Arial" w:hAnsi="Arial" w:cs="Arial"/>
          <w:color w:val="000000" w:themeColor="text1"/>
          <w:sz w:val="20"/>
          <w:szCs w:val="20"/>
        </w:rPr>
        <w:t>m</w:t>
      </w:r>
      <w:r w:rsidR="00D65E92" w:rsidRPr="00CD2448">
        <w:rPr>
          <w:rFonts w:ascii="Arial" w:hAnsi="Arial" w:cs="Arial"/>
          <w:color w:val="000000" w:themeColor="text1"/>
          <w:sz w:val="20"/>
          <w:szCs w:val="20"/>
        </w:rPr>
        <w:t xml:space="preserve">echanism of </w:t>
      </w:r>
      <w:r w:rsidR="00C42DC2" w:rsidRPr="00CD2448">
        <w:rPr>
          <w:rFonts w:ascii="Arial" w:hAnsi="Arial" w:cs="Arial"/>
          <w:color w:val="000000" w:themeColor="text1"/>
          <w:sz w:val="20"/>
          <w:szCs w:val="20"/>
        </w:rPr>
        <w:t>a</w:t>
      </w:r>
      <w:r w:rsidR="00D65E92" w:rsidRPr="00CD2448">
        <w:rPr>
          <w:rFonts w:ascii="Arial" w:hAnsi="Arial" w:cs="Arial"/>
          <w:color w:val="000000" w:themeColor="text1"/>
          <w:sz w:val="20"/>
          <w:szCs w:val="20"/>
        </w:rPr>
        <w:t>ction trial (</w:t>
      </w:r>
      <w:bookmarkStart w:id="52" w:name="OLE_LINK114"/>
      <w:r w:rsidR="00D65E92" w:rsidRPr="00CD2448">
        <w:rPr>
          <w:rFonts w:ascii="Arial" w:hAnsi="Arial" w:cs="Arial"/>
          <w:color w:val="000000" w:themeColor="text1"/>
          <w:sz w:val="20"/>
          <w:szCs w:val="20"/>
        </w:rPr>
        <w:t>NCT00088699</w:t>
      </w:r>
      <w:bookmarkEnd w:id="52"/>
      <w:r w:rsidR="00D65E92" w:rsidRPr="00CD2448">
        <w:rPr>
          <w:rFonts w:ascii="Arial" w:hAnsi="Arial" w:cs="Arial"/>
          <w:color w:val="000000" w:themeColor="text1"/>
          <w:sz w:val="20"/>
          <w:szCs w:val="20"/>
        </w:rPr>
        <w:t>).</w:t>
      </w:r>
      <w:r w:rsidR="00220895" w:rsidRPr="00CD2448">
        <w:rPr>
          <w:rFonts w:ascii="Arial" w:eastAsiaTheme="majorEastAsia" w:hAnsi="Arial" w:cs="Arial"/>
          <w:i/>
          <w:iCs/>
          <w:color w:val="000000" w:themeColor="text1"/>
          <w:sz w:val="20"/>
          <w:szCs w:val="20"/>
        </w:rPr>
        <w:br w:type="page"/>
      </w:r>
    </w:p>
    <w:p w14:paraId="06456A6E" w14:textId="77777777" w:rsidR="00D65E92" w:rsidRPr="00CD2448" w:rsidRDefault="00D65E92" w:rsidP="00F84119">
      <w:pPr>
        <w:spacing w:line="278" w:lineRule="auto"/>
        <w:rPr>
          <w:rFonts w:ascii="Arial" w:hAnsi="Arial" w:cs="Arial"/>
          <w:color w:val="000000" w:themeColor="text1"/>
          <w:sz w:val="20"/>
          <w:szCs w:val="20"/>
        </w:rPr>
      </w:pPr>
      <w:r w:rsidRPr="00CD2448">
        <w:rPr>
          <w:rFonts w:ascii="Arial" w:hAnsi="Arial" w:cs="Arial"/>
          <w:b/>
          <w:bCs/>
          <w:color w:val="000000" w:themeColor="text1"/>
          <w:sz w:val="20"/>
          <w:szCs w:val="20"/>
        </w:rPr>
        <w:lastRenderedPageBreak/>
        <w:t xml:space="preserve">Supplementary Table S5: </w:t>
      </w:r>
      <w:proofErr w:type="spellStart"/>
      <w:r w:rsidRPr="00CD2448">
        <w:rPr>
          <w:rFonts w:ascii="Arial" w:hAnsi="Arial" w:cs="Arial"/>
          <w:b/>
          <w:bCs/>
          <w:i/>
          <w:iCs/>
          <w:color w:val="000000" w:themeColor="text1"/>
          <w:sz w:val="20"/>
          <w:szCs w:val="20"/>
        </w:rPr>
        <w:t>BayesPrism</w:t>
      </w:r>
      <w:proofErr w:type="spellEnd"/>
      <w:r w:rsidRPr="00CD2448">
        <w:rPr>
          <w:rFonts w:ascii="Arial" w:hAnsi="Arial" w:cs="Arial"/>
          <w:b/>
          <w:bCs/>
          <w:color w:val="000000" w:themeColor="text1"/>
          <w:sz w:val="20"/>
          <w:szCs w:val="20"/>
        </w:rPr>
        <w:t xml:space="preserve"> single-cell reference dataset cell types and corresponding marker genes. </w:t>
      </w:r>
      <w:r w:rsidRPr="00CD2448">
        <w:rPr>
          <w:rFonts w:ascii="Arial" w:hAnsi="Arial" w:cs="Arial"/>
          <w:color w:val="000000" w:themeColor="text1"/>
          <w:sz w:val="20"/>
          <w:szCs w:val="20"/>
        </w:rPr>
        <w:t xml:space="preserve">This table provides the 48 immune cell populations used for deconvolution analysis from the Hao and colleagues reference dataset (n=161,764 peripheral blood mononuclear cells (PBMCs) from eight healthy donors) </w:t>
      </w:r>
      <w:r w:rsidRPr="00CD2448">
        <w:rPr>
          <w:rFonts w:ascii="Arial" w:eastAsiaTheme="minorHAnsi" w:hAnsi="Arial" w:cs="Arial"/>
          <w:color w:val="000000" w:themeColor="text1"/>
          <w:sz w:val="20"/>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Pr="00CD2448">
        <w:rPr>
          <w:rFonts w:ascii="Arial" w:eastAsiaTheme="minorHAnsi" w:hAnsi="Arial" w:cs="Arial"/>
          <w:color w:val="000000" w:themeColor="text1"/>
          <w:sz w:val="20"/>
          <w14:ligatures w14:val="standardContextual"/>
        </w:rPr>
        <w:instrText xml:space="preserve"> ADDIN EN.CITE </w:instrText>
      </w:r>
      <w:r w:rsidRPr="00CD2448">
        <w:rPr>
          <w:rFonts w:ascii="Arial" w:eastAsiaTheme="minorHAnsi" w:hAnsi="Arial" w:cs="Arial"/>
          <w:color w:val="000000" w:themeColor="text1"/>
          <w:sz w:val="20"/>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Pr="00CD2448">
        <w:rPr>
          <w:rFonts w:ascii="Arial" w:eastAsiaTheme="minorHAnsi" w:hAnsi="Arial" w:cs="Arial"/>
          <w:color w:val="000000" w:themeColor="text1"/>
          <w:sz w:val="20"/>
          <w14:ligatures w14:val="standardContextual"/>
        </w:rPr>
        <w:instrText xml:space="preserve"> ADDIN EN.CITE.DATA </w:instrText>
      </w:r>
      <w:r w:rsidRPr="00CD2448">
        <w:rPr>
          <w:rFonts w:ascii="Arial" w:eastAsiaTheme="minorHAnsi" w:hAnsi="Arial" w:cs="Arial"/>
          <w:color w:val="000000" w:themeColor="text1"/>
          <w:sz w:val="20"/>
          <w14:ligatures w14:val="standardContextual"/>
        </w:rPr>
      </w:r>
      <w:r w:rsidRPr="00CD2448">
        <w:rPr>
          <w:rFonts w:ascii="Arial" w:eastAsiaTheme="minorHAnsi" w:hAnsi="Arial" w:cs="Arial"/>
          <w:color w:val="000000" w:themeColor="text1"/>
          <w:sz w:val="20"/>
          <w14:ligatures w14:val="standardContextual"/>
        </w:rPr>
        <w:fldChar w:fldCharType="end"/>
      </w:r>
      <w:r w:rsidRPr="00CD2448">
        <w:rPr>
          <w:rFonts w:ascii="Arial" w:eastAsiaTheme="minorHAnsi" w:hAnsi="Arial" w:cs="Arial"/>
          <w:color w:val="000000" w:themeColor="text1"/>
          <w:sz w:val="20"/>
          <w14:ligatures w14:val="standardContextual"/>
        </w:rPr>
      </w:r>
      <w:r w:rsidRPr="00CD2448">
        <w:rPr>
          <w:rFonts w:ascii="Arial" w:eastAsiaTheme="minorHAnsi" w:hAnsi="Arial" w:cs="Arial"/>
          <w:color w:val="000000" w:themeColor="text1"/>
          <w:sz w:val="20"/>
          <w14:ligatures w14:val="standardContextual"/>
        </w:rPr>
        <w:fldChar w:fldCharType="separate"/>
      </w:r>
      <w:r w:rsidRPr="00CD2448">
        <w:rPr>
          <w:rFonts w:ascii="Arial" w:eastAsiaTheme="minorHAnsi" w:hAnsi="Arial" w:cs="Arial"/>
          <w:noProof/>
          <w:color w:val="000000" w:themeColor="text1"/>
          <w:sz w:val="20"/>
          <w14:ligatures w14:val="standardContextual"/>
        </w:rPr>
        <w:t>[21]</w:t>
      </w:r>
      <w:r w:rsidRPr="00CD2448">
        <w:rPr>
          <w:rFonts w:ascii="Arial" w:eastAsiaTheme="minorHAnsi" w:hAnsi="Arial" w:cs="Arial"/>
          <w:color w:val="000000" w:themeColor="text1"/>
          <w:sz w:val="20"/>
          <w14:ligatures w14:val="standardContextual"/>
        </w:rPr>
        <w:fldChar w:fldCharType="end"/>
      </w:r>
      <w:r w:rsidRPr="00CD2448">
        <w:rPr>
          <w:rFonts w:ascii="Arial" w:hAnsi="Arial" w:cs="Arial"/>
          <w:color w:val="000000" w:themeColor="text1"/>
          <w:sz w:val="20"/>
          <w:szCs w:val="20"/>
        </w:rPr>
        <w:t xml:space="preserve">. Cell types are listed with their expanded labels, Cell Ontology (OBO) IDs for standardized classification, and the top 10 marker genes defining each population. Marker genes were identified through differential expression analysis in the original single-cell dataset and validated using oligonucleotide antibody-derived tags. Bold formatting indicates the NK_3 population, which displayed canonical NKT markers and showed the most pronounced functional shifts in ketamine responders. Cell types with fewer than 30 cells in the reference were excluded from analysis per </w:t>
      </w:r>
      <w:proofErr w:type="spellStart"/>
      <w:r w:rsidRPr="00CD2448">
        <w:rPr>
          <w:rFonts w:ascii="Arial" w:hAnsi="Arial" w:cs="Arial"/>
          <w:color w:val="000000" w:themeColor="text1"/>
          <w:sz w:val="20"/>
          <w:szCs w:val="20"/>
        </w:rPr>
        <w:t>BayesPrism</w:t>
      </w:r>
      <w:proofErr w:type="spellEnd"/>
      <w:r w:rsidRPr="00CD2448">
        <w:rPr>
          <w:rFonts w:ascii="Arial" w:hAnsi="Arial" w:cs="Arial"/>
          <w:color w:val="000000" w:themeColor="text1"/>
          <w:sz w:val="20"/>
          <w:szCs w:val="20"/>
        </w:rPr>
        <w:t xml:space="preserve"> recommendations. </w:t>
      </w:r>
    </w:p>
    <w:p w14:paraId="3010C418" w14:textId="77777777" w:rsidR="00D65E92" w:rsidRPr="00CD2448" w:rsidRDefault="00D65E92" w:rsidP="00F84119">
      <w:pPr>
        <w:spacing w:line="278" w:lineRule="auto"/>
        <w:rPr>
          <w:rFonts w:ascii="Arial" w:hAnsi="Arial" w:cs="Arial"/>
          <w:color w:val="000000" w:themeColor="text1"/>
          <w:sz w:val="20"/>
          <w:szCs w:val="20"/>
        </w:rPr>
      </w:pPr>
      <w:r w:rsidRPr="00CD2448">
        <w:rPr>
          <w:rFonts w:ascii="Arial" w:hAnsi="Arial" w:cs="Arial"/>
          <w:color w:val="000000" w:themeColor="text1"/>
          <w:sz w:val="20"/>
          <w:szCs w:val="20"/>
        </w:rPr>
        <w:t xml:space="preserve">Adapted from: https://azimuth.hubmapconsortium.org/references/ </w:t>
      </w:r>
    </w:p>
    <w:p w14:paraId="1B8FA224" w14:textId="77777777" w:rsidR="00220895" w:rsidRPr="00CD2448" w:rsidRDefault="00220895" w:rsidP="007F3F8E">
      <w:pPr>
        <w:spacing w:line="278" w:lineRule="auto"/>
        <w:jc w:val="both"/>
        <w:rPr>
          <w:rFonts w:ascii="Arial" w:eastAsiaTheme="majorEastAsia" w:hAnsi="Arial" w:cs="Arial"/>
          <w:i/>
          <w:iCs/>
          <w:color w:val="000000" w:themeColor="text1"/>
          <w:sz w:val="20"/>
          <w:szCs w:val="20"/>
        </w:rPr>
      </w:pPr>
    </w:p>
    <w:tbl>
      <w:tblPr>
        <w:tblStyle w:val="TableGrid"/>
        <w:tblW w:w="5000" w:type="pct"/>
        <w:tblLook w:val="04A0" w:firstRow="1" w:lastRow="0" w:firstColumn="1" w:lastColumn="0" w:noHBand="0" w:noVBand="1"/>
      </w:tblPr>
      <w:tblGrid>
        <w:gridCol w:w="1246"/>
        <w:gridCol w:w="2002"/>
        <w:gridCol w:w="2993"/>
        <w:gridCol w:w="4549"/>
      </w:tblGrid>
      <w:tr w:rsidR="0084371B" w:rsidRPr="00CD2448" w14:paraId="3C30A10B" w14:textId="77777777" w:rsidTr="0084371B">
        <w:trPr>
          <w:trHeight w:val="320"/>
        </w:trPr>
        <w:tc>
          <w:tcPr>
            <w:tcW w:w="578" w:type="pct"/>
            <w:noWrap/>
            <w:hideMark/>
          </w:tcPr>
          <w:p w14:paraId="35547D47"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Label</w:t>
            </w:r>
          </w:p>
        </w:tc>
        <w:tc>
          <w:tcPr>
            <w:tcW w:w="928" w:type="pct"/>
            <w:noWrap/>
            <w:hideMark/>
          </w:tcPr>
          <w:p w14:paraId="0556D674"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Expanded Label</w:t>
            </w:r>
          </w:p>
        </w:tc>
        <w:tc>
          <w:tcPr>
            <w:tcW w:w="1385" w:type="pct"/>
            <w:noWrap/>
            <w:hideMark/>
          </w:tcPr>
          <w:p w14:paraId="6F6DC275"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OBO Ontology ID</w:t>
            </w:r>
          </w:p>
        </w:tc>
        <w:tc>
          <w:tcPr>
            <w:tcW w:w="2109" w:type="pct"/>
            <w:noWrap/>
            <w:hideMark/>
          </w:tcPr>
          <w:p w14:paraId="60C9E3AF" w14:textId="5AE4881C"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Top Markers From Azimuth/Hao et al.</w:t>
            </w:r>
            <w:r w:rsidR="005E399D" w:rsidRPr="00CD2448">
              <w:rPr>
                <w:rFonts w:ascii="Arial" w:hAnsi="Arial" w:cs="Arial"/>
                <w:b/>
                <w:bCs/>
                <w:color w:val="000000" w:themeColor="text1"/>
                <w:sz w:val="16"/>
                <w:szCs w:val="16"/>
              </w:rPr>
              <w:t xml:space="preserve"> </w:t>
            </w:r>
            <w:r w:rsidR="005E399D" w:rsidRPr="00CD2448">
              <w:rPr>
                <w:rFonts w:ascii="Arial" w:eastAsiaTheme="minorHAnsi" w:hAnsi="Arial" w:cs="Arial"/>
                <w:b/>
                <w:bCs/>
                <w:color w:val="000000" w:themeColor="text1"/>
                <w:sz w:val="16"/>
                <w:szCs w:val="16"/>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b/>
                <w:bCs/>
                <w:color w:val="000000" w:themeColor="text1"/>
                <w:sz w:val="16"/>
                <w:szCs w:val="16"/>
                <w14:ligatures w14:val="standardContextual"/>
              </w:rPr>
              <w:instrText xml:space="preserve"> ADDIN EN.CITE </w:instrText>
            </w:r>
            <w:r w:rsidR="008D0B4D" w:rsidRPr="00CD2448">
              <w:rPr>
                <w:rFonts w:ascii="Arial" w:eastAsiaTheme="minorHAnsi" w:hAnsi="Arial" w:cs="Arial"/>
                <w:b/>
                <w:bCs/>
                <w:color w:val="000000" w:themeColor="text1"/>
                <w:sz w:val="16"/>
                <w:szCs w:val="16"/>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b/>
                <w:bCs/>
                <w:color w:val="000000" w:themeColor="text1"/>
                <w:sz w:val="16"/>
                <w:szCs w:val="16"/>
                <w14:ligatures w14:val="standardContextual"/>
              </w:rPr>
              <w:instrText xml:space="preserve"> ADDIN EN.CITE.DATA </w:instrText>
            </w:r>
            <w:r w:rsidR="008D0B4D" w:rsidRPr="00CD2448">
              <w:rPr>
                <w:rFonts w:ascii="Arial" w:eastAsiaTheme="minorHAnsi" w:hAnsi="Arial" w:cs="Arial"/>
                <w:b/>
                <w:bCs/>
                <w:color w:val="000000" w:themeColor="text1"/>
                <w:sz w:val="16"/>
                <w:szCs w:val="16"/>
                <w14:ligatures w14:val="standardContextual"/>
              </w:rPr>
            </w:r>
            <w:r w:rsidR="008D0B4D" w:rsidRPr="00CD2448">
              <w:rPr>
                <w:rFonts w:ascii="Arial" w:eastAsiaTheme="minorHAnsi" w:hAnsi="Arial" w:cs="Arial"/>
                <w:b/>
                <w:bCs/>
                <w:color w:val="000000" w:themeColor="text1"/>
                <w:sz w:val="16"/>
                <w:szCs w:val="16"/>
                <w14:ligatures w14:val="standardContextual"/>
              </w:rPr>
              <w:fldChar w:fldCharType="end"/>
            </w:r>
            <w:r w:rsidR="005E399D" w:rsidRPr="00CD2448">
              <w:rPr>
                <w:rFonts w:ascii="Arial" w:eastAsiaTheme="minorHAnsi" w:hAnsi="Arial" w:cs="Arial"/>
                <w:b/>
                <w:bCs/>
                <w:color w:val="000000" w:themeColor="text1"/>
                <w:sz w:val="16"/>
                <w:szCs w:val="16"/>
                <w14:ligatures w14:val="standardContextual"/>
              </w:rPr>
            </w:r>
            <w:r w:rsidR="005E399D" w:rsidRPr="00CD2448">
              <w:rPr>
                <w:rFonts w:ascii="Arial" w:eastAsiaTheme="minorHAnsi" w:hAnsi="Arial" w:cs="Arial"/>
                <w:b/>
                <w:bCs/>
                <w:color w:val="000000" w:themeColor="text1"/>
                <w:sz w:val="16"/>
                <w:szCs w:val="16"/>
                <w14:ligatures w14:val="standardContextual"/>
              </w:rPr>
              <w:fldChar w:fldCharType="separate"/>
            </w:r>
            <w:r w:rsidR="008D0B4D" w:rsidRPr="00CD2448">
              <w:rPr>
                <w:rFonts w:ascii="Arial" w:eastAsiaTheme="minorHAnsi" w:hAnsi="Arial" w:cs="Arial"/>
                <w:b/>
                <w:bCs/>
                <w:noProof/>
                <w:color w:val="000000" w:themeColor="text1"/>
                <w:sz w:val="16"/>
                <w:szCs w:val="16"/>
                <w14:ligatures w14:val="standardContextual"/>
              </w:rPr>
              <w:t>[21]</w:t>
            </w:r>
            <w:r w:rsidR="005E399D" w:rsidRPr="00CD2448">
              <w:rPr>
                <w:rFonts w:ascii="Arial" w:eastAsiaTheme="minorHAnsi" w:hAnsi="Arial" w:cs="Arial"/>
                <w:b/>
                <w:bCs/>
                <w:color w:val="000000" w:themeColor="text1"/>
                <w:sz w:val="16"/>
                <w:szCs w:val="16"/>
                <w14:ligatures w14:val="standardContextual"/>
              </w:rPr>
              <w:fldChar w:fldCharType="end"/>
            </w:r>
          </w:p>
        </w:tc>
      </w:tr>
      <w:tr w:rsidR="0084371B" w:rsidRPr="00CD2448" w14:paraId="22A0DEE2" w14:textId="77777777" w:rsidTr="0084371B">
        <w:trPr>
          <w:trHeight w:val="320"/>
        </w:trPr>
        <w:tc>
          <w:tcPr>
            <w:tcW w:w="578" w:type="pct"/>
            <w:noWrap/>
            <w:hideMark/>
          </w:tcPr>
          <w:p w14:paraId="309EEF20" w14:textId="77777777" w:rsidR="0084371B" w:rsidRPr="00CD2448" w:rsidRDefault="0084371B" w:rsidP="007F3F8E">
            <w:pPr>
              <w:jc w:val="both"/>
              <w:rPr>
                <w:rFonts w:ascii="Arial" w:hAnsi="Arial" w:cs="Arial"/>
                <w:color w:val="000000" w:themeColor="text1"/>
                <w:sz w:val="16"/>
                <w:szCs w:val="16"/>
              </w:rPr>
            </w:pPr>
            <w:proofErr w:type="spellStart"/>
            <w:r w:rsidRPr="00CD2448">
              <w:rPr>
                <w:rFonts w:ascii="Arial" w:hAnsi="Arial" w:cs="Arial"/>
                <w:color w:val="000000" w:themeColor="text1"/>
                <w:sz w:val="16"/>
                <w:szCs w:val="16"/>
              </w:rPr>
              <w:t>ASDC_mDC</w:t>
            </w:r>
            <w:proofErr w:type="spellEnd"/>
          </w:p>
        </w:tc>
        <w:tc>
          <w:tcPr>
            <w:tcW w:w="928" w:type="pct"/>
            <w:noWrap/>
            <w:hideMark/>
          </w:tcPr>
          <w:p w14:paraId="5C48671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AXL+ myeloid dendritic cell</w:t>
            </w:r>
          </w:p>
        </w:tc>
        <w:tc>
          <w:tcPr>
            <w:tcW w:w="1385" w:type="pct"/>
            <w:noWrap/>
            <w:hideMark/>
          </w:tcPr>
          <w:p w14:paraId="60A75CE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myeloid dendritic cell</w:t>
            </w:r>
          </w:p>
        </w:tc>
        <w:tc>
          <w:tcPr>
            <w:tcW w:w="2109" w:type="pct"/>
            <w:noWrap/>
            <w:hideMark/>
          </w:tcPr>
          <w:p w14:paraId="0FA406A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AXL, LILRA4, SCN9A, CLEC4C, LTK, PPP1R14A, LGMN, SCT, IL3RA, GAS6</w:t>
            </w:r>
          </w:p>
        </w:tc>
      </w:tr>
      <w:tr w:rsidR="0084371B" w:rsidRPr="00CD2448" w14:paraId="5371BC8E" w14:textId="77777777" w:rsidTr="0084371B">
        <w:trPr>
          <w:trHeight w:val="320"/>
        </w:trPr>
        <w:tc>
          <w:tcPr>
            <w:tcW w:w="578" w:type="pct"/>
            <w:noWrap/>
            <w:hideMark/>
          </w:tcPr>
          <w:p w14:paraId="10935B3F" w14:textId="77777777" w:rsidR="0084371B" w:rsidRPr="00CD2448" w:rsidRDefault="0084371B" w:rsidP="007F3F8E">
            <w:pPr>
              <w:jc w:val="both"/>
              <w:rPr>
                <w:rFonts w:ascii="Arial" w:hAnsi="Arial" w:cs="Arial"/>
                <w:color w:val="000000" w:themeColor="text1"/>
                <w:sz w:val="16"/>
                <w:szCs w:val="16"/>
              </w:rPr>
            </w:pPr>
            <w:proofErr w:type="spellStart"/>
            <w:r w:rsidRPr="00CD2448">
              <w:rPr>
                <w:rFonts w:ascii="Arial" w:hAnsi="Arial" w:cs="Arial"/>
                <w:color w:val="000000" w:themeColor="text1"/>
                <w:sz w:val="16"/>
                <w:szCs w:val="16"/>
              </w:rPr>
              <w:t>ASDC_pDC</w:t>
            </w:r>
            <w:proofErr w:type="spellEnd"/>
          </w:p>
        </w:tc>
        <w:tc>
          <w:tcPr>
            <w:tcW w:w="928" w:type="pct"/>
            <w:noWrap/>
            <w:hideMark/>
          </w:tcPr>
          <w:p w14:paraId="00203CE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AXL+ plasmacytoid dendritic cell</w:t>
            </w:r>
          </w:p>
        </w:tc>
        <w:tc>
          <w:tcPr>
            <w:tcW w:w="1385" w:type="pct"/>
            <w:noWrap/>
            <w:hideMark/>
          </w:tcPr>
          <w:p w14:paraId="6FCC580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plasmacytoid dendritic cell</w:t>
            </w:r>
          </w:p>
        </w:tc>
        <w:tc>
          <w:tcPr>
            <w:tcW w:w="2109" w:type="pct"/>
            <w:noWrap/>
            <w:hideMark/>
          </w:tcPr>
          <w:p w14:paraId="0D5A120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LILRA4, CLEC4C, SCT, EPHB1, AXL, PROC, LRRC26, SCN9A, LTK, DNASE1L3</w:t>
            </w:r>
          </w:p>
        </w:tc>
      </w:tr>
      <w:tr w:rsidR="0084371B" w:rsidRPr="00CD2448" w14:paraId="2EBEB846" w14:textId="77777777" w:rsidTr="0084371B">
        <w:trPr>
          <w:trHeight w:val="320"/>
        </w:trPr>
        <w:tc>
          <w:tcPr>
            <w:tcW w:w="578" w:type="pct"/>
            <w:noWrap/>
            <w:hideMark/>
          </w:tcPr>
          <w:p w14:paraId="4D5B67A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intermediate kappa</w:t>
            </w:r>
          </w:p>
        </w:tc>
        <w:tc>
          <w:tcPr>
            <w:tcW w:w="928" w:type="pct"/>
            <w:noWrap/>
            <w:hideMark/>
          </w:tcPr>
          <w:p w14:paraId="46A46A3A" w14:textId="479808D1"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Intermediate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kappa light chain</w:t>
            </w:r>
          </w:p>
        </w:tc>
        <w:tc>
          <w:tcPr>
            <w:tcW w:w="1385" w:type="pct"/>
            <w:noWrap/>
            <w:hideMark/>
          </w:tcPr>
          <w:p w14:paraId="2C8C16E0" w14:textId="58E8D8CC"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mature </w:t>
            </w:r>
            <w:r w:rsidR="00816BFA" w:rsidRPr="00CD2448">
              <w:rPr>
                <w:rFonts w:ascii="Arial" w:hAnsi="Arial" w:cs="Arial"/>
                <w:color w:val="000000" w:themeColor="text1"/>
                <w:sz w:val="16"/>
                <w:szCs w:val="16"/>
              </w:rPr>
              <w:t>B-cell</w:t>
            </w:r>
          </w:p>
        </w:tc>
        <w:tc>
          <w:tcPr>
            <w:tcW w:w="2109" w:type="pct"/>
            <w:noWrap/>
            <w:hideMark/>
          </w:tcPr>
          <w:p w14:paraId="1556671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MS4A1, IGKC, IGHM, LINC01857, MARCKS, IGHD, TNFRSF13B, CD24, FCRL2, BANK1</w:t>
            </w:r>
          </w:p>
        </w:tc>
      </w:tr>
      <w:tr w:rsidR="0084371B" w:rsidRPr="00CD2448" w14:paraId="7E0DFA4A" w14:textId="77777777" w:rsidTr="0084371B">
        <w:trPr>
          <w:trHeight w:val="320"/>
        </w:trPr>
        <w:tc>
          <w:tcPr>
            <w:tcW w:w="578" w:type="pct"/>
            <w:noWrap/>
            <w:hideMark/>
          </w:tcPr>
          <w:p w14:paraId="65B02F1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intermediate lambda</w:t>
            </w:r>
          </w:p>
        </w:tc>
        <w:tc>
          <w:tcPr>
            <w:tcW w:w="928" w:type="pct"/>
            <w:noWrap/>
            <w:hideMark/>
          </w:tcPr>
          <w:p w14:paraId="330C7BFF" w14:textId="45E3E27B"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Intermediate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lambda light chain</w:t>
            </w:r>
          </w:p>
        </w:tc>
        <w:tc>
          <w:tcPr>
            <w:tcW w:w="1385" w:type="pct"/>
            <w:noWrap/>
            <w:hideMark/>
          </w:tcPr>
          <w:p w14:paraId="00FDC746" w14:textId="52746645"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mature </w:t>
            </w:r>
            <w:r w:rsidR="00816BFA" w:rsidRPr="00CD2448">
              <w:rPr>
                <w:rFonts w:ascii="Arial" w:hAnsi="Arial" w:cs="Arial"/>
                <w:color w:val="000000" w:themeColor="text1"/>
                <w:sz w:val="16"/>
                <w:szCs w:val="16"/>
              </w:rPr>
              <w:t>B-cell</w:t>
            </w:r>
          </w:p>
        </w:tc>
        <w:tc>
          <w:tcPr>
            <w:tcW w:w="2109" w:type="pct"/>
            <w:noWrap/>
            <w:hideMark/>
          </w:tcPr>
          <w:p w14:paraId="22D26F8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MS4A1, IGLC2, IGHM, CD79A, IGLC3, IGHD, BANK1, TNFRSF13C, CD22, TNFRSF13B</w:t>
            </w:r>
          </w:p>
        </w:tc>
      </w:tr>
      <w:tr w:rsidR="0084371B" w:rsidRPr="00CD2448" w14:paraId="2B937D8D" w14:textId="77777777" w:rsidTr="0084371B">
        <w:trPr>
          <w:trHeight w:val="320"/>
        </w:trPr>
        <w:tc>
          <w:tcPr>
            <w:tcW w:w="578" w:type="pct"/>
            <w:noWrap/>
            <w:hideMark/>
          </w:tcPr>
          <w:p w14:paraId="7947E99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memory kappa</w:t>
            </w:r>
          </w:p>
        </w:tc>
        <w:tc>
          <w:tcPr>
            <w:tcW w:w="928" w:type="pct"/>
            <w:noWrap/>
            <w:hideMark/>
          </w:tcPr>
          <w:p w14:paraId="56D871DC" w14:textId="568439E2"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Memory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kappa light chain</w:t>
            </w:r>
          </w:p>
        </w:tc>
        <w:tc>
          <w:tcPr>
            <w:tcW w:w="1385" w:type="pct"/>
            <w:noWrap/>
            <w:hideMark/>
          </w:tcPr>
          <w:p w14:paraId="4894ED72" w14:textId="29AD849F"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memory </w:t>
            </w:r>
            <w:r w:rsidR="00816BFA" w:rsidRPr="00CD2448">
              <w:rPr>
                <w:rFonts w:ascii="Arial" w:hAnsi="Arial" w:cs="Arial"/>
                <w:color w:val="000000" w:themeColor="text1"/>
                <w:sz w:val="16"/>
                <w:szCs w:val="16"/>
              </w:rPr>
              <w:t>B-cell</w:t>
            </w:r>
          </w:p>
        </w:tc>
        <w:tc>
          <w:tcPr>
            <w:tcW w:w="2109" w:type="pct"/>
            <w:noWrap/>
            <w:hideMark/>
          </w:tcPr>
          <w:p w14:paraId="1466172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BANK1, IGKC, LINC01781, MS4A1, SSPN, CD79A, RALGPS2, TNFRSF13C, LINC00926</w:t>
            </w:r>
          </w:p>
        </w:tc>
      </w:tr>
      <w:tr w:rsidR="0084371B" w:rsidRPr="00CD2448" w14:paraId="53650554" w14:textId="77777777" w:rsidTr="0084371B">
        <w:trPr>
          <w:trHeight w:val="320"/>
        </w:trPr>
        <w:tc>
          <w:tcPr>
            <w:tcW w:w="578" w:type="pct"/>
            <w:noWrap/>
            <w:hideMark/>
          </w:tcPr>
          <w:p w14:paraId="5444552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memory lambda</w:t>
            </w:r>
          </w:p>
        </w:tc>
        <w:tc>
          <w:tcPr>
            <w:tcW w:w="928" w:type="pct"/>
            <w:noWrap/>
            <w:hideMark/>
          </w:tcPr>
          <w:p w14:paraId="5C838538" w14:textId="00C5825C"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Memory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lambda light chain</w:t>
            </w:r>
          </w:p>
        </w:tc>
        <w:tc>
          <w:tcPr>
            <w:tcW w:w="1385" w:type="pct"/>
            <w:noWrap/>
            <w:hideMark/>
          </w:tcPr>
          <w:p w14:paraId="3C9A9D32" w14:textId="515DEC61"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memory </w:t>
            </w:r>
            <w:r w:rsidR="00816BFA" w:rsidRPr="00CD2448">
              <w:rPr>
                <w:rFonts w:ascii="Arial" w:hAnsi="Arial" w:cs="Arial"/>
                <w:color w:val="000000" w:themeColor="text1"/>
                <w:sz w:val="16"/>
                <w:szCs w:val="16"/>
              </w:rPr>
              <w:t>B-cell</w:t>
            </w:r>
          </w:p>
        </w:tc>
        <w:tc>
          <w:tcPr>
            <w:tcW w:w="2109" w:type="pct"/>
            <w:noWrap/>
            <w:hideMark/>
          </w:tcPr>
          <w:p w14:paraId="128D579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BANK1, IGLC2, MS4A1, IGLC3, COCH, TNFRSF13C, IGHA2, BLK, TNFRSF13B, LINC01781</w:t>
            </w:r>
          </w:p>
        </w:tc>
      </w:tr>
      <w:tr w:rsidR="0084371B" w:rsidRPr="00CD2448" w14:paraId="77C0BDE1" w14:textId="77777777" w:rsidTr="0084371B">
        <w:trPr>
          <w:trHeight w:val="320"/>
        </w:trPr>
        <w:tc>
          <w:tcPr>
            <w:tcW w:w="578" w:type="pct"/>
            <w:noWrap/>
            <w:hideMark/>
          </w:tcPr>
          <w:p w14:paraId="658A556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naive kappa</w:t>
            </w:r>
          </w:p>
        </w:tc>
        <w:tc>
          <w:tcPr>
            <w:tcW w:w="928" w:type="pct"/>
            <w:noWrap/>
            <w:hideMark/>
          </w:tcPr>
          <w:p w14:paraId="06FC6F13" w14:textId="1B4236D5"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Naive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kappa light chain</w:t>
            </w:r>
          </w:p>
        </w:tc>
        <w:tc>
          <w:tcPr>
            <w:tcW w:w="1385" w:type="pct"/>
            <w:noWrap/>
            <w:hideMark/>
          </w:tcPr>
          <w:p w14:paraId="1D3DE706" w14:textId="563E4AF1"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naive </w:t>
            </w:r>
            <w:r w:rsidR="00816BFA" w:rsidRPr="00CD2448">
              <w:rPr>
                <w:rFonts w:ascii="Arial" w:hAnsi="Arial" w:cs="Arial"/>
                <w:color w:val="000000" w:themeColor="text1"/>
                <w:sz w:val="16"/>
                <w:szCs w:val="16"/>
              </w:rPr>
              <w:t>B-cell</w:t>
            </w:r>
          </w:p>
        </w:tc>
        <w:tc>
          <w:tcPr>
            <w:tcW w:w="2109" w:type="pct"/>
            <w:noWrap/>
            <w:hideMark/>
          </w:tcPr>
          <w:p w14:paraId="6AD490B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IGHM, TCL1A, IGHD, IGHG3, CD79A, IL4R, CD37, MS4A1, IGKC</w:t>
            </w:r>
          </w:p>
        </w:tc>
      </w:tr>
      <w:tr w:rsidR="0084371B" w:rsidRPr="00CD2448" w14:paraId="039E7D18" w14:textId="77777777" w:rsidTr="0084371B">
        <w:trPr>
          <w:trHeight w:val="320"/>
        </w:trPr>
        <w:tc>
          <w:tcPr>
            <w:tcW w:w="578" w:type="pct"/>
            <w:noWrap/>
            <w:hideMark/>
          </w:tcPr>
          <w:p w14:paraId="3841554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B naive lambda</w:t>
            </w:r>
          </w:p>
        </w:tc>
        <w:tc>
          <w:tcPr>
            <w:tcW w:w="928" w:type="pct"/>
            <w:noWrap/>
            <w:hideMark/>
          </w:tcPr>
          <w:p w14:paraId="3D706379" w14:textId="2ECDD6EB"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Naive </w:t>
            </w:r>
            <w:r w:rsidR="00816BFA" w:rsidRPr="00CD2448">
              <w:rPr>
                <w:rFonts w:ascii="Arial" w:hAnsi="Arial" w:cs="Arial"/>
                <w:color w:val="000000" w:themeColor="text1"/>
                <w:sz w:val="16"/>
                <w:szCs w:val="16"/>
              </w:rPr>
              <w:t>B-cell</w:t>
            </w:r>
            <w:r w:rsidRPr="00CD2448">
              <w:rPr>
                <w:rFonts w:ascii="Arial" w:hAnsi="Arial" w:cs="Arial"/>
                <w:color w:val="000000" w:themeColor="text1"/>
                <w:sz w:val="16"/>
                <w:szCs w:val="16"/>
              </w:rPr>
              <w:t>, lambda light chain</w:t>
            </w:r>
          </w:p>
        </w:tc>
        <w:tc>
          <w:tcPr>
            <w:tcW w:w="1385" w:type="pct"/>
            <w:noWrap/>
            <w:hideMark/>
          </w:tcPr>
          <w:p w14:paraId="1BA4F007" w14:textId="29BAC745"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 xml:space="preserve">naive </w:t>
            </w:r>
            <w:r w:rsidR="00816BFA" w:rsidRPr="00CD2448">
              <w:rPr>
                <w:rFonts w:ascii="Arial" w:hAnsi="Arial" w:cs="Arial"/>
                <w:color w:val="000000" w:themeColor="text1"/>
                <w:sz w:val="16"/>
                <w:szCs w:val="16"/>
              </w:rPr>
              <w:t>B-cell</w:t>
            </w:r>
          </w:p>
        </w:tc>
        <w:tc>
          <w:tcPr>
            <w:tcW w:w="2109" w:type="pct"/>
            <w:noWrap/>
            <w:hideMark/>
          </w:tcPr>
          <w:p w14:paraId="2198F29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IGHM, IGLC2, IGHD, IGLC3, CD79A, CXCR4, MS4A1, IL4R, TCL1A, CD79B</w:t>
            </w:r>
          </w:p>
        </w:tc>
      </w:tr>
      <w:tr w:rsidR="0084371B" w:rsidRPr="00CD2448" w14:paraId="3E23EDEE" w14:textId="77777777" w:rsidTr="0084371B">
        <w:trPr>
          <w:trHeight w:val="320"/>
        </w:trPr>
        <w:tc>
          <w:tcPr>
            <w:tcW w:w="578" w:type="pct"/>
            <w:noWrap/>
            <w:hideMark/>
          </w:tcPr>
          <w:p w14:paraId="7231C21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CD14 Mono</w:t>
            </w:r>
          </w:p>
        </w:tc>
        <w:tc>
          <w:tcPr>
            <w:tcW w:w="928" w:type="pct"/>
            <w:noWrap/>
            <w:hideMark/>
          </w:tcPr>
          <w:p w14:paraId="79EF7A9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CD14+ Monocyte</w:t>
            </w:r>
          </w:p>
        </w:tc>
        <w:tc>
          <w:tcPr>
            <w:tcW w:w="1385" w:type="pct"/>
            <w:noWrap/>
            <w:hideMark/>
          </w:tcPr>
          <w:p w14:paraId="733EE05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CD14-positive, CD16-negative classical monocyte</w:t>
            </w:r>
          </w:p>
        </w:tc>
        <w:tc>
          <w:tcPr>
            <w:tcW w:w="2109" w:type="pct"/>
            <w:noWrap/>
            <w:hideMark/>
          </w:tcPr>
          <w:p w14:paraId="4E30B88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S100A9, CTSS, LYZ, CTSD, S100A8, VCAN, CD14, FCN1, S100A12, MS4A6A</w:t>
            </w:r>
          </w:p>
        </w:tc>
      </w:tr>
      <w:tr w:rsidR="0084371B" w:rsidRPr="00CD2448" w14:paraId="1FC7E2EC" w14:textId="77777777" w:rsidTr="0084371B">
        <w:trPr>
          <w:trHeight w:val="320"/>
        </w:trPr>
        <w:tc>
          <w:tcPr>
            <w:tcW w:w="578" w:type="pct"/>
            <w:noWrap/>
            <w:hideMark/>
          </w:tcPr>
          <w:p w14:paraId="036BA9F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 Mono</w:t>
            </w:r>
          </w:p>
        </w:tc>
        <w:tc>
          <w:tcPr>
            <w:tcW w:w="928" w:type="pct"/>
            <w:noWrap/>
            <w:hideMark/>
          </w:tcPr>
          <w:p w14:paraId="54642EC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 Monocyte</w:t>
            </w:r>
          </w:p>
        </w:tc>
        <w:tc>
          <w:tcPr>
            <w:tcW w:w="1385" w:type="pct"/>
            <w:noWrap/>
            <w:hideMark/>
          </w:tcPr>
          <w:p w14:paraId="2263CED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CD14-low, CD16-positive monocyte</w:t>
            </w:r>
          </w:p>
        </w:tc>
        <w:tc>
          <w:tcPr>
            <w:tcW w:w="2109" w:type="pct"/>
            <w:noWrap/>
            <w:hideMark/>
          </w:tcPr>
          <w:p w14:paraId="6A03685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LST1, YBX1, AIF1, FCGR3A, NAP1L1, MS4A7, FCER1G, TCF7L2, COTL1, CDKN1C</w:t>
            </w:r>
          </w:p>
        </w:tc>
      </w:tr>
      <w:tr w:rsidR="0084371B" w:rsidRPr="00CD2448" w14:paraId="4C38D79E" w14:textId="77777777" w:rsidTr="0084371B">
        <w:trPr>
          <w:trHeight w:val="320"/>
        </w:trPr>
        <w:tc>
          <w:tcPr>
            <w:tcW w:w="578" w:type="pct"/>
            <w:noWrap/>
            <w:hideMark/>
          </w:tcPr>
          <w:p w14:paraId="52594C7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CTL</w:t>
            </w:r>
          </w:p>
        </w:tc>
        <w:tc>
          <w:tcPr>
            <w:tcW w:w="928" w:type="pct"/>
            <w:noWrap/>
            <w:hideMark/>
          </w:tcPr>
          <w:p w14:paraId="46D7CED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Cytotoxic T</w:t>
            </w:r>
          </w:p>
        </w:tc>
        <w:tc>
          <w:tcPr>
            <w:tcW w:w="1385" w:type="pct"/>
            <w:noWrap/>
            <w:hideMark/>
          </w:tcPr>
          <w:p w14:paraId="6027FFBA" w14:textId="52DCFFB0"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CD4-positive, alpha-beta cytotoxic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798A5DA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GZMH, CD4, GNLY, FGFBP2, IL7R, S100A4, GZMA, CST7, IL32, CCL5</w:t>
            </w:r>
          </w:p>
        </w:tc>
      </w:tr>
      <w:tr w:rsidR="0084371B" w:rsidRPr="00CD2448" w14:paraId="56F9F87E" w14:textId="77777777" w:rsidTr="0084371B">
        <w:trPr>
          <w:trHeight w:val="320"/>
        </w:trPr>
        <w:tc>
          <w:tcPr>
            <w:tcW w:w="578" w:type="pct"/>
            <w:noWrap/>
            <w:hideMark/>
          </w:tcPr>
          <w:p w14:paraId="3BB4A88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Naive</w:t>
            </w:r>
          </w:p>
        </w:tc>
        <w:tc>
          <w:tcPr>
            <w:tcW w:w="928" w:type="pct"/>
            <w:noWrap/>
            <w:hideMark/>
          </w:tcPr>
          <w:p w14:paraId="1CB244F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Naive T</w:t>
            </w:r>
          </w:p>
        </w:tc>
        <w:tc>
          <w:tcPr>
            <w:tcW w:w="1385" w:type="pct"/>
            <w:noWrap/>
            <w:hideMark/>
          </w:tcPr>
          <w:p w14:paraId="7E0CB695" w14:textId="2849EDFA"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naive thymus-derived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8C55FD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TCF7, CD4, NUCB2, LDHB, TRAT1, SARAF, FHIT, LEF1, CCR7, IL7R</w:t>
            </w:r>
          </w:p>
        </w:tc>
      </w:tr>
      <w:tr w:rsidR="0084371B" w:rsidRPr="00CD2448" w14:paraId="1523DC67" w14:textId="77777777" w:rsidTr="0084371B">
        <w:trPr>
          <w:trHeight w:val="320"/>
        </w:trPr>
        <w:tc>
          <w:tcPr>
            <w:tcW w:w="578" w:type="pct"/>
            <w:noWrap/>
            <w:hideMark/>
          </w:tcPr>
          <w:p w14:paraId="4EBEE79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Proliferating</w:t>
            </w:r>
          </w:p>
        </w:tc>
        <w:tc>
          <w:tcPr>
            <w:tcW w:w="928" w:type="pct"/>
            <w:noWrap/>
            <w:hideMark/>
          </w:tcPr>
          <w:p w14:paraId="0CC87D2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Proliferating T</w:t>
            </w:r>
          </w:p>
        </w:tc>
        <w:tc>
          <w:tcPr>
            <w:tcW w:w="1385" w:type="pct"/>
            <w:noWrap/>
            <w:hideMark/>
          </w:tcPr>
          <w:p w14:paraId="02770CF4" w14:textId="797FF609"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activated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2C38ABC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MKI67, TYMS, PCLAF, TOP2A, CENPF, NUSAP1, CENPM, BIRC5, ZWINT, TPX2</w:t>
            </w:r>
          </w:p>
        </w:tc>
      </w:tr>
      <w:tr w:rsidR="0084371B" w:rsidRPr="00CD2448" w14:paraId="0A90698E" w14:textId="77777777" w:rsidTr="0084371B">
        <w:trPr>
          <w:trHeight w:val="320"/>
        </w:trPr>
        <w:tc>
          <w:tcPr>
            <w:tcW w:w="578" w:type="pct"/>
            <w:noWrap/>
            <w:hideMark/>
          </w:tcPr>
          <w:p w14:paraId="1BCB086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TCM_1</w:t>
            </w:r>
          </w:p>
        </w:tc>
        <w:tc>
          <w:tcPr>
            <w:tcW w:w="928" w:type="pct"/>
            <w:noWrap/>
            <w:hideMark/>
          </w:tcPr>
          <w:p w14:paraId="570D241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Central Memory T_1</w:t>
            </w:r>
          </w:p>
        </w:tc>
        <w:tc>
          <w:tcPr>
            <w:tcW w:w="1385" w:type="pct"/>
            <w:noWrap/>
            <w:hideMark/>
          </w:tcPr>
          <w:p w14:paraId="2E2F5330" w14:textId="75D2CF08"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68972C6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LTB, CD4, FYB1, IL7R, LIMS1, MAL, TMSB4X, TSHZ2, AP3M2, TRAC</w:t>
            </w:r>
          </w:p>
        </w:tc>
      </w:tr>
      <w:tr w:rsidR="0084371B" w:rsidRPr="00CD2448" w14:paraId="6E011521" w14:textId="77777777" w:rsidTr="0084371B">
        <w:trPr>
          <w:trHeight w:val="320"/>
        </w:trPr>
        <w:tc>
          <w:tcPr>
            <w:tcW w:w="578" w:type="pct"/>
            <w:noWrap/>
            <w:hideMark/>
          </w:tcPr>
          <w:p w14:paraId="612E2E2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TCM_2</w:t>
            </w:r>
          </w:p>
        </w:tc>
        <w:tc>
          <w:tcPr>
            <w:tcW w:w="928" w:type="pct"/>
            <w:noWrap/>
            <w:hideMark/>
          </w:tcPr>
          <w:p w14:paraId="43AD3F2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Central Memory T_2</w:t>
            </w:r>
          </w:p>
        </w:tc>
        <w:tc>
          <w:tcPr>
            <w:tcW w:w="1385" w:type="pct"/>
            <w:noWrap/>
            <w:hideMark/>
          </w:tcPr>
          <w:p w14:paraId="685D4CE1" w14:textId="2148702A"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5E5B420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CTLA4, MIR4435-2HG, TMSB4X, CD28, CDCA7, TMSB10, MAF, ITM2A, TRAC, CD27</w:t>
            </w:r>
          </w:p>
        </w:tc>
      </w:tr>
      <w:tr w:rsidR="0084371B" w:rsidRPr="00CD2448" w14:paraId="56C7A5DD" w14:textId="77777777" w:rsidTr="0084371B">
        <w:trPr>
          <w:trHeight w:val="320"/>
        </w:trPr>
        <w:tc>
          <w:tcPr>
            <w:tcW w:w="578" w:type="pct"/>
            <w:noWrap/>
            <w:hideMark/>
          </w:tcPr>
          <w:p w14:paraId="3A94863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TCM_3</w:t>
            </w:r>
          </w:p>
        </w:tc>
        <w:tc>
          <w:tcPr>
            <w:tcW w:w="928" w:type="pct"/>
            <w:noWrap/>
            <w:hideMark/>
          </w:tcPr>
          <w:p w14:paraId="6EEE46D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Central Memory T_3</w:t>
            </w:r>
          </w:p>
        </w:tc>
        <w:tc>
          <w:tcPr>
            <w:tcW w:w="1385" w:type="pct"/>
            <w:noWrap/>
            <w:hideMark/>
          </w:tcPr>
          <w:p w14:paraId="4620BC43" w14:textId="72BA2CC8"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70E3307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IL7R, ITGB1, LTB, S100A4, AQP3, TNFRSF4, IL32, TOB1, PDE4D, HOPX</w:t>
            </w:r>
          </w:p>
        </w:tc>
      </w:tr>
      <w:tr w:rsidR="0084371B" w:rsidRPr="00CD2448" w14:paraId="6563FD39" w14:textId="77777777" w:rsidTr="0084371B">
        <w:trPr>
          <w:trHeight w:val="320"/>
        </w:trPr>
        <w:tc>
          <w:tcPr>
            <w:tcW w:w="578" w:type="pct"/>
            <w:noWrap/>
            <w:hideMark/>
          </w:tcPr>
          <w:p w14:paraId="4432FE8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TEM_1</w:t>
            </w:r>
          </w:p>
        </w:tc>
        <w:tc>
          <w:tcPr>
            <w:tcW w:w="928" w:type="pct"/>
            <w:noWrap/>
            <w:hideMark/>
          </w:tcPr>
          <w:p w14:paraId="735C5D4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Effector Memory T_1</w:t>
            </w:r>
          </w:p>
        </w:tc>
        <w:tc>
          <w:tcPr>
            <w:tcW w:w="1385" w:type="pct"/>
            <w:noWrap/>
            <w:hideMark/>
          </w:tcPr>
          <w:p w14:paraId="397483BB" w14:textId="320C52A8"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5EE634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GZMK, IL7R, IL32, ITGB1, CCL5, GZMA, B2M, DUSP2, KLRB1, SYNE2</w:t>
            </w:r>
          </w:p>
        </w:tc>
      </w:tr>
      <w:tr w:rsidR="0084371B" w:rsidRPr="00CD2448" w14:paraId="3C68596C" w14:textId="77777777" w:rsidTr="0084371B">
        <w:trPr>
          <w:trHeight w:val="320"/>
        </w:trPr>
        <w:tc>
          <w:tcPr>
            <w:tcW w:w="578" w:type="pct"/>
            <w:noWrap/>
            <w:hideMark/>
          </w:tcPr>
          <w:p w14:paraId="47F670C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TEM_2</w:t>
            </w:r>
          </w:p>
        </w:tc>
        <w:tc>
          <w:tcPr>
            <w:tcW w:w="928" w:type="pct"/>
            <w:noWrap/>
            <w:hideMark/>
          </w:tcPr>
          <w:p w14:paraId="5450C8B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Effector Memory T_2</w:t>
            </w:r>
          </w:p>
        </w:tc>
        <w:tc>
          <w:tcPr>
            <w:tcW w:w="1385" w:type="pct"/>
            <w:noWrap/>
            <w:hideMark/>
          </w:tcPr>
          <w:p w14:paraId="3A323468" w14:textId="2E7D93AB"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33115EA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GZMK, CD4, TIGIT, IFNG-AS1, CD40LG, MALAT1, CD3G, CD3D, TRAC, CD3E</w:t>
            </w:r>
          </w:p>
        </w:tc>
      </w:tr>
      <w:tr w:rsidR="0084371B" w:rsidRPr="00CD2448" w14:paraId="0EFAB97B" w14:textId="77777777" w:rsidTr="0084371B">
        <w:trPr>
          <w:trHeight w:val="320"/>
        </w:trPr>
        <w:tc>
          <w:tcPr>
            <w:tcW w:w="578" w:type="pct"/>
            <w:noWrap/>
            <w:hideMark/>
          </w:tcPr>
          <w:p w14:paraId="0A3B65A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TEM_3</w:t>
            </w:r>
          </w:p>
        </w:tc>
        <w:tc>
          <w:tcPr>
            <w:tcW w:w="928" w:type="pct"/>
            <w:noWrap/>
            <w:hideMark/>
          </w:tcPr>
          <w:p w14:paraId="23B7238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Effector Memory T_3</w:t>
            </w:r>
          </w:p>
        </w:tc>
        <w:tc>
          <w:tcPr>
            <w:tcW w:w="1385" w:type="pct"/>
            <w:noWrap/>
            <w:hideMark/>
          </w:tcPr>
          <w:p w14:paraId="43DA37C0" w14:textId="100A9D02"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25998E7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IL7R, CCL5, NOSIP, KLRB1, SERINC5, AQP3, ITGA4, IL32, TRAC, LTB</w:t>
            </w:r>
          </w:p>
        </w:tc>
      </w:tr>
      <w:tr w:rsidR="0084371B" w:rsidRPr="00CD2448" w14:paraId="66C217D7" w14:textId="77777777" w:rsidTr="0084371B">
        <w:trPr>
          <w:trHeight w:val="320"/>
        </w:trPr>
        <w:tc>
          <w:tcPr>
            <w:tcW w:w="578" w:type="pct"/>
            <w:noWrap/>
            <w:hideMark/>
          </w:tcPr>
          <w:p w14:paraId="43AA662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TEM_4</w:t>
            </w:r>
          </w:p>
        </w:tc>
        <w:tc>
          <w:tcPr>
            <w:tcW w:w="928" w:type="pct"/>
            <w:noWrap/>
            <w:hideMark/>
          </w:tcPr>
          <w:p w14:paraId="7B1D77B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 Effector Memory T_4</w:t>
            </w:r>
          </w:p>
        </w:tc>
        <w:tc>
          <w:tcPr>
            <w:tcW w:w="1385" w:type="pct"/>
            <w:noWrap/>
            <w:hideMark/>
          </w:tcPr>
          <w:p w14:paraId="3485FB33" w14:textId="716FFA81"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CD4-positive,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1302A00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CCR9, KDF1, DPP4, CD244, SLC4A4, KLRB1, TMIGD2, CD40LG, IL7R, ODF2L</w:t>
            </w:r>
          </w:p>
        </w:tc>
      </w:tr>
      <w:tr w:rsidR="0084371B" w:rsidRPr="00CD2448" w14:paraId="195ABAEF" w14:textId="77777777" w:rsidTr="0084371B">
        <w:trPr>
          <w:trHeight w:val="320"/>
        </w:trPr>
        <w:tc>
          <w:tcPr>
            <w:tcW w:w="578" w:type="pct"/>
            <w:noWrap/>
            <w:hideMark/>
          </w:tcPr>
          <w:p w14:paraId="3F19712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Naive</w:t>
            </w:r>
          </w:p>
        </w:tc>
        <w:tc>
          <w:tcPr>
            <w:tcW w:w="928" w:type="pct"/>
            <w:noWrap/>
            <w:hideMark/>
          </w:tcPr>
          <w:p w14:paraId="4E164A5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Naive T</w:t>
            </w:r>
          </w:p>
        </w:tc>
        <w:tc>
          <w:tcPr>
            <w:tcW w:w="1385" w:type="pct"/>
            <w:noWrap/>
            <w:hideMark/>
          </w:tcPr>
          <w:p w14:paraId="482EEAC2" w14:textId="024EBDDC"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naive thymus-derived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AF0F7A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CD8B, LDHB, LEF1, LINC02446, CD8A, S100B, ID2, TCF7, VIM, CCR7</w:t>
            </w:r>
          </w:p>
        </w:tc>
      </w:tr>
      <w:tr w:rsidR="0084371B" w:rsidRPr="00CD2448" w14:paraId="3432F177" w14:textId="77777777" w:rsidTr="0084371B">
        <w:trPr>
          <w:trHeight w:val="320"/>
        </w:trPr>
        <w:tc>
          <w:tcPr>
            <w:tcW w:w="578" w:type="pct"/>
            <w:noWrap/>
            <w:hideMark/>
          </w:tcPr>
          <w:p w14:paraId="48C22BC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Naive_2</w:t>
            </w:r>
          </w:p>
        </w:tc>
        <w:tc>
          <w:tcPr>
            <w:tcW w:w="928" w:type="pct"/>
            <w:noWrap/>
            <w:hideMark/>
          </w:tcPr>
          <w:p w14:paraId="5C17548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Naive T_2</w:t>
            </w:r>
          </w:p>
        </w:tc>
        <w:tc>
          <w:tcPr>
            <w:tcW w:w="1385" w:type="pct"/>
            <w:noWrap/>
            <w:hideMark/>
          </w:tcPr>
          <w:p w14:paraId="06129EF4" w14:textId="34937433"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naive thymus-derived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1368BD4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CD8B, CCR5, CHI3L2, SOX4, CD8A, TNFRSF9, CD38, SIRPG, LRRN3, LEF1</w:t>
            </w:r>
          </w:p>
        </w:tc>
      </w:tr>
      <w:tr w:rsidR="0084371B" w:rsidRPr="00CD2448" w14:paraId="799A2CB7" w14:textId="77777777" w:rsidTr="0084371B">
        <w:trPr>
          <w:trHeight w:val="320"/>
        </w:trPr>
        <w:tc>
          <w:tcPr>
            <w:tcW w:w="578" w:type="pct"/>
            <w:noWrap/>
            <w:hideMark/>
          </w:tcPr>
          <w:p w14:paraId="2166287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Proliferating</w:t>
            </w:r>
          </w:p>
        </w:tc>
        <w:tc>
          <w:tcPr>
            <w:tcW w:w="928" w:type="pct"/>
            <w:noWrap/>
            <w:hideMark/>
          </w:tcPr>
          <w:p w14:paraId="672A321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Proliferating T</w:t>
            </w:r>
          </w:p>
        </w:tc>
        <w:tc>
          <w:tcPr>
            <w:tcW w:w="1385" w:type="pct"/>
            <w:noWrap/>
            <w:hideMark/>
          </w:tcPr>
          <w:p w14:paraId="58D0A1A7" w14:textId="2955083B"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activated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56D662D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PCLAF, CD8B, TYMS, CD3D, CLSPN, CD3G, MKI67, TRAC, CHEK1, TK1</w:t>
            </w:r>
          </w:p>
        </w:tc>
      </w:tr>
      <w:tr w:rsidR="0084371B" w:rsidRPr="00CD2448" w14:paraId="220714E9" w14:textId="77777777" w:rsidTr="0084371B">
        <w:trPr>
          <w:trHeight w:val="320"/>
        </w:trPr>
        <w:tc>
          <w:tcPr>
            <w:tcW w:w="578" w:type="pct"/>
            <w:noWrap/>
            <w:hideMark/>
          </w:tcPr>
          <w:p w14:paraId="2AB2502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TCM_1</w:t>
            </w:r>
          </w:p>
        </w:tc>
        <w:tc>
          <w:tcPr>
            <w:tcW w:w="928" w:type="pct"/>
            <w:noWrap/>
            <w:hideMark/>
          </w:tcPr>
          <w:p w14:paraId="15BADD8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Central Memory T_1</w:t>
            </w:r>
          </w:p>
        </w:tc>
        <w:tc>
          <w:tcPr>
            <w:tcW w:w="1385" w:type="pct"/>
            <w:noWrap/>
            <w:hideMark/>
          </w:tcPr>
          <w:p w14:paraId="3CD1AF08" w14:textId="5C4BCB3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53348CB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CD8B, SELL, CD8A, LYAR, ITGB1, NELL2, DUSP2, IL7R, CCL5, LINC01871</w:t>
            </w:r>
          </w:p>
        </w:tc>
      </w:tr>
      <w:tr w:rsidR="0084371B" w:rsidRPr="00CD2448" w14:paraId="21690A8A" w14:textId="77777777" w:rsidTr="0084371B">
        <w:trPr>
          <w:trHeight w:val="320"/>
        </w:trPr>
        <w:tc>
          <w:tcPr>
            <w:tcW w:w="578" w:type="pct"/>
            <w:noWrap/>
            <w:hideMark/>
          </w:tcPr>
          <w:p w14:paraId="04B9EC9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TCM_2</w:t>
            </w:r>
          </w:p>
        </w:tc>
        <w:tc>
          <w:tcPr>
            <w:tcW w:w="928" w:type="pct"/>
            <w:noWrap/>
            <w:hideMark/>
          </w:tcPr>
          <w:p w14:paraId="6BB6FED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Central Memory T_2</w:t>
            </w:r>
          </w:p>
        </w:tc>
        <w:tc>
          <w:tcPr>
            <w:tcW w:w="1385" w:type="pct"/>
            <w:noWrap/>
            <w:hideMark/>
          </w:tcPr>
          <w:p w14:paraId="665AE2E8" w14:textId="27B8E4B5"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7BFBAA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CD8B, C1orf162, IL7R, GATA3, YBX3, KRT1, CD8A, CTSW, INPP4B, LTB</w:t>
            </w:r>
          </w:p>
        </w:tc>
      </w:tr>
      <w:tr w:rsidR="0084371B" w:rsidRPr="00CD2448" w14:paraId="2801B887" w14:textId="77777777" w:rsidTr="0084371B">
        <w:trPr>
          <w:trHeight w:val="320"/>
        </w:trPr>
        <w:tc>
          <w:tcPr>
            <w:tcW w:w="578" w:type="pct"/>
            <w:noWrap/>
            <w:hideMark/>
          </w:tcPr>
          <w:p w14:paraId="55C6107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TCM_3</w:t>
            </w:r>
          </w:p>
        </w:tc>
        <w:tc>
          <w:tcPr>
            <w:tcW w:w="928" w:type="pct"/>
            <w:noWrap/>
            <w:hideMark/>
          </w:tcPr>
          <w:p w14:paraId="2A73B31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Central Memory T_3</w:t>
            </w:r>
          </w:p>
        </w:tc>
        <w:tc>
          <w:tcPr>
            <w:tcW w:w="1385" w:type="pct"/>
            <w:noWrap/>
            <w:hideMark/>
          </w:tcPr>
          <w:p w14:paraId="33AAB38E" w14:textId="32E79FDC"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CD8-positive, alpha-beta memory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36B7108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CD8B, KLRB1, CD8A, HOPX, IL7R, KLRD1, CCL5, SCML4, LINC02446, TRAC</w:t>
            </w:r>
          </w:p>
        </w:tc>
      </w:tr>
      <w:tr w:rsidR="0084371B" w:rsidRPr="00CD2448" w14:paraId="5254199E" w14:textId="77777777" w:rsidTr="0084371B">
        <w:trPr>
          <w:trHeight w:val="320"/>
        </w:trPr>
        <w:tc>
          <w:tcPr>
            <w:tcW w:w="578" w:type="pct"/>
            <w:noWrap/>
            <w:hideMark/>
          </w:tcPr>
          <w:p w14:paraId="6510D05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TEM_1</w:t>
            </w:r>
          </w:p>
        </w:tc>
        <w:tc>
          <w:tcPr>
            <w:tcW w:w="928" w:type="pct"/>
            <w:noWrap/>
            <w:hideMark/>
          </w:tcPr>
          <w:p w14:paraId="51153D0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T_1</w:t>
            </w:r>
          </w:p>
        </w:tc>
        <w:tc>
          <w:tcPr>
            <w:tcW w:w="1385" w:type="pct"/>
            <w:noWrap/>
            <w:hideMark/>
          </w:tcPr>
          <w:p w14:paraId="36D3CBFA" w14:textId="5EBDE969"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76450EC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GZMK, CD8B, CD8A, CCL5, NKG7, DUSP2, CST7, IL32</w:t>
            </w:r>
          </w:p>
        </w:tc>
      </w:tr>
      <w:tr w:rsidR="0084371B" w:rsidRPr="00CD2448" w14:paraId="5F1EDDE5" w14:textId="77777777" w:rsidTr="0084371B">
        <w:trPr>
          <w:trHeight w:val="320"/>
        </w:trPr>
        <w:tc>
          <w:tcPr>
            <w:tcW w:w="578" w:type="pct"/>
            <w:noWrap/>
            <w:hideMark/>
          </w:tcPr>
          <w:p w14:paraId="7F67A6E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TEM_2</w:t>
            </w:r>
          </w:p>
        </w:tc>
        <w:tc>
          <w:tcPr>
            <w:tcW w:w="928" w:type="pct"/>
            <w:noWrap/>
            <w:hideMark/>
          </w:tcPr>
          <w:p w14:paraId="4679CF7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T_2</w:t>
            </w:r>
          </w:p>
        </w:tc>
        <w:tc>
          <w:tcPr>
            <w:tcW w:w="1385" w:type="pct"/>
            <w:noWrap/>
            <w:hideMark/>
          </w:tcPr>
          <w:p w14:paraId="4A18FE3E" w14:textId="23C210FA"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3BDE6D9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CD8A, CMC1, CD8B, CD160, GZMH, CST7, KLRD1, CCL5, TIGIT, KLRG1</w:t>
            </w:r>
          </w:p>
        </w:tc>
      </w:tr>
      <w:tr w:rsidR="0084371B" w:rsidRPr="00CD2448" w14:paraId="45C441F8" w14:textId="77777777" w:rsidTr="0084371B">
        <w:trPr>
          <w:trHeight w:val="320"/>
        </w:trPr>
        <w:tc>
          <w:tcPr>
            <w:tcW w:w="578" w:type="pct"/>
            <w:noWrap/>
            <w:hideMark/>
          </w:tcPr>
          <w:p w14:paraId="3E33823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TEM_3</w:t>
            </w:r>
          </w:p>
        </w:tc>
        <w:tc>
          <w:tcPr>
            <w:tcW w:w="928" w:type="pct"/>
            <w:noWrap/>
            <w:hideMark/>
          </w:tcPr>
          <w:p w14:paraId="5916702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T_3</w:t>
            </w:r>
          </w:p>
        </w:tc>
        <w:tc>
          <w:tcPr>
            <w:tcW w:w="1385" w:type="pct"/>
            <w:noWrap/>
            <w:hideMark/>
          </w:tcPr>
          <w:p w14:paraId="4CD8BC7D" w14:textId="3AAD2566"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31C3F61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GZMK, CD8A, ITGB1, CD8B, HOPX, CCL5, KLRD1, NKG7, GNLY, YBX3</w:t>
            </w:r>
          </w:p>
        </w:tc>
      </w:tr>
      <w:tr w:rsidR="0084371B" w:rsidRPr="00CD2448" w14:paraId="5DC0B26F" w14:textId="77777777" w:rsidTr="0084371B">
        <w:trPr>
          <w:trHeight w:val="320"/>
        </w:trPr>
        <w:tc>
          <w:tcPr>
            <w:tcW w:w="578" w:type="pct"/>
            <w:noWrap/>
            <w:hideMark/>
          </w:tcPr>
          <w:p w14:paraId="1523A5B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lastRenderedPageBreak/>
              <w:t>CD8 TEM_4</w:t>
            </w:r>
          </w:p>
        </w:tc>
        <w:tc>
          <w:tcPr>
            <w:tcW w:w="928" w:type="pct"/>
            <w:noWrap/>
            <w:hideMark/>
          </w:tcPr>
          <w:p w14:paraId="1399BA3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T_4</w:t>
            </w:r>
          </w:p>
        </w:tc>
        <w:tc>
          <w:tcPr>
            <w:tcW w:w="1385" w:type="pct"/>
            <w:noWrap/>
            <w:hideMark/>
          </w:tcPr>
          <w:p w14:paraId="0B89D488" w14:textId="21D09436"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1AB253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GZMH, THEMIS, GNLY, CD8A, ITGB1, FGFBP2, CD2, GZMB, KLRD1, CD8B</w:t>
            </w:r>
          </w:p>
        </w:tc>
      </w:tr>
      <w:tr w:rsidR="0084371B" w:rsidRPr="00CD2448" w14:paraId="7389EFCC" w14:textId="77777777" w:rsidTr="0084371B">
        <w:trPr>
          <w:trHeight w:val="320"/>
        </w:trPr>
        <w:tc>
          <w:tcPr>
            <w:tcW w:w="578" w:type="pct"/>
            <w:noWrap/>
            <w:hideMark/>
          </w:tcPr>
          <w:p w14:paraId="448A304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TEM_5</w:t>
            </w:r>
          </w:p>
        </w:tc>
        <w:tc>
          <w:tcPr>
            <w:tcW w:w="928" w:type="pct"/>
            <w:noWrap/>
            <w:hideMark/>
          </w:tcPr>
          <w:p w14:paraId="046AF97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T_5</w:t>
            </w:r>
          </w:p>
        </w:tc>
        <w:tc>
          <w:tcPr>
            <w:tcW w:w="1385" w:type="pct"/>
            <w:noWrap/>
            <w:hideMark/>
          </w:tcPr>
          <w:p w14:paraId="16F15D18" w14:textId="0120F6DB"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48D15C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GZMH, GNLY, ZNF683, TRAC, KLRC2, TYROBP, CD8B, CD8A, TRGC2, GZMB</w:t>
            </w:r>
          </w:p>
        </w:tc>
      </w:tr>
      <w:tr w:rsidR="0084371B" w:rsidRPr="00CD2448" w14:paraId="35BF0BA5" w14:textId="77777777" w:rsidTr="0084371B">
        <w:trPr>
          <w:trHeight w:val="320"/>
        </w:trPr>
        <w:tc>
          <w:tcPr>
            <w:tcW w:w="578" w:type="pct"/>
            <w:noWrap/>
            <w:hideMark/>
          </w:tcPr>
          <w:p w14:paraId="0DC16A43"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TEM_6</w:t>
            </w:r>
          </w:p>
        </w:tc>
        <w:tc>
          <w:tcPr>
            <w:tcW w:w="928" w:type="pct"/>
            <w:noWrap/>
            <w:hideMark/>
          </w:tcPr>
          <w:p w14:paraId="5016374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CD8+ Effector Memory T_6</w:t>
            </w:r>
          </w:p>
        </w:tc>
        <w:tc>
          <w:tcPr>
            <w:tcW w:w="1385" w:type="pct"/>
            <w:noWrap/>
            <w:hideMark/>
          </w:tcPr>
          <w:p w14:paraId="7F535556" w14:textId="7EB2237E"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effector CD8-positive, alpha-beta T</w:t>
            </w:r>
            <w:r w:rsidR="00E40763"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3AFDCD7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TRGC2, CD8A, IFNG-AS1, CD8B, ZNF683, KLRC2, NCR3, IKZF2, DUSP2, RTKN2</w:t>
            </w:r>
          </w:p>
        </w:tc>
      </w:tr>
      <w:tr w:rsidR="0084371B" w:rsidRPr="00CD2448" w14:paraId="6DDB76A7" w14:textId="77777777" w:rsidTr="0084371B">
        <w:trPr>
          <w:trHeight w:val="320"/>
        </w:trPr>
        <w:tc>
          <w:tcPr>
            <w:tcW w:w="578" w:type="pct"/>
            <w:noWrap/>
            <w:hideMark/>
          </w:tcPr>
          <w:p w14:paraId="7D2E772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cDC1</w:t>
            </w:r>
          </w:p>
        </w:tc>
        <w:tc>
          <w:tcPr>
            <w:tcW w:w="928" w:type="pct"/>
            <w:noWrap/>
            <w:hideMark/>
          </w:tcPr>
          <w:p w14:paraId="7A9D240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Conventional Dendritic Cell 1</w:t>
            </w:r>
          </w:p>
        </w:tc>
        <w:tc>
          <w:tcPr>
            <w:tcW w:w="1385" w:type="pct"/>
            <w:noWrap/>
            <w:hideMark/>
          </w:tcPr>
          <w:p w14:paraId="797CD25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CD141-positive myeloid dendritic cell</w:t>
            </w:r>
          </w:p>
        </w:tc>
        <w:tc>
          <w:tcPr>
            <w:tcW w:w="2109" w:type="pct"/>
            <w:noWrap/>
            <w:hideMark/>
          </w:tcPr>
          <w:p w14:paraId="449D9EA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WDFY4, C1orf54, CLEC9A, BATF3, CLNK, TSPAN33, FLT3, CADM1, IDO1, DNASE1L3</w:t>
            </w:r>
          </w:p>
        </w:tc>
      </w:tr>
      <w:tr w:rsidR="0084371B" w:rsidRPr="00CD2448" w14:paraId="4053B4E4" w14:textId="77777777" w:rsidTr="0084371B">
        <w:trPr>
          <w:trHeight w:val="320"/>
        </w:trPr>
        <w:tc>
          <w:tcPr>
            <w:tcW w:w="578" w:type="pct"/>
            <w:noWrap/>
            <w:hideMark/>
          </w:tcPr>
          <w:p w14:paraId="1763E1A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cDC2_1</w:t>
            </w:r>
          </w:p>
        </w:tc>
        <w:tc>
          <w:tcPr>
            <w:tcW w:w="928" w:type="pct"/>
            <w:noWrap/>
            <w:hideMark/>
          </w:tcPr>
          <w:p w14:paraId="6DD4763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Conventional Dendritic Cell 2_1</w:t>
            </w:r>
          </w:p>
        </w:tc>
        <w:tc>
          <w:tcPr>
            <w:tcW w:w="1385" w:type="pct"/>
            <w:noWrap/>
            <w:hideMark/>
          </w:tcPr>
          <w:p w14:paraId="0AC919A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CD1c-positive myeloid dendritic cell</w:t>
            </w:r>
          </w:p>
        </w:tc>
        <w:tc>
          <w:tcPr>
            <w:tcW w:w="2109" w:type="pct"/>
            <w:noWrap/>
            <w:hideMark/>
          </w:tcPr>
          <w:p w14:paraId="5FEA733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FCER1A, CD14, CLEC10A, CTSS, ENHO, CD1C, MRC1, FCGR2B, PID1, IL13RA1</w:t>
            </w:r>
          </w:p>
        </w:tc>
      </w:tr>
      <w:tr w:rsidR="0084371B" w:rsidRPr="00CD2448" w14:paraId="07B32520" w14:textId="77777777" w:rsidTr="0084371B">
        <w:trPr>
          <w:trHeight w:val="320"/>
        </w:trPr>
        <w:tc>
          <w:tcPr>
            <w:tcW w:w="578" w:type="pct"/>
            <w:noWrap/>
            <w:hideMark/>
          </w:tcPr>
          <w:p w14:paraId="664F5E7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cDC2_2</w:t>
            </w:r>
          </w:p>
        </w:tc>
        <w:tc>
          <w:tcPr>
            <w:tcW w:w="928" w:type="pct"/>
            <w:noWrap/>
            <w:hideMark/>
          </w:tcPr>
          <w:p w14:paraId="0DE84B6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Conventional Dendritic Cell 2_2</w:t>
            </w:r>
          </w:p>
        </w:tc>
        <w:tc>
          <w:tcPr>
            <w:tcW w:w="1385" w:type="pct"/>
            <w:noWrap/>
            <w:hideMark/>
          </w:tcPr>
          <w:p w14:paraId="23A0B90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CD1c-positive myeloid dendritic cell</w:t>
            </w:r>
          </w:p>
        </w:tc>
        <w:tc>
          <w:tcPr>
            <w:tcW w:w="2109" w:type="pct"/>
            <w:noWrap/>
            <w:hideMark/>
          </w:tcPr>
          <w:p w14:paraId="67E6435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FCER1A, BASP1, CD1C, CD74, CLEC10A, HLA-DPA1, ENHO, HLA-DPB1, PLD4, HLA-DQA1</w:t>
            </w:r>
          </w:p>
        </w:tc>
      </w:tr>
      <w:tr w:rsidR="0084371B" w:rsidRPr="00CD2448" w14:paraId="3D27A147" w14:textId="77777777" w:rsidTr="0084371B">
        <w:trPr>
          <w:trHeight w:val="320"/>
        </w:trPr>
        <w:tc>
          <w:tcPr>
            <w:tcW w:w="578" w:type="pct"/>
            <w:noWrap/>
            <w:hideMark/>
          </w:tcPr>
          <w:p w14:paraId="7EA3E40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dnT_1</w:t>
            </w:r>
          </w:p>
        </w:tc>
        <w:tc>
          <w:tcPr>
            <w:tcW w:w="928" w:type="pct"/>
            <w:noWrap/>
            <w:hideMark/>
          </w:tcPr>
          <w:p w14:paraId="70701BF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Double-negative T_1</w:t>
            </w:r>
          </w:p>
        </w:tc>
        <w:tc>
          <w:tcPr>
            <w:tcW w:w="1385" w:type="pct"/>
            <w:noWrap/>
            <w:hideMark/>
          </w:tcPr>
          <w:p w14:paraId="17ECAAF8" w14:textId="420AB854"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CD4-negative, CD8-negative, alpha-beta intraepithelial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6D67AB6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GZMK, NUCB2, CD8B, GPR183, TCF7, LYAR, MALAT1, C12orf57, LEF1, LDHB</w:t>
            </w:r>
          </w:p>
        </w:tc>
      </w:tr>
      <w:tr w:rsidR="0084371B" w:rsidRPr="00CD2448" w14:paraId="4240D5E8" w14:textId="77777777" w:rsidTr="0084371B">
        <w:trPr>
          <w:trHeight w:val="320"/>
        </w:trPr>
        <w:tc>
          <w:tcPr>
            <w:tcW w:w="578" w:type="pct"/>
            <w:noWrap/>
            <w:hideMark/>
          </w:tcPr>
          <w:p w14:paraId="3462FB3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dnT_2</w:t>
            </w:r>
          </w:p>
        </w:tc>
        <w:tc>
          <w:tcPr>
            <w:tcW w:w="928" w:type="pct"/>
            <w:noWrap/>
            <w:hideMark/>
          </w:tcPr>
          <w:p w14:paraId="544CE97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Double-negative T_2</w:t>
            </w:r>
          </w:p>
        </w:tc>
        <w:tc>
          <w:tcPr>
            <w:tcW w:w="1385" w:type="pct"/>
            <w:noWrap/>
            <w:hideMark/>
          </w:tcPr>
          <w:p w14:paraId="25A63F32" w14:textId="45B9428D"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CD4-negative, CD8-negative, alpha-beta intraepithelial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75D3326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AC004585.1, GPR183, FXYD2, NUCB2, CAV1, CD27, MYB, TMSB4X, GZMK, FGFR1</w:t>
            </w:r>
          </w:p>
        </w:tc>
      </w:tr>
      <w:tr w:rsidR="0084371B" w:rsidRPr="00CD2448" w14:paraId="7D3820F2" w14:textId="77777777" w:rsidTr="0084371B">
        <w:trPr>
          <w:trHeight w:val="320"/>
        </w:trPr>
        <w:tc>
          <w:tcPr>
            <w:tcW w:w="578" w:type="pct"/>
            <w:noWrap/>
            <w:hideMark/>
          </w:tcPr>
          <w:p w14:paraId="4C5B0C4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Eryth</w:t>
            </w:r>
          </w:p>
        </w:tc>
        <w:tc>
          <w:tcPr>
            <w:tcW w:w="928" w:type="pct"/>
            <w:noWrap/>
            <w:hideMark/>
          </w:tcPr>
          <w:p w14:paraId="5BF4032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Erythroid cell</w:t>
            </w:r>
          </w:p>
        </w:tc>
        <w:tc>
          <w:tcPr>
            <w:tcW w:w="1385" w:type="pct"/>
            <w:noWrap/>
            <w:hideMark/>
          </w:tcPr>
          <w:p w14:paraId="3B2A8BF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erythroid lineage cell</w:t>
            </w:r>
          </w:p>
        </w:tc>
        <w:tc>
          <w:tcPr>
            <w:tcW w:w="2109" w:type="pct"/>
            <w:noWrap/>
            <w:hideMark/>
          </w:tcPr>
          <w:p w14:paraId="6A4892E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HBM, ALAS2, HBD, AHSP, SLC4A1, TRIM58, SELENBP1, CA1, IFIT1B, SNCA</w:t>
            </w:r>
          </w:p>
        </w:tc>
      </w:tr>
      <w:tr w:rsidR="0084371B" w:rsidRPr="00CD2448" w14:paraId="48022C3F" w14:textId="77777777" w:rsidTr="0084371B">
        <w:trPr>
          <w:trHeight w:val="320"/>
        </w:trPr>
        <w:tc>
          <w:tcPr>
            <w:tcW w:w="578" w:type="pct"/>
            <w:noWrap/>
            <w:hideMark/>
          </w:tcPr>
          <w:p w14:paraId="6D54E83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gdT_1</w:t>
            </w:r>
          </w:p>
        </w:tc>
        <w:tc>
          <w:tcPr>
            <w:tcW w:w="928" w:type="pct"/>
            <w:noWrap/>
            <w:hideMark/>
          </w:tcPr>
          <w:p w14:paraId="6D5E3D7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T_1</w:t>
            </w:r>
          </w:p>
        </w:tc>
        <w:tc>
          <w:tcPr>
            <w:tcW w:w="1385" w:type="pct"/>
            <w:noWrap/>
            <w:hideMark/>
          </w:tcPr>
          <w:p w14:paraId="53688E7D" w14:textId="42D2A441"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6D2F3B4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TRDC, TRGC1, TRGV9, TRDV2, KLRD1, IL7R, KLRC1, DUSP2, GNLY, KLRG1</w:t>
            </w:r>
          </w:p>
        </w:tc>
      </w:tr>
      <w:tr w:rsidR="0084371B" w:rsidRPr="00CD2448" w14:paraId="042AE28E" w14:textId="77777777" w:rsidTr="0084371B">
        <w:trPr>
          <w:trHeight w:val="320"/>
        </w:trPr>
        <w:tc>
          <w:tcPr>
            <w:tcW w:w="578" w:type="pct"/>
            <w:noWrap/>
            <w:hideMark/>
          </w:tcPr>
          <w:p w14:paraId="166846B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gdT_2</w:t>
            </w:r>
          </w:p>
        </w:tc>
        <w:tc>
          <w:tcPr>
            <w:tcW w:w="928" w:type="pct"/>
            <w:noWrap/>
            <w:hideMark/>
          </w:tcPr>
          <w:p w14:paraId="396E1F3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T_2</w:t>
            </w:r>
          </w:p>
        </w:tc>
        <w:tc>
          <w:tcPr>
            <w:tcW w:w="1385" w:type="pct"/>
            <w:noWrap/>
            <w:hideMark/>
          </w:tcPr>
          <w:p w14:paraId="50B166EA" w14:textId="21DAE255"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0C5ED3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KLRC2, CD3G, KIR3DL2, CD3D, TRDC, TRDV1, ZNF683, KLRC1, TRGC1, GZMH</w:t>
            </w:r>
          </w:p>
        </w:tc>
      </w:tr>
      <w:tr w:rsidR="0084371B" w:rsidRPr="00CD2448" w14:paraId="76CBB762" w14:textId="77777777" w:rsidTr="0084371B">
        <w:trPr>
          <w:trHeight w:val="320"/>
        </w:trPr>
        <w:tc>
          <w:tcPr>
            <w:tcW w:w="578" w:type="pct"/>
            <w:noWrap/>
            <w:hideMark/>
          </w:tcPr>
          <w:p w14:paraId="7C42073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gdT_3</w:t>
            </w:r>
          </w:p>
        </w:tc>
        <w:tc>
          <w:tcPr>
            <w:tcW w:w="928" w:type="pct"/>
            <w:noWrap/>
            <w:hideMark/>
          </w:tcPr>
          <w:p w14:paraId="0C1B106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T_3</w:t>
            </w:r>
          </w:p>
        </w:tc>
        <w:tc>
          <w:tcPr>
            <w:tcW w:w="1385" w:type="pct"/>
            <w:noWrap/>
            <w:hideMark/>
          </w:tcPr>
          <w:p w14:paraId="055160BE" w14:textId="0ABB1C8A"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1DF90F4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RTKN2, TRDC, TRGC2, LEF1, IKZF2, SOX4, ZNF331, ARID5B, NUCB2, CRTAM</w:t>
            </w:r>
          </w:p>
        </w:tc>
      </w:tr>
      <w:tr w:rsidR="0084371B" w:rsidRPr="00CD2448" w14:paraId="3DF4EDA1" w14:textId="77777777" w:rsidTr="0084371B">
        <w:trPr>
          <w:trHeight w:val="320"/>
        </w:trPr>
        <w:tc>
          <w:tcPr>
            <w:tcW w:w="578" w:type="pct"/>
            <w:noWrap/>
            <w:hideMark/>
          </w:tcPr>
          <w:p w14:paraId="00472B5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gdT_4</w:t>
            </w:r>
          </w:p>
        </w:tc>
        <w:tc>
          <w:tcPr>
            <w:tcW w:w="928" w:type="pct"/>
            <w:noWrap/>
            <w:hideMark/>
          </w:tcPr>
          <w:p w14:paraId="4556119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T_4</w:t>
            </w:r>
          </w:p>
        </w:tc>
        <w:tc>
          <w:tcPr>
            <w:tcW w:w="1385" w:type="pct"/>
            <w:noWrap/>
            <w:hideMark/>
          </w:tcPr>
          <w:p w14:paraId="11EE23DB" w14:textId="5D3A029F"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gamma-delta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77E2416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TRDC, TIGIT, KLRC2, TRGC2, IKZF2, GCSAM, FCRL6, TRDV1, CST7, CMC1</w:t>
            </w:r>
          </w:p>
        </w:tc>
      </w:tr>
      <w:tr w:rsidR="0084371B" w:rsidRPr="00CD2448" w14:paraId="2C35403F" w14:textId="77777777" w:rsidTr="0084371B">
        <w:trPr>
          <w:trHeight w:val="320"/>
        </w:trPr>
        <w:tc>
          <w:tcPr>
            <w:tcW w:w="578" w:type="pct"/>
            <w:noWrap/>
            <w:hideMark/>
          </w:tcPr>
          <w:p w14:paraId="784D1D1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HSPC</w:t>
            </w:r>
          </w:p>
        </w:tc>
        <w:tc>
          <w:tcPr>
            <w:tcW w:w="928" w:type="pct"/>
            <w:noWrap/>
            <w:hideMark/>
          </w:tcPr>
          <w:p w14:paraId="4160FE6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Hematopoietic stem and progenitor cell</w:t>
            </w:r>
          </w:p>
        </w:tc>
        <w:tc>
          <w:tcPr>
            <w:tcW w:w="1385" w:type="pct"/>
            <w:noWrap/>
            <w:hideMark/>
          </w:tcPr>
          <w:p w14:paraId="410B839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hematopoietic precursor cell</w:t>
            </w:r>
          </w:p>
        </w:tc>
        <w:tc>
          <w:tcPr>
            <w:tcW w:w="2109" w:type="pct"/>
            <w:noWrap/>
            <w:hideMark/>
          </w:tcPr>
          <w:p w14:paraId="71C4F69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CDK6, SOX4, PRSS57, AC084033.3, ANKRD28, FAM30A, MYB, EGFL7, SPINK2, SMIM24</w:t>
            </w:r>
          </w:p>
        </w:tc>
      </w:tr>
      <w:tr w:rsidR="0084371B" w:rsidRPr="00CD2448" w14:paraId="731551DC" w14:textId="77777777" w:rsidTr="0084371B">
        <w:trPr>
          <w:trHeight w:val="320"/>
        </w:trPr>
        <w:tc>
          <w:tcPr>
            <w:tcW w:w="578" w:type="pct"/>
            <w:noWrap/>
            <w:hideMark/>
          </w:tcPr>
          <w:p w14:paraId="11EE83B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ILC</w:t>
            </w:r>
          </w:p>
        </w:tc>
        <w:tc>
          <w:tcPr>
            <w:tcW w:w="928" w:type="pct"/>
            <w:noWrap/>
            <w:hideMark/>
          </w:tcPr>
          <w:p w14:paraId="063E9F6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Innate Lymphoid Cell</w:t>
            </w:r>
          </w:p>
        </w:tc>
        <w:tc>
          <w:tcPr>
            <w:tcW w:w="1385" w:type="pct"/>
            <w:noWrap/>
            <w:hideMark/>
          </w:tcPr>
          <w:p w14:paraId="2B75E93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innate lymphoid cell</w:t>
            </w:r>
          </w:p>
        </w:tc>
        <w:tc>
          <w:tcPr>
            <w:tcW w:w="2109" w:type="pct"/>
            <w:noWrap/>
            <w:hideMark/>
          </w:tcPr>
          <w:p w14:paraId="657FCE2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KIT, TRDC, IL1R1, SOX4, TNFRSF18, TYROBP, TNFRSF4, FCER1G, IL2RA, GATA3</w:t>
            </w:r>
          </w:p>
        </w:tc>
      </w:tr>
      <w:tr w:rsidR="0084371B" w:rsidRPr="00CD2448" w14:paraId="52BF6CCF" w14:textId="77777777" w:rsidTr="0084371B">
        <w:trPr>
          <w:trHeight w:val="320"/>
        </w:trPr>
        <w:tc>
          <w:tcPr>
            <w:tcW w:w="578" w:type="pct"/>
            <w:noWrap/>
            <w:hideMark/>
          </w:tcPr>
          <w:p w14:paraId="13F269FF"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MAIT</w:t>
            </w:r>
          </w:p>
        </w:tc>
        <w:tc>
          <w:tcPr>
            <w:tcW w:w="928" w:type="pct"/>
            <w:noWrap/>
            <w:hideMark/>
          </w:tcPr>
          <w:p w14:paraId="55D925E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Mucosal associated invariant T</w:t>
            </w:r>
          </w:p>
        </w:tc>
        <w:tc>
          <w:tcPr>
            <w:tcW w:w="1385" w:type="pct"/>
            <w:noWrap/>
            <w:hideMark/>
          </w:tcPr>
          <w:p w14:paraId="068F75E5" w14:textId="6F077B26"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mucosal invariant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48AA926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KLRB1, NKG7, GZMK, SLC4A10, NCR3, CTSW, IL7R, KLRG1, CEBPD, DUSP2</w:t>
            </w:r>
          </w:p>
        </w:tc>
      </w:tr>
      <w:tr w:rsidR="0084371B" w:rsidRPr="00CD2448" w14:paraId="42B3A034" w14:textId="77777777" w:rsidTr="0084371B">
        <w:trPr>
          <w:trHeight w:val="320"/>
        </w:trPr>
        <w:tc>
          <w:tcPr>
            <w:tcW w:w="578" w:type="pct"/>
            <w:noWrap/>
            <w:hideMark/>
          </w:tcPr>
          <w:p w14:paraId="14BE108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 Proliferating</w:t>
            </w:r>
          </w:p>
        </w:tc>
        <w:tc>
          <w:tcPr>
            <w:tcW w:w="928" w:type="pct"/>
            <w:noWrap/>
            <w:hideMark/>
          </w:tcPr>
          <w:p w14:paraId="5A8DB26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Proliferating Natural Killer</w:t>
            </w:r>
          </w:p>
        </w:tc>
        <w:tc>
          <w:tcPr>
            <w:tcW w:w="1385" w:type="pct"/>
            <w:noWrap/>
            <w:hideMark/>
          </w:tcPr>
          <w:p w14:paraId="0902410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natural killer cell</w:t>
            </w:r>
          </w:p>
        </w:tc>
        <w:tc>
          <w:tcPr>
            <w:tcW w:w="2109" w:type="pct"/>
            <w:noWrap/>
            <w:hideMark/>
          </w:tcPr>
          <w:p w14:paraId="3685B66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STMN1, KLRF1, TYMS, FCER1G, PCNA, TYROBP, CLSPN, TRDC, PCLAF, SMC2</w:t>
            </w:r>
          </w:p>
        </w:tc>
      </w:tr>
      <w:tr w:rsidR="0084371B" w:rsidRPr="00CD2448" w14:paraId="3FC4CE77" w14:textId="77777777" w:rsidTr="0084371B">
        <w:trPr>
          <w:trHeight w:val="320"/>
        </w:trPr>
        <w:tc>
          <w:tcPr>
            <w:tcW w:w="578" w:type="pct"/>
            <w:noWrap/>
            <w:hideMark/>
          </w:tcPr>
          <w:p w14:paraId="0015BE5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NK_1</w:t>
            </w:r>
          </w:p>
        </w:tc>
        <w:tc>
          <w:tcPr>
            <w:tcW w:w="928" w:type="pct"/>
            <w:noWrap/>
            <w:hideMark/>
          </w:tcPr>
          <w:p w14:paraId="5D34B69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CD56-dim Natural Killer_1</w:t>
            </w:r>
          </w:p>
        </w:tc>
        <w:tc>
          <w:tcPr>
            <w:tcW w:w="1385" w:type="pct"/>
            <w:noWrap/>
            <w:hideMark/>
          </w:tcPr>
          <w:p w14:paraId="4A4DE9F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CD16-positive, CD56-dim natural killer cell, human</w:t>
            </w:r>
          </w:p>
        </w:tc>
        <w:tc>
          <w:tcPr>
            <w:tcW w:w="2109" w:type="pct"/>
            <w:noWrap/>
            <w:hideMark/>
          </w:tcPr>
          <w:p w14:paraId="2A1697A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FGFBP2, KLRC2, GNLY, S100A4, CD3E, CST7, LGALS1, PRF1, NKG7, GZMB</w:t>
            </w:r>
          </w:p>
        </w:tc>
      </w:tr>
      <w:tr w:rsidR="0084371B" w:rsidRPr="00CD2448" w14:paraId="619D23AF" w14:textId="77777777" w:rsidTr="0084371B">
        <w:trPr>
          <w:trHeight w:val="320"/>
        </w:trPr>
        <w:tc>
          <w:tcPr>
            <w:tcW w:w="578" w:type="pct"/>
            <w:noWrap/>
            <w:hideMark/>
          </w:tcPr>
          <w:p w14:paraId="7C317B2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NK_2</w:t>
            </w:r>
          </w:p>
        </w:tc>
        <w:tc>
          <w:tcPr>
            <w:tcW w:w="928" w:type="pct"/>
            <w:noWrap/>
            <w:hideMark/>
          </w:tcPr>
          <w:p w14:paraId="114F6649"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CD56-dim Natural Killer_2</w:t>
            </w:r>
          </w:p>
        </w:tc>
        <w:tc>
          <w:tcPr>
            <w:tcW w:w="1385" w:type="pct"/>
            <w:noWrap/>
            <w:hideMark/>
          </w:tcPr>
          <w:p w14:paraId="2E13B87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CD16-positive, CD56-dim natural killer cell, human</w:t>
            </w:r>
          </w:p>
        </w:tc>
        <w:tc>
          <w:tcPr>
            <w:tcW w:w="2109" w:type="pct"/>
            <w:noWrap/>
            <w:hideMark/>
          </w:tcPr>
          <w:p w14:paraId="45978A3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NKG7, FCER1G, PRF1, KLRB1, SPON2, GZMB, FGFBP2, IGFBP7, CST7, B2M</w:t>
            </w:r>
          </w:p>
        </w:tc>
      </w:tr>
      <w:tr w:rsidR="0084371B" w:rsidRPr="00CD2448" w14:paraId="433F8FB6" w14:textId="77777777" w:rsidTr="0084371B">
        <w:trPr>
          <w:trHeight w:val="320"/>
        </w:trPr>
        <w:tc>
          <w:tcPr>
            <w:tcW w:w="578" w:type="pct"/>
            <w:shd w:val="clear" w:color="auto" w:fill="E8E8E8" w:themeFill="background2"/>
            <w:noWrap/>
            <w:hideMark/>
          </w:tcPr>
          <w:p w14:paraId="646EDF04"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NK_3</w:t>
            </w:r>
          </w:p>
        </w:tc>
        <w:tc>
          <w:tcPr>
            <w:tcW w:w="928" w:type="pct"/>
            <w:shd w:val="clear" w:color="auto" w:fill="E8E8E8" w:themeFill="background2"/>
            <w:noWrap/>
            <w:hideMark/>
          </w:tcPr>
          <w:p w14:paraId="0C6E929E"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CD56-dim Natural Killer_3</w:t>
            </w:r>
          </w:p>
        </w:tc>
        <w:tc>
          <w:tcPr>
            <w:tcW w:w="1385" w:type="pct"/>
            <w:shd w:val="clear" w:color="auto" w:fill="E8E8E8" w:themeFill="background2"/>
            <w:noWrap/>
            <w:hideMark/>
          </w:tcPr>
          <w:p w14:paraId="08FB7C09"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CD16-positive, CD56-dim natural killer cell, human</w:t>
            </w:r>
          </w:p>
        </w:tc>
        <w:tc>
          <w:tcPr>
            <w:tcW w:w="2109" w:type="pct"/>
            <w:shd w:val="clear" w:color="auto" w:fill="E8E8E8" w:themeFill="background2"/>
            <w:noWrap/>
            <w:hideMark/>
          </w:tcPr>
          <w:p w14:paraId="32D2276F" w14:textId="77777777" w:rsidR="0084371B" w:rsidRPr="00CD2448" w:rsidRDefault="0084371B" w:rsidP="007F3F8E">
            <w:pPr>
              <w:jc w:val="both"/>
              <w:rPr>
                <w:rFonts w:ascii="Arial" w:hAnsi="Arial" w:cs="Arial"/>
                <w:b/>
                <w:bCs/>
                <w:color w:val="000000" w:themeColor="text1"/>
                <w:sz w:val="16"/>
                <w:szCs w:val="16"/>
              </w:rPr>
            </w:pPr>
            <w:r w:rsidRPr="00CD2448">
              <w:rPr>
                <w:rFonts w:ascii="Arial" w:hAnsi="Arial" w:cs="Arial"/>
                <w:b/>
                <w:bCs/>
                <w:color w:val="000000" w:themeColor="text1"/>
                <w:sz w:val="16"/>
                <w:szCs w:val="16"/>
              </w:rPr>
              <w:t>KLRF1, CCL5, TRDC, SYNE2, KLRC1, CMC1, XCL2, KLRB1, KLRD1, IL2RB</w:t>
            </w:r>
          </w:p>
        </w:tc>
      </w:tr>
      <w:tr w:rsidR="0084371B" w:rsidRPr="00CD2448" w14:paraId="2190C12C" w14:textId="77777777" w:rsidTr="0084371B">
        <w:trPr>
          <w:trHeight w:val="320"/>
        </w:trPr>
        <w:tc>
          <w:tcPr>
            <w:tcW w:w="578" w:type="pct"/>
            <w:noWrap/>
            <w:hideMark/>
          </w:tcPr>
          <w:p w14:paraId="7879106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NK_4</w:t>
            </w:r>
          </w:p>
        </w:tc>
        <w:tc>
          <w:tcPr>
            <w:tcW w:w="928" w:type="pct"/>
            <w:noWrap/>
            <w:hideMark/>
          </w:tcPr>
          <w:p w14:paraId="5777571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CD56-dim Natural Killer_4</w:t>
            </w:r>
          </w:p>
        </w:tc>
        <w:tc>
          <w:tcPr>
            <w:tcW w:w="1385" w:type="pct"/>
            <w:noWrap/>
            <w:hideMark/>
          </w:tcPr>
          <w:p w14:paraId="18543FF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CD16-positive, CD56-dim natural killer cell, human</w:t>
            </w:r>
          </w:p>
        </w:tc>
        <w:tc>
          <w:tcPr>
            <w:tcW w:w="2109" w:type="pct"/>
            <w:noWrap/>
            <w:hideMark/>
          </w:tcPr>
          <w:p w14:paraId="73265B7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XCL2, SELL, XCL1, GZMK, KLRC1, SPTSSB, KLRF1, IL2RB, TCF7, TRDC</w:t>
            </w:r>
          </w:p>
        </w:tc>
      </w:tr>
      <w:tr w:rsidR="0084371B" w:rsidRPr="00CD2448" w14:paraId="3D34BD83" w14:textId="77777777" w:rsidTr="0084371B">
        <w:trPr>
          <w:trHeight w:val="320"/>
        </w:trPr>
        <w:tc>
          <w:tcPr>
            <w:tcW w:w="578" w:type="pct"/>
            <w:noWrap/>
            <w:hideMark/>
          </w:tcPr>
          <w:p w14:paraId="494F8B14"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NK_CD56bright</w:t>
            </w:r>
          </w:p>
        </w:tc>
        <w:tc>
          <w:tcPr>
            <w:tcW w:w="928" w:type="pct"/>
            <w:noWrap/>
            <w:hideMark/>
          </w:tcPr>
          <w:p w14:paraId="0B974CCB"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CD56-bright Natural Killer</w:t>
            </w:r>
          </w:p>
        </w:tc>
        <w:tc>
          <w:tcPr>
            <w:tcW w:w="1385" w:type="pct"/>
            <w:noWrap/>
            <w:hideMark/>
          </w:tcPr>
          <w:p w14:paraId="4669C90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CD16-negative, CD56-bright natural killer cell, human</w:t>
            </w:r>
          </w:p>
        </w:tc>
        <w:tc>
          <w:tcPr>
            <w:tcW w:w="2109" w:type="pct"/>
            <w:noWrap/>
            <w:hideMark/>
          </w:tcPr>
          <w:p w14:paraId="6351339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XCL2, GPR183, SELL, IL2RB, CD44, GZMK, KLRF1, TPT1, KLRC1, XCL1</w:t>
            </w:r>
          </w:p>
        </w:tc>
      </w:tr>
      <w:tr w:rsidR="0084371B" w:rsidRPr="00CD2448" w14:paraId="72276A01" w14:textId="77777777" w:rsidTr="0084371B">
        <w:trPr>
          <w:trHeight w:val="320"/>
        </w:trPr>
        <w:tc>
          <w:tcPr>
            <w:tcW w:w="578" w:type="pct"/>
            <w:noWrap/>
            <w:hideMark/>
          </w:tcPr>
          <w:p w14:paraId="2B571106" w14:textId="77777777" w:rsidR="0084371B" w:rsidRPr="00CD2448" w:rsidRDefault="0084371B" w:rsidP="007F3F8E">
            <w:pPr>
              <w:jc w:val="both"/>
              <w:rPr>
                <w:rFonts w:ascii="Arial" w:hAnsi="Arial" w:cs="Arial"/>
                <w:color w:val="000000" w:themeColor="text1"/>
                <w:sz w:val="16"/>
                <w:szCs w:val="16"/>
              </w:rPr>
            </w:pPr>
            <w:proofErr w:type="spellStart"/>
            <w:r w:rsidRPr="00CD2448">
              <w:rPr>
                <w:rFonts w:ascii="Arial" w:hAnsi="Arial" w:cs="Arial"/>
                <w:color w:val="000000" w:themeColor="text1"/>
                <w:sz w:val="16"/>
                <w:szCs w:val="16"/>
              </w:rPr>
              <w:t>pDC</w:t>
            </w:r>
            <w:proofErr w:type="spellEnd"/>
          </w:p>
        </w:tc>
        <w:tc>
          <w:tcPr>
            <w:tcW w:w="928" w:type="pct"/>
            <w:noWrap/>
            <w:hideMark/>
          </w:tcPr>
          <w:p w14:paraId="4634E32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Plasmacytoid Dendritic Cell</w:t>
            </w:r>
          </w:p>
        </w:tc>
        <w:tc>
          <w:tcPr>
            <w:tcW w:w="1385" w:type="pct"/>
            <w:noWrap/>
            <w:hideMark/>
          </w:tcPr>
          <w:p w14:paraId="75FA3B8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plasmacytoid dendritic cell</w:t>
            </w:r>
          </w:p>
        </w:tc>
        <w:tc>
          <w:tcPr>
            <w:tcW w:w="2109" w:type="pct"/>
            <w:noWrap/>
            <w:hideMark/>
          </w:tcPr>
          <w:p w14:paraId="1BCBBD3C"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CCDC50, UGCG, TCF4, LILRA4, IRF8, IL3RA, PLD4, IRF7, SERPINF1, ITM2C</w:t>
            </w:r>
          </w:p>
        </w:tc>
      </w:tr>
      <w:tr w:rsidR="0084371B" w:rsidRPr="00CD2448" w14:paraId="65D33C0D" w14:textId="77777777" w:rsidTr="0084371B">
        <w:trPr>
          <w:trHeight w:val="320"/>
        </w:trPr>
        <w:tc>
          <w:tcPr>
            <w:tcW w:w="578" w:type="pct"/>
            <w:noWrap/>
            <w:hideMark/>
          </w:tcPr>
          <w:p w14:paraId="6D1AA5F1"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w:t>
            </w:r>
          </w:p>
        </w:tc>
        <w:tc>
          <w:tcPr>
            <w:tcW w:w="928" w:type="pct"/>
            <w:noWrap/>
            <w:hideMark/>
          </w:tcPr>
          <w:p w14:paraId="325CF8E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 cell</w:t>
            </w:r>
          </w:p>
        </w:tc>
        <w:tc>
          <w:tcPr>
            <w:tcW w:w="1385" w:type="pct"/>
            <w:noWrap/>
            <w:hideMark/>
          </w:tcPr>
          <w:p w14:paraId="33C479A0"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 cell</w:t>
            </w:r>
          </w:p>
        </w:tc>
        <w:tc>
          <w:tcPr>
            <w:tcW w:w="2109" w:type="pct"/>
            <w:noWrap/>
            <w:hideMark/>
          </w:tcPr>
          <w:p w14:paraId="137AB73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MZB1, JCHAIN, TNFRSF17, ITM2C, DERL3, TXNDC5, POU2AF1, IGHA1, TXNDC11, CD79A</w:t>
            </w:r>
          </w:p>
        </w:tc>
      </w:tr>
      <w:tr w:rsidR="0084371B" w:rsidRPr="00CD2448" w14:paraId="0E7CDDA8" w14:textId="77777777" w:rsidTr="0084371B">
        <w:trPr>
          <w:trHeight w:val="320"/>
        </w:trPr>
        <w:tc>
          <w:tcPr>
            <w:tcW w:w="578" w:type="pct"/>
            <w:noWrap/>
            <w:hideMark/>
          </w:tcPr>
          <w:p w14:paraId="73B3A9B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Plasmablast</w:t>
            </w:r>
          </w:p>
        </w:tc>
        <w:tc>
          <w:tcPr>
            <w:tcW w:w="928" w:type="pct"/>
            <w:noWrap/>
            <w:hideMark/>
          </w:tcPr>
          <w:p w14:paraId="4E82E05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Plasmablast</w:t>
            </w:r>
          </w:p>
        </w:tc>
        <w:tc>
          <w:tcPr>
            <w:tcW w:w="1385" w:type="pct"/>
            <w:noWrap/>
            <w:hideMark/>
          </w:tcPr>
          <w:p w14:paraId="0DE65EF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plasmablast</w:t>
            </w:r>
          </w:p>
        </w:tc>
        <w:tc>
          <w:tcPr>
            <w:tcW w:w="2109" w:type="pct"/>
            <w:noWrap/>
            <w:hideMark/>
          </w:tcPr>
          <w:p w14:paraId="59D654B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TYMS, TNFRSF17, SHCBP1, TK1, KNL1, ASPM, TXNDC5, TPX2, RRM2, BIRC5</w:t>
            </w:r>
          </w:p>
        </w:tc>
      </w:tr>
      <w:tr w:rsidR="0084371B" w:rsidRPr="00CD2448" w14:paraId="3842E8C8" w14:textId="77777777" w:rsidTr="0084371B">
        <w:trPr>
          <w:trHeight w:val="320"/>
        </w:trPr>
        <w:tc>
          <w:tcPr>
            <w:tcW w:w="578" w:type="pct"/>
            <w:noWrap/>
            <w:hideMark/>
          </w:tcPr>
          <w:p w14:paraId="67501C18"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Platelet</w:t>
            </w:r>
          </w:p>
        </w:tc>
        <w:tc>
          <w:tcPr>
            <w:tcW w:w="928" w:type="pct"/>
            <w:noWrap/>
            <w:hideMark/>
          </w:tcPr>
          <w:p w14:paraId="0752A90D"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Platelet</w:t>
            </w:r>
          </w:p>
        </w:tc>
        <w:tc>
          <w:tcPr>
            <w:tcW w:w="1385" w:type="pct"/>
            <w:noWrap/>
            <w:hideMark/>
          </w:tcPr>
          <w:p w14:paraId="092C1385"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platelet</w:t>
            </w:r>
          </w:p>
        </w:tc>
        <w:tc>
          <w:tcPr>
            <w:tcW w:w="2109" w:type="pct"/>
            <w:noWrap/>
            <w:hideMark/>
          </w:tcPr>
          <w:p w14:paraId="7AF586D7"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GNG11, PPBP, NRGN, PF4, CAVIN2, TUBB1, HIST1H2AC, PRKAR2B, CLU, F13A1</w:t>
            </w:r>
          </w:p>
        </w:tc>
      </w:tr>
      <w:tr w:rsidR="0084371B" w:rsidRPr="00CD2448" w14:paraId="0250AFEE" w14:textId="77777777" w:rsidTr="0084371B">
        <w:trPr>
          <w:trHeight w:val="320"/>
        </w:trPr>
        <w:tc>
          <w:tcPr>
            <w:tcW w:w="578" w:type="pct"/>
            <w:noWrap/>
            <w:hideMark/>
          </w:tcPr>
          <w:p w14:paraId="79E9121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Treg Memory</w:t>
            </w:r>
          </w:p>
        </w:tc>
        <w:tc>
          <w:tcPr>
            <w:tcW w:w="928" w:type="pct"/>
            <w:noWrap/>
            <w:hideMark/>
          </w:tcPr>
          <w:p w14:paraId="7D685A4A"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Memory Regulatory T</w:t>
            </w:r>
          </w:p>
        </w:tc>
        <w:tc>
          <w:tcPr>
            <w:tcW w:w="1385" w:type="pct"/>
            <w:noWrap/>
            <w:hideMark/>
          </w:tcPr>
          <w:p w14:paraId="275CC9D6" w14:textId="2A189358"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regulatory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2DB7E17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RTKN2, B2M, TIGIT, FCRL3, S100A4, AC133644.2, CTLA4, FOXP3, IKZF2, TRAC</w:t>
            </w:r>
          </w:p>
        </w:tc>
      </w:tr>
      <w:tr w:rsidR="0084371B" w:rsidRPr="00CD2448" w14:paraId="01768A25" w14:textId="77777777" w:rsidTr="0084371B">
        <w:trPr>
          <w:trHeight w:val="320"/>
        </w:trPr>
        <w:tc>
          <w:tcPr>
            <w:tcW w:w="578" w:type="pct"/>
            <w:noWrap/>
            <w:hideMark/>
          </w:tcPr>
          <w:p w14:paraId="6C79E4F2"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Treg Naive</w:t>
            </w:r>
          </w:p>
        </w:tc>
        <w:tc>
          <w:tcPr>
            <w:tcW w:w="928" w:type="pct"/>
            <w:noWrap/>
            <w:hideMark/>
          </w:tcPr>
          <w:p w14:paraId="1B510D8E"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Naive Regulatory T</w:t>
            </w:r>
          </w:p>
        </w:tc>
        <w:tc>
          <w:tcPr>
            <w:tcW w:w="1385" w:type="pct"/>
            <w:noWrap/>
            <w:hideMark/>
          </w:tcPr>
          <w:p w14:paraId="0F81D1BD" w14:textId="2D59C2F0"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regulatory T</w:t>
            </w:r>
            <w:r w:rsidR="00192637" w:rsidRPr="00CD2448">
              <w:rPr>
                <w:rFonts w:ascii="Arial" w:hAnsi="Arial" w:cs="Arial"/>
                <w:color w:val="000000" w:themeColor="text1"/>
                <w:sz w:val="16"/>
                <w:szCs w:val="16"/>
              </w:rPr>
              <w:t>-</w:t>
            </w:r>
            <w:r w:rsidRPr="00CD2448">
              <w:rPr>
                <w:rFonts w:ascii="Arial" w:hAnsi="Arial" w:cs="Arial"/>
                <w:color w:val="000000" w:themeColor="text1"/>
                <w:sz w:val="16"/>
                <w:szCs w:val="16"/>
              </w:rPr>
              <w:t>cell</w:t>
            </w:r>
          </w:p>
        </w:tc>
        <w:tc>
          <w:tcPr>
            <w:tcW w:w="2109" w:type="pct"/>
            <w:noWrap/>
            <w:hideMark/>
          </w:tcPr>
          <w:p w14:paraId="0257E846" w14:textId="77777777" w:rsidR="0084371B" w:rsidRPr="00CD2448" w:rsidRDefault="0084371B" w:rsidP="007F3F8E">
            <w:pPr>
              <w:jc w:val="both"/>
              <w:rPr>
                <w:rFonts w:ascii="Arial" w:hAnsi="Arial" w:cs="Arial"/>
                <w:color w:val="000000" w:themeColor="text1"/>
                <w:sz w:val="16"/>
                <w:szCs w:val="16"/>
              </w:rPr>
            </w:pPr>
            <w:r w:rsidRPr="00CD2448">
              <w:rPr>
                <w:rFonts w:ascii="Arial" w:hAnsi="Arial" w:cs="Arial"/>
                <w:color w:val="000000" w:themeColor="text1"/>
                <w:sz w:val="16"/>
                <w:szCs w:val="16"/>
              </w:rPr>
              <w:t>RTKN2, LEF1, FOXP3, C12orf57, IL2RA, TOMM7, CCR7, TRAC, CD4, LDHB</w:t>
            </w:r>
          </w:p>
        </w:tc>
      </w:tr>
    </w:tbl>
    <w:p w14:paraId="15DADF59" w14:textId="77777777" w:rsidR="00C20FC1" w:rsidRPr="00CD2448" w:rsidRDefault="00C20FC1" w:rsidP="007F3F8E">
      <w:pPr>
        <w:spacing w:line="278" w:lineRule="auto"/>
        <w:jc w:val="both"/>
        <w:rPr>
          <w:rFonts w:ascii="Arial" w:hAnsi="Arial" w:cs="Arial"/>
          <w:b/>
          <w:bCs/>
          <w:color w:val="000000" w:themeColor="text1"/>
          <w:sz w:val="20"/>
          <w:szCs w:val="20"/>
        </w:rPr>
      </w:pPr>
    </w:p>
    <w:p w14:paraId="31406F13" w14:textId="77777777" w:rsidR="0084371B" w:rsidRPr="00CD2448" w:rsidRDefault="0084371B" w:rsidP="007F3F8E">
      <w:pPr>
        <w:pStyle w:val="NormalWeb"/>
        <w:spacing w:before="0" w:beforeAutospacing="0" w:after="0" w:afterAutospacing="0" w:line="276" w:lineRule="auto"/>
        <w:jc w:val="both"/>
        <w:rPr>
          <w:rFonts w:ascii="Arial" w:hAnsi="Arial" w:cs="Arial"/>
          <w:color w:val="000000" w:themeColor="text1"/>
          <w:sz w:val="22"/>
          <w:szCs w:val="22"/>
        </w:rPr>
      </w:pPr>
    </w:p>
    <w:p w14:paraId="117EACCC" w14:textId="77777777" w:rsidR="00BA3321" w:rsidRPr="00CD2448" w:rsidRDefault="00BA3321" w:rsidP="007F3F8E">
      <w:pPr>
        <w:spacing w:after="160" w:line="278" w:lineRule="auto"/>
        <w:jc w:val="both"/>
        <w:rPr>
          <w:rFonts w:ascii="Arial" w:hAnsi="Arial" w:cs="Arial"/>
          <w:b/>
          <w:bCs/>
          <w:color w:val="000000" w:themeColor="text1"/>
          <w:sz w:val="20"/>
          <w:szCs w:val="20"/>
        </w:rPr>
      </w:pPr>
      <w:r w:rsidRPr="00CD2448">
        <w:rPr>
          <w:rFonts w:ascii="Arial" w:hAnsi="Arial" w:cs="Arial"/>
          <w:b/>
          <w:bCs/>
          <w:color w:val="000000" w:themeColor="text1"/>
          <w:sz w:val="20"/>
          <w:szCs w:val="20"/>
        </w:rPr>
        <w:br w:type="page"/>
      </w:r>
    </w:p>
    <w:p w14:paraId="28063549" w14:textId="73DA1C5A" w:rsidR="002E7738" w:rsidRPr="00CD2448" w:rsidRDefault="00823815" w:rsidP="007F3F8E">
      <w:pPr>
        <w:jc w:val="both"/>
        <w:rPr>
          <w:rFonts w:ascii="Arial" w:hAnsi="Arial" w:cs="Arial"/>
          <w:b/>
          <w:bCs/>
          <w:color w:val="000000" w:themeColor="text1"/>
          <w:sz w:val="20"/>
          <w:szCs w:val="20"/>
        </w:rPr>
      </w:pPr>
      <w:r w:rsidRPr="00CD2448">
        <w:rPr>
          <w:rFonts w:ascii="Arial" w:hAnsi="Arial" w:cs="Arial"/>
          <w:b/>
          <w:bCs/>
          <w:color w:val="000000" w:themeColor="text1"/>
          <w:sz w:val="20"/>
          <w:szCs w:val="20"/>
        </w:rPr>
        <w:lastRenderedPageBreak/>
        <w:t>Supplementary Figures</w:t>
      </w:r>
    </w:p>
    <w:p w14:paraId="76049CE9" w14:textId="131AE1E1" w:rsidR="007159F1" w:rsidRPr="00CD2448" w:rsidRDefault="007159F1" w:rsidP="007F3F8E">
      <w:pPr>
        <w:jc w:val="both"/>
        <w:rPr>
          <w:rFonts w:ascii="Arial" w:hAnsi="Arial" w:cs="Arial"/>
          <w:b/>
          <w:bCs/>
          <w:color w:val="000000" w:themeColor="text1"/>
          <w:sz w:val="20"/>
          <w:szCs w:val="20"/>
        </w:rPr>
      </w:pPr>
    </w:p>
    <w:p w14:paraId="24B98E09" w14:textId="77777777" w:rsidR="00823815" w:rsidRPr="00CD2448" w:rsidRDefault="00823815" w:rsidP="007F3F8E">
      <w:pPr>
        <w:jc w:val="both"/>
        <w:rPr>
          <w:rFonts w:ascii="Arial" w:hAnsi="Arial" w:cs="Arial"/>
          <w:i/>
          <w:iCs/>
          <w:color w:val="000000" w:themeColor="text1"/>
          <w:sz w:val="20"/>
          <w:szCs w:val="20"/>
        </w:rPr>
      </w:pPr>
    </w:p>
    <w:p w14:paraId="0DCD31E1" w14:textId="77777777" w:rsidR="002E7738" w:rsidRPr="00CD2448" w:rsidRDefault="002E7738" w:rsidP="007F3F8E">
      <w:pPr>
        <w:jc w:val="both"/>
        <w:rPr>
          <w:rFonts w:ascii="Arial" w:hAnsi="Arial" w:cs="Arial"/>
          <w:b/>
          <w:bCs/>
          <w:i/>
          <w:iCs/>
          <w:color w:val="000000" w:themeColor="text1"/>
          <w:sz w:val="22"/>
          <w:szCs w:val="22"/>
        </w:rPr>
      </w:pPr>
      <w:r w:rsidRPr="00CD2448">
        <w:rPr>
          <w:rFonts w:ascii="Arial" w:hAnsi="Arial" w:cs="Arial"/>
          <w:noProof/>
          <w:color w:val="000000" w:themeColor="text1"/>
          <w:sz w:val="22"/>
          <w:szCs w:val="22"/>
        </w:rPr>
        <w:drawing>
          <wp:inline distT="0" distB="0" distL="0" distR="0" wp14:anchorId="18CB1D9E" wp14:editId="433BEF92">
            <wp:extent cx="6963507" cy="2321169"/>
            <wp:effectExtent l="0" t="0" r="0" b="0"/>
            <wp:docPr id="1267355299" name="Picture 1" descr="Chart, waterfall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355299" name="Picture 1" descr="Chart, waterfall chart&#10;&#10;AI-generated content may be incorrect."/>
                    <pic:cNvPicPr/>
                  </pic:nvPicPr>
                  <pic:blipFill>
                    <a:blip r:embed="rId11"/>
                    <a:stretch>
                      <a:fillRect/>
                    </a:stretch>
                  </pic:blipFill>
                  <pic:spPr>
                    <a:xfrm>
                      <a:off x="0" y="0"/>
                      <a:ext cx="7015760" cy="2338587"/>
                    </a:xfrm>
                    <a:prstGeom prst="rect">
                      <a:avLst/>
                    </a:prstGeom>
                  </pic:spPr>
                </pic:pic>
              </a:graphicData>
            </a:graphic>
          </wp:inline>
        </w:drawing>
      </w:r>
    </w:p>
    <w:p w14:paraId="13FF4B06" w14:textId="14A0B92A" w:rsidR="002E7738" w:rsidRPr="00CD2448" w:rsidRDefault="002E7738" w:rsidP="00F84119">
      <w:pPr>
        <w:rPr>
          <w:rFonts w:ascii="Arial" w:hAnsi="Arial" w:cs="Arial"/>
          <w:color w:val="000000" w:themeColor="text1"/>
          <w:sz w:val="20"/>
          <w:szCs w:val="20"/>
        </w:rPr>
      </w:pPr>
      <w:r w:rsidRPr="00CD2448">
        <w:rPr>
          <w:rFonts w:ascii="Arial" w:hAnsi="Arial" w:cs="Arial"/>
          <w:b/>
          <w:bCs/>
          <w:color w:val="000000" w:themeColor="text1"/>
          <w:sz w:val="20"/>
          <w:szCs w:val="20"/>
        </w:rPr>
        <w:t>Supplementary Figure S1: Correlation of Gene Expression Across Rapid</w:t>
      </w:r>
      <w:r w:rsidR="00D423FF"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Acting Antidepressants. </w:t>
      </w:r>
      <w:r w:rsidRPr="00CD2448">
        <w:rPr>
          <w:rFonts w:ascii="Arial" w:hAnsi="Arial" w:cs="Arial"/>
          <w:color w:val="000000" w:themeColor="text1"/>
          <w:sz w:val="20"/>
          <w:szCs w:val="20"/>
        </w:rPr>
        <w:t xml:space="preserve">Pairwise correlation matrices demonstrating the convergent transcriptional responses across pharmacologically distinct rapid-acting antidepressants in </w:t>
      </w:r>
      <w:r w:rsidR="00BB6178" w:rsidRPr="00CD2448">
        <w:rPr>
          <w:rFonts w:ascii="Arial" w:hAnsi="Arial" w:cs="Arial"/>
          <w:color w:val="000000" w:themeColor="text1"/>
          <w:sz w:val="20"/>
          <w:szCs w:val="20"/>
        </w:rPr>
        <w:t>induced pluripotent stem cell (</w:t>
      </w:r>
      <w:r w:rsidRPr="00CD2448">
        <w:rPr>
          <w:rFonts w:ascii="Arial" w:hAnsi="Arial" w:cs="Arial"/>
          <w:color w:val="000000" w:themeColor="text1"/>
          <w:sz w:val="20"/>
          <w:szCs w:val="20"/>
        </w:rPr>
        <w:t>iPSC</w:t>
      </w:r>
      <w:r w:rsidR="00BB6178"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-derived neurons for all genes (left; n = 22,810), </w:t>
      </w:r>
      <w:r w:rsidR="00FC006A" w:rsidRPr="00CD2448">
        <w:rPr>
          <w:rFonts w:ascii="Arial" w:hAnsi="Arial" w:cs="Arial"/>
          <w:color w:val="000000" w:themeColor="text1"/>
          <w:sz w:val="20"/>
          <w:szCs w:val="20"/>
        </w:rPr>
        <w:t>differentially expressed genes (</w:t>
      </w:r>
      <w:r w:rsidRPr="00CD2448">
        <w:rPr>
          <w:rFonts w:ascii="Arial" w:hAnsi="Arial" w:cs="Arial"/>
          <w:color w:val="000000" w:themeColor="text1"/>
          <w:sz w:val="20"/>
          <w:szCs w:val="20"/>
        </w:rPr>
        <w:t>DEGs</w:t>
      </w:r>
      <w:r w:rsidR="00FC006A"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across all samples (middle; n = 3157), and DEGs common to all samples (right; n = 26). Pearson correlation coefficients were calculated versus vehicle control. All pairwise correlations showed high concordance (r = 0.70-0.88; all </w:t>
      </w:r>
      <w:proofErr w:type="spellStart"/>
      <w:r w:rsidRPr="00CD2448">
        <w:rPr>
          <w:rFonts w:ascii="Arial" w:hAnsi="Arial" w:cs="Arial"/>
          <w:color w:val="000000" w:themeColor="text1"/>
          <w:sz w:val="20"/>
          <w:szCs w:val="20"/>
        </w:rPr>
        <w:t>p_FDR</w:t>
      </w:r>
      <w:proofErr w:type="spellEnd"/>
      <w:r w:rsidRPr="00CD2448">
        <w:rPr>
          <w:rFonts w:ascii="Arial" w:hAnsi="Arial" w:cs="Arial"/>
          <w:color w:val="000000" w:themeColor="text1"/>
          <w:sz w:val="20"/>
          <w:szCs w:val="20"/>
        </w:rPr>
        <w:t xml:space="preserve"> &lt; 2e-16) for DEG</w:t>
      </w:r>
      <w:r w:rsidR="007C4DA0" w:rsidRPr="00CD2448">
        <w:rPr>
          <w:rFonts w:ascii="Arial" w:hAnsi="Arial" w:cs="Arial"/>
          <w:color w:val="000000" w:themeColor="text1"/>
          <w:sz w:val="20"/>
          <w:szCs w:val="20"/>
        </w:rPr>
        <w:t>s</w:t>
      </w:r>
      <w:r w:rsidRPr="00CD2448">
        <w:rPr>
          <w:rFonts w:ascii="Arial" w:hAnsi="Arial" w:cs="Arial"/>
          <w:color w:val="000000" w:themeColor="text1"/>
          <w:sz w:val="20"/>
          <w:szCs w:val="20"/>
        </w:rPr>
        <w:t>, suggesting shared downstream molecular pathways despite distinct primary receptor targets. The strongest correlations were observed between the psychedelic compounds LSD and psilocybin (r = 0.88), while ketamine showed the lowest but still substantial correlation with other compounds (r = 0.70-0.75), potentially due to fewer samples sequenced. Color intensity represents correlation strength, with warmer colors indicating stronger positive correlations.</w:t>
      </w:r>
    </w:p>
    <w:p w14:paraId="43EDE731" w14:textId="77777777" w:rsidR="002E7738" w:rsidRPr="00CD2448" w:rsidRDefault="002E7738" w:rsidP="007F3F8E">
      <w:pPr>
        <w:jc w:val="both"/>
        <w:rPr>
          <w:rFonts w:ascii="Arial" w:hAnsi="Arial" w:cs="Arial"/>
          <w:b/>
          <w:bCs/>
          <w:color w:val="000000" w:themeColor="text1"/>
          <w:sz w:val="22"/>
          <w:szCs w:val="22"/>
        </w:rPr>
      </w:pPr>
    </w:p>
    <w:p w14:paraId="04128442" w14:textId="77777777" w:rsidR="002E7738" w:rsidRPr="00CD2448" w:rsidRDefault="002E7738" w:rsidP="007F3F8E">
      <w:pPr>
        <w:jc w:val="both"/>
        <w:rPr>
          <w:rFonts w:ascii="Arial" w:hAnsi="Arial" w:cs="Arial"/>
          <w:i/>
          <w:iCs/>
          <w:color w:val="000000" w:themeColor="text1"/>
          <w:sz w:val="20"/>
          <w:szCs w:val="20"/>
        </w:rPr>
      </w:pPr>
    </w:p>
    <w:p w14:paraId="3B65A1E6" w14:textId="61A51D74" w:rsidR="003E6D57" w:rsidRPr="00CD2448" w:rsidRDefault="003E6D57" w:rsidP="007F3F8E">
      <w:pPr>
        <w:jc w:val="both"/>
        <w:rPr>
          <w:rFonts w:ascii="Arial" w:hAnsi="Arial" w:cs="Arial"/>
          <w:color w:val="000000" w:themeColor="text1"/>
          <w:sz w:val="22"/>
          <w:szCs w:val="22"/>
        </w:rPr>
      </w:pPr>
      <w:r w:rsidRPr="00CD2448">
        <w:rPr>
          <w:rFonts w:ascii="Arial" w:hAnsi="Arial" w:cs="Arial"/>
          <w:noProof/>
          <w:color w:val="000000" w:themeColor="text1"/>
          <w:sz w:val="22"/>
          <w:szCs w:val="22"/>
        </w:rPr>
        <w:lastRenderedPageBreak/>
        <w:drawing>
          <wp:inline distT="0" distB="0" distL="0" distR="0" wp14:anchorId="6A2BE9D4" wp14:editId="35BC284A">
            <wp:extent cx="6744168" cy="7849772"/>
            <wp:effectExtent l="0" t="0" r="0" b="0"/>
            <wp:docPr id="1286970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70226"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10512" cy="7926992"/>
                    </a:xfrm>
                    <a:prstGeom prst="rect">
                      <a:avLst/>
                    </a:prstGeom>
                  </pic:spPr>
                </pic:pic>
              </a:graphicData>
            </a:graphic>
          </wp:inline>
        </w:drawing>
      </w:r>
    </w:p>
    <w:p w14:paraId="6B5DC69D" w14:textId="178DC6C1" w:rsidR="00CE5CE8" w:rsidRPr="00CD2448" w:rsidRDefault="00CE5CE8" w:rsidP="00F84119">
      <w:pPr>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w:t>
      </w:r>
      <w:bookmarkStart w:id="53" w:name="OLE_LINK189"/>
      <w:r w:rsidRPr="00CD2448">
        <w:rPr>
          <w:rFonts w:ascii="Arial" w:hAnsi="Arial" w:cs="Arial"/>
          <w:b/>
          <w:bCs/>
          <w:color w:val="000000" w:themeColor="text1"/>
          <w:sz w:val="20"/>
          <w:szCs w:val="20"/>
        </w:rPr>
        <w:t xml:space="preserve">Figure </w:t>
      </w:r>
      <w:r w:rsidR="005E6EB8" w:rsidRPr="00CD2448">
        <w:rPr>
          <w:rFonts w:ascii="Arial" w:hAnsi="Arial" w:cs="Arial"/>
          <w:b/>
          <w:bCs/>
          <w:color w:val="000000" w:themeColor="text1"/>
          <w:sz w:val="20"/>
          <w:szCs w:val="20"/>
        </w:rPr>
        <w:t>S</w:t>
      </w:r>
      <w:r w:rsidR="004B4809" w:rsidRPr="00CD2448">
        <w:rPr>
          <w:rFonts w:ascii="Arial" w:hAnsi="Arial" w:cs="Arial"/>
          <w:b/>
          <w:bCs/>
          <w:color w:val="000000" w:themeColor="text1"/>
          <w:sz w:val="20"/>
          <w:szCs w:val="20"/>
        </w:rPr>
        <w:t>2</w:t>
      </w:r>
      <w:bookmarkEnd w:id="53"/>
      <w:r w:rsidRPr="00CD2448">
        <w:rPr>
          <w:rFonts w:ascii="Arial" w:hAnsi="Arial" w:cs="Arial"/>
          <w:b/>
          <w:bCs/>
          <w:color w:val="000000" w:themeColor="text1"/>
          <w:sz w:val="20"/>
          <w:szCs w:val="20"/>
        </w:rPr>
        <w:t>. Protein-protein interaction (PPI) network of the 1</w:t>
      </w:r>
      <w:r w:rsidR="00D25A8F" w:rsidRPr="00CD2448">
        <w:rPr>
          <w:rFonts w:ascii="Arial" w:hAnsi="Arial" w:cs="Arial"/>
          <w:b/>
          <w:bCs/>
          <w:color w:val="000000" w:themeColor="text1"/>
          <w:sz w:val="20"/>
          <w:szCs w:val="20"/>
        </w:rPr>
        <w:t>0</w:t>
      </w:r>
      <w:r w:rsidR="00711C95" w:rsidRPr="00CD2448">
        <w:rPr>
          <w:rFonts w:ascii="Arial" w:hAnsi="Arial" w:cs="Arial"/>
          <w:b/>
          <w:bCs/>
          <w:color w:val="000000" w:themeColor="text1"/>
          <w:sz w:val="20"/>
          <w:szCs w:val="20"/>
        </w:rPr>
        <w:t>3</w:t>
      </w:r>
      <w:r w:rsidRPr="00CD2448">
        <w:rPr>
          <w:rFonts w:ascii="Arial" w:hAnsi="Arial" w:cs="Arial"/>
          <w:b/>
          <w:bCs/>
          <w:color w:val="000000" w:themeColor="text1"/>
          <w:sz w:val="20"/>
          <w:szCs w:val="20"/>
        </w:rPr>
        <w:t xml:space="preserve">-protein </w:t>
      </w:r>
      <w:r w:rsidR="000D2698" w:rsidRPr="00CD2448">
        <w:rPr>
          <w:rFonts w:ascii="Arial" w:hAnsi="Arial" w:cs="Arial"/>
          <w:b/>
          <w:bCs/>
          <w:color w:val="000000" w:themeColor="text1"/>
          <w:sz w:val="20"/>
          <w:szCs w:val="20"/>
        </w:rPr>
        <w:t>rapid-acting antidepressant (</w:t>
      </w:r>
      <w:r w:rsidRPr="00CD2448">
        <w:rPr>
          <w:rFonts w:ascii="Arial" w:hAnsi="Arial" w:cs="Arial"/>
          <w:b/>
          <w:bCs/>
          <w:color w:val="000000" w:themeColor="text1"/>
          <w:sz w:val="20"/>
          <w:szCs w:val="20"/>
        </w:rPr>
        <w:t>RAAD</w:t>
      </w:r>
      <w:r w:rsidR="000D2698"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signature</w:t>
      </w:r>
      <w:r w:rsidR="000D2698" w:rsidRPr="00CD2448">
        <w:rPr>
          <w:rFonts w:ascii="Arial" w:hAnsi="Arial" w:cs="Arial"/>
          <w:b/>
          <w:bCs/>
          <w:color w:val="000000" w:themeColor="text1"/>
          <w:sz w:val="20"/>
          <w:szCs w:val="20"/>
        </w:rPr>
        <w:t>s</w:t>
      </w:r>
      <w:r w:rsidRPr="00CD2448">
        <w:rPr>
          <w:rFonts w:ascii="Arial" w:hAnsi="Arial" w:cs="Arial"/>
          <w:b/>
          <w:bCs/>
          <w:color w:val="000000" w:themeColor="text1"/>
          <w:sz w:val="20"/>
          <w:szCs w:val="20"/>
        </w:rPr>
        <w:t>.</w:t>
      </w:r>
      <w:r w:rsidRPr="00CD2448">
        <w:rPr>
          <w:rFonts w:ascii="Arial" w:hAnsi="Arial" w:cs="Arial"/>
          <w:color w:val="000000" w:themeColor="text1"/>
          <w:sz w:val="20"/>
          <w:szCs w:val="20"/>
        </w:rPr>
        <w:t xml:space="preserve"> STRING network diagram of 1</w:t>
      </w:r>
      <w:r w:rsidR="00711C95" w:rsidRPr="00CD2448">
        <w:rPr>
          <w:rFonts w:ascii="Arial" w:hAnsi="Arial" w:cs="Arial"/>
          <w:color w:val="000000" w:themeColor="text1"/>
          <w:sz w:val="20"/>
          <w:szCs w:val="20"/>
        </w:rPr>
        <w:t>03</w:t>
      </w:r>
      <w:r w:rsidRPr="00CD2448">
        <w:rPr>
          <w:rFonts w:ascii="Arial" w:hAnsi="Arial" w:cs="Arial"/>
          <w:color w:val="000000" w:themeColor="text1"/>
          <w:sz w:val="20"/>
          <w:szCs w:val="20"/>
        </w:rPr>
        <w:t xml:space="preserve"> proteins identified across</w:t>
      </w:r>
      <w:r w:rsidR="00317D45" w:rsidRPr="00CD2448">
        <w:rPr>
          <w:rFonts w:ascii="Arial" w:hAnsi="Arial" w:cs="Arial"/>
          <w:color w:val="000000" w:themeColor="text1"/>
          <w:sz w:val="20"/>
          <w:szCs w:val="20"/>
        </w:rPr>
        <w:t xml:space="preserve"> induced pluripotent stem cell (</w:t>
      </w:r>
      <w:r w:rsidRPr="00CD2448">
        <w:rPr>
          <w:rFonts w:ascii="Arial" w:hAnsi="Arial" w:cs="Arial"/>
          <w:color w:val="000000" w:themeColor="text1"/>
          <w:sz w:val="20"/>
          <w:szCs w:val="20"/>
        </w:rPr>
        <w:t>iPSC</w:t>
      </w:r>
      <w:r w:rsidR="00317D45"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and </w:t>
      </w:r>
      <w:r w:rsidR="00FC5B15" w:rsidRPr="00CD2448">
        <w:rPr>
          <w:rFonts w:ascii="Arial" w:hAnsi="Arial" w:cs="Arial"/>
          <w:color w:val="000000" w:themeColor="text1"/>
          <w:sz w:val="20"/>
          <w:szCs w:val="20"/>
        </w:rPr>
        <w:t>cerebrospinal fluid (</w:t>
      </w:r>
      <w:r w:rsidRPr="00CD2448">
        <w:rPr>
          <w:rFonts w:ascii="Arial" w:hAnsi="Arial" w:cs="Arial"/>
          <w:color w:val="000000" w:themeColor="text1"/>
          <w:sz w:val="20"/>
          <w:szCs w:val="20"/>
        </w:rPr>
        <w:t>CSF</w:t>
      </w:r>
      <w:r w:rsidR="00FC5B15"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datasets in at least one timepoint for three or more rapid-acting antidepressants </w:t>
      </w:r>
      <w:r w:rsidR="00FC5B15"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ketamine, psilocybin, LSD, </w:t>
      </w:r>
      <w:r w:rsidR="00C618FA" w:rsidRPr="00CD2448">
        <w:rPr>
          <w:rFonts w:ascii="Arial" w:hAnsi="Arial" w:cs="Arial"/>
          <w:color w:val="000000" w:themeColor="text1"/>
          <w:sz w:val="20"/>
          <w:szCs w:val="20"/>
        </w:rPr>
        <w:t>(2</w:t>
      </w:r>
      <w:r w:rsidR="00C618FA" w:rsidRPr="00CD2448">
        <w:rPr>
          <w:rFonts w:ascii="Arial" w:hAnsi="Arial" w:cs="Arial"/>
          <w:i/>
          <w:iCs/>
          <w:color w:val="000000" w:themeColor="text1"/>
          <w:sz w:val="20"/>
          <w:szCs w:val="20"/>
        </w:rPr>
        <w:t>R</w:t>
      </w:r>
      <w:r w:rsidR="00C618FA" w:rsidRPr="00CD2448">
        <w:rPr>
          <w:rFonts w:ascii="Arial" w:hAnsi="Arial" w:cs="Arial"/>
          <w:color w:val="000000" w:themeColor="text1"/>
          <w:sz w:val="20"/>
          <w:szCs w:val="20"/>
        </w:rPr>
        <w:t>,6</w:t>
      </w:r>
      <w:r w:rsidR="00C618FA" w:rsidRPr="00CD2448">
        <w:rPr>
          <w:rFonts w:ascii="Arial" w:hAnsi="Arial" w:cs="Arial"/>
          <w:i/>
          <w:iCs/>
          <w:color w:val="000000" w:themeColor="text1"/>
          <w:sz w:val="20"/>
          <w:szCs w:val="20"/>
        </w:rPr>
        <w:t>R</w:t>
      </w:r>
      <w:r w:rsidR="00C618FA" w:rsidRPr="00CD2448">
        <w:rPr>
          <w:rFonts w:ascii="Arial" w:hAnsi="Arial" w:cs="Arial"/>
          <w:color w:val="000000" w:themeColor="text1"/>
          <w:sz w:val="20"/>
          <w:szCs w:val="20"/>
        </w:rPr>
        <w:t>-hydroxynorketamine (</w:t>
      </w:r>
      <w:r w:rsidRPr="00CD2448">
        <w:rPr>
          <w:rFonts w:ascii="Arial" w:hAnsi="Arial" w:cs="Arial"/>
          <w:color w:val="000000" w:themeColor="text1"/>
          <w:sz w:val="20"/>
          <w:szCs w:val="20"/>
        </w:rPr>
        <w:t>HNK</w:t>
      </w:r>
      <w:r w:rsidR="00C618FA"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Edges represent </w:t>
      </w:r>
      <w:r w:rsidR="00691AC6" w:rsidRPr="00CD2448">
        <w:rPr>
          <w:rFonts w:ascii="Arial" w:hAnsi="Arial" w:cs="Arial"/>
          <w:color w:val="000000" w:themeColor="text1"/>
          <w:sz w:val="20"/>
          <w:szCs w:val="20"/>
        </w:rPr>
        <w:t>high confidence</w:t>
      </w:r>
      <w:r w:rsidRPr="00CD2448">
        <w:rPr>
          <w:rFonts w:ascii="Arial" w:hAnsi="Arial" w:cs="Arial"/>
          <w:color w:val="000000" w:themeColor="text1"/>
          <w:sz w:val="20"/>
          <w:szCs w:val="20"/>
        </w:rPr>
        <w:t xml:space="preserve"> predicted or experimentally validated interactions, and nodes are color-coded by functional or interaction clusters. Central hubs in the network include immune modulators, kinase signaling molecules, and neurodevelopmental factors, highlighting a coordinated protein network potentially underlying RAAD response.</w:t>
      </w:r>
    </w:p>
    <w:p w14:paraId="6194C3F6" w14:textId="77777777" w:rsidR="00086E84" w:rsidRPr="00CD2448" w:rsidRDefault="00086E84" w:rsidP="00086E84">
      <w:pPr>
        <w:spacing w:after="160" w:line="278" w:lineRule="auto"/>
        <w:rPr>
          <w:rFonts w:ascii="Arial" w:hAnsi="Arial" w:cs="Arial"/>
          <w:b/>
          <w:bCs/>
          <w:color w:val="000000" w:themeColor="text1"/>
          <w:sz w:val="20"/>
          <w:szCs w:val="20"/>
        </w:rPr>
      </w:pPr>
    </w:p>
    <w:p w14:paraId="4C8553C1" w14:textId="0CE4FC55" w:rsidR="00086E84" w:rsidRPr="00CD2448" w:rsidRDefault="00086E84" w:rsidP="00086E84">
      <w:pPr>
        <w:spacing w:after="160" w:line="278" w:lineRule="auto"/>
        <w:rPr>
          <w:rFonts w:ascii="Arial" w:hAnsi="Arial" w:cs="Arial"/>
          <w:b/>
          <w:bCs/>
          <w:color w:val="000000" w:themeColor="text1"/>
          <w:sz w:val="20"/>
          <w:szCs w:val="20"/>
        </w:rPr>
      </w:pPr>
      <w:r w:rsidRPr="00CD2448">
        <w:rPr>
          <w:rFonts w:ascii="Arial" w:hAnsi="Arial" w:cs="Arial"/>
          <w:b/>
          <w:bCs/>
          <w:noProof/>
          <w:color w:val="000000" w:themeColor="text1"/>
          <w:sz w:val="20"/>
          <w:szCs w:val="20"/>
          <w14:ligatures w14:val="standardContextual"/>
        </w:rPr>
        <w:drawing>
          <wp:anchor distT="0" distB="0" distL="114300" distR="114300" simplePos="0" relativeHeight="251662336" behindDoc="0" locked="0" layoutInCell="1" allowOverlap="1" wp14:anchorId="47B10199" wp14:editId="4FFDC5AE">
            <wp:simplePos x="0" y="0"/>
            <wp:positionH relativeFrom="column">
              <wp:posOffset>0</wp:posOffset>
            </wp:positionH>
            <wp:positionV relativeFrom="paragraph">
              <wp:posOffset>269875</wp:posOffset>
            </wp:positionV>
            <wp:extent cx="6858000" cy="6858000"/>
            <wp:effectExtent l="0" t="0" r="6350" b="6350"/>
            <wp:wrapTight wrapText="bothSides">
              <wp:wrapPolygon edited="0">
                <wp:start x="0" y="0"/>
                <wp:lineTo x="0" y="21578"/>
                <wp:lineTo x="21578" y="21578"/>
                <wp:lineTo x="21578" y="0"/>
                <wp:lineTo x="0" y="0"/>
              </wp:wrapPolygon>
            </wp:wrapTight>
            <wp:docPr id="495673991" name="Picture 1"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5673991" name="Picture 1" descr="Diagram&#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858000" cy="6858000"/>
                    </a:xfrm>
                    <a:prstGeom prst="rect">
                      <a:avLst/>
                    </a:prstGeom>
                  </pic:spPr>
                </pic:pic>
              </a:graphicData>
            </a:graphic>
            <wp14:sizeRelH relativeFrom="margin">
              <wp14:pctWidth>0</wp14:pctWidth>
            </wp14:sizeRelH>
            <wp14:sizeRelV relativeFrom="margin">
              <wp14:pctHeight>0</wp14:pctHeight>
            </wp14:sizeRelV>
          </wp:anchor>
        </w:drawing>
      </w:r>
    </w:p>
    <w:p w14:paraId="589A4079" w14:textId="5AD26BDB" w:rsidR="00401467" w:rsidRPr="00CD2448" w:rsidRDefault="00086E84" w:rsidP="00F84119">
      <w:pPr>
        <w:spacing w:after="160" w:line="278" w:lineRule="auto"/>
        <w:rPr>
          <w:rFonts w:ascii="Arial" w:hAnsi="Arial" w:cs="Arial"/>
          <w:color w:val="000000" w:themeColor="text1"/>
          <w:sz w:val="20"/>
          <w:szCs w:val="20"/>
        </w:rPr>
      </w:pPr>
      <w:bookmarkStart w:id="54" w:name="OLE_LINK59"/>
      <w:r w:rsidRPr="00CD2448">
        <w:rPr>
          <w:rFonts w:ascii="Arial" w:hAnsi="Arial" w:cs="Arial"/>
          <w:b/>
          <w:bCs/>
          <w:color w:val="000000" w:themeColor="text1"/>
          <w:sz w:val="20"/>
          <w:szCs w:val="20"/>
        </w:rPr>
        <w:t xml:space="preserve">Supplementary Figure S3. </w:t>
      </w:r>
      <w:r w:rsidR="00D62CBA" w:rsidRPr="00CD2448">
        <w:rPr>
          <w:rFonts w:ascii="Arial" w:hAnsi="Arial" w:cs="Arial"/>
          <w:b/>
          <w:bCs/>
          <w:color w:val="000000" w:themeColor="text1"/>
          <w:sz w:val="20"/>
          <w:szCs w:val="20"/>
        </w:rPr>
        <w:t>Replication</w:t>
      </w:r>
      <w:r w:rsidRPr="00CD2448">
        <w:rPr>
          <w:rFonts w:ascii="Arial" w:hAnsi="Arial" w:cs="Arial"/>
          <w:b/>
          <w:bCs/>
          <w:color w:val="000000" w:themeColor="text1"/>
          <w:sz w:val="20"/>
          <w:szCs w:val="20"/>
        </w:rPr>
        <w:t xml:space="preserve"> of </w:t>
      </w:r>
      <w:r w:rsidRPr="00CD2448">
        <w:rPr>
          <w:rFonts w:ascii="Arial" w:hAnsi="Arial" w:cs="Arial"/>
          <w:b/>
          <w:bCs/>
          <w:i/>
          <w:iCs/>
          <w:color w:val="000000" w:themeColor="text1"/>
          <w:sz w:val="20"/>
          <w:szCs w:val="20"/>
        </w:rPr>
        <w:t>SPECC1L-ADORA2A</w:t>
      </w:r>
      <w:r w:rsidRPr="00CD2448">
        <w:rPr>
          <w:rFonts w:ascii="Arial" w:hAnsi="Arial" w:cs="Arial"/>
          <w:b/>
          <w:bCs/>
          <w:color w:val="000000" w:themeColor="text1"/>
          <w:sz w:val="20"/>
          <w:szCs w:val="20"/>
        </w:rPr>
        <w:t xml:space="preserve"> read-through transcript in ketamine responders.</w:t>
      </w:r>
      <w:r w:rsidRPr="00CD2448">
        <w:rPr>
          <w:rFonts w:ascii="Arial" w:hAnsi="Arial" w:cs="Arial"/>
          <w:color w:val="000000" w:themeColor="text1"/>
          <w:sz w:val="20"/>
          <w:szCs w:val="20"/>
        </w:rPr>
        <w:t xml:space="preserve"> (</w:t>
      </w:r>
      <w:r w:rsidRPr="00CD2448">
        <w:rPr>
          <w:rFonts w:ascii="Arial" w:hAnsi="Arial" w:cs="Arial"/>
          <w:b/>
          <w:bCs/>
          <w:color w:val="000000" w:themeColor="text1"/>
          <w:sz w:val="20"/>
          <w:szCs w:val="20"/>
        </w:rPr>
        <w:t>a</w:t>
      </w:r>
      <w:r w:rsidRPr="00CD2448">
        <w:rPr>
          <w:rFonts w:ascii="Arial" w:hAnsi="Arial" w:cs="Arial"/>
          <w:color w:val="000000" w:themeColor="text1"/>
          <w:sz w:val="20"/>
          <w:szCs w:val="20"/>
        </w:rPr>
        <w:t xml:space="preserve">) Integrative Genomics Viewer (IGV) visualization confirming read-through transcription from </w:t>
      </w:r>
      <w:r w:rsidRPr="00CD2448">
        <w:rPr>
          <w:rFonts w:ascii="Arial" w:hAnsi="Arial" w:cs="Arial"/>
          <w:i/>
          <w:iCs/>
          <w:color w:val="000000" w:themeColor="text1"/>
          <w:sz w:val="20"/>
          <w:szCs w:val="20"/>
        </w:rPr>
        <w:t>SPECC1L</w:t>
      </w:r>
      <w:r w:rsidRPr="00CD2448">
        <w:rPr>
          <w:rFonts w:ascii="Arial" w:hAnsi="Arial" w:cs="Arial"/>
          <w:color w:val="000000" w:themeColor="text1"/>
          <w:sz w:val="20"/>
          <w:szCs w:val="20"/>
        </w:rPr>
        <w:t xml:space="preserve"> into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in a subset of representative samples shown to </w:t>
      </w:r>
      <w:r w:rsidR="00A73818" w:rsidRPr="00CD2448">
        <w:rPr>
          <w:rFonts w:ascii="Arial" w:hAnsi="Arial" w:cs="Arial"/>
          <w:color w:val="000000" w:themeColor="text1"/>
          <w:sz w:val="20"/>
          <w:szCs w:val="20"/>
        </w:rPr>
        <w:t xml:space="preserve">highly </w:t>
      </w:r>
      <w:r w:rsidRPr="00CD2448">
        <w:rPr>
          <w:rFonts w:ascii="Arial" w:hAnsi="Arial" w:cs="Arial"/>
          <w:color w:val="000000" w:themeColor="text1"/>
          <w:sz w:val="20"/>
          <w:szCs w:val="20"/>
        </w:rPr>
        <w:t xml:space="preserve">express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including </w:t>
      </w:r>
      <w:r w:rsidR="00A73818" w:rsidRPr="00CD2448">
        <w:rPr>
          <w:rFonts w:ascii="Arial" w:hAnsi="Arial" w:cs="Arial"/>
          <w:color w:val="000000" w:themeColor="text1"/>
          <w:sz w:val="20"/>
          <w:szCs w:val="20"/>
        </w:rPr>
        <w:t>in individuals with treatment-resistant depression (TRD) and healthy volunteers (HVs) both</w:t>
      </w:r>
      <w:r w:rsidRPr="00CD2448">
        <w:rPr>
          <w:rFonts w:ascii="Arial" w:hAnsi="Arial" w:cs="Arial"/>
          <w:color w:val="000000" w:themeColor="text1"/>
          <w:sz w:val="20"/>
          <w:szCs w:val="20"/>
        </w:rPr>
        <w:t xml:space="preserve"> pre- and post-ketamine. (</w:t>
      </w:r>
      <w:r w:rsidRPr="00CD2448">
        <w:rPr>
          <w:rFonts w:ascii="Arial" w:hAnsi="Arial" w:cs="Arial"/>
          <w:b/>
          <w:bCs/>
          <w:color w:val="000000" w:themeColor="text1"/>
          <w:sz w:val="20"/>
          <w:szCs w:val="20"/>
        </w:rPr>
        <w:t>b-c</w:t>
      </w:r>
      <w:r w:rsidRPr="00CD2448">
        <w:rPr>
          <w:rFonts w:ascii="Arial" w:hAnsi="Arial" w:cs="Arial"/>
          <w:color w:val="000000" w:themeColor="text1"/>
          <w:sz w:val="20"/>
          <w:szCs w:val="20"/>
        </w:rPr>
        <w:t xml:space="preserve">) Volcano plots showing differential gene expression between responders and non-responders at baseline </w:t>
      </w:r>
      <w:r w:rsidRPr="00CD2448">
        <w:rPr>
          <w:rFonts w:ascii="Arial" w:hAnsi="Arial" w:cs="Arial"/>
          <w:b/>
          <w:bCs/>
          <w:color w:val="000000" w:themeColor="text1"/>
          <w:sz w:val="20"/>
          <w:szCs w:val="20"/>
        </w:rPr>
        <w:t>(b)</w:t>
      </w:r>
      <w:r w:rsidRPr="00CD2448">
        <w:rPr>
          <w:rFonts w:ascii="Arial" w:hAnsi="Arial" w:cs="Arial"/>
          <w:color w:val="000000" w:themeColor="text1"/>
          <w:sz w:val="20"/>
          <w:szCs w:val="20"/>
        </w:rPr>
        <w:t xml:space="preserve"> and pre-post treatment </w:t>
      </w:r>
      <w:r w:rsidRPr="00CD2448">
        <w:rPr>
          <w:rFonts w:ascii="Arial" w:hAnsi="Arial" w:cs="Arial"/>
          <w:b/>
          <w:bCs/>
          <w:color w:val="000000" w:themeColor="text1"/>
          <w:sz w:val="20"/>
          <w:szCs w:val="20"/>
        </w:rPr>
        <w:t>(c)</w:t>
      </w:r>
      <w:r w:rsidRPr="00CD2448">
        <w:rPr>
          <w:rFonts w:ascii="Arial" w:hAnsi="Arial" w:cs="Arial"/>
          <w:color w:val="000000" w:themeColor="text1"/>
          <w:sz w:val="20"/>
          <w:szCs w:val="20"/>
        </w:rPr>
        <w:t xml:space="preserve"> using Salmon quantification.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and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are highlighted, with the fusion transcript showing nominal significance (p=0.07)</w:t>
      </w:r>
      <w:r w:rsidR="00E44BBB"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consistent with the primary analysis. (</w:t>
      </w:r>
      <w:r w:rsidRPr="00CD2448">
        <w:rPr>
          <w:rFonts w:ascii="Arial" w:hAnsi="Arial" w:cs="Arial"/>
          <w:b/>
          <w:bCs/>
          <w:color w:val="000000" w:themeColor="text1"/>
          <w:sz w:val="20"/>
          <w:szCs w:val="20"/>
        </w:rPr>
        <w:t>d</w:t>
      </w:r>
      <w:r w:rsidRPr="00CD2448">
        <w:rPr>
          <w:rFonts w:ascii="Arial" w:hAnsi="Arial" w:cs="Arial"/>
          <w:color w:val="000000" w:themeColor="text1"/>
          <w:sz w:val="20"/>
          <w:szCs w:val="20"/>
        </w:rPr>
        <w:t xml:space="preserve">) Mean effective transcript lengths demonstrating that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(70</w:t>
      </w:r>
      <w:r w:rsidR="00DD1830">
        <w:rPr>
          <w:rFonts w:ascii="Arial" w:hAnsi="Arial" w:cs="Arial"/>
          <w:color w:val="000000" w:themeColor="text1"/>
          <w:sz w:val="20"/>
          <w:szCs w:val="20"/>
        </w:rPr>
        <w:t>85</w:t>
      </w:r>
      <w:r w:rsidRPr="00CD2448">
        <w:rPr>
          <w:rFonts w:ascii="Arial" w:hAnsi="Arial" w:cs="Arial"/>
          <w:color w:val="000000" w:themeColor="text1"/>
          <w:sz w:val="20"/>
          <w:szCs w:val="20"/>
        </w:rPr>
        <w:t xml:space="preserve"> bp) </w:t>
      </w:r>
      <w:r w:rsidR="009D4E8E" w:rsidRPr="00CD2448">
        <w:rPr>
          <w:rFonts w:ascii="Arial" w:hAnsi="Arial" w:cs="Arial"/>
          <w:color w:val="000000" w:themeColor="text1"/>
          <w:sz w:val="20"/>
          <w:szCs w:val="20"/>
        </w:rPr>
        <w:t>wa</w:t>
      </w:r>
      <w:r w:rsidRPr="00CD2448">
        <w:rPr>
          <w:rFonts w:ascii="Arial" w:hAnsi="Arial" w:cs="Arial"/>
          <w:color w:val="000000" w:themeColor="text1"/>
          <w:sz w:val="20"/>
          <w:szCs w:val="20"/>
        </w:rPr>
        <w:t xml:space="preserve">s approximately </w:t>
      </w:r>
      <w:r w:rsidR="009D4E8E" w:rsidRPr="00CD2448">
        <w:rPr>
          <w:rFonts w:ascii="Arial" w:hAnsi="Arial" w:cs="Arial"/>
          <w:color w:val="000000" w:themeColor="text1"/>
          <w:sz w:val="20"/>
          <w:szCs w:val="20"/>
        </w:rPr>
        <w:t>three</w:t>
      </w:r>
      <w:r w:rsidRPr="00CD2448">
        <w:rPr>
          <w:rFonts w:ascii="Arial" w:hAnsi="Arial" w:cs="Arial"/>
          <w:color w:val="000000" w:themeColor="text1"/>
          <w:sz w:val="20"/>
          <w:szCs w:val="20"/>
        </w:rPr>
        <w:t xml:space="preserve">-fold longer than canonical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(2</w:t>
      </w:r>
      <w:r w:rsidR="00873431">
        <w:rPr>
          <w:rFonts w:ascii="Arial" w:hAnsi="Arial" w:cs="Arial"/>
          <w:color w:val="000000" w:themeColor="text1"/>
          <w:sz w:val="20"/>
          <w:szCs w:val="20"/>
        </w:rPr>
        <w:t>185</w:t>
      </w:r>
      <w:r w:rsidRPr="00CD2448">
        <w:rPr>
          <w:rFonts w:ascii="Arial" w:hAnsi="Arial" w:cs="Arial"/>
          <w:color w:val="000000" w:themeColor="text1"/>
          <w:sz w:val="20"/>
          <w:szCs w:val="20"/>
        </w:rPr>
        <w:t xml:space="preserve"> bp), characteristic of a read-through fusion event. </w:t>
      </w:r>
      <w:proofErr w:type="spellStart"/>
      <w:r w:rsidRPr="00CD2448">
        <w:rPr>
          <w:rFonts w:ascii="Arial" w:hAnsi="Arial" w:cs="Arial"/>
          <w:color w:val="000000" w:themeColor="text1"/>
          <w:sz w:val="20"/>
          <w:szCs w:val="20"/>
        </w:rPr>
        <w:t>logFC</w:t>
      </w:r>
      <w:proofErr w:type="spellEnd"/>
      <w:r w:rsidRPr="00CD2448">
        <w:rPr>
          <w:rFonts w:ascii="Arial" w:hAnsi="Arial" w:cs="Arial"/>
          <w:color w:val="000000" w:themeColor="text1"/>
          <w:sz w:val="20"/>
          <w:szCs w:val="20"/>
        </w:rPr>
        <w:t>, log2 fold change</w:t>
      </w:r>
      <w:bookmarkEnd w:id="54"/>
      <w:r w:rsidRPr="00CD2448">
        <w:rPr>
          <w:rFonts w:ascii="Arial" w:hAnsi="Arial" w:cs="Arial"/>
          <w:color w:val="000000" w:themeColor="text1"/>
          <w:sz w:val="20"/>
          <w:szCs w:val="20"/>
        </w:rPr>
        <w:t>.</w:t>
      </w:r>
    </w:p>
    <w:p w14:paraId="46E1B7C2" w14:textId="7006425B" w:rsidR="00401467" w:rsidRPr="00CD2448" w:rsidRDefault="00401467" w:rsidP="005110D5">
      <w:pPr>
        <w:spacing w:after="160" w:line="278" w:lineRule="auto"/>
        <w:jc w:val="both"/>
        <w:rPr>
          <w:rFonts w:ascii="Arial" w:hAnsi="Arial" w:cs="Arial"/>
          <w:b/>
          <w:bCs/>
          <w:color w:val="000000" w:themeColor="text1"/>
          <w:sz w:val="20"/>
          <w:szCs w:val="20"/>
          <w:highlight w:val="yellow"/>
        </w:rPr>
      </w:pPr>
      <w:r w:rsidRPr="00CD2448">
        <w:rPr>
          <w:rFonts w:ascii="Arial" w:hAnsi="Arial" w:cs="Arial"/>
          <w:noProof/>
          <w:color w:val="000000" w:themeColor="text1"/>
          <w:sz w:val="20"/>
          <w:szCs w:val="20"/>
          <w14:ligatures w14:val="standardContextual"/>
        </w:rPr>
        <w:lastRenderedPageBreak/>
        <w:drawing>
          <wp:anchor distT="0" distB="0" distL="114300" distR="114300" simplePos="0" relativeHeight="251663360" behindDoc="1" locked="0" layoutInCell="1" allowOverlap="1" wp14:anchorId="3262B8CA" wp14:editId="3AFB2C2E">
            <wp:simplePos x="0" y="0"/>
            <wp:positionH relativeFrom="column">
              <wp:posOffset>438150</wp:posOffset>
            </wp:positionH>
            <wp:positionV relativeFrom="paragraph">
              <wp:posOffset>0</wp:posOffset>
            </wp:positionV>
            <wp:extent cx="5486400" cy="7315200"/>
            <wp:effectExtent l="0" t="0" r="0" b="0"/>
            <wp:wrapTight wrapText="bothSides">
              <wp:wrapPolygon edited="0">
                <wp:start x="0" y="0"/>
                <wp:lineTo x="0" y="21563"/>
                <wp:lineTo x="21550" y="21563"/>
                <wp:lineTo x="21550" y="0"/>
                <wp:lineTo x="0" y="0"/>
              </wp:wrapPolygon>
            </wp:wrapTight>
            <wp:docPr id="1483447343" name="Picture 1" descr="Chart, box and whiske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447343" name="Picture 1" descr="Chart, box and whisker chart&#10;&#10;AI-generated content may be incorrect."/>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7315200"/>
                    </a:xfrm>
                    <a:prstGeom prst="rect">
                      <a:avLst/>
                    </a:prstGeom>
                  </pic:spPr>
                </pic:pic>
              </a:graphicData>
            </a:graphic>
            <wp14:sizeRelH relativeFrom="margin">
              <wp14:pctWidth>0</wp14:pctWidth>
            </wp14:sizeRelH>
            <wp14:sizeRelV relativeFrom="margin">
              <wp14:pctHeight>0</wp14:pctHeight>
            </wp14:sizeRelV>
          </wp:anchor>
        </w:drawing>
      </w:r>
    </w:p>
    <w:p w14:paraId="04E374CB" w14:textId="343BAA85" w:rsidR="00401467" w:rsidRPr="00CD2448" w:rsidRDefault="00401467" w:rsidP="00F84119">
      <w:pPr>
        <w:spacing w:after="160" w:line="278" w:lineRule="auto"/>
        <w:rPr>
          <w:rFonts w:ascii="Arial" w:hAnsi="Arial" w:cs="Arial"/>
          <w:b/>
          <w:bCs/>
          <w:color w:val="000000" w:themeColor="text1"/>
          <w:sz w:val="20"/>
          <w:szCs w:val="20"/>
          <w:highlight w:val="yellow"/>
        </w:rPr>
      </w:pPr>
    </w:p>
    <w:p w14:paraId="2DB151A0" w14:textId="3F44755D" w:rsidR="00086E84" w:rsidRPr="00CD2448" w:rsidRDefault="00401467" w:rsidP="00F84119">
      <w:pPr>
        <w:spacing w:after="160" w:line="278" w:lineRule="auto"/>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Figure S4. Replication of </w:t>
      </w:r>
      <w:r w:rsidRPr="00CD2448">
        <w:rPr>
          <w:rFonts w:ascii="Arial" w:hAnsi="Arial" w:cs="Arial"/>
          <w:b/>
          <w:bCs/>
          <w:i/>
          <w:iCs/>
          <w:color w:val="000000" w:themeColor="text1"/>
          <w:sz w:val="20"/>
          <w:szCs w:val="20"/>
        </w:rPr>
        <w:t>SPECC1L-ADORA2A</w:t>
      </w:r>
      <w:r w:rsidRPr="00CD2448">
        <w:rPr>
          <w:rFonts w:ascii="Arial" w:hAnsi="Arial" w:cs="Arial"/>
          <w:b/>
          <w:bCs/>
          <w:color w:val="000000" w:themeColor="text1"/>
          <w:sz w:val="20"/>
          <w:szCs w:val="20"/>
        </w:rPr>
        <w:t xml:space="preserve"> read-through transcript in post-mortem </w:t>
      </w:r>
      <w:proofErr w:type="spellStart"/>
      <w:r w:rsidRPr="00CD2448">
        <w:rPr>
          <w:rFonts w:ascii="Arial" w:hAnsi="Arial" w:cs="Arial"/>
          <w:b/>
          <w:bCs/>
          <w:color w:val="000000" w:themeColor="text1"/>
          <w:sz w:val="20"/>
          <w:szCs w:val="20"/>
        </w:rPr>
        <w:t>subgenual</w:t>
      </w:r>
      <w:proofErr w:type="spellEnd"/>
      <w:r w:rsidRPr="00CD2448">
        <w:rPr>
          <w:rFonts w:ascii="Arial" w:hAnsi="Arial" w:cs="Arial"/>
          <w:b/>
          <w:bCs/>
          <w:color w:val="000000" w:themeColor="text1"/>
          <w:sz w:val="20"/>
          <w:szCs w:val="20"/>
        </w:rPr>
        <w:t xml:space="preserve"> anterior cingulate cortex</w:t>
      </w:r>
      <w:r w:rsidR="009D4E8E" w:rsidRPr="00CD2448">
        <w:rPr>
          <w:rFonts w:ascii="Arial" w:hAnsi="Arial" w:cs="Arial"/>
          <w:b/>
          <w:bCs/>
          <w:color w:val="000000" w:themeColor="text1"/>
          <w:sz w:val="20"/>
          <w:szCs w:val="20"/>
        </w:rPr>
        <w:t xml:space="preserve"> </w:t>
      </w:r>
      <w:r w:rsidRPr="00CD2448">
        <w:rPr>
          <w:rFonts w:ascii="Arial" w:hAnsi="Arial" w:cs="Arial"/>
          <w:b/>
          <w:bCs/>
          <w:color w:val="000000" w:themeColor="text1"/>
          <w:sz w:val="20"/>
          <w:szCs w:val="20"/>
        </w:rPr>
        <w:t>(</w:t>
      </w:r>
      <w:proofErr w:type="spellStart"/>
      <w:r w:rsidRPr="00CD2448">
        <w:rPr>
          <w:rFonts w:ascii="Arial" w:hAnsi="Arial" w:cs="Arial"/>
          <w:b/>
          <w:bCs/>
          <w:color w:val="000000" w:themeColor="text1"/>
          <w:sz w:val="20"/>
          <w:szCs w:val="20"/>
        </w:rPr>
        <w:t>sgACC</w:t>
      </w:r>
      <w:proofErr w:type="spellEnd"/>
      <w:r w:rsidRPr="00CD2448">
        <w:rPr>
          <w:rFonts w:ascii="Arial" w:hAnsi="Arial" w:cs="Arial"/>
          <w:b/>
          <w:bCs/>
          <w:color w:val="000000" w:themeColor="text1"/>
          <w:sz w:val="20"/>
          <w:szCs w:val="20"/>
        </w:rPr>
        <w:t>).</w:t>
      </w:r>
      <w:r w:rsidRPr="00CD2448">
        <w:rPr>
          <w:rFonts w:ascii="Arial" w:hAnsi="Arial" w:cs="Arial"/>
          <w:color w:val="000000" w:themeColor="text1"/>
          <w:sz w:val="20"/>
          <w:szCs w:val="20"/>
        </w:rPr>
        <w:t xml:space="preserve"> (</w:t>
      </w:r>
      <w:r w:rsidRPr="00CD2448">
        <w:rPr>
          <w:rFonts w:ascii="Arial" w:hAnsi="Arial" w:cs="Arial"/>
          <w:b/>
          <w:bCs/>
          <w:color w:val="000000" w:themeColor="text1"/>
          <w:sz w:val="20"/>
          <w:szCs w:val="20"/>
        </w:rPr>
        <w:t>a</w:t>
      </w:r>
      <w:r w:rsidRPr="00CD2448">
        <w:rPr>
          <w:rFonts w:ascii="Arial" w:hAnsi="Arial" w:cs="Arial"/>
          <w:color w:val="000000" w:themeColor="text1"/>
          <w:sz w:val="20"/>
          <w:szCs w:val="20"/>
        </w:rPr>
        <w:t xml:space="preserve">) Integrative Genomics Viewer (IGV) visualization confirming read-through transcription from </w:t>
      </w:r>
      <w:r w:rsidRPr="00CD2448">
        <w:rPr>
          <w:rFonts w:ascii="Arial" w:hAnsi="Arial" w:cs="Arial"/>
          <w:i/>
          <w:iCs/>
          <w:color w:val="000000" w:themeColor="text1"/>
          <w:sz w:val="20"/>
          <w:szCs w:val="20"/>
        </w:rPr>
        <w:t>SPECC1L</w:t>
      </w:r>
      <w:r w:rsidRPr="00CD2448">
        <w:rPr>
          <w:rFonts w:ascii="Arial" w:hAnsi="Arial" w:cs="Arial"/>
          <w:color w:val="000000" w:themeColor="text1"/>
          <w:sz w:val="20"/>
          <w:szCs w:val="20"/>
        </w:rPr>
        <w:t xml:space="preserve"> into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in a subset of representative samples shown to </w:t>
      </w:r>
      <w:r w:rsidR="009D4E8E" w:rsidRPr="00CD2448">
        <w:rPr>
          <w:rFonts w:ascii="Arial" w:hAnsi="Arial" w:cs="Arial"/>
          <w:color w:val="000000" w:themeColor="text1"/>
          <w:sz w:val="20"/>
          <w:szCs w:val="20"/>
        </w:rPr>
        <w:t xml:space="preserve">highly </w:t>
      </w:r>
      <w:r w:rsidRPr="00CD2448">
        <w:rPr>
          <w:rFonts w:ascii="Arial" w:hAnsi="Arial" w:cs="Arial"/>
          <w:color w:val="000000" w:themeColor="text1"/>
          <w:sz w:val="20"/>
          <w:szCs w:val="20"/>
        </w:rPr>
        <w:t xml:space="preserve">express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including both </w:t>
      </w:r>
      <w:r w:rsidR="009D4E8E" w:rsidRPr="00CD2448">
        <w:rPr>
          <w:rFonts w:ascii="Arial" w:hAnsi="Arial" w:cs="Arial"/>
          <w:color w:val="000000" w:themeColor="text1"/>
          <w:sz w:val="20"/>
          <w:szCs w:val="20"/>
        </w:rPr>
        <w:t>individuals with major depressive disorder</w:t>
      </w:r>
      <w:r w:rsidRPr="00CD2448">
        <w:rPr>
          <w:rFonts w:ascii="Arial" w:hAnsi="Arial" w:cs="Arial"/>
          <w:color w:val="000000" w:themeColor="text1"/>
          <w:sz w:val="20"/>
          <w:szCs w:val="20"/>
        </w:rPr>
        <w:t xml:space="preserve"> (MDD) and </w:t>
      </w:r>
      <w:r w:rsidR="00B72045" w:rsidRPr="00CD2448">
        <w:rPr>
          <w:rFonts w:ascii="Arial" w:hAnsi="Arial" w:cs="Arial"/>
          <w:color w:val="000000" w:themeColor="text1"/>
          <w:sz w:val="20"/>
          <w:szCs w:val="20"/>
        </w:rPr>
        <w:t xml:space="preserve">healthy volunteers </w:t>
      </w:r>
      <w:r w:rsidRPr="00CD2448">
        <w:rPr>
          <w:rFonts w:ascii="Arial" w:hAnsi="Arial" w:cs="Arial"/>
          <w:color w:val="000000" w:themeColor="text1"/>
          <w:sz w:val="20"/>
          <w:szCs w:val="20"/>
        </w:rPr>
        <w:t>(HV</w:t>
      </w:r>
      <w:r w:rsidR="00B72045" w:rsidRPr="00CD2448">
        <w:rPr>
          <w:rFonts w:ascii="Arial" w:hAnsi="Arial" w:cs="Arial"/>
          <w:color w:val="000000" w:themeColor="text1"/>
          <w:sz w:val="20"/>
          <w:szCs w:val="20"/>
        </w:rPr>
        <w:t>s</w:t>
      </w:r>
      <w:r w:rsidRPr="00CD2448">
        <w:rPr>
          <w:rFonts w:ascii="Arial" w:hAnsi="Arial" w:cs="Arial"/>
          <w:color w:val="000000" w:themeColor="text1"/>
          <w:sz w:val="20"/>
          <w:szCs w:val="20"/>
        </w:rPr>
        <w:t>) from publicly available sequencing data (</w:t>
      </w:r>
      <w:proofErr w:type="spellStart"/>
      <w:r w:rsidRPr="00CD2448">
        <w:rPr>
          <w:rFonts w:ascii="Arial" w:hAnsi="Arial" w:cs="Arial"/>
          <w:color w:val="000000" w:themeColor="text1"/>
          <w:sz w:val="20"/>
          <w:szCs w:val="20"/>
        </w:rPr>
        <w:t>dbGAP</w:t>
      </w:r>
      <w:proofErr w:type="spellEnd"/>
      <w:r w:rsidRPr="00CD2448">
        <w:rPr>
          <w:rFonts w:ascii="Arial" w:hAnsi="Arial" w:cs="Arial"/>
          <w:color w:val="000000" w:themeColor="text1"/>
          <w:sz w:val="20"/>
          <w:szCs w:val="20"/>
        </w:rPr>
        <w:t>: phs000979.v2.p2). (</w:t>
      </w:r>
      <w:r w:rsidRPr="00CD2448">
        <w:rPr>
          <w:rFonts w:ascii="Arial" w:hAnsi="Arial" w:cs="Arial"/>
          <w:b/>
          <w:bCs/>
          <w:color w:val="000000" w:themeColor="text1"/>
          <w:sz w:val="20"/>
          <w:szCs w:val="20"/>
        </w:rPr>
        <w:t>b-c</w:t>
      </w:r>
      <w:r w:rsidRPr="00CD2448">
        <w:rPr>
          <w:rFonts w:ascii="Arial" w:hAnsi="Arial" w:cs="Arial"/>
          <w:color w:val="000000" w:themeColor="text1"/>
          <w:sz w:val="20"/>
          <w:szCs w:val="20"/>
        </w:rPr>
        <w:t xml:space="preserve">) Box plots showing differential gene expression (TPM) between MDD </w:t>
      </w:r>
      <w:r w:rsidR="00824793" w:rsidRPr="00CD2448">
        <w:rPr>
          <w:rFonts w:ascii="Arial" w:hAnsi="Arial" w:cs="Arial"/>
          <w:color w:val="000000" w:themeColor="text1"/>
          <w:sz w:val="20"/>
          <w:szCs w:val="20"/>
        </w:rPr>
        <w:t>patients and HVs</w:t>
      </w:r>
      <w:r w:rsidRPr="00CD2448">
        <w:rPr>
          <w:rFonts w:ascii="Arial" w:hAnsi="Arial" w:cs="Arial"/>
          <w:color w:val="000000" w:themeColor="text1"/>
          <w:sz w:val="20"/>
          <w:szCs w:val="20"/>
        </w:rPr>
        <w:t xml:space="preserve"> for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w:t>
      </w:r>
      <w:r w:rsidRPr="00CD2448">
        <w:rPr>
          <w:rFonts w:ascii="Arial" w:hAnsi="Arial" w:cs="Arial"/>
          <w:b/>
          <w:bCs/>
          <w:color w:val="000000" w:themeColor="text1"/>
          <w:sz w:val="20"/>
          <w:szCs w:val="20"/>
        </w:rPr>
        <w:t>(b)</w:t>
      </w:r>
      <w:r w:rsidRPr="00CD2448">
        <w:rPr>
          <w:rFonts w:ascii="Arial" w:hAnsi="Arial" w:cs="Arial"/>
          <w:color w:val="000000" w:themeColor="text1"/>
          <w:sz w:val="20"/>
          <w:szCs w:val="20"/>
        </w:rPr>
        <w:t xml:space="preserve"> and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w:t>
      </w:r>
      <w:r w:rsidRPr="00CD2448">
        <w:rPr>
          <w:rFonts w:ascii="Arial" w:hAnsi="Arial" w:cs="Arial"/>
          <w:b/>
          <w:bCs/>
          <w:color w:val="000000" w:themeColor="text1"/>
          <w:sz w:val="20"/>
          <w:szCs w:val="20"/>
        </w:rPr>
        <w:t>(c)</w:t>
      </w:r>
      <w:r w:rsidRPr="00CD2448">
        <w:rPr>
          <w:rFonts w:ascii="Arial" w:hAnsi="Arial" w:cs="Arial"/>
          <w:color w:val="000000" w:themeColor="text1"/>
          <w:sz w:val="20"/>
          <w:szCs w:val="20"/>
        </w:rPr>
        <w:t xml:space="preserve"> using </w:t>
      </w:r>
      <w:bookmarkStart w:id="55" w:name="OLE_LINK116"/>
      <w:proofErr w:type="spellStart"/>
      <w:r w:rsidRPr="00CD2448">
        <w:rPr>
          <w:rFonts w:ascii="Arial" w:hAnsi="Arial" w:cs="Arial"/>
          <w:color w:val="000000" w:themeColor="text1"/>
          <w:sz w:val="20"/>
          <w:szCs w:val="20"/>
        </w:rPr>
        <w:t>Stringtie</w:t>
      </w:r>
      <w:proofErr w:type="spellEnd"/>
      <w:r w:rsidRPr="00CD2448">
        <w:rPr>
          <w:rFonts w:ascii="Arial" w:hAnsi="Arial" w:cs="Arial"/>
          <w:color w:val="000000" w:themeColor="text1"/>
          <w:sz w:val="20"/>
          <w:szCs w:val="20"/>
        </w:rPr>
        <w:t xml:space="preserve"> quantification</w:t>
      </w:r>
      <w:bookmarkEnd w:id="55"/>
      <w:r w:rsidRPr="00CD2448">
        <w:rPr>
          <w:rFonts w:ascii="Arial" w:hAnsi="Arial" w:cs="Arial"/>
          <w:color w:val="000000" w:themeColor="text1"/>
          <w:sz w:val="20"/>
          <w:szCs w:val="20"/>
        </w:rPr>
        <w:t>. (</w:t>
      </w:r>
      <w:r w:rsidRPr="00CD2448">
        <w:rPr>
          <w:rFonts w:ascii="Arial" w:hAnsi="Arial" w:cs="Arial"/>
          <w:b/>
          <w:bCs/>
          <w:color w:val="000000" w:themeColor="text1"/>
          <w:sz w:val="20"/>
          <w:szCs w:val="20"/>
        </w:rPr>
        <w:t>d</w:t>
      </w:r>
      <w:r w:rsidRPr="00CD2448">
        <w:rPr>
          <w:rFonts w:ascii="Arial" w:hAnsi="Arial" w:cs="Arial"/>
          <w:color w:val="000000" w:themeColor="text1"/>
          <w:sz w:val="20"/>
          <w:szCs w:val="20"/>
        </w:rPr>
        <w:t xml:space="preserve">) Mean effective transcript lengths demonstrating that </w:t>
      </w:r>
      <w:r w:rsidRPr="00CD2448">
        <w:rPr>
          <w:rFonts w:ascii="Arial" w:hAnsi="Arial" w:cs="Arial"/>
          <w:i/>
          <w:iCs/>
          <w:color w:val="000000" w:themeColor="text1"/>
          <w:sz w:val="20"/>
          <w:szCs w:val="20"/>
        </w:rPr>
        <w:t>SPECC1L-ADORA2A</w:t>
      </w:r>
      <w:r w:rsidRPr="00CD2448">
        <w:rPr>
          <w:rFonts w:ascii="Arial" w:hAnsi="Arial" w:cs="Arial"/>
          <w:color w:val="000000" w:themeColor="text1"/>
          <w:sz w:val="20"/>
          <w:szCs w:val="20"/>
        </w:rPr>
        <w:t xml:space="preserve"> (6204 bp) is approximately </w:t>
      </w:r>
      <w:r w:rsidR="0055538D" w:rsidRPr="00CD2448">
        <w:rPr>
          <w:rFonts w:ascii="Arial" w:hAnsi="Arial" w:cs="Arial"/>
          <w:color w:val="000000" w:themeColor="text1"/>
          <w:sz w:val="20"/>
          <w:szCs w:val="20"/>
        </w:rPr>
        <w:t>three</w:t>
      </w:r>
      <w:r w:rsidRPr="00CD2448">
        <w:rPr>
          <w:rFonts w:ascii="Arial" w:hAnsi="Arial" w:cs="Arial"/>
          <w:color w:val="000000" w:themeColor="text1"/>
          <w:sz w:val="20"/>
          <w:szCs w:val="20"/>
        </w:rPr>
        <w:t xml:space="preserve">-fold longer than canonical </w:t>
      </w:r>
      <w:r w:rsidRPr="00CD2448">
        <w:rPr>
          <w:rFonts w:ascii="Arial" w:hAnsi="Arial" w:cs="Arial"/>
          <w:i/>
          <w:iCs/>
          <w:color w:val="000000" w:themeColor="text1"/>
          <w:sz w:val="20"/>
          <w:szCs w:val="20"/>
        </w:rPr>
        <w:t>ADORA2A</w:t>
      </w:r>
      <w:r w:rsidRPr="00CD2448">
        <w:rPr>
          <w:rFonts w:ascii="Arial" w:hAnsi="Arial" w:cs="Arial"/>
          <w:color w:val="000000" w:themeColor="text1"/>
          <w:sz w:val="20"/>
          <w:szCs w:val="20"/>
        </w:rPr>
        <w:t xml:space="preserve"> (1189 bp), characteristic of a read-through fusion event.</w:t>
      </w:r>
      <w:r w:rsidR="00086E84" w:rsidRPr="00CD2448">
        <w:rPr>
          <w:rFonts w:ascii="Arial" w:hAnsi="Arial" w:cs="Arial"/>
          <w:color w:val="000000" w:themeColor="text1"/>
          <w:sz w:val="20"/>
          <w:szCs w:val="20"/>
        </w:rPr>
        <w:br w:type="page"/>
      </w:r>
    </w:p>
    <w:p w14:paraId="2E42FC06" w14:textId="298567D4" w:rsidR="00A87FDC" w:rsidRPr="00CD2448" w:rsidRDefault="00A87FDC" w:rsidP="007F3F8E">
      <w:pPr>
        <w:jc w:val="both"/>
        <w:rPr>
          <w:rFonts w:ascii="Arial" w:hAnsi="Arial" w:cs="Arial"/>
          <w:color w:val="000000" w:themeColor="text1"/>
          <w:sz w:val="20"/>
          <w:szCs w:val="20"/>
        </w:rPr>
      </w:pPr>
    </w:p>
    <w:p w14:paraId="23270077" w14:textId="3515036D" w:rsidR="00A87FDC" w:rsidRPr="00CD2448" w:rsidRDefault="00A87FDC" w:rsidP="007F3F8E">
      <w:pPr>
        <w:jc w:val="both"/>
        <w:rPr>
          <w:rFonts w:ascii="Arial" w:hAnsi="Arial" w:cs="Arial"/>
          <w:color w:val="000000" w:themeColor="text1"/>
          <w:sz w:val="20"/>
          <w:szCs w:val="20"/>
        </w:rPr>
      </w:pPr>
    </w:p>
    <w:p w14:paraId="23D0B919" w14:textId="77777777" w:rsidR="00A87FDC" w:rsidRPr="00CD2448" w:rsidRDefault="00A87FDC" w:rsidP="007F3F8E">
      <w:pPr>
        <w:jc w:val="both"/>
        <w:rPr>
          <w:rFonts w:ascii="Arial" w:hAnsi="Arial" w:cs="Arial"/>
          <w:color w:val="000000" w:themeColor="text1"/>
          <w:sz w:val="20"/>
          <w:szCs w:val="20"/>
        </w:rPr>
      </w:pPr>
    </w:p>
    <w:p w14:paraId="11AE7CC3" w14:textId="04EE7A89" w:rsidR="00442D08" w:rsidRPr="00CD2448" w:rsidRDefault="00442D08" w:rsidP="007F3F8E">
      <w:pPr>
        <w:jc w:val="both"/>
        <w:rPr>
          <w:rFonts w:ascii="Arial" w:hAnsi="Arial" w:cs="Arial"/>
          <w:b/>
          <w:bCs/>
          <w:color w:val="000000" w:themeColor="text1"/>
          <w:sz w:val="22"/>
          <w:szCs w:val="22"/>
        </w:rPr>
      </w:pPr>
    </w:p>
    <w:p w14:paraId="1445B66F" w14:textId="1E4CF521" w:rsidR="006E0A9A" w:rsidRPr="00CD2448" w:rsidRDefault="00EE0741" w:rsidP="00F84119">
      <w:pPr>
        <w:spacing w:line="278" w:lineRule="auto"/>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Figure </w:t>
      </w:r>
      <w:r w:rsidRPr="00CD2448">
        <w:rPr>
          <w:rFonts w:ascii="Arial" w:hAnsi="Arial" w:cs="Arial"/>
          <w:b/>
          <w:bCs/>
          <w:noProof/>
          <w:color w:val="000000" w:themeColor="text1"/>
          <w:sz w:val="20"/>
          <w:szCs w:val="20"/>
          <w14:ligatures w14:val="standardContextual"/>
        </w:rPr>
        <w:drawing>
          <wp:anchor distT="0" distB="0" distL="114300" distR="114300" simplePos="0" relativeHeight="251661312" behindDoc="1" locked="0" layoutInCell="1" allowOverlap="1" wp14:anchorId="31C252ED" wp14:editId="0452A665">
            <wp:simplePos x="0" y="0"/>
            <wp:positionH relativeFrom="column">
              <wp:posOffset>28575</wp:posOffset>
            </wp:positionH>
            <wp:positionV relativeFrom="paragraph">
              <wp:posOffset>1270</wp:posOffset>
            </wp:positionV>
            <wp:extent cx="6858000" cy="4572000"/>
            <wp:effectExtent l="0" t="0" r="0" b="0"/>
            <wp:wrapTight wrapText="bothSides">
              <wp:wrapPolygon edited="0">
                <wp:start x="0" y="0"/>
                <wp:lineTo x="0" y="21540"/>
                <wp:lineTo x="21560" y="21540"/>
                <wp:lineTo x="21560" y="0"/>
                <wp:lineTo x="0" y="0"/>
              </wp:wrapPolygon>
            </wp:wrapTight>
            <wp:docPr id="1619065719" name="Picture 1" descr="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9065719" name="Picture 1" descr="Chart&#10;&#10;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858000" cy="4572000"/>
                    </a:xfrm>
                    <a:prstGeom prst="rect">
                      <a:avLst/>
                    </a:prstGeom>
                  </pic:spPr>
                </pic:pic>
              </a:graphicData>
            </a:graphic>
          </wp:anchor>
        </w:drawing>
      </w:r>
      <w:r w:rsidR="00BC5615" w:rsidRPr="00CD2448">
        <w:rPr>
          <w:rFonts w:ascii="Arial" w:hAnsi="Arial" w:cs="Arial"/>
          <w:b/>
          <w:bCs/>
          <w:noProof/>
          <w:color w:val="000000" w:themeColor="text1"/>
          <w:sz w:val="20"/>
          <w:szCs w:val="20"/>
          <w14:ligatures w14:val="standardContextual"/>
        </w:rPr>
        <w:t>S5</w:t>
      </w:r>
      <w:r w:rsidR="00BF40D9"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Volcano plots comparing </w:t>
      </w:r>
      <w:r w:rsidR="006E757D" w:rsidRPr="00CD2448">
        <w:rPr>
          <w:rFonts w:ascii="Arial" w:hAnsi="Arial" w:cs="Arial"/>
          <w:b/>
          <w:bCs/>
          <w:color w:val="000000" w:themeColor="text1"/>
          <w:sz w:val="20"/>
          <w:szCs w:val="20"/>
        </w:rPr>
        <w:t>natural killer T-cell (</w:t>
      </w:r>
      <w:r w:rsidRPr="00CD2448">
        <w:rPr>
          <w:rFonts w:ascii="Arial" w:hAnsi="Arial" w:cs="Arial"/>
          <w:b/>
          <w:bCs/>
          <w:color w:val="000000" w:themeColor="text1"/>
          <w:sz w:val="20"/>
          <w:szCs w:val="20"/>
        </w:rPr>
        <w:t>NKT</w:t>
      </w:r>
      <w:r w:rsidR="006E757D"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outlier patients (n=2) versus remaining patients across deconvolution and </w:t>
      </w:r>
      <w:r w:rsidR="0035753A" w:rsidRPr="00CD2448">
        <w:rPr>
          <w:rFonts w:ascii="Arial" w:hAnsi="Arial" w:cs="Arial"/>
          <w:b/>
          <w:bCs/>
          <w:color w:val="000000" w:themeColor="text1"/>
          <w:sz w:val="20"/>
          <w:szCs w:val="20"/>
        </w:rPr>
        <w:t>complete blood count (</w:t>
      </w:r>
      <w:r w:rsidRPr="00CD2448">
        <w:rPr>
          <w:rFonts w:ascii="Arial" w:hAnsi="Arial" w:cs="Arial"/>
          <w:b/>
          <w:bCs/>
          <w:color w:val="000000" w:themeColor="text1"/>
          <w:sz w:val="20"/>
          <w:szCs w:val="20"/>
        </w:rPr>
        <w:t>CBC</w:t>
      </w:r>
      <w:r w:rsidR="0035753A"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metrics</w:t>
      </w:r>
      <w:r w:rsidRPr="00CD2448">
        <w:rPr>
          <w:rFonts w:ascii="Arial" w:hAnsi="Arial" w:cs="Arial"/>
          <w:color w:val="000000" w:themeColor="text1"/>
          <w:sz w:val="20"/>
          <w:szCs w:val="20"/>
        </w:rPr>
        <w:t xml:space="preserve">. Left panel shows deconvolution-derived cell type proportions; right panel shows </w:t>
      </w:r>
      <w:r w:rsidR="009C4817" w:rsidRPr="00CD2448">
        <w:rPr>
          <w:rFonts w:ascii="Arial" w:hAnsi="Arial" w:cs="Arial"/>
          <w:color w:val="000000" w:themeColor="text1"/>
          <w:sz w:val="20"/>
          <w:szCs w:val="20"/>
        </w:rPr>
        <w:t>CBC</w:t>
      </w:r>
      <w:r w:rsidRPr="00CD2448">
        <w:rPr>
          <w:rFonts w:ascii="Arial" w:hAnsi="Arial" w:cs="Arial"/>
          <w:color w:val="000000" w:themeColor="text1"/>
          <w:sz w:val="20"/>
          <w:szCs w:val="20"/>
        </w:rPr>
        <w:t xml:space="preserve"> parameters. The two patients identified as NKT outliers demonstrated values within the normal range for most measured parameters, with notable differences primarily in platelet count and select immune cell populations (</w:t>
      </w:r>
      <w:r w:rsidR="00816BFA" w:rsidRPr="00CD2448">
        <w:rPr>
          <w:rFonts w:ascii="Arial" w:hAnsi="Arial" w:cs="Arial"/>
          <w:color w:val="000000" w:themeColor="text1"/>
          <w:sz w:val="20"/>
          <w:szCs w:val="20"/>
        </w:rPr>
        <w:t>B-cell</w:t>
      </w:r>
      <w:r w:rsidRPr="00CD2448">
        <w:rPr>
          <w:rFonts w:ascii="Arial" w:hAnsi="Arial" w:cs="Arial"/>
          <w:color w:val="000000" w:themeColor="text1"/>
          <w:sz w:val="20"/>
          <w:szCs w:val="20"/>
        </w:rPr>
        <w:t>s, common lymphoid progenitors, and CD4+ memory T</w:t>
      </w:r>
      <w:r w:rsidR="009C4817" w:rsidRPr="00CD2448">
        <w:rPr>
          <w:rFonts w:ascii="Arial" w:hAnsi="Arial" w:cs="Arial"/>
          <w:color w:val="000000" w:themeColor="text1"/>
          <w:sz w:val="20"/>
          <w:szCs w:val="20"/>
        </w:rPr>
        <w:t>-</w:t>
      </w:r>
      <w:r w:rsidRPr="00CD2448">
        <w:rPr>
          <w:rFonts w:ascii="Arial" w:hAnsi="Arial" w:cs="Arial"/>
          <w:color w:val="000000" w:themeColor="text1"/>
          <w:sz w:val="20"/>
          <w:szCs w:val="20"/>
        </w:rPr>
        <w:t>cells only). The limited scope of differences suggests that excluding these patients' deconvolution data based solely on elevated NKT cell proportions would not be justified, as their overall hematologic and immunologic profiles remain largely consistent with the broader patient cohort.</w:t>
      </w:r>
      <w:r w:rsidR="006E0A9A" w:rsidRPr="00CD2448">
        <w:rPr>
          <w:rFonts w:ascii="Arial" w:hAnsi="Arial" w:cs="Arial"/>
          <w:color w:val="000000" w:themeColor="text1"/>
          <w:sz w:val="20"/>
          <w:szCs w:val="20"/>
        </w:rPr>
        <w:br w:type="page"/>
      </w:r>
    </w:p>
    <w:p w14:paraId="446BFF9A" w14:textId="44B8ABF1" w:rsidR="00915366" w:rsidRPr="00CD2448" w:rsidRDefault="009B7017" w:rsidP="007F3F8E">
      <w:pPr>
        <w:jc w:val="both"/>
        <w:rPr>
          <w:rFonts w:ascii="Arial" w:hAnsi="Arial" w:cs="Arial"/>
          <w:color w:val="000000" w:themeColor="text1"/>
          <w:sz w:val="22"/>
          <w:szCs w:val="22"/>
        </w:rPr>
      </w:pPr>
      <w:r w:rsidRPr="00CD2448">
        <w:rPr>
          <w:rFonts w:ascii="Arial" w:hAnsi="Arial" w:cs="Arial"/>
          <w:noProof/>
          <w:color w:val="000000" w:themeColor="text1"/>
          <w:sz w:val="22"/>
          <w:szCs w:val="22"/>
        </w:rPr>
        <w:lastRenderedPageBreak/>
        <w:drawing>
          <wp:anchor distT="0" distB="0" distL="114300" distR="114300" simplePos="0" relativeHeight="251660288" behindDoc="1" locked="0" layoutInCell="1" allowOverlap="1" wp14:anchorId="15155944" wp14:editId="4DDA287A">
            <wp:simplePos x="0" y="0"/>
            <wp:positionH relativeFrom="column">
              <wp:posOffset>-258097</wp:posOffset>
            </wp:positionH>
            <wp:positionV relativeFrom="paragraph">
              <wp:posOffset>176530</wp:posOffset>
            </wp:positionV>
            <wp:extent cx="7308850" cy="5220335"/>
            <wp:effectExtent l="0" t="0" r="6350" b="0"/>
            <wp:wrapTight wrapText="bothSides">
              <wp:wrapPolygon edited="0">
                <wp:start x="0" y="0"/>
                <wp:lineTo x="0" y="21545"/>
                <wp:lineTo x="21581" y="21545"/>
                <wp:lineTo x="21581" y="0"/>
                <wp:lineTo x="0" y="0"/>
              </wp:wrapPolygon>
            </wp:wrapTight>
            <wp:docPr id="10133596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359634" nam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308850" cy="5220335"/>
                    </a:xfrm>
                    <a:prstGeom prst="rect">
                      <a:avLst/>
                    </a:prstGeom>
                  </pic:spPr>
                </pic:pic>
              </a:graphicData>
            </a:graphic>
            <wp14:sizeRelH relativeFrom="page">
              <wp14:pctWidth>0</wp14:pctWidth>
            </wp14:sizeRelH>
            <wp14:sizeRelV relativeFrom="page">
              <wp14:pctHeight>0</wp14:pctHeight>
            </wp14:sizeRelV>
          </wp:anchor>
        </w:drawing>
      </w:r>
    </w:p>
    <w:p w14:paraId="7E99F4F3" w14:textId="7ADB28C9" w:rsidR="00442D08" w:rsidRPr="00CD2448" w:rsidRDefault="00442D08" w:rsidP="007F3F8E">
      <w:pPr>
        <w:jc w:val="both"/>
        <w:rPr>
          <w:rFonts w:ascii="Arial" w:hAnsi="Arial" w:cs="Arial"/>
          <w:color w:val="000000" w:themeColor="text1"/>
          <w:sz w:val="22"/>
          <w:szCs w:val="22"/>
        </w:rPr>
      </w:pPr>
    </w:p>
    <w:p w14:paraId="7CF099CE" w14:textId="2B453743" w:rsidR="008C2CA4" w:rsidRPr="00CD2448" w:rsidRDefault="0073520C" w:rsidP="00F84119">
      <w:pPr>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w:t>
      </w:r>
      <w:r w:rsidR="008C2CA4" w:rsidRPr="00CD2448">
        <w:rPr>
          <w:rFonts w:ascii="Arial" w:hAnsi="Arial" w:cs="Arial"/>
          <w:b/>
          <w:bCs/>
          <w:color w:val="000000" w:themeColor="text1"/>
          <w:sz w:val="20"/>
          <w:szCs w:val="20"/>
        </w:rPr>
        <w:t xml:space="preserve">Figure </w:t>
      </w:r>
      <w:r w:rsidR="00924EBA" w:rsidRPr="00CD2448">
        <w:rPr>
          <w:rFonts w:ascii="Arial" w:hAnsi="Arial" w:cs="Arial"/>
          <w:b/>
          <w:bCs/>
          <w:color w:val="000000" w:themeColor="text1"/>
          <w:sz w:val="20"/>
          <w:szCs w:val="20"/>
        </w:rPr>
        <w:t>S</w:t>
      </w:r>
      <w:r w:rsidR="00401467" w:rsidRPr="00CD2448">
        <w:rPr>
          <w:rFonts w:ascii="Arial" w:hAnsi="Arial" w:cs="Arial"/>
          <w:b/>
          <w:bCs/>
          <w:color w:val="000000" w:themeColor="text1"/>
          <w:sz w:val="20"/>
          <w:szCs w:val="20"/>
        </w:rPr>
        <w:t>6</w:t>
      </w:r>
      <w:r w:rsidR="008C2CA4" w:rsidRPr="00CD2448">
        <w:rPr>
          <w:rFonts w:ascii="Arial" w:hAnsi="Arial" w:cs="Arial"/>
          <w:b/>
          <w:bCs/>
          <w:color w:val="000000" w:themeColor="text1"/>
          <w:sz w:val="20"/>
          <w:szCs w:val="20"/>
        </w:rPr>
        <w:t xml:space="preserve">. Predicted changes in cell-type specific functional activity from single-cell deconvolution of bulk transcriptomes using </w:t>
      </w:r>
      <w:proofErr w:type="spellStart"/>
      <w:r w:rsidR="008C2CA4" w:rsidRPr="00CD2448">
        <w:rPr>
          <w:rFonts w:ascii="Arial" w:hAnsi="Arial" w:cs="Arial"/>
          <w:b/>
          <w:bCs/>
          <w:i/>
          <w:iCs/>
          <w:color w:val="000000" w:themeColor="text1"/>
          <w:sz w:val="20"/>
          <w:szCs w:val="20"/>
        </w:rPr>
        <w:t>BayesPrism</w:t>
      </w:r>
      <w:proofErr w:type="spellEnd"/>
      <w:r w:rsidR="008C2CA4" w:rsidRPr="00CD2448">
        <w:rPr>
          <w:rFonts w:ascii="Arial" w:hAnsi="Arial" w:cs="Arial"/>
          <w:b/>
          <w:bCs/>
          <w:color w:val="000000" w:themeColor="text1"/>
          <w:sz w:val="20"/>
          <w:szCs w:val="20"/>
        </w:rPr>
        <w:t xml:space="preserve"> and GO Molecular Function enrichment. </w:t>
      </w:r>
      <w:proofErr w:type="spellStart"/>
      <w:r w:rsidR="008C2CA4" w:rsidRPr="00CD2448">
        <w:rPr>
          <w:rFonts w:ascii="Arial" w:hAnsi="Arial" w:cs="Arial"/>
          <w:i/>
          <w:iCs/>
          <w:color w:val="000000" w:themeColor="text1"/>
          <w:sz w:val="20"/>
          <w:szCs w:val="20"/>
        </w:rPr>
        <w:t>BayesPrism</w:t>
      </w:r>
      <w:proofErr w:type="spellEnd"/>
      <w:r w:rsidR="008C2CA4" w:rsidRPr="00CD2448">
        <w:rPr>
          <w:rFonts w:ascii="Arial" w:hAnsi="Arial" w:cs="Arial"/>
          <w:i/>
          <w:iCs/>
          <w:color w:val="000000" w:themeColor="text1"/>
          <w:sz w:val="20"/>
          <w:szCs w:val="20"/>
        </w:rPr>
        <w:t xml:space="preserve"> </w:t>
      </w:r>
      <w:r w:rsidR="008C2CA4" w:rsidRPr="00CD2448">
        <w:rPr>
          <w:rFonts w:ascii="Arial" w:hAnsi="Arial" w:cs="Arial"/>
          <w:color w:val="000000" w:themeColor="text1"/>
          <w:sz w:val="20"/>
          <w:szCs w:val="20"/>
        </w:rPr>
        <w:t xml:space="preserve">deconvolution was performed using a single-cell reference dataset </w:t>
      </w:r>
      <w:r w:rsidR="0028189E" w:rsidRPr="00CD2448">
        <w:rPr>
          <w:rFonts w:ascii="Arial" w:hAnsi="Arial" w:cs="Arial"/>
          <w:color w:val="000000" w:themeColor="text1"/>
          <w:sz w:val="20"/>
          <w:szCs w:val="20"/>
        </w:rPr>
        <w:t xml:space="preserve">obtained </w:t>
      </w:r>
      <w:r w:rsidR="008C2CA4" w:rsidRPr="00CD2448">
        <w:rPr>
          <w:rFonts w:ascii="Arial" w:hAnsi="Arial" w:cs="Arial"/>
          <w:color w:val="000000" w:themeColor="text1"/>
          <w:sz w:val="20"/>
          <w:szCs w:val="20"/>
        </w:rPr>
        <w:t xml:space="preserve">from Hao </w:t>
      </w:r>
      <w:r w:rsidR="0028189E" w:rsidRPr="00CD2448">
        <w:rPr>
          <w:rFonts w:ascii="Arial" w:hAnsi="Arial" w:cs="Arial"/>
          <w:color w:val="000000" w:themeColor="text1"/>
          <w:sz w:val="20"/>
          <w:szCs w:val="20"/>
        </w:rPr>
        <w:t>and colleagues</w:t>
      </w:r>
      <w:r w:rsidR="008C2CA4" w:rsidRPr="00CD2448">
        <w:rPr>
          <w:rFonts w:ascii="Arial" w:hAnsi="Arial" w:cs="Arial"/>
          <w:color w:val="000000" w:themeColor="text1"/>
          <w:sz w:val="20"/>
          <w:szCs w:val="20"/>
        </w:rPr>
        <w:t xml:space="preserve"> </w:t>
      </w:r>
      <w:r w:rsidR="00C770C0" w:rsidRPr="00CD2448">
        <w:rPr>
          <w:rFonts w:ascii="Arial" w:eastAsiaTheme="minorHAnsi" w:hAnsi="Arial" w:cs="Arial"/>
          <w:color w:val="000000" w:themeColor="text1"/>
          <w:sz w:val="20"/>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0"/>
          <w14:ligatures w14:val="standardContextual"/>
        </w:rPr>
        <w:instrText xml:space="preserve"> ADDIN EN.CITE </w:instrText>
      </w:r>
      <w:r w:rsidR="008D0B4D" w:rsidRPr="00CD2448">
        <w:rPr>
          <w:rFonts w:ascii="Arial" w:eastAsiaTheme="minorHAnsi" w:hAnsi="Arial" w:cs="Arial"/>
          <w:color w:val="000000" w:themeColor="text1"/>
          <w:sz w:val="20"/>
          <w14:ligatures w14:val="standardContextual"/>
        </w:rPr>
        <w:fldChar w:fldCharType="begin">
          <w:fldData xml:space="preserve">PEVuZE5vdGU+PENpdGUgRXhjbHVkZVllYXI9IjEiPjxBdXRob3I+SGFvPC9BdXRob3I+PFllYXI+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</w:fldData>
        </w:fldChar>
      </w:r>
      <w:r w:rsidR="008D0B4D" w:rsidRPr="00CD2448">
        <w:rPr>
          <w:rFonts w:ascii="Arial" w:eastAsiaTheme="minorHAnsi" w:hAnsi="Arial" w:cs="Arial"/>
          <w:color w:val="000000" w:themeColor="text1"/>
          <w:sz w:val="20"/>
          <w14:ligatures w14:val="standardContextual"/>
        </w:rPr>
        <w:instrText xml:space="preserve"> ADDIN EN.CITE.DATA </w:instrText>
      </w:r>
      <w:r w:rsidR="008D0B4D" w:rsidRPr="00CD2448">
        <w:rPr>
          <w:rFonts w:ascii="Arial" w:eastAsiaTheme="minorHAnsi" w:hAnsi="Arial" w:cs="Arial"/>
          <w:color w:val="000000" w:themeColor="text1"/>
          <w:sz w:val="20"/>
          <w14:ligatures w14:val="standardContextual"/>
        </w:rPr>
      </w:r>
      <w:r w:rsidR="008D0B4D" w:rsidRPr="00CD2448">
        <w:rPr>
          <w:rFonts w:ascii="Arial" w:eastAsiaTheme="minorHAnsi" w:hAnsi="Arial" w:cs="Arial"/>
          <w:color w:val="000000" w:themeColor="text1"/>
          <w:sz w:val="20"/>
          <w14:ligatures w14:val="standardContextual"/>
        </w:rPr>
        <w:fldChar w:fldCharType="end"/>
      </w:r>
      <w:r w:rsidR="00C770C0" w:rsidRPr="00CD2448">
        <w:rPr>
          <w:rFonts w:ascii="Arial" w:eastAsiaTheme="minorHAnsi" w:hAnsi="Arial" w:cs="Arial"/>
          <w:color w:val="000000" w:themeColor="text1"/>
          <w:sz w:val="20"/>
          <w14:ligatures w14:val="standardContextual"/>
        </w:rPr>
      </w:r>
      <w:r w:rsidR="00C770C0" w:rsidRPr="00CD2448">
        <w:rPr>
          <w:rFonts w:ascii="Arial" w:eastAsiaTheme="minorHAnsi" w:hAnsi="Arial" w:cs="Arial"/>
          <w:color w:val="000000" w:themeColor="text1"/>
          <w:sz w:val="20"/>
          <w14:ligatures w14:val="standardContextual"/>
        </w:rPr>
        <w:fldChar w:fldCharType="separate"/>
      </w:r>
      <w:r w:rsidR="008D0B4D" w:rsidRPr="00CD2448">
        <w:rPr>
          <w:rFonts w:ascii="Arial" w:eastAsiaTheme="minorHAnsi" w:hAnsi="Arial" w:cs="Arial"/>
          <w:noProof/>
          <w:color w:val="000000" w:themeColor="text1"/>
          <w:sz w:val="20"/>
          <w14:ligatures w14:val="standardContextual"/>
        </w:rPr>
        <w:t>[21]</w:t>
      </w:r>
      <w:r w:rsidR="00C770C0" w:rsidRPr="00CD2448">
        <w:rPr>
          <w:rFonts w:ascii="Arial" w:eastAsiaTheme="minorHAnsi" w:hAnsi="Arial" w:cs="Arial"/>
          <w:color w:val="000000" w:themeColor="text1"/>
          <w:sz w:val="20"/>
          <w14:ligatures w14:val="standardContextual"/>
        </w:rPr>
        <w:fldChar w:fldCharType="end"/>
      </w:r>
      <w:r w:rsidR="008C2CA4" w:rsidRPr="00CD2448">
        <w:rPr>
          <w:rFonts w:ascii="Arial" w:hAnsi="Arial" w:cs="Arial"/>
          <w:color w:val="000000" w:themeColor="text1"/>
          <w:sz w:val="20"/>
          <w:szCs w:val="20"/>
        </w:rPr>
        <w:t>, which include</w:t>
      </w:r>
      <w:r w:rsidR="00ED0BEE" w:rsidRPr="00CD2448">
        <w:rPr>
          <w:rFonts w:ascii="Arial" w:hAnsi="Arial" w:cs="Arial"/>
          <w:color w:val="000000" w:themeColor="text1"/>
          <w:sz w:val="20"/>
          <w:szCs w:val="20"/>
        </w:rPr>
        <w:t>d</w:t>
      </w:r>
      <w:r w:rsidR="008C2CA4" w:rsidRPr="00CD2448">
        <w:rPr>
          <w:rFonts w:ascii="Arial" w:hAnsi="Arial" w:cs="Arial"/>
          <w:color w:val="000000" w:themeColor="text1"/>
          <w:sz w:val="20"/>
          <w:szCs w:val="20"/>
        </w:rPr>
        <w:t xml:space="preserve"> 161,764 immune cells across 57 subpopulations from eight healthy donors. After filtering for subtypes with sufficient representation, 48 cell types were used. Gene set enrichment analysis was performed using zenith with GO Molecular Function terms, applied to cell-type</w:t>
      </w:r>
      <w:r w:rsidR="00ED0BEE"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specific model coefficients. Cell types were collapsed to include only those with at least one significantly enriched gene set (</w:t>
      </w:r>
      <w:r w:rsidR="00ED0BEE" w:rsidRPr="00CD2448">
        <w:rPr>
          <w:rFonts w:ascii="Arial" w:hAnsi="Arial" w:cs="Arial"/>
          <w:color w:val="000000" w:themeColor="text1"/>
          <w:sz w:val="20"/>
          <w:szCs w:val="20"/>
        </w:rPr>
        <w:t>false discovery rate (</w:t>
      </w:r>
      <w:r w:rsidR="008C2CA4" w:rsidRPr="00CD2448">
        <w:rPr>
          <w:rFonts w:ascii="Arial" w:hAnsi="Arial" w:cs="Arial"/>
          <w:color w:val="000000" w:themeColor="text1"/>
          <w:sz w:val="20"/>
          <w:szCs w:val="20"/>
        </w:rPr>
        <w:t>FDR</w:t>
      </w:r>
      <w:r w:rsidR="00ED0BEE"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 xml:space="preserve"> &lt; 0.05).</w:t>
      </w:r>
      <w:r w:rsidR="00B83542" w:rsidRPr="00CD2448">
        <w:rPr>
          <w:rFonts w:ascii="Arial" w:hAnsi="Arial" w:cs="Arial"/>
          <w:color w:val="000000" w:themeColor="text1"/>
          <w:sz w:val="20"/>
          <w:szCs w:val="20"/>
        </w:rPr>
        <w:t xml:space="preserve"> </w:t>
      </w:r>
      <w:r w:rsidR="008C2CA4" w:rsidRPr="00CD2448">
        <w:rPr>
          <w:rFonts w:ascii="Arial" w:hAnsi="Arial" w:cs="Arial"/>
          <w:b/>
          <w:bCs/>
          <w:color w:val="000000" w:themeColor="text1"/>
          <w:sz w:val="20"/>
          <w:szCs w:val="20"/>
        </w:rPr>
        <w:t>(a)</w:t>
      </w:r>
      <w:r w:rsidR="008C2CA4" w:rsidRPr="00CD2448">
        <w:rPr>
          <w:rFonts w:ascii="Arial" w:hAnsi="Arial" w:cs="Arial"/>
          <w:color w:val="000000" w:themeColor="text1"/>
          <w:sz w:val="20"/>
          <w:szCs w:val="20"/>
        </w:rPr>
        <w:t xml:space="preserve"> At baseline, </w:t>
      </w:r>
      <w:r w:rsidR="00816BFA" w:rsidRPr="00CD2448">
        <w:rPr>
          <w:rFonts w:ascii="Arial" w:hAnsi="Arial" w:cs="Arial"/>
          <w:color w:val="000000" w:themeColor="text1"/>
          <w:sz w:val="20"/>
          <w:szCs w:val="20"/>
        </w:rPr>
        <w:t>B-cell</w:t>
      </w:r>
      <w:r w:rsidR="008C2CA4" w:rsidRPr="00CD2448">
        <w:rPr>
          <w:rFonts w:ascii="Arial" w:hAnsi="Arial" w:cs="Arial"/>
          <w:color w:val="000000" w:themeColor="text1"/>
          <w:sz w:val="20"/>
          <w:szCs w:val="20"/>
        </w:rPr>
        <w:t xml:space="preserve"> subsets were broadly enriched for upregulated functions, while </w:t>
      </w:r>
      <w:r w:rsidR="00ED0BEE" w:rsidRPr="00CD2448">
        <w:rPr>
          <w:rFonts w:ascii="Arial" w:hAnsi="Arial" w:cs="Arial"/>
          <w:color w:val="000000" w:themeColor="text1"/>
          <w:sz w:val="20"/>
          <w:szCs w:val="20"/>
        </w:rPr>
        <w:t>natural killer</w:t>
      </w:r>
      <w:r w:rsidR="0061656E" w:rsidRPr="00CD2448">
        <w:rPr>
          <w:rFonts w:ascii="Arial" w:hAnsi="Arial" w:cs="Arial"/>
          <w:color w:val="000000" w:themeColor="text1"/>
          <w:sz w:val="20"/>
          <w:szCs w:val="20"/>
        </w:rPr>
        <w:t xml:space="preserve"> cell</w:t>
      </w:r>
      <w:r w:rsidR="00ED0BEE" w:rsidRPr="00CD2448">
        <w:rPr>
          <w:rFonts w:ascii="Arial" w:hAnsi="Arial" w:cs="Arial"/>
          <w:color w:val="000000" w:themeColor="text1"/>
          <w:sz w:val="20"/>
          <w:szCs w:val="20"/>
        </w:rPr>
        <w:t xml:space="preserve"> (</w:t>
      </w:r>
      <w:r w:rsidR="008C2CA4" w:rsidRPr="00CD2448">
        <w:rPr>
          <w:rFonts w:ascii="Arial" w:hAnsi="Arial" w:cs="Arial"/>
          <w:color w:val="000000" w:themeColor="text1"/>
          <w:sz w:val="20"/>
          <w:szCs w:val="20"/>
        </w:rPr>
        <w:t>NK</w:t>
      </w:r>
      <w:r w:rsidR="00ED0BEE"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 xml:space="preserve"> subsets—especially NK_3, a canonical </w:t>
      </w:r>
      <w:r w:rsidR="005736F6" w:rsidRPr="00CD2448">
        <w:rPr>
          <w:rFonts w:ascii="Arial" w:hAnsi="Arial" w:cs="Arial"/>
          <w:color w:val="000000" w:themeColor="text1"/>
          <w:sz w:val="20"/>
          <w:szCs w:val="20"/>
        </w:rPr>
        <w:t>natural killer T-cell (</w:t>
      </w:r>
      <w:r w:rsidR="008C2CA4" w:rsidRPr="00CD2448">
        <w:rPr>
          <w:rFonts w:ascii="Arial" w:hAnsi="Arial" w:cs="Arial"/>
          <w:color w:val="000000" w:themeColor="text1"/>
          <w:sz w:val="20"/>
          <w:szCs w:val="20"/>
        </w:rPr>
        <w:t>NKT</w:t>
      </w:r>
      <w:r w:rsidR="005736F6"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 xml:space="preserve">-like population—exhibited widespread downregulation of molecular functions. </w:t>
      </w:r>
      <w:r w:rsidR="008C2CA4" w:rsidRPr="00CD2448">
        <w:rPr>
          <w:rFonts w:ascii="Arial" w:hAnsi="Arial" w:cs="Arial"/>
          <w:b/>
          <w:bCs/>
          <w:color w:val="000000" w:themeColor="text1"/>
          <w:sz w:val="20"/>
          <w:szCs w:val="20"/>
        </w:rPr>
        <w:t>(b)</w:t>
      </w:r>
      <w:r w:rsidR="008C2CA4" w:rsidRPr="00CD2448">
        <w:rPr>
          <w:rFonts w:ascii="Arial" w:hAnsi="Arial" w:cs="Arial"/>
          <w:color w:val="000000" w:themeColor="text1"/>
          <w:sz w:val="20"/>
          <w:szCs w:val="20"/>
        </w:rPr>
        <w:t xml:space="preserve"> Post-ketamine, these patterns reversed in responders: NK_3 activity increased, with enrichment for protein serine/threonine kinase activity, histone modification, and nuclear receptor binding, suggestive of </w:t>
      </w:r>
      <w:r w:rsidR="00424A83" w:rsidRPr="00CD2448">
        <w:rPr>
          <w:rFonts w:ascii="Arial" w:hAnsi="Arial" w:cs="Arial"/>
          <w:color w:val="000000" w:themeColor="text1"/>
          <w:sz w:val="20"/>
          <w:szCs w:val="20"/>
        </w:rPr>
        <w:t>mechanistic target of rapamycin (</w:t>
      </w:r>
      <w:r w:rsidR="008C2CA4" w:rsidRPr="00CD2448">
        <w:rPr>
          <w:rFonts w:ascii="Arial" w:hAnsi="Arial" w:cs="Arial"/>
          <w:color w:val="000000" w:themeColor="text1"/>
          <w:sz w:val="20"/>
          <w:szCs w:val="20"/>
        </w:rPr>
        <w:t>mTOR</w:t>
      </w:r>
      <w:r w:rsidR="00424A83"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 xml:space="preserve"> signaling and epigenetic activation. Conversely, OXPHOS-related pathways were downregulated, suggesting a glycolytic metabolic shift. Regulatory T</w:t>
      </w:r>
      <w:r w:rsidR="00F75856" w:rsidRPr="00CD2448">
        <w:rPr>
          <w:rFonts w:ascii="Arial" w:hAnsi="Arial" w:cs="Arial"/>
          <w:color w:val="000000" w:themeColor="text1"/>
          <w:sz w:val="20"/>
          <w:szCs w:val="20"/>
        </w:rPr>
        <w:t>-</w:t>
      </w:r>
      <w:r w:rsidR="008C2CA4" w:rsidRPr="00CD2448">
        <w:rPr>
          <w:rFonts w:ascii="Arial" w:hAnsi="Arial" w:cs="Arial"/>
          <w:color w:val="000000" w:themeColor="text1"/>
          <w:sz w:val="20"/>
          <w:szCs w:val="20"/>
        </w:rPr>
        <w:t xml:space="preserve">cells (Treg </w:t>
      </w:r>
      <w:r w:rsidR="00B2746F" w:rsidRPr="00CD2448">
        <w:rPr>
          <w:rFonts w:ascii="Arial" w:hAnsi="Arial" w:cs="Arial"/>
          <w:color w:val="000000" w:themeColor="text1"/>
          <w:sz w:val="20"/>
          <w:szCs w:val="20"/>
        </w:rPr>
        <w:t>m</w:t>
      </w:r>
      <w:r w:rsidR="008C2CA4" w:rsidRPr="00CD2448">
        <w:rPr>
          <w:rFonts w:ascii="Arial" w:hAnsi="Arial" w:cs="Arial"/>
          <w:color w:val="000000" w:themeColor="text1"/>
          <w:sz w:val="20"/>
          <w:szCs w:val="20"/>
        </w:rPr>
        <w:t xml:space="preserve">emory) also showed increased activity in responders. See </w:t>
      </w:r>
      <w:r w:rsidR="008C2CA4" w:rsidRPr="00CD2448">
        <w:rPr>
          <w:rFonts w:ascii="Arial" w:hAnsi="Arial" w:cs="Arial"/>
          <w:b/>
          <w:bCs/>
          <w:color w:val="000000" w:themeColor="text1"/>
          <w:sz w:val="20"/>
          <w:szCs w:val="20"/>
        </w:rPr>
        <w:t xml:space="preserve">Table </w:t>
      </w:r>
      <w:r w:rsidR="009C4817" w:rsidRPr="00CD2448">
        <w:rPr>
          <w:rFonts w:ascii="Arial" w:hAnsi="Arial" w:cs="Arial"/>
          <w:b/>
          <w:bCs/>
          <w:color w:val="000000" w:themeColor="text1"/>
          <w:sz w:val="20"/>
          <w:szCs w:val="20"/>
        </w:rPr>
        <w:t>S</w:t>
      </w:r>
      <w:r w:rsidR="00132538">
        <w:rPr>
          <w:rFonts w:ascii="Arial" w:hAnsi="Arial" w:cs="Arial"/>
          <w:b/>
          <w:bCs/>
          <w:color w:val="000000" w:themeColor="text1"/>
          <w:sz w:val="20"/>
          <w:szCs w:val="20"/>
        </w:rPr>
        <w:t>5</w:t>
      </w:r>
      <w:r w:rsidR="008C2CA4" w:rsidRPr="00CD2448">
        <w:rPr>
          <w:rFonts w:ascii="Arial" w:hAnsi="Arial" w:cs="Arial"/>
          <w:color w:val="000000" w:themeColor="text1"/>
          <w:sz w:val="20"/>
          <w:szCs w:val="20"/>
        </w:rPr>
        <w:t xml:space="preserve"> for marker genes and </w:t>
      </w:r>
      <w:r w:rsidR="00B2746F" w:rsidRPr="00CD2448">
        <w:rPr>
          <w:rFonts w:ascii="Arial" w:hAnsi="Arial" w:cs="Arial"/>
          <w:color w:val="000000" w:themeColor="text1"/>
          <w:sz w:val="20"/>
          <w:szCs w:val="20"/>
        </w:rPr>
        <w:t xml:space="preserve">a </w:t>
      </w:r>
      <w:r w:rsidR="008C2CA4" w:rsidRPr="00CD2448">
        <w:rPr>
          <w:rFonts w:ascii="Arial" w:hAnsi="Arial" w:cs="Arial"/>
          <w:color w:val="000000" w:themeColor="text1"/>
          <w:sz w:val="20"/>
          <w:szCs w:val="20"/>
        </w:rPr>
        <w:t>full description of cell types and enrichment results.</w:t>
      </w:r>
    </w:p>
    <w:p w14:paraId="00C87985" w14:textId="77777777" w:rsidR="00304B4F" w:rsidRPr="00CD2448" w:rsidRDefault="00304B4F" w:rsidP="00304B4F">
      <w:pPr>
        <w:jc w:val="both"/>
        <w:rPr>
          <w:rFonts w:ascii="Arial" w:hAnsi="Arial" w:cs="Arial"/>
          <w:i/>
          <w:iCs/>
          <w:color w:val="000000" w:themeColor="text1"/>
          <w:sz w:val="22"/>
          <w:szCs w:val="22"/>
        </w:rPr>
      </w:pPr>
    </w:p>
    <w:p w14:paraId="707A00AC" w14:textId="301C4BA7" w:rsidR="00C33890" w:rsidRPr="00CD2448" w:rsidRDefault="00B33ABC" w:rsidP="007F3F8E">
      <w:pPr>
        <w:ind w:firstLine="720"/>
        <w:jc w:val="both"/>
        <w:rPr>
          <w:rFonts w:ascii="Arial" w:hAnsi="Arial" w:cs="Arial"/>
          <w:color w:val="000000" w:themeColor="text1"/>
          <w:sz w:val="22"/>
          <w:szCs w:val="22"/>
        </w:rPr>
      </w:pPr>
      <w:r w:rsidRPr="00CD2448">
        <w:rPr>
          <w:rFonts w:ascii="Arial" w:hAnsi="Arial" w:cs="Arial"/>
          <w:noProof/>
          <w:color w:val="000000" w:themeColor="text1"/>
          <w:sz w:val="22"/>
          <w:szCs w:val="22"/>
        </w:rPr>
        <w:lastRenderedPageBreak/>
        <w:drawing>
          <wp:anchor distT="0" distB="0" distL="114300" distR="114300" simplePos="0" relativeHeight="251664384" behindDoc="0" locked="0" layoutInCell="1" allowOverlap="1" wp14:anchorId="05CB3ACC" wp14:editId="6BDF2090">
            <wp:simplePos x="0" y="0"/>
            <wp:positionH relativeFrom="column">
              <wp:posOffset>184797</wp:posOffset>
            </wp:positionH>
            <wp:positionV relativeFrom="paragraph">
              <wp:posOffset>263227</wp:posOffset>
            </wp:positionV>
            <wp:extent cx="6037634" cy="4590313"/>
            <wp:effectExtent l="0" t="0" r="0" b="0"/>
            <wp:wrapTopAndBottom/>
            <wp:docPr id="524105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105281" name="Picture 1"/>
                    <pic:cNvPicPr/>
                  </pic:nvPicPr>
                  <pic:blipFill>
                    <a:blip r:embed="rId17"/>
                    <a:stretch>
                      <a:fillRect/>
                    </a:stretch>
                  </pic:blipFill>
                  <pic:spPr>
                    <a:xfrm>
                      <a:off x="0" y="0"/>
                      <a:ext cx="6037634" cy="4590313"/>
                    </a:xfrm>
                    <a:prstGeom prst="rect">
                      <a:avLst/>
                    </a:prstGeom>
                  </pic:spPr>
                </pic:pic>
              </a:graphicData>
            </a:graphic>
            <wp14:sizeRelH relativeFrom="page">
              <wp14:pctWidth>0</wp14:pctWidth>
            </wp14:sizeRelH>
            <wp14:sizeRelV relativeFrom="page">
              <wp14:pctHeight>0</wp14:pctHeight>
            </wp14:sizeRelV>
          </wp:anchor>
        </w:drawing>
      </w:r>
    </w:p>
    <w:p w14:paraId="404781C2" w14:textId="30D6385D" w:rsidR="00C33890" w:rsidRPr="00CD2448" w:rsidRDefault="00C33890" w:rsidP="007F3F8E">
      <w:pPr>
        <w:jc w:val="both"/>
        <w:rPr>
          <w:rFonts w:ascii="Arial" w:hAnsi="Arial" w:cs="Arial"/>
          <w:color w:val="000000" w:themeColor="text1"/>
          <w:sz w:val="22"/>
          <w:szCs w:val="22"/>
        </w:rPr>
      </w:pPr>
    </w:p>
    <w:p w14:paraId="1249BF81" w14:textId="1F7A6EEE" w:rsidR="00C33890" w:rsidRPr="00CD2448" w:rsidRDefault="00C33890" w:rsidP="00F84119">
      <w:pPr>
        <w:rPr>
          <w:rFonts w:ascii="Arial" w:hAnsi="Arial" w:cs="Arial"/>
          <w:b/>
          <w:bCs/>
          <w:color w:val="000000" w:themeColor="text1"/>
          <w:sz w:val="20"/>
          <w:szCs w:val="20"/>
        </w:rPr>
      </w:pPr>
      <w:r w:rsidRPr="00CD2448">
        <w:rPr>
          <w:rFonts w:ascii="Arial" w:hAnsi="Arial" w:cs="Arial"/>
          <w:b/>
          <w:bCs/>
          <w:color w:val="000000" w:themeColor="text1"/>
          <w:sz w:val="20"/>
          <w:szCs w:val="20"/>
        </w:rPr>
        <w:t xml:space="preserve">Supplementary Figure </w:t>
      </w:r>
      <w:r w:rsidR="00924EBA" w:rsidRPr="00CD2448">
        <w:rPr>
          <w:rFonts w:ascii="Arial" w:hAnsi="Arial" w:cs="Arial"/>
          <w:b/>
          <w:bCs/>
          <w:color w:val="000000" w:themeColor="text1"/>
          <w:sz w:val="20"/>
          <w:szCs w:val="20"/>
        </w:rPr>
        <w:t>S</w:t>
      </w:r>
      <w:r w:rsidR="00401467" w:rsidRPr="00CD2448">
        <w:rPr>
          <w:rFonts w:ascii="Arial" w:hAnsi="Arial" w:cs="Arial"/>
          <w:b/>
          <w:bCs/>
          <w:color w:val="000000" w:themeColor="text1"/>
          <w:sz w:val="20"/>
          <w:szCs w:val="20"/>
        </w:rPr>
        <w:t>7</w:t>
      </w:r>
      <w:r w:rsidR="008163FE"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Plasma </w:t>
      </w:r>
      <w:r w:rsidR="00CD7FC0" w:rsidRPr="00CD2448">
        <w:rPr>
          <w:rFonts w:ascii="Arial" w:hAnsi="Arial" w:cs="Arial"/>
          <w:b/>
          <w:bCs/>
          <w:color w:val="000000" w:themeColor="text1"/>
          <w:sz w:val="20"/>
          <w:szCs w:val="20"/>
        </w:rPr>
        <w:t>interleukin-15 (</w:t>
      </w:r>
      <w:r w:rsidRPr="00CD2448">
        <w:rPr>
          <w:rFonts w:ascii="Arial" w:hAnsi="Arial" w:cs="Arial"/>
          <w:b/>
          <w:bCs/>
          <w:color w:val="000000" w:themeColor="text1"/>
          <w:sz w:val="20"/>
          <w:szCs w:val="20"/>
        </w:rPr>
        <w:t>IL-15</w:t>
      </w:r>
      <w:r w:rsidR="00CD7FC0"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concentrations in detectable samples following ketamine administration. </w:t>
      </w:r>
      <w:r w:rsidR="003F6446" w:rsidRPr="00CD2448">
        <w:rPr>
          <w:rFonts w:ascii="Arial" w:hAnsi="Arial" w:cs="Arial"/>
          <w:b/>
          <w:bCs/>
          <w:color w:val="000000" w:themeColor="text1"/>
          <w:sz w:val="20"/>
          <w:szCs w:val="20"/>
        </w:rPr>
        <w:t xml:space="preserve">(A) </w:t>
      </w:r>
      <w:proofErr w:type="spellStart"/>
      <w:r w:rsidR="00AF2A51" w:rsidRPr="00CD2448">
        <w:rPr>
          <w:rFonts w:ascii="Arial" w:hAnsi="Arial" w:cs="Arial"/>
          <w:color w:val="000000" w:themeColor="text1"/>
          <w:sz w:val="20"/>
          <w:szCs w:val="20"/>
        </w:rPr>
        <w:t>Bio-RAD</w:t>
      </w:r>
      <w:proofErr w:type="spellEnd"/>
      <w:r w:rsidR="00AF2A51" w:rsidRPr="00CD2448">
        <w:rPr>
          <w:rFonts w:ascii="Arial" w:hAnsi="Arial" w:cs="Arial"/>
          <w:color w:val="000000" w:themeColor="text1"/>
          <w:sz w:val="20"/>
          <w:szCs w:val="20"/>
        </w:rPr>
        <w:t xml:space="preserve"> limit of detection (LOD) data for individual analytes in the multiplex assay, showing that IL-15 had the highest LOD out of all analytes by a wide margin, which likely contributed to low detection rate at the 4:1 dilution used to accommodate other analytes.</w:t>
      </w:r>
      <w:r w:rsidR="00300395" w:rsidRPr="00CD2448">
        <w:rPr>
          <w:rFonts w:ascii="Arial" w:hAnsi="Arial" w:cs="Arial"/>
          <w:color w:val="000000" w:themeColor="text1"/>
          <w:sz w:val="20"/>
          <w:szCs w:val="20"/>
        </w:rPr>
        <w:t xml:space="preserve"> </w:t>
      </w:r>
      <w:r w:rsidR="00AF2A51" w:rsidRPr="00CD2448">
        <w:rPr>
          <w:rFonts w:ascii="Arial" w:hAnsi="Arial" w:cs="Arial"/>
          <w:color w:val="000000" w:themeColor="text1"/>
          <w:sz w:val="20"/>
          <w:szCs w:val="20"/>
        </w:rPr>
        <w:t>(</w:t>
      </w:r>
      <w:r w:rsidR="00AF2A51" w:rsidRPr="00CD2448">
        <w:rPr>
          <w:rFonts w:ascii="Arial" w:hAnsi="Arial" w:cs="Arial"/>
          <w:b/>
          <w:bCs/>
          <w:color w:val="000000" w:themeColor="text1"/>
          <w:sz w:val="20"/>
          <w:szCs w:val="20"/>
        </w:rPr>
        <w:t>B</w:t>
      </w:r>
      <w:r w:rsidR="00AF2A51" w:rsidRPr="00CD2448">
        <w:rPr>
          <w:rFonts w:ascii="Arial" w:hAnsi="Arial" w:cs="Arial"/>
          <w:color w:val="000000" w:themeColor="text1"/>
          <w:sz w:val="20"/>
          <w:szCs w:val="20"/>
        </w:rPr>
        <w:t>)</w:t>
      </w:r>
      <w:r w:rsidR="001A2BB2" w:rsidRPr="00CD2448">
        <w:rPr>
          <w:rFonts w:ascii="Arial" w:hAnsi="Arial" w:cs="Arial"/>
          <w:color w:val="000000" w:themeColor="text1"/>
          <w:sz w:val="20"/>
          <w:szCs w:val="20"/>
        </w:rPr>
        <w:t xml:space="preserve"> </w:t>
      </w:r>
      <w:r w:rsidRPr="00CD2448">
        <w:rPr>
          <w:rFonts w:ascii="Arial" w:hAnsi="Arial" w:cs="Arial"/>
          <w:color w:val="000000" w:themeColor="text1"/>
          <w:sz w:val="20"/>
          <w:szCs w:val="20"/>
        </w:rPr>
        <w:t xml:space="preserve">Longitudinal plasma IL-15 levels measured at baseline, 4 hours, Day 1, and Day 3 post-infusion in participants with treatment-resistant depression (TRD) and healthy </w:t>
      </w:r>
      <w:r w:rsidR="004D6685" w:rsidRPr="00CD2448">
        <w:rPr>
          <w:rFonts w:ascii="Arial" w:hAnsi="Arial" w:cs="Arial"/>
          <w:color w:val="000000" w:themeColor="text1"/>
          <w:sz w:val="20"/>
          <w:szCs w:val="20"/>
        </w:rPr>
        <w:t xml:space="preserve">volunteers </w:t>
      </w:r>
      <w:r w:rsidRPr="00CD2448">
        <w:rPr>
          <w:rFonts w:ascii="Arial" w:hAnsi="Arial" w:cs="Arial"/>
          <w:color w:val="000000" w:themeColor="text1"/>
          <w:sz w:val="20"/>
          <w:szCs w:val="20"/>
        </w:rPr>
        <w:t>(H</w:t>
      </w:r>
      <w:r w:rsidR="004D6685" w:rsidRPr="00CD2448">
        <w:rPr>
          <w:rFonts w:ascii="Arial" w:hAnsi="Arial" w:cs="Arial"/>
          <w:color w:val="000000" w:themeColor="text1"/>
          <w:sz w:val="20"/>
          <w:szCs w:val="20"/>
        </w:rPr>
        <w:t>Vs</w:t>
      </w:r>
      <w:r w:rsidR="007938D6" w:rsidRPr="00CD2448">
        <w:rPr>
          <w:rFonts w:ascii="Arial" w:hAnsi="Arial" w:cs="Arial"/>
          <w:color w:val="000000" w:themeColor="text1"/>
          <w:sz w:val="20"/>
          <w:szCs w:val="20"/>
        </w:rPr>
        <w:t xml:space="preserve">; data </w:t>
      </w:r>
      <w:r w:rsidR="004D6685" w:rsidRPr="00CD2448">
        <w:rPr>
          <w:rFonts w:ascii="Arial" w:hAnsi="Arial" w:cs="Arial"/>
          <w:color w:val="000000" w:themeColor="text1"/>
          <w:sz w:val="20"/>
          <w:szCs w:val="20"/>
        </w:rPr>
        <w:t xml:space="preserve">drawn </w:t>
      </w:r>
      <w:r w:rsidRPr="00CD2448">
        <w:rPr>
          <w:rFonts w:ascii="Arial" w:hAnsi="Arial" w:cs="Arial"/>
          <w:color w:val="000000" w:themeColor="text1"/>
          <w:sz w:val="20"/>
          <w:szCs w:val="20"/>
        </w:rPr>
        <w:t>from NCT00088699</w:t>
      </w:r>
      <w:r w:rsidR="007938D6" w:rsidRPr="00CD2448">
        <w:rPr>
          <w:rFonts w:ascii="Arial" w:hAnsi="Arial" w:cs="Arial"/>
          <w:color w:val="000000" w:themeColor="text1"/>
          <w:sz w:val="20"/>
          <w:szCs w:val="20"/>
        </w:rPr>
        <w:t>)</w:t>
      </w:r>
      <w:r w:rsidRPr="00CD2448">
        <w:rPr>
          <w:rFonts w:ascii="Arial" w:hAnsi="Arial" w:cs="Arial"/>
          <w:color w:val="000000" w:themeColor="text1"/>
          <w:sz w:val="20"/>
          <w:szCs w:val="20"/>
        </w:rPr>
        <w:t>. Due to the cytokine's rapid clearance (&lt;1 hour half-life)</w:t>
      </w:r>
      <w:r w:rsidR="003F6446" w:rsidRPr="00CD2448">
        <w:rPr>
          <w:rFonts w:ascii="Arial" w:hAnsi="Arial" w:cs="Arial"/>
          <w:color w:val="000000" w:themeColor="text1"/>
          <w:sz w:val="20"/>
          <w:szCs w:val="20"/>
        </w:rPr>
        <w:t xml:space="preserve">, high </w:t>
      </w:r>
      <w:r w:rsidR="00EA5B5B" w:rsidRPr="00CD2448">
        <w:rPr>
          <w:rFonts w:ascii="Arial" w:hAnsi="Arial" w:cs="Arial"/>
          <w:color w:val="000000" w:themeColor="text1"/>
          <w:sz w:val="20"/>
          <w:szCs w:val="20"/>
        </w:rPr>
        <w:t>membrane bound ratio,</w:t>
      </w:r>
      <w:r w:rsidRPr="00CD2448">
        <w:rPr>
          <w:rFonts w:ascii="Arial" w:hAnsi="Arial" w:cs="Arial"/>
          <w:color w:val="000000" w:themeColor="text1"/>
          <w:sz w:val="20"/>
          <w:szCs w:val="20"/>
        </w:rPr>
        <w:t xml:space="preserve"> and tight post-transcriptional regulation, approximately 80% of samples were below the limit of detection. Among detectable samples</w:t>
      </w:r>
      <w:r w:rsidR="00DC1B41" w:rsidRPr="00CD2448">
        <w:rPr>
          <w:rFonts w:ascii="Arial" w:hAnsi="Arial" w:cs="Arial"/>
          <w:color w:val="000000" w:themeColor="text1"/>
          <w:sz w:val="20"/>
          <w:szCs w:val="20"/>
        </w:rPr>
        <w:t xml:space="preserve"> (representing various timepoints across 18 different patients)</w:t>
      </w:r>
      <w:r w:rsidRPr="00CD2448">
        <w:rPr>
          <w:rFonts w:ascii="Arial" w:hAnsi="Arial" w:cs="Arial"/>
          <w:color w:val="000000" w:themeColor="text1"/>
          <w:sz w:val="20"/>
          <w:szCs w:val="20"/>
        </w:rPr>
        <w:t xml:space="preserve">, IL-15 levels showed numerical increases following ketamine administration in both groups, consistent with transcriptomic upregulation observed in </w:t>
      </w:r>
      <w:r w:rsidR="002A4C98" w:rsidRPr="00CD2448">
        <w:rPr>
          <w:rFonts w:ascii="Arial" w:hAnsi="Arial" w:cs="Arial"/>
          <w:color w:val="000000" w:themeColor="text1"/>
          <w:sz w:val="20"/>
          <w:szCs w:val="20"/>
        </w:rPr>
        <w:t>induced pluripotent stem cell (</w:t>
      </w:r>
      <w:r w:rsidRPr="00CD2448">
        <w:rPr>
          <w:rFonts w:ascii="Arial" w:hAnsi="Arial" w:cs="Arial"/>
          <w:color w:val="000000" w:themeColor="text1"/>
          <w:sz w:val="20"/>
          <w:szCs w:val="20"/>
        </w:rPr>
        <w:t>iPSC</w:t>
      </w:r>
      <w:r w:rsidR="002A4C98"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neurons and </w:t>
      </w:r>
      <w:r w:rsidR="009F4D27" w:rsidRPr="00CD2448">
        <w:rPr>
          <w:rFonts w:ascii="Arial" w:hAnsi="Arial" w:cs="Arial"/>
          <w:color w:val="000000" w:themeColor="text1"/>
          <w:sz w:val="20"/>
          <w:szCs w:val="20"/>
        </w:rPr>
        <w:t>cerebrospinal fluid (</w:t>
      </w:r>
      <w:r w:rsidRPr="00CD2448">
        <w:rPr>
          <w:rFonts w:ascii="Arial" w:hAnsi="Arial" w:cs="Arial"/>
          <w:color w:val="000000" w:themeColor="text1"/>
          <w:sz w:val="20"/>
          <w:szCs w:val="20"/>
        </w:rPr>
        <w:t>CSF</w:t>
      </w:r>
      <w:r w:rsidR="009F4D27"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proteomics.</w:t>
      </w:r>
      <w:r w:rsidR="00EA5B5B" w:rsidRPr="00CD2448">
        <w:rPr>
          <w:rFonts w:ascii="Arial" w:hAnsi="Arial" w:cs="Arial"/>
          <w:color w:val="000000" w:themeColor="text1"/>
          <w:sz w:val="20"/>
          <w:szCs w:val="20"/>
        </w:rPr>
        <w:t xml:space="preserve"> </w:t>
      </w:r>
      <w:r w:rsidR="00AF2A51" w:rsidRPr="00CD2448">
        <w:rPr>
          <w:rFonts w:ascii="Arial" w:hAnsi="Arial" w:cs="Arial"/>
          <w:color w:val="000000" w:themeColor="text1"/>
          <w:sz w:val="20"/>
          <w:szCs w:val="20"/>
        </w:rPr>
        <w:t>LOD/</w:t>
      </w:r>
      <w:r w:rsidR="00300395" w:rsidRPr="00CD2448">
        <w:rPr>
          <w:rFonts w:ascii="Arial" w:hAnsi="Arial" w:cs="Arial"/>
          <w:color w:val="000000" w:themeColor="text1"/>
          <w:sz w:val="20"/>
          <w:szCs w:val="20"/>
        </w:rPr>
        <w:t>q</w:t>
      </w:r>
      <w:r w:rsidR="00AF2A51" w:rsidRPr="00CD2448">
        <w:rPr>
          <w:rFonts w:ascii="Arial" w:hAnsi="Arial" w:cs="Arial"/>
          <w:color w:val="000000" w:themeColor="text1"/>
          <w:sz w:val="20"/>
          <w:szCs w:val="20"/>
        </w:rPr>
        <w:t xml:space="preserve">uantification and experimental standard data can be found in </w:t>
      </w:r>
      <w:r w:rsidR="00300395" w:rsidRPr="00CD2448">
        <w:rPr>
          <w:rFonts w:ascii="Arial" w:hAnsi="Arial" w:cs="Arial"/>
          <w:color w:val="000000" w:themeColor="text1"/>
          <w:sz w:val="20"/>
          <w:szCs w:val="20"/>
        </w:rPr>
        <w:t xml:space="preserve">the </w:t>
      </w:r>
      <w:r w:rsidR="00AF2A51" w:rsidRPr="00CD2448">
        <w:rPr>
          <w:rFonts w:ascii="Arial" w:hAnsi="Arial" w:cs="Arial"/>
          <w:color w:val="000000" w:themeColor="text1"/>
          <w:sz w:val="20"/>
          <w:szCs w:val="20"/>
        </w:rPr>
        <w:t>Supplementary data file (FIGURE_4_CYTOKINES.xlsx</w:t>
      </w:r>
      <w:r w:rsidR="001A2BB2" w:rsidRPr="00CD2448">
        <w:rPr>
          <w:rFonts w:ascii="Arial" w:hAnsi="Arial" w:cs="Arial"/>
          <w:color w:val="000000" w:themeColor="text1"/>
          <w:sz w:val="20"/>
          <w:szCs w:val="20"/>
        </w:rPr>
        <w:t>).</w:t>
      </w:r>
    </w:p>
    <w:p w14:paraId="303F4379" w14:textId="0508DE5E" w:rsidR="00C33890" w:rsidRPr="00CD2448" w:rsidRDefault="00C33890" w:rsidP="007F3F8E">
      <w:pPr>
        <w:ind w:firstLine="720"/>
        <w:jc w:val="both"/>
        <w:rPr>
          <w:rFonts w:ascii="Arial" w:hAnsi="Arial" w:cs="Arial"/>
          <w:color w:val="000000" w:themeColor="text1"/>
          <w:sz w:val="22"/>
          <w:szCs w:val="22"/>
        </w:rPr>
      </w:pPr>
      <w:r w:rsidRPr="00CD2448">
        <w:rPr>
          <w:rFonts w:ascii="Arial" w:hAnsi="Arial" w:cs="Arial"/>
          <w:noProof/>
          <w:color w:val="000000" w:themeColor="text1"/>
          <w:sz w:val="22"/>
          <w:szCs w:val="22"/>
          <w14:ligatures w14:val="standardContextual"/>
        </w:rPr>
        <w:lastRenderedPageBreak/>
        <w:drawing>
          <wp:anchor distT="0" distB="0" distL="114300" distR="114300" simplePos="0" relativeHeight="251659264" behindDoc="1" locked="0" layoutInCell="1" allowOverlap="1" wp14:anchorId="01E15D58" wp14:editId="4E36376F">
            <wp:simplePos x="0" y="0"/>
            <wp:positionH relativeFrom="column">
              <wp:posOffset>-13335</wp:posOffset>
            </wp:positionH>
            <wp:positionV relativeFrom="paragraph">
              <wp:posOffset>114</wp:posOffset>
            </wp:positionV>
            <wp:extent cx="6873875" cy="2411730"/>
            <wp:effectExtent l="0" t="0" r="0" b="1270"/>
            <wp:wrapTight wrapText="bothSides">
              <wp:wrapPolygon edited="0">
                <wp:start x="0" y="0"/>
                <wp:lineTo x="0" y="21498"/>
                <wp:lineTo x="21550" y="21498"/>
                <wp:lineTo x="21550" y="0"/>
                <wp:lineTo x="0" y="0"/>
              </wp:wrapPolygon>
            </wp:wrapTight>
            <wp:docPr id="1646582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58261" name="Picture 164658261"/>
                    <pic:cNvPicPr/>
                  </pic:nvPicPr>
                  <pic:blipFill>
                    <a:blip r:embed="rId18"/>
                    <a:stretch>
                      <a:fillRect/>
                    </a:stretch>
                  </pic:blipFill>
                  <pic:spPr>
                    <a:xfrm>
                      <a:off x="0" y="0"/>
                      <a:ext cx="6873875" cy="2411730"/>
                    </a:xfrm>
                    <a:prstGeom prst="rect">
                      <a:avLst/>
                    </a:prstGeom>
                  </pic:spPr>
                </pic:pic>
              </a:graphicData>
            </a:graphic>
            <wp14:sizeRelH relativeFrom="margin">
              <wp14:pctWidth>0</wp14:pctWidth>
            </wp14:sizeRelH>
            <wp14:sizeRelV relativeFrom="margin">
              <wp14:pctHeight>0</wp14:pctHeight>
            </wp14:sizeRelV>
          </wp:anchor>
        </w:drawing>
      </w:r>
    </w:p>
    <w:p w14:paraId="4C74FAA8" w14:textId="35A1F673" w:rsidR="009B7017" w:rsidRPr="00CD2448" w:rsidRDefault="000D3C96" w:rsidP="00F84119">
      <w:pPr>
        <w:spacing w:line="278" w:lineRule="auto"/>
        <w:rPr>
          <w:rFonts w:ascii="Arial" w:hAnsi="Arial" w:cs="Arial"/>
          <w:color w:val="000000" w:themeColor="text1"/>
          <w:sz w:val="22"/>
          <w:szCs w:val="22"/>
        </w:rPr>
      </w:pPr>
      <w:r w:rsidRPr="00CD2448">
        <w:rPr>
          <w:rFonts w:ascii="Arial" w:hAnsi="Arial" w:cs="Arial"/>
          <w:b/>
          <w:bCs/>
          <w:color w:val="000000" w:themeColor="text1"/>
          <w:sz w:val="20"/>
          <w:szCs w:val="20"/>
        </w:rPr>
        <w:t xml:space="preserve">Supplementary Figure </w:t>
      </w:r>
      <w:r w:rsidR="00924EBA" w:rsidRPr="00CD2448">
        <w:rPr>
          <w:rFonts w:ascii="Arial" w:hAnsi="Arial" w:cs="Arial"/>
          <w:b/>
          <w:bCs/>
          <w:color w:val="000000" w:themeColor="text1"/>
          <w:sz w:val="20"/>
          <w:szCs w:val="20"/>
        </w:rPr>
        <w:t>S</w:t>
      </w:r>
      <w:r w:rsidR="00401467" w:rsidRPr="00CD2448">
        <w:rPr>
          <w:rFonts w:ascii="Arial" w:hAnsi="Arial" w:cs="Arial"/>
          <w:b/>
          <w:bCs/>
          <w:color w:val="000000" w:themeColor="text1"/>
          <w:sz w:val="20"/>
          <w:szCs w:val="20"/>
        </w:rPr>
        <w:t>8</w:t>
      </w:r>
      <w:r w:rsidR="008163FE"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w:t>
      </w:r>
      <w:r w:rsidR="006115DD" w:rsidRPr="00CD2448">
        <w:rPr>
          <w:rFonts w:ascii="Arial" w:hAnsi="Arial" w:cs="Arial"/>
          <w:b/>
          <w:bCs/>
          <w:color w:val="000000" w:themeColor="text1"/>
          <w:sz w:val="20"/>
          <w:szCs w:val="20"/>
        </w:rPr>
        <w:t>Magnetoencephalography (</w:t>
      </w:r>
      <w:r w:rsidRPr="00CD2448">
        <w:rPr>
          <w:rFonts w:ascii="Arial" w:hAnsi="Arial" w:cs="Arial"/>
          <w:b/>
          <w:bCs/>
          <w:color w:val="000000" w:themeColor="text1"/>
          <w:sz w:val="20"/>
          <w:szCs w:val="20"/>
        </w:rPr>
        <w:t>MEG</w:t>
      </w:r>
      <w:r w:rsidR="006115DD"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gamma power correlates of plasma </w:t>
      </w:r>
      <w:r w:rsidR="006115DD" w:rsidRPr="00CD2448">
        <w:rPr>
          <w:rFonts w:ascii="Arial" w:hAnsi="Arial" w:cs="Arial"/>
          <w:b/>
          <w:bCs/>
          <w:color w:val="000000" w:themeColor="text1"/>
          <w:sz w:val="20"/>
          <w:szCs w:val="20"/>
        </w:rPr>
        <w:t>monocyte chemoattractant protein-1 (</w:t>
      </w:r>
      <w:r w:rsidRPr="00CD2448">
        <w:rPr>
          <w:rFonts w:ascii="Arial" w:hAnsi="Arial" w:cs="Arial"/>
          <w:b/>
          <w:bCs/>
          <w:color w:val="000000" w:themeColor="text1"/>
          <w:sz w:val="20"/>
          <w:szCs w:val="20"/>
        </w:rPr>
        <w:t>MCP-1</w:t>
      </w:r>
      <w:r w:rsidR="006115DD" w:rsidRPr="00CD2448">
        <w:rPr>
          <w:rFonts w:ascii="Arial" w:hAnsi="Arial" w:cs="Arial"/>
          <w:b/>
          <w:bCs/>
          <w:color w:val="000000" w:themeColor="text1"/>
          <w:sz w:val="20"/>
          <w:szCs w:val="20"/>
        </w:rPr>
        <w:t>)</w:t>
      </w:r>
      <w:r w:rsidRPr="00CD2448">
        <w:rPr>
          <w:rFonts w:ascii="Arial" w:hAnsi="Arial" w:cs="Arial"/>
          <w:b/>
          <w:bCs/>
          <w:color w:val="000000" w:themeColor="text1"/>
          <w:sz w:val="20"/>
          <w:szCs w:val="20"/>
        </w:rPr>
        <w:t xml:space="preserve"> concentration</w:t>
      </w:r>
      <w:r w:rsidR="003003C9" w:rsidRPr="00CD2448">
        <w:rPr>
          <w:rFonts w:ascii="Arial" w:hAnsi="Arial" w:cs="Arial"/>
          <w:b/>
          <w:bCs/>
          <w:color w:val="000000" w:themeColor="text1"/>
          <w:sz w:val="20"/>
          <w:szCs w:val="20"/>
        </w:rPr>
        <w:t>s</w:t>
      </w:r>
      <w:r w:rsidRPr="00CD2448">
        <w:rPr>
          <w:rFonts w:ascii="Arial" w:hAnsi="Arial" w:cs="Arial"/>
          <w:b/>
          <w:bCs/>
          <w:color w:val="000000" w:themeColor="text1"/>
          <w:sz w:val="20"/>
          <w:szCs w:val="20"/>
        </w:rPr>
        <w:t>.</w:t>
      </w:r>
      <w:r w:rsidRPr="00CD2448">
        <w:rPr>
          <w:rFonts w:ascii="Arial" w:hAnsi="Arial" w:cs="Arial"/>
          <w:color w:val="000000" w:themeColor="text1"/>
          <w:sz w:val="20"/>
          <w:szCs w:val="20"/>
        </w:rPr>
        <w:t xml:space="preserve"> Brain surface maps displaying the relationship </w:t>
      </w:r>
      <w:r w:rsidR="00173856" w:rsidRPr="00CD2448">
        <w:rPr>
          <w:rFonts w:ascii="Arial" w:hAnsi="Arial" w:cs="Arial"/>
          <w:color w:val="000000" w:themeColor="text1"/>
          <w:sz w:val="20"/>
          <w:szCs w:val="20"/>
        </w:rPr>
        <w:t>between plasma</w:t>
      </w:r>
      <w:r w:rsidRPr="00CD2448">
        <w:rPr>
          <w:rFonts w:ascii="Arial" w:hAnsi="Arial" w:cs="Arial"/>
          <w:color w:val="000000" w:themeColor="text1"/>
          <w:sz w:val="20"/>
          <w:szCs w:val="20"/>
        </w:rPr>
        <w:t xml:space="preserve"> MCP-1/CCL2 levels and resting-state MEG gamma power (30-50 Hz) across all participants with both cytokine data and MEG (n=31). Linear mixed-effects models revealed that higher MCP-1 concentrations were associated with significantly reduced gamma power in bilateral frontal cortical regions and the </w:t>
      </w:r>
      <w:proofErr w:type="spellStart"/>
      <w:r w:rsidRPr="00CD2448">
        <w:rPr>
          <w:rFonts w:ascii="Arial" w:hAnsi="Arial" w:cs="Arial"/>
          <w:color w:val="000000" w:themeColor="text1"/>
          <w:sz w:val="20"/>
          <w:szCs w:val="20"/>
        </w:rPr>
        <w:t>subgenual</w:t>
      </w:r>
      <w:proofErr w:type="spellEnd"/>
      <w:r w:rsidRPr="00CD2448">
        <w:rPr>
          <w:rFonts w:ascii="Arial" w:hAnsi="Arial" w:cs="Arial"/>
          <w:color w:val="000000" w:themeColor="text1"/>
          <w:sz w:val="20"/>
          <w:szCs w:val="20"/>
        </w:rPr>
        <w:t xml:space="preserve"> anterior cingulate cortex (</w:t>
      </w:r>
      <w:r w:rsidR="00BB792D" w:rsidRPr="00CD2448">
        <w:rPr>
          <w:rFonts w:ascii="Arial" w:hAnsi="Arial" w:cs="Arial"/>
          <w:color w:val="000000" w:themeColor="text1"/>
          <w:sz w:val="20"/>
          <w:szCs w:val="20"/>
        </w:rPr>
        <w:t>m</w:t>
      </w:r>
      <w:r w:rsidRPr="00CD2448">
        <w:rPr>
          <w:rFonts w:ascii="Arial" w:hAnsi="Arial" w:cs="Arial"/>
          <w:color w:val="000000" w:themeColor="text1"/>
          <w:sz w:val="20"/>
          <w:szCs w:val="20"/>
        </w:rPr>
        <w:t xml:space="preserve">ain effect </w:t>
      </w:r>
      <w:proofErr w:type="spellStart"/>
      <w:r w:rsidRPr="00CD2448">
        <w:rPr>
          <w:rFonts w:ascii="Arial" w:hAnsi="Arial" w:cs="Arial"/>
          <w:color w:val="000000" w:themeColor="text1"/>
          <w:sz w:val="20"/>
          <w:szCs w:val="20"/>
        </w:rPr>
        <w:t>p_uncorrected</w:t>
      </w:r>
      <w:proofErr w:type="spellEnd"/>
      <w:r w:rsidRPr="00CD2448">
        <w:rPr>
          <w:rFonts w:ascii="Arial" w:hAnsi="Arial" w:cs="Arial"/>
          <w:color w:val="000000" w:themeColor="text1"/>
          <w:sz w:val="20"/>
          <w:szCs w:val="20"/>
        </w:rPr>
        <w:t xml:space="preserve"> &lt; 0.05). No regions survived cluster-wise </w:t>
      </w:r>
      <w:r w:rsidR="00BB792D" w:rsidRPr="00CD2448">
        <w:rPr>
          <w:rFonts w:ascii="Arial" w:hAnsi="Arial" w:cs="Arial"/>
          <w:color w:val="000000" w:themeColor="text1"/>
          <w:sz w:val="20"/>
          <w:szCs w:val="20"/>
        </w:rPr>
        <w:t>false discovery rate (</w:t>
      </w:r>
      <w:r w:rsidRPr="00CD2448">
        <w:rPr>
          <w:rFonts w:ascii="Arial" w:hAnsi="Arial" w:cs="Arial"/>
          <w:color w:val="000000" w:themeColor="text1"/>
          <w:sz w:val="20"/>
          <w:szCs w:val="20"/>
        </w:rPr>
        <w:t>FDR</w:t>
      </w:r>
      <w:r w:rsidR="00BB792D" w:rsidRPr="00CD2448">
        <w:rPr>
          <w:rFonts w:ascii="Arial" w:hAnsi="Arial" w:cs="Arial"/>
          <w:color w:val="000000" w:themeColor="text1"/>
          <w:sz w:val="20"/>
          <w:szCs w:val="20"/>
        </w:rPr>
        <w:t>)</w:t>
      </w:r>
      <w:r w:rsidRPr="00CD2448">
        <w:rPr>
          <w:rFonts w:ascii="Arial" w:hAnsi="Arial" w:cs="Arial"/>
          <w:color w:val="000000" w:themeColor="text1"/>
          <w:sz w:val="20"/>
          <w:szCs w:val="20"/>
        </w:rPr>
        <w:t xml:space="preserve"> correction. </w:t>
      </w:r>
    </w:p>
    <w:p w14:paraId="09C60524" w14:textId="77777777" w:rsidR="00C770C0" w:rsidRPr="00CD2448" w:rsidRDefault="00C770C0" w:rsidP="007F3F8E">
      <w:pPr>
        <w:spacing w:line="278" w:lineRule="auto"/>
        <w:jc w:val="both"/>
        <w:rPr>
          <w:rFonts w:ascii="Arial" w:hAnsi="Arial" w:cs="Arial"/>
          <w:b/>
          <w:bCs/>
          <w:color w:val="000000" w:themeColor="text1"/>
          <w:sz w:val="22"/>
          <w:szCs w:val="22"/>
        </w:rPr>
      </w:pPr>
    </w:p>
    <w:p w14:paraId="676C289E" w14:textId="77777777" w:rsidR="008B74B0" w:rsidRPr="00CD2448" w:rsidRDefault="008B74B0" w:rsidP="00B153AD">
      <w:pPr>
        <w:jc w:val="both"/>
        <w:rPr>
          <w:rFonts w:ascii="Arial" w:hAnsi="Arial" w:cs="Arial"/>
          <w:b/>
          <w:bCs/>
          <w:color w:val="000000" w:themeColor="text1"/>
          <w:sz w:val="22"/>
          <w:szCs w:val="22"/>
        </w:rPr>
      </w:pPr>
    </w:p>
    <w:p w14:paraId="117A4BC9" w14:textId="745CEF98" w:rsidR="008B74B0" w:rsidRPr="00CD2448" w:rsidRDefault="008B74B0" w:rsidP="00B153AD">
      <w:pPr>
        <w:jc w:val="both"/>
        <w:rPr>
          <w:rFonts w:ascii="Arial" w:hAnsi="Arial" w:cs="Arial"/>
          <w:b/>
          <w:bCs/>
          <w:color w:val="000000" w:themeColor="text1"/>
          <w:sz w:val="22"/>
          <w:szCs w:val="22"/>
        </w:rPr>
      </w:pPr>
      <w:r w:rsidRPr="00CD2448">
        <w:rPr>
          <w:rFonts w:ascii="Arial" w:hAnsi="Arial" w:cs="Arial"/>
          <w:b/>
          <w:bCs/>
          <w:noProof/>
          <w:color w:val="000000" w:themeColor="text1"/>
          <w:sz w:val="22"/>
          <w:szCs w:val="22"/>
          <w14:ligatures w14:val="standardContextual"/>
        </w:rPr>
        <w:lastRenderedPageBreak/>
        <w:drawing>
          <wp:anchor distT="0" distB="0" distL="114300" distR="114300" simplePos="0" relativeHeight="251665408" behindDoc="0" locked="0" layoutInCell="1" allowOverlap="1" wp14:anchorId="2C6094F4" wp14:editId="4A635305">
            <wp:simplePos x="0" y="0"/>
            <wp:positionH relativeFrom="column">
              <wp:posOffset>0</wp:posOffset>
            </wp:positionH>
            <wp:positionV relativeFrom="paragraph">
              <wp:posOffset>161290</wp:posOffset>
            </wp:positionV>
            <wp:extent cx="6858000" cy="5143500"/>
            <wp:effectExtent l="0" t="0" r="0" b="0"/>
            <wp:wrapTight wrapText="bothSides">
              <wp:wrapPolygon edited="0">
                <wp:start x="0" y="0"/>
                <wp:lineTo x="0" y="21547"/>
                <wp:lineTo x="21560" y="21547"/>
                <wp:lineTo x="21560" y="0"/>
                <wp:lineTo x="0" y="0"/>
              </wp:wrapPolygon>
            </wp:wrapTight>
            <wp:docPr id="10964574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457488" name="Picture 1096457488"/>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858000" cy="5143500"/>
                    </a:xfrm>
                    <a:prstGeom prst="rect">
                      <a:avLst/>
                    </a:prstGeom>
                  </pic:spPr>
                </pic:pic>
              </a:graphicData>
            </a:graphic>
          </wp:anchor>
        </w:drawing>
      </w:r>
    </w:p>
    <w:p w14:paraId="4F268550" w14:textId="77777777" w:rsidR="008B74B0" w:rsidRPr="00CD2448" w:rsidRDefault="008B74B0" w:rsidP="00B153AD">
      <w:pPr>
        <w:jc w:val="both"/>
        <w:rPr>
          <w:rFonts w:ascii="Arial" w:hAnsi="Arial" w:cs="Arial"/>
          <w:b/>
          <w:bCs/>
          <w:color w:val="000000" w:themeColor="text1"/>
          <w:sz w:val="22"/>
          <w:szCs w:val="22"/>
        </w:rPr>
      </w:pPr>
    </w:p>
    <w:p w14:paraId="6FBA9EB6" w14:textId="56DDDC8C" w:rsidR="008B74B0" w:rsidRPr="00CD2448" w:rsidRDefault="00502411" w:rsidP="00F84119">
      <w:pPr>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w:t>
      </w:r>
      <w:r w:rsidR="008B74B0" w:rsidRPr="00CD2448">
        <w:rPr>
          <w:rFonts w:ascii="Arial" w:hAnsi="Arial" w:cs="Arial"/>
          <w:b/>
          <w:bCs/>
          <w:color w:val="000000" w:themeColor="text1"/>
          <w:sz w:val="20"/>
          <w:szCs w:val="20"/>
        </w:rPr>
        <w:t xml:space="preserve">Figure S9. NSAID Exposure and Baseline Cytokine Levels by NSAID Use and Immune Comorbidity Status. </w:t>
      </w:r>
      <w:r w:rsidR="008B74B0" w:rsidRPr="00CD2448">
        <w:rPr>
          <w:rFonts w:ascii="Arial" w:hAnsi="Arial" w:cs="Arial"/>
          <w:color w:val="000000" w:themeColor="text1"/>
          <w:sz w:val="20"/>
          <w:szCs w:val="20"/>
        </w:rPr>
        <w:t xml:space="preserve">(A) Mean daily </w:t>
      </w:r>
      <w:r w:rsidR="00C65318" w:rsidRPr="00CD2448">
        <w:rPr>
          <w:rFonts w:ascii="Arial" w:hAnsi="Arial" w:cs="Arial"/>
          <w:color w:val="000000" w:themeColor="text1"/>
          <w:sz w:val="20"/>
          <w:szCs w:val="20"/>
        </w:rPr>
        <w:t xml:space="preserve">Assessment of </w:t>
      </w:r>
      <w:proofErr w:type="spellStart"/>
      <w:r w:rsidR="00C65318" w:rsidRPr="00CD2448">
        <w:rPr>
          <w:rFonts w:ascii="Arial" w:hAnsi="Arial" w:cs="Arial"/>
          <w:color w:val="000000" w:themeColor="text1"/>
          <w:sz w:val="20"/>
          <w:szCs w:val="20"/>
        </w:rPr>
        <w:t>SpondyloArthritis</w:t>
      </w:r>
      <w:proofErr w:type="spellEnd"/>
      <w:r w:rsidR="00C65318" w:rsidRPr="00CD2448">
        <w:rPr>
          <w:rFonts w:ascii="Arial" w:hAnsi="Arial" w:cs="Arial"/>
          <w:color w:val="000000" w:themeColor="text1"/>
          <w:sz w:val="20"/>
          <w:szCs w:val="20"/>
        </w:rPr>
        <w:t xml:space="preserve"> International Society NSAID (</w:t>
      </w:r>
      <w:r w:rsidR="008B74B0" w:rsidRPr="00CD2448">
        <w:rPr>
          <w:rFonts w:ascii="Arial" w:hAnsi="Arial" w:cs="Arial"/>
          <w:color w:val="000000" w:themeColor="text1"/>
          <w:sz w:val="20"/>
          <w:szCs w:val="20"/>
        </w:rPr>
        <w:t>ASAS-NSAID</w:t>
      </w:r>
      <w:r w:rsidR="00C65318"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equivalence score per patient per infusion, calculated over a −7/+</w:t>
      </w:r>
      <w:proofErr w:type="gramStart"/>
      <w:r w:rsidR="008B74B0" w:rsidRPr="00CD2448">
        <w:rPr>
          <w:rFonts w:ascii="Arial" w:hAnsi="Arial" w:cs="Arial"/>
          <w:color w:val="000000" w:themeColor="text1"/>
          <w:sz w:val="20"/>
          <w:szCs w:val="20"/>
        </w:rPr>
        <w:t>3 day</w:t>
      </w:r>
      <w:proofErr w:type="gramEnd"/>
      <w:r w:rsidR="008B74B0" w:rsidRPr="00CD2448">
        <w:rPr>
          <w:rFonts w:ascii="Arial" w:hAnsi="Arial" w:cs="Arial"/>
          <w:color w:val="000000" w:themeColor="text1"/>
          <w:sz w:val="20"/>
          <w:szCs w:val="20"/>
        </w:rPr>
        <w:t xml:space="preserve"> peri-infusion window. Annotations indicate counts of NSAID users and non-users within each diagnostic group (</w:t>
      </w:r>
      <w:r w:rsidR="00AF6F87" w:rsidRPr="00CD2448">
        <w:rPr>
          <w:rFonts w:ascii="Arial" w:hAnsi="Arial" w:cs="Arial"/>
          <w:color w:val="000000" w:themeColor="text1"/>
          <w:sz w:val="20"/>
          <w:szCs w:val="20"/>
        </w:rPr>
        <w:t>treatment-resistant depression (</w:t>
      </w:r>
      <w:r w:rsidR="008B74B0" w:rsidRPr="00CD2448">
        <w:rPr>
          <w:rFonts w:ascii="Arial" w:hAnsi="Arial" w:cs="Arial"/>
          <w:color w:val="000000" w:themeColor="text1"/>
          <w:sz w:val="20"/>
          <w:szCs w:val="20"/>
        </w:rPr>
        <w:t>TRD</w:t>
      </w:r>
      <w:r w:rsidR="00AF6F87"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w:t>
      </w:r>
      <w:r w:rsidR="00AF6F87" w:rsidRPr="00CD2448">
        <w:rPr>
          <w:rFonts w:ascii="Arial" w:hAnsi="Arial" w:cs="Arial"/>
          <w:color w:val="000000" w:themeColor="text1"/>
          <w:sz w:val="20"/>
          <w:szCs w:val="20"/>
        </w:rPr>
        <w:t>healthy volunteer (</w:t>
      </w:r>
      <w:r w:rsidR="008B74B0" w:rsidRPr="00CD2448">
        <w:rPr>
          <w:rFonts w:ascii="Arial" w:hAnsi="Arial" w:cs="Arial"/>
          <w:color w:val="000000" w:themeColor="text1"/>
          <w:sz w:val="20"/>
          <w:szCs w:val="20"/>
        </w:rPr>
        <w:t>HV</w:t>
      </w:r>
      <w:r w:rsidR="00AF6F87"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per infusion. (B) Baseline log-transformed cytokine levels at Infusion 1 comparing NSAID users and non-users (Wilcoxon rank-sum; uncorrected p in orange, </w:t>
      </w:r>
      <w:r w:rsidR="00207BA7" w:rsidRPr="00CD2448">
        <w:rPr>
          <w:rFonts w:ascii="Arial" w:hAnsi="Arial" w:cs="Arial"/>
          <w:color w:val="000000" w:themeColor="text1"/>
          <w:sz w:val="20"/>
          <w:szCs w:val="20"/>
        </w:rPr>
        <w:t>Benjamini-Hochberg</w:t>
      </w:r>
      <w:r w:rsidR="008B74B0" w:rsidRPr="00CD2448">
        <w:rPr>
          <w:rFonts w:ascii="Arial" w:hAnsi="Arial" w:cs="Arial"/>
          <w:color w:val="000000" w:themeColor="text1"/>
          <w:sz w:val="20"/>
          <w:szCs w:val="20"/>
        </w:rPr>
        <w:t>-corrected p below; p&lt;0.05 threshold). Individual data points are colored by immune comorbidity diagnosis; grey points indicate no comorbidity.</w:t>
      </w:r>
    </w:p>
    <w:p w14:paraId="55281916" w14:textId="77777777" w:rsidR="008B74B0" w:rsidRPr="00CD2448" w:rsidRDefault="008B74B0" w:rsidP="008B74B0">
      <w:pPr>
        <w:jc w:val="both"/>
        <w:rPr>
          <w:rFonts w:ascii="Arial" w:hAnsi="Arial" w:cs="Arial"/>
          <w:color w:val="000000" w:themeColor="text1"/>
          <w:sz w:val="20"/>
          <w:szCs w:val="20"/>
        </w:rPr>
      </w:pPr>
    </w:p>
    <w:p w14:paraId="761C50A8" w14:textId="5A243E21" w:rsidR="008B74B0" w:rsidRPr="00CD2448" w:rsidRDefault="008B74B0" w:rsidP="008B74B0">
      <w:pPr>
        <w:jc w:val="both"/>
        <w:rPr>
          <w:rFonts w:ascii="Arial" w:hAnsi="Arial" w:cs="Arial"/>
          <w:color w:val="000000" w:themeColor="text1"/>
          <w:sz w:val="20"/>
          <w:szCs w:val="20"/>
        </w:rPr>
      </w:pPr>
      <w:r w:rsidRPr="00CD2448">
        <w:rPr>
          <w:rFonts w:ascii="Arial" w:hAnsi="Arial" w:cs="Arial"/>
          <w:noProof/>
          <w:color w:val="000000" w:themeColor="text1"/>
          <w:sz w:val="20"/>
          <w:szCs w:val="20"/>
          <w14:ligatures w14:val="standardContextual"/>
        </w:rPr>
        <w:lastRenderedPageBreak/>
        <w:drawing>
          <wp:anchor distT="0" distB="0" distL="114300" distR="114300" simplePos="0" relativeHeight="251666432" behindDoc="0" locked="0" layoutInCell="1" allowOverlap="1" wp14:anchorId="3B7066E2" wp14:editId="0833E84C">
            <wp:simplePos x="0" y="0"/>
            <wp:positionH relativeFrom="column">
              <wp:posOffset>0</wp:posOffset>
            </wp:positionH>
            <wp:positionV relativeFrom="paragraph">
              <wp:posOffset>-4867910</wp:posOffset>
            </wp:positionV>
            <wp:extent cx="6858000" cy="6546215"/>
            <wp:effectExtent l="0" t="0" r="0" b="0"/>
            <wp:wrapTight wrapText="bothSides">
              <wp:wrapPolygon edited="0">
                <wp:start x="0" y="0"/>
                <wp:lineTo x="0" y="21539"/>
                <wp:lineTo x="21560" y="21539"/>
                <wp:lineTo x="21560" y="0"/>
                <wp:lineTo x="0" y="0"/>
              </wp:wrapPolygon>
            </wp:wrapTight>
            <wp:docPr id="1537063081" name="Picture 2" descr="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063081" name="Picture 2" descr="Diagram&#10;&#10;AI-generated content may be incorrec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858000" cy="6546215"/>
                    </a:xfrm>
                    <a:prstGeom prst="rect">
                      <a:avLst/>
                    </a:prstGeom>
                  </pic:spPr>
                </pic:pic>
              </a:graphicData>
            </a:graphic>
          </wp:anchor>
        </w:drawing>
      </w:r>
    </w:p>
    <w:p w14:paraId="5CB620E3" w14:textId="458A8213" w:rsidR="00D17733" w:rsidRPr="00CD2448" w:rsidRDefault="00F32756" w:rsidP="00F84119">
      <w:pPr>
        <w:rPr>
          <w:rFonts w:ascii="Arial" w:hAnsi="Arial" w:cs="Arial"/>
          <w:color w:val="000000" w:themeColor="text1"/>
          <w:sz w:val="20"/>
          <w:szCs w:val="20"/>
        </w:rPr>
      </w:pPr>
      <w:r w:rsidRPr="00CD2448">
        <w:rPr>
          <w:rFonts w:ascii="Arial" w:hAnsi="Arial" w:cs="Arial"/>
          <w:b/>
          <w:bCs/>
          <w:color w:val="000000" w:themeColor="text1"/>
          <w:sz w:val="20"/>
          <w:szCs w:val="20"/>
        </w:rPr>
        <w:t xml:space="preserve">Supplementary </w:t>
      </w:r>
      <w:r w:rsidR="008B74B0" w:rsidRPr="00CD2448">
        <w:rPr>
          <w:rFonts w:ascii="Arial" w:hAnsi="Arial" w:cs="Arial"/>
          <w:b/>
          <w:bCs/>
          <w:color w:val="000000" w:themeColor="text1"/>
          <w:sz w:val="20"/>
          <w:szCs w:val="20"/>
        </w:rPr>
        <w:t>Figure S10. Sensitivity Analyses: Effects of NSAID Exposure and Immune Comorbidity on Cytokine Levels and Cytokine Moderation of Antidepressant Response.</w:t>
      </w:r>
      <w:r w:rsidR="008B74B0" w:rsidRPr="00CD2448">
        <w:rPr>
          <w:rFonts w:ascii="Arial" w:hAnsi="Arial" w:cs="Arial"/>
          <w:color w:val="000000" w:themeColor="text1"/>
          <w:sz w:val="20"/>
          <w:szCs w:val="20"/>
        </w:rPr>
        <w:t xml:space="preserve"> </w:t>
      </w:r>
      <w:r w:rsidR="008B74B0" w:rsidRPr="00CD2448">
        <w:rPr>
          <w:rFonts w:ascii="Arial" w:hAnsi="Arial" w:cs="Arial"/>
          <w:b/>
          <w:bCs/>
          <w:color w:val="000000" w:themeColor="text1"/>
          <w:sz w:val="20"/>
          <w:szCs w:val="20"/>
        </w:rPr>
        <w:t>(A)</w:t>
      </w:r>
      <w:r w:rsidR="008B74B0" w:rsidRPr="00CD2448">
        <w:rPr>
          <w:rFonts w:ascii="Arial" w:hAnsi="Arial" w:cs="Arial"/>
          <w:color w:val="000000" w:themeColor="text1"/>
          <w:sz w:val="20"/>
          <w:szCs w:val="20"/>
        </w:rPr>
        <w:t xml:space="preserve"> Standardized effect sizes for </w:t>
      </w:r>
      <w:r w:rsidR="00CE67FE" w:rsidRPr="00CD2448">
        <w:rPr>
          <w:rFonts w:ascii="Arial" w:hAnsi="Arial" w:cs="Arial"/>
          <w:color w:val="000000" w:themeColor="text1"/>
          <w:sz w:val="20"/>
          <w:szCs w:val="20"/>
        </w:rPr>
        <w:t xml:space="preserve">Assessment of </w:t>
      </w:r>
      <w:proofErr w:type="spellStart"/>
      <w:r w:rsidR="00CE67FE" w:rsidRPr="00CD2448">
        <w:rPr>
          <w:rFonts w:ascii="Arial" w:hAnsi="Arial" w:cs="Arial"/>
          <w:color w:val="000000" w:themeColor="text1"/>
          <w:sz w:val="20"/>
          <w:szCs w:val="20"/>
        </w:rPr>
        <w:t>SpondyloArthritis</w:t>
      </w:r>
      <w:proofErr w:type="spellEnd"/>
      <w:r w:rsidR="00CE67FE" w:rsidRPr="00CD2448">
        <w:rPr>
          <w:rFonts w:ascii="Arial" w:hAnsi="Arial" w:cs="Arial"/>
          <w:color w:val="000000" w:themeColor="text1"/>
          <w:sz w:val="20"/>
          <w:szCs w:val="20"/>
        </w:rPr>
        <w:t xml:space="preserve"> International Society NSAID (</w:t>
      </w:r>
      <w:r w:rsidR="008B74B0" w:rsidRPr="00CD2448">
        <w:rPr>
          <w:rFonts w:ascii="Arial" w:hAnsi="Arial" w:cs="Arial"/>
          <w:color w:val="000000" w:themeColor="text1"/>
          <w:sz w:val="20"/>
          <w:szCs w:val="20"/>
        </w:rPr>
        <w:t>ASAS-NSAID</w:t>
      </w:r>
      <w:r w:rsidR="00CE67FE"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score on baseline cytokine levels (Baseline) and Treatment × ASAS interaction on cytokine trajectories (Full Study), controlling for age, sex, and </w:t>
      </w:r>
      <w:r w:rsidR="004C0CC8" w:rsidRPr="00CD2448">
        <w:rPr>
          <w:rFonts w:ascii="Arial" w:hAnsi="Arial" w:cs="Arial"/>
          <w:color w:val="000000" w:themeColor="text1"/>
          <w:sz w:val="20"/>
          <w:szCs w:val="20"/>
        </w:rPr>
        <w:t>body-mass index (</w:t>
      </w:r>
      <w:r w:rsidR="008B74B0" w:rsidRPr="00CD2448">
        <w:rPr>
          <w:rFonts w:ascii="Arial" w:hAnsi="Arial" w:cs="Arial"/>
          <w:color w:val="000000" w:themeColor="text1"/>
          <w:sz w:val="20"/>
          <w:szCs w:val="20"/>
        </w:rPr>
        <w:t>BMI</w:t>
      </w:r>
      <w:r w:rsidR="004C0CC8"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w:t>
      </w:r>
      <w:r w:rsidR="008B74B0" w:rsidRPr="00CD2448">
        <w:rPr>
          <w:rFonts w:ascii="Arial" w:hAnsi="Arial" w:cs="Arial"/>
          <w:b/>
          <w:bCs/>
          <w:color w:val="000000" w:themeColor="text1"/>
          <w:sz w:val="20"/>
          <w:szCs w:val="20"/>
        </w:rPr>
        <w:t>(B)</w:t>
      </w:r>
      <w:r w:rsidR="008B74B0" w:rsidRPr="00CD2448">
        <w:rPr>
          <w:rFonts w:ascii="Arial" w:hAnsi="Arial" w:cs="Arial"/>
          <w:color w:val="000000" w:themeColor="text1"/>
          <w:sz w:val="20"/>
          <w:szCs w:val="20"/>
        </w:rPr>
        <w:t xml:space="preserve"> Equivalent models substituting immune comorbidity flag (exploratory; n=4). </w:t>
      </w:r>
      <w:r w:rsidR="008B74B0" w:rsidRPr="00CD2448">
        <w:rPr>
          <w:rFonts w:ascii="Arial" w:hAnsi="Arial" w:cs="Arial"/>
          <w:b/>
          <w:bCs/>
          <w:color w:val="000000" w:themeColor="text1"/>
          <w:sz w:val="20"/>
          <w:szCs w:val="20"/>
        </w:rPr>
        <w:t>(C–D)</w:t>
      </w:r>
      <w:r w:rsidR="008B74B0" w:rsidRPr="00CD2448">
        <w:rPr>
          <w:rFonts w:ascii="Arial" w:hAnsi="Arial" w:cs="Arial"/>
          <w:color w:val="000000" w:themeColor="text1"/>
          <w:sz w:val="20"/>
          <w:szCs w:val="20"/>
        </w:rPr>
        <w:t xml:space="preserve"> Cytokine × Treatment interaction effects on </w:t>
      </w:r>
      <w:r w:rsidR="00281B63" w:rsidRPr="00CD2448">
        <w:rPr>
          <w:rFonts w:ascii="Arial" w:hAnsi="Arial" w:cs="Arial"/>
          <w:color w:val="000000" w:themeColor="text1"/>
          <w:sz w:val="20"/>
          <w:szCs w:val="20"/>
        </w:rPr>
        <w:t>Montgomery-</w:t>
      </w:r>
      <w:proofErr w:type="spellStart"/>
      <w:r w:rsidR="00281B63" w:rsidRPr="00CD2448">
        <w:rPr>
          <w:rFonts w:ascii="Arial" w:hAnsi="Arial" w:cs="Arial"/>
          <w:color w:val="000000" w:themeColor="text1"/>
          <w:sz w:val="20"/>
          <w:szCs w:val="20"/>
        </w:rPr>
        <w:t>Asberg</w:t>
      </w:r>
      <w:proofErr w:type="spellEnd"/>
      <w:r w:rsidR="00281B63" w:rsidRPr="00CD2448">
        <w:rPr>
          <w:rFonts w:ascii="Arial" w:hAnsi="Arial" w:cs="Arial"/>
          <w:color w:val="000000" w:themeColor="text1"/>
          <w:sz w:val="20"/>
          <w:szCs w:val="20"/>
        </w:rPr>
        <w:t xml:space="preserve"> Depression Rating Scale (</w:t>
      </w:r>
      <w:r w:rsidR="008B74B0" w:rsidRPr="00CD2448">
        <w:rPr>
          <w:rFonts w:ascii="Arial" w:hAnsi="Arial" w:cs="Arial"/>
          <w:color w:val="000000" w:themeColor="text1"/>
          <w:sz w:val="20"/>
          <w:szCs w:val="20"/>
        </w:rPr>
        <w:t>MADRS</w:t>
      </w:r>
      <w:r w:rsidR="00281B63"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with ASAS score </w:t>
      </w:r>
      <w:r w:rsidR="008B74B0" w:rsidRPr="00CD2448">
        <w:rPr>
          <w:rFonts w:ascii="Arial" w:hAnsi="Arial" w:cs="Arial"/>
          <w:b/>
          <w:bCs/>
          <w:color w:val="000000" w:themeColor="text1"/>
          <w:sz w:val="20"/>
          <w:szCs w:val="20"/>
        </w:rPr>
        <w:t>(C)</w:t>
      </w:r>
      <w:r w:rsidR="008B74B0" w:rsidRPr="00CD2448">
        <w:rPr>
          <w:rFonts w:ascii="Arial" w:hAnsi="Arial" w:cs="Arial"/>
          <w:color w:val="000000" w:themeColor="text1"/>
          <w:sz w:val="20"/>
          <w:szCs w:val="20"/>
        </w:rPr>
        <w:t xml:space="preserve"> or comorbidity </w:t>
      </w:r>
      <w:r w:rsidR="008B74B0" w:rsidRPr="00CD2448">
        <w:rPr>
          <w:rFonts w:ascii="Arial" w:hAnsi="Arial" w:cs="Arial"/>
          <w:b/>
          <w:bCs/>
          <w:color w:val="000000" w:themeColor="text1"/>
          <w:sz w:val="20"/>
          <w:szCs w:val="20"/>
        </w:rPr>
        <w:t>(D)</w:t>
      </w:r>
      <w:r w:rsidR="008B74B0" w:rsidRPr="00CD2448">
        <w:rPr>
          <w:rFonts w:ascii="Arial" w:hAnsi="Arial" w:cs="Arial"/>
          <w:color w:val="000000" w:themeColor="text1"/>
          <w:sz w:val="20"/>
          <w:szCs w:val="20"/>
        </w:rPr>
        <w:t xml:space="preserve"> entered as covariates; left panels show baseline cytokine interactions, right panels show full-study interactions. </w:t>
      </w:r>
      <w:r w:rsidR="008B74B0" w:rsidRPr="00CD2448">
        <w:rPr>
          <w:rFonts w:ascii="Arial" w:hAnsi="Arial" w:cs="Arial"/>
          <w:b/>
          <w:bCs/>
          <w:color w:val="000000" w:themeColor="text1"/>
          <w:sz w:val="20"/>
          <w:szCs w:val="20"/>
        </w:rPr>
        <w:t>(E–F</w:t>
      </w:r>
      <w:r w:rsidR="008B74B0" w:rsidRPr="00CD2448">
        <w:rPr>
          <w:rFonts w:ascii="Arial" w:hAnsi="Arial" w:cs="Arial"/>
          <w:color w:val="000000" w:themeColor="text1"/>
          <w:sz w:val="20"/>
          <w:szCs w:val="20"/>
        </w:rPr>
        <w:t xml:space="preserve">) Fixed effects of ASAS score </w:t>
      </w:r>
      <w:r w:rsidR="008B74B0" w:rsidRPr="00CD2448">
        <w:rPr>
          <w:rFonts w:ascii="Arial" w:hAnsi="Arial" w:cs="Arial"/>
          <w:b/>
          <w:bCs/>
          <w:color w:val="000000" w:themeColor="text1"/>
          <w:sz w:val="20"/>
          <w:szCs w:val="20"/>
        </w:rPr>
        <w:t>(E)</w:t>
      </w:r>
      <w:r w:rsidR="008B74B0" w:rsidRPr="00CD2448">
        <w:rPr>
          <w:rFonts w:ascii="Arial" w:hAnsi="Arial" w:cs="Arial"/>
          <w:color w:val="000000" w:themeColor="text1"/>
          <w:sz w:val="20"/>
          <w:szCs w:val="20"/>
        </w:rPr>
        <w:t xml:space="preserve"> and comorbidity </w:t>
      </w:r>
      <w:r w:rsidR="008B74B0" w:rsidRPr="00CD2448">
        <w:rPr>
          <w:rFonts w:ascii="Arial" w:hAnsi="Arial" w:cs="Arial"/>
          <w:b/>
          <w:bCs/>
          <w:color w:val="000000" w:themeColor="text1"/>
          <w:sz w:val="20"/>
          <w:szCs w:val="20"/>
        </w:rPr>
        <w:t>(F)</w:t>
      </w:r>
      <w:r w:rsidR="008B74B0" w:rsidRPr="00CD2448">
        <w:rPr>
          <w:rFonts w:ascii="Arial" w:hAnsi="Arial" w:cs="Arial"/>
          <w:color w:val="000000" w:themeColor="text1"/>
          <w:sz w:val="20"/>
          <w:szCs w:val="20"/>
        </w:rPr>
        <w:t xml:space="preserve"> on MADRS </w:t>
      </w:r>
      <w:r w:rsidR="00B8699B" w:rsidRPr="00CD2448">
        <w:rPr>
          <w:rFonts w:ascii="Arial" w:hAnsi="Arial" w:cs="Arial"/>
          <w:color w:val="000000" w:themeColor="text1"/>
          <w:sz w:val="20"/>
          <w:szCs w:val="20"/>
        </w:rPr>
        <w:t xml:space="preserve">score </w:t>
      </w:r>
      <w:r w:rsidR="008B74B0" w:rsidRPr="00CD2448">
        <w:rPr>
          <w:rFonts w:ascii="Arial" w:hAnsi="Arial" w:cs="Arial"/>
          <w:color w:val="000000" w:themeColor="text1"/>
          <w:sz w:val="20"/>
          <w:szCs w:val="20"/>
        </w:rPr>
        <w:t xml:space="preserve">extracted from the same models. </w:t>
      </w:r>
      <w:r w:rsidR="008B74B0" w:rsidRPr="00CD2448">
        <w:rPr>
          <w:rFonts w:ascii="Arial" w:hAnsi="Arial" w:cs="Arial"/>
          <w:b/>
          <w:bCs/>
          <w:color w:val="000000" w:themeColor="text1"/>
          <w:sz w:val="20"/>
          <w:szCs w:val="20"/>
        </w:rPr>
        <w:t>(G–I)</w:t>
      </w:r>
      <w:r w:rsidR="008B74B0" w:rsidRPr="00CD2448">
        <w:rPr>
          <w:rFonts w:ascii="Arial" w:hAnsi="Arial" w:cs="Arial"/>
          <w:color w:val="000000" w:themeColor="text1"/>
          <w:sz w:val="20"/>
          <w:szCs w:val="20"/>
        </w:rPr>
        <w:t xml:space="preserve"> Combined models including both ASAS score and comorbidity simultaneously: cytokine × treatment interactions </w:t>
      </w:r>
      <w:r w:rsidR="008B74B0" w:rsidRPr="00CD2448">
        <w:rPr>
          <w:rFonts w:ascii="Arial" w:hAnsi="Arial" w:cs="Arial"/>
          <w:b/>
          <w:bCs/>
          <w:color w:val="000000" w:themeColor="text1"/>
          <w:sz w:val="20"/>
          <w:szCs w:val="20"/>
        </w:rPr>
        <w:t>(G)</w:t>
      </w:r>
      <w:r w:rsidR="008B74B0" w:rsidRPr="00CD2448">
        <w:rPr>
          <w:rFonts w:ascii="Arial" w:hAnsi="Arial" w:cs="Arial"/>
          <w:color w:val="000000" w:themeColor="text1"/>
          <w:sz w:val="20"/>
          <w:szCs w:val="20"/>
        </w:rPr>
        <w:t xml:space="preserve">, ASAS fixed effects </w:t>
      </w:r>
      <w:r w:rsidR="008B74B0" w:rsidRPr="00CD2448">
        <w:rPr>
          <w:rFonts w:ascii="Arial" w:hAnsi="Arial" w:cs="Arial"/>
          <w:b/>
          <w:bCs/>
          <w:color w:val="000000" w:themeColor="text1"/>
          <w:sz w:val="20"/>
          <w:szCs w:val="20"/>
        </w:rPr>
        <w:t>(H)</w:t>
      </w:r>
      <w:r w:rsidR="008B74B0" w:rsidRPr="00CD2448">
        <w:rPr>
          <w:rFonts w:ascii="Arial" w:hAnsi="Arial" w:cs="Arial"/>
          <w:color w:val="000000" w:themeColor="text1"/>
          <w:sz w:val="20"/>
          <w:szCs w:val="20"/>
        </w:rPr>
        <w:t xml:space="preserve">, and comorbidity fixed effects </w:t>
      </w:r>
      <w:r w:rsidR="008B74B0" w:rsidRPr="00CD2448">
        <w:rPr>
          <w:rFonts w:ascii="Arial" w:hAnsi="Arial" w:cs="Arial"/>
          <w:b/>
          <w:bCs/>
          <w:color w:val="000000" w:themeColor="text1"/>
          <w:sz w:val="20"/>
          <w:szCs w:val="20"/>
        </w:rPr>
        <w:t>(I)</w:t>
      </w:r>
      <w:r w:rsidR="008B74B0" w:rsidRPr="00CD2448">
        <w:rPr>
          <w:rFonts w:ascii="Arial" w:hAnsi="Arial" w:cs="Arial"/>
          <w:color w:val="000000" w:themeColor="text1"/>
          <w:sz w:val="20"/>
          <w:szCs w:val="20"/>
        </w:rPr>
        <w:t>. All models control</w:t>
      </w:r>
      <w:r w:rsidR="00690DA1" w:rsidRPr="00CD2448">
        <w:rPr>
          <w:rFonts w:ascii="Arial" w:hAnsi="Arial" w:cs="Arial"/>
          <w:color w:val="000000" w:themeColor="text1"/>
          <w:sz w:val="20"/>
          <w:szCs w:val="20"/>
        </w:rPr>
        <w:t>led</w:t>
      </w:r>
      <w:r w:rsidR="008B74B0" w:rsidRPr="00CD2448">
        <w:rPr>
          <w:rFonts w:ascii="Arial" w:hAnsi="Arial" w:cs="Arial"/>
          <w:color w:val="000000" w:themeColor="text1"/>
          <w:sz w:val="20"/>
          <w:szCs w:val="20"/>
        </w:rPr>
        <w:t xml:space="preserve"> for age, sex, BMI, infusion order, and timepoint. p&lt;0.05 labeled in respective panel colors; comorbidity analyses are exploratory</w:t>
      </w:r>
      <w:r w:rsidR="00690DA1" w:rsidRPr="00CD2448">
        <w:rPr>
          <w:rFonts w:ascii="Arial" w:hAnsi="Arial" w:cs="Arial"/>
          <w:color w:val="000000" w:themeColor="text1"/>
          <w:sz w:val="20"/>
          <w:szCs w:val="20"/>
        </w:rPr>
        <w:t>,</w:t>
      </w:r>
      <w:r w:rsidR="008B74B0" w:rsidRPr="00CD2448">
        <w:rPr>
          <w:rFonts w:ascii="Arial" w:hAnsi="Arial" w:cs="Arial"/>
          <w:color w:val="000000" w:themeColor="text1"/>
          <w:sz w:val="20"/>
          <w:szCs w:val="20"/>
        </w:rPr>
        <w:t xml:space="preserve"> given </w:t>
      </w:r>
      <w:r w:rsidR="00B8699B" w:rsidRPr="00CD2448">
        <w:rPr>
          <w:rFonts w:ascii="Arial" w:hAnsi="Arial" w:cs="Arial"/>
          <w:color w:val="000000" w:themeColor="text1"/>
          <w:sz w:val="20"/>
          <w:szCs w:val="20"/>
        </w:rPr>
        <w:t xml:space="preserve">that </w:t>
      </w:r>
      <w:r w:rsidR="00CB36ED" w:rsidRPr="00CD2448">
        <w:rPr>
          <w:rFonts w:ascii="Arial" w:hAnsi="Arial" w:cs="Arial"/>
          <w:color w:val="000000" w:themeColor="text1"/>
          <w:sz w:val="20"/>
          <w:szCs w:val="20"/>
        </w:rPr>
        <w:t xml:space="preserve">only </w:t>
      </w:r>
      <w:r w:rsidR="008B74B0" w:rsidRPr="00CD2448">
        <w:rPr>
          <w:rFonts w:ascii="Arial" w:hAnsi="Arial" w:cs="Arial"/>
          <w:color w:val="000000" w:themeColor="text1"/>
          <w:sz w:val="20"/>
          <w:szCs w:val="20"/>
        </w:rPr>
        <w:t>n=4</w:t>
      </w:r>
      <w:r w:rsidR="00CB36ED" w:rsidRPr="00CD2448">
        <w:rPr>
          <w:rFonts w:ascii="Arial" w:hAnsi="Arial" w:cs="Arial"/>
          <w:color w:val="000000" w:themeColor="text1"/>
          <w:sz w:val="20"/>
          <w:szCs w:val="20"/>
        </w:rPr>
        <w:t xml:space="preserve"> patients had comorbid immune-related illnesses</w:t>
      </w:r>
      <w:r w:rsidR="008B74B0" w:rsidRPr="00CD2448">
        <w:rPr>
          <w:rFonts w:ascii="Arial" w:hAnsi="Arial" w:cs="Arial"/>
          <w:color w:val="000000" w:themeColor="text1"/>
          <w:sz w:val="20"/>
          <w:szCs w:val="20"/>
        </w:rPr>
        <w:t>.</w:t>
      </w:r>
    </w:p>
    <w:p w14:paraId="13CBA451" w14:textId="77777777" w:rsidR="00D17733" w:rsidRPr="00CD2448" w:rsidRDefault="00D17733" w:rsidP="00F84119">
      <w:pPr>
        <w:rPr>
          <w:rFonts w:ascii="Arial" w:hAnsi="Arial" w:cs="Arial"/>
          <w:color w:val="000000" w:themeColor="text1"/>
          <w:sz w:val="20"/>
          <w:szCs w:val="20"/>
        </w:rPr>
      </w:pPr>
    </w:p>
    <w:p w14:paraId="140E3A74" w14:textId="77777777" w:rsidR="00690DA1" w:rsidRPr="00CD2448" w:rsidRDefault="00690DA1" w:rsidP="00F84119">
      <w:pPr>
        <w:rPr>
          <w:rFonts w:ascii="Arial" w:hAnsi="Arial" w:cs="Arial"/>
          <w:i/>
          <w:iCs/>
          <w:color w:val="000000" w:themeColor="text1"/>
          <w:sz w:val="22"/>
          <w:szCs w:val="22"/>
        </w:rPr>
      </w:pPr>
      <w:bookmarkStart w:id="56" w:name="OLE_LINK52"/>
    </w:p>
    <w:p w14:paraId="71C6F195" w14:textId="77777777" w:rsidR="00690DA1" w:rsidRPr="00CD2448" w:rsidRDefault="00690DA1" w:rsidP="00F84119">
      <w:pPr>
        <w:rPr>
          <w:rFonts w:ascii="Arial" w:hAnsi="Arial" w:cs="Arial"/>
          <w:i/>
          <w:iCs/>
          <w:color w:val="000000" w:themeColor="text1"/>
          <w:sz w:val="22"/>
          <w:szCs w:val="22"/>
        </w:rPr>
      </w:pPr>
    </w:p>
    <w:bookmarkEnd w:id="56"/>
    <w:p w14:paraId="0E326195" w14:textId="77446AE4" w:rsidR="00534AD9" w:rsidRPr="00CD2448" w:rsidRDefault="00534AD9" w:rsidP="008B74B0">
      <w:pPr>
        <w:jc w:val="both"/>
        <w:rPr>
          <w:rFonts w:ascii="Arial" w:hAnsi="Arial" w:cs="Arial"/>
          <w:color w:val="000000" w:themeColor="text1"/>
          <w:sz w:val="20"/>
          <w:szCs w:val="20"/>
        </w:rPr>
      </w:pPr>
    </w:p>
    <w:p w14:paraId="4601D9ED" w14:textId="35E57C2D" w:rsidR="00FD398D" w:rsidRPr="00CD2448" w:rsidRDefault="00660ACD" w:rsidP="00FD398D">
      <w:pPr>
        <w:jc w:val="both"/>
        <w:rPr>
          <w:rFonts w:ascii="Arial" w:hAnsi="Arial" w:cs="Arial"/>
          <w:b/>
          <w:bCs/>
          <w:color w:val="000000" w:themeColor="text1"/>
          <w:sz w:val="28"/>
          <w:szCs w:val="28"/>
        </w:rPr>
      </w:pPr>
      <w:r w:rsidRPr="00CD2448">
        <w:rPr>
          <w:rFonts w:ascii="Arial" w:hAnsi="Arial" w:cs="Arial"/>
          <w:b/>
          <w:bCs/>
          <w:color w:val="000000" w:themeColor="text1"/>
          <w:sz w:val="28"/>
          <w:szCs w:val="28"/>
        </w:rPr>
        <w:t xml:space="preserve">Supplementary Discussion </w:t>
      </w:r>
    </w:p>
    <w:p w14:paraId="2D3391DC" w14:textId="3FD991D4" w:rsidR="00FD398D" w:rsidRPr="00CD2448" w:rsidRDefault="00FD398D" w:rsidP="00FD398D">
      <w:pPr>
        <w:jc w:val="both"/>
        <w:rPr>
          <w:rFonts w:ascii="Arial" w:hAnsi="Arial" w:cs="Arial"/>
          <w:b/>
          <w:bCs/>
          <w:color w:val="000000" w:themeColor="text1"/>
          <w:sz w:val="20"/>
          <w:szCs w:val="20"/>
        </w:rPr>
      </w:pPr>
    </w:p>
    <w:p w14:paraId="74C6E319" w14:textId="0C5A8F5A" w:rsidR="00FD398D" w:rsidRPr="00CD2448" w:rsidRDefault="00FD398D" w:rsidP="00FD398D">
      <w:pPr>
        <w:jc w:val="both"/>
        <w:rPr>
          <w:rFonts w:ascii="Arial" w:hAnsi="Arial" w:cs="Arial"/>
          <w:b/>
          <w:bCs/>
          <w:color w:val="000000" w:themeColor="text1"/>
          <w:sz w:val="20"/>
          <w:szCs w:val="20"/>
        </w:rPr>
      </w:pPr>
      <w:r w:rsidRPr="00CD2448">
        <w:rPr>
          <w:rFonts w:ascii="Arial" w:hAnsi="Arial" w:cs="Arial"/>
          <w:i/>
          <w:iCs/>
          <w:color w:val="000000" w:themeColor="text1"/>
          <w:sz w:val="22"/>
          <w:szCs w:val="22"/>
        </w:rPr>
        <w:t xml:space="preserve">Extended Clinical Correlates Supporting the IL-15/IL-7 Framework </w:t>
      </w:r>
    </w:p>
    <w:p w14:paraId="2B45EE8A" w14:textId="4BB60280" w:rsidR="00FD398D" w:rsidRPr="00CD2448" w:rsidRDefault="007A2C5E" w:rsidP="009F639A">
      <w:pPr>
        <w:ind w:firstLine="720"/>
        <w:rPr>
          <w:rFonts w:ascii="Arial" w:hAnsi="Arial" w:cs="Arial"/>
          <w:color w:val="000000" w:themeColor="text1"/>
          <w:sz w:val="22"/>
          <w:szCs w:val="22"/>
        </w:rPr>
      </w:pPr>
      <w:r w:rsidRPr="00CD2448">
        <w:rPr>
          <w:rFonts w:ascii="Arial" w:hAnsi="Arial" w:cs="Arial"/>
          <w:color w:val="000000" w:themeColor="text1"/>
          <w:sz w:val="22"/>
          <w:szCs w:val="22"/>
        </w:rPr>
        <w:t>O</w:t>
      </w:r>
      <w:r w:rsidR="00FD398D" w:rsidRPr="00CD2448">
        <w:rPr>
          <w:rFonts w:ascii="Arial" w:hAnsi="Arial" w:cs="Arial"/>
          <w:color w:val="000000" w:themeColor="text1"/>
          <w:sz w:val="22"/>
          <w:szCs w:val="22"/>
        </w:rPr>
        <w:t>ur iPSC-CSF overlap network showed significant enrichment of bone-related terms alongside IL-15 production (</w:t>
      </w:r>
      <w:r w:rsidR="00FD398D" w:rsidRPr="00CD2448">
        <w:rPr>
          <w:rFonts w:ascii="Arial" w:hAnsi="Arial" w:cs="Arial"/>
          <w:b/>
          <w:bCs/>
          <w:color w:val="000000" w:themeColor="text1"/>
          <w:sz w:val="22"/>
          <w:szCs w:val="22"/>
        </w:rPr>
        <w:t>Fig.2e</w:t>
      </w:r>
      <w:r w:rsidR="00FD398D" w:rsidRPr="00CD2448">
        <w:rPr>
          <w:rFonts w:ascii="Arial" w:hAnsi="Arial" w:cs="Arial"/>
          <w:color w:val="000000" w:themeColor="text1"/>
          <w:sz w:val="22"/>
          <w:szCs w:val="22"/>
        </w:rPr>
        <w:t xml:space="preserve">). Clinical depression has consistently been linked with reduced bone mineral density </w:t>
      </w:r>
      <w:r w:rsidR="00FD398D" w:rsidRPr="00CD2448">
        <w:rPr>
          <w:rFonts w:ascii="Arial" w:hAnsi="Arial" w:cs="Arial"/>
          <w:color w:val="000000" w:themeColor="text1"/>
          <w:sz w:val="22"/>
        </w:rPr>
        <w:fldChar w:fldCharType="begin">
          <w:fldData xml:space="preserve">PEVuZE5vdGU+PENpdGUgRXhjbHVkZVllYXI9IjEiPjxBdXRob3I+Q2l6emE8L0F1dGhvcj48WWVh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</w:fldData>
        </w:fldChar>
      </w:r>
      <w:r w:rsidR="00C41394" w:rsidRPr="00CD2448">
        <w:rPr>
          <w:rFonts w:ascii="Arial" w:hAnsi="Arial" w:cs="Arial"/>
          <w:color w:val="000000" w:themeColor="text1"/>
          <w:sz w:val="22"/>
        </w:rPr>
        <w:instrText xml:space="preserve"> ADDIN EN.CITE </w:instrText>
      </w:r>
      <w:r w:rsidR="00C41394" w:rsidRPr="00CD2448">
        <w:rPr>
          <w:rFonts w:ascii="Arial" w:hAnsi="Arial" w:cs="Arial"/>
          <w:color w:val="000000" w:themeColor="text1"/>
          <w:sz w:val="22"/>
        </w:rPr>
        <w:fldChar w:fldCharType="begin">
          <w:fldData xml:space="preserve">PEVuZE5vdGU+PENpdGUgRXhjbHVkZVllYXI9IjEiPjxBdXRob3I+Q2l6emE8L0F1dGhvcj48WWVh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</w:fldData>
        </w:fldChar>
      </w:r>
      <w:r w:rsidR="00C41394" w:rsidRPr="00CD2448">
        <w:rPr>
          <w:rFonts w:ascii="Arial" w:hAnsi="Arial" w:cs="Arial"/>
          <w:color w:val="000000" w:themeColor="text1"/>
          <w:sz w:val="22"/>
        </w:rPr>
        <w:instrText xml:space="preserve"> ADDIN EN.CITE.DATA </w:instrText>
      </w:r>
      <w:r w:rsidR="00C41394" w:rsidRPr="00CD2448">
        <w:rPr>
          <w:rFonts w:ascii="Arial" w:hAnsi="Arial" w:cs="Arial"/>
          <w:color w:val="000000" w:themeColor="text1"/>
          <w:sz w:val="22"/>
        </w:rPr>
      </w:r>
      <w:r w:rsidR="00C41394" w:rsidRPr="00CD2448">
        <w:rPr>
          <w:rFonts w:ascii="Arial" w:hAnsi="Arial" w:cs="Arial"/>
          <w:color w:val="000000" w:themeColor="text1"/>
          <w:sz w:val="22"/>
        </w:rPr>
        <w:fldChar w:fldCharType="end"/>
      </w:r>
      <w:r w:rsidR="00FD398D" w:rsidRPr="00CD2448">
        <w:rPr>
          <w:rFonts w:ascii="Arial" w:hAnsi="Arial" w:cs="Arial"/>
          <w:color w:val="000000" w:themeColor="text1"/>
          <w:sz w:val="22"/>
        </w:rPr>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[45, 46]</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and a previous study from our laboratory found that ketamine exerted putatively beneficial shifts in bone metabolic markers in individuals with TRD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ExcludeYear="1"&gt;&lt;Author&gt;Kadriu&lt;/Author&gt;&lt;Year&gt;2018&lt;/Year&gt;&lt;RecNum&gt;81&lt;/RecNum&gt;&lt;DisplayText&gt;[47]&lt;/DisplayText&gt;&lt;record&gt;&lt;rec-number&gt;81&lt;/rec-number&gt;&lt;foreign-keys&gt;&lt;key app="EN" db-id="dzsadpavbdaf27ef9zmxw006vzddp0epfpxa" timestamp="1759159643"&gt;81&lt;/key&gt;&lt;/foreign-keys&gt;&lt;ref-type name="Journal Article"&gt;17&lt;/ref-type&gt;&lt;contributors&gt;&lt;authors&gt;&lt;author&gt;Kadriu, Bashkim&lt;/author&gt;&lt;author&gt;Gold, Philip W.&lt;/author&gt;&lt;author&gt;Luckenbaugh, David A.&lt;/author&gt;&lt;author&gt;Lener, Marc S.&lt;/author&gt;&lt;author&gt;Ballard, Elizabeth D.&lt;/author&gt;&lt;author&gt;Niciu, Mark J.&lt;/author&gt;&lt;author&gt;Henter, Ioline D.&lt;/author&gt;&lt;author&gt;Park, Lawrence T.&lt;/author&gt;&lt;author&gt;De Sousa, Rafael Teixeira&lt;/author&gt;&lt;author&gt;Yuan, Peixiong&lt;/author&gt;&lt;author&gt;Machado-Vieira, Rodrigo&lt;/author&gt;&lt;author&gt;Zarate, Carlos A.&lt;/author&gt;&lt;/authors&gt;&lt;/contributors&gt;&lt;titles&gt;&lt;title&gt;Acute ketamine administration corrects abnormal inflammatory bone markers in major depressive disorder&lt;/title&gt;&lt;secondary-title&gt;Mol Psychiatry&lt;/secondary-title&gt;&lt;alt-title&gt;Mol Psychiatry&lt;/alt-title&gt;&lt;/titles&gt;&lt;periodical&gt;&lt;full-title&gt;Molecular Psychiatry&lt;/full-title&gt;&lt;abbr-1&gt;Mol Psychiatry&lt;/abbr-1&gt;&lt;/periodical&gt;&lt;alt-periodical&gt;&lt;full-title&gt;Molecular Psychiatry&lt;/full-title&gt;&lt;abbr-1&gt;Mol Psychiatry&lt;/abbr-1&gt;&lt;/alt-periodical&gt;&lt;pages&gt;1626-1631&lt;/pages&gt;&lt;volume&gt;23&lt;/volume&gt;&lt;number&gt;7&lt;/number&gt;&lt;dates&gt;&lt;year&gt;2018&lt;/year&gt;&lt;pub-dates&gt;&lt;date&gt;2018/07//&lt;/date&gt;&lt;/pub-dates&gt;&lt;/dates&gt;&lt;isbn&gt;1359-4184&lt;/isbn&gt;&lt;urls&gt;&lt;related-urls&gt;&lt;url&gt;https://www.ncbi.nlm.nih.gov/pmc/articles/PMC5709243/&lt;/url&gt;&lt;/related-urls&gt;&lt;/urls&gt;&lt;electronic-resource-num&gt;10.1038/mp.2017.109&lt;/electronic-resource-num&gt;&lt;remote-database-provider&gt;PubMed Central&lt;/remote-database-provider&gt;&lt;access-date&gt;2023/10/21/23:24:32&lt;/access-date&gt;&lt;/record&gt;&lt;/Cite&gt;&lt;/EndNote&gt;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[47]</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This may relate directly to IL-15 signaling, as transgenic mice overexpressing circulating IL-15 also display increased bone mineral density </w:t>
      </w:r>
      <w:r w:rsidR="00FD398D" w:rsidRPr="00CD2448">
        <w:rPr>
          <w:rFonts w:ascii="Arial" w:hAnsi="Arial" w:cs="Arial"/>
          <w:color w:val="000000" w:themeColor="text1"/>
          <w:sz w:val="22"/>
        </w:rPr>
        <w:fldChar w:fldCharType="begin">
          <w:fldData xml:space="preserve">PEVuZE5vdGU+PENpdGUgRXhjbHVkZVllYXI9IjEiPjxBdXRob3I+UXVpbm48L0F1dGhvcj48WWVh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</w:fldData>
        </w:fldChar>
      </w:r>
      <w:r w:rsidR="00C41394" w:rsidRPr="00CD2448">
        <w:rPr>
          <w:rFonts w:ascii="Arial" w:hAnsi="Arial" w:cs="Arial"/>
          <w:color w:val="000000" w:themeColor="text1"/>
          <w:sz w:val="22"/>
        </w:rPr>
        <w:instrText xml:space="preserve"> ADDIN EN.CITE </w:instrText>
      </w:r>
      <w:r w:rsidR="00C41394" w:rsidRPr="00CD2448">
        <w:rPr>
          <w:rFonts w:ascii="Arial" w:hAnsi="Arial" w:cs="Arial"/>
          <w:color w:val="000000" w:themeColor="text1"/>
          <w:sz w:val="22"/>
        </w:rPr>
        <w:fldChar w:fldCharType="begin">
          <w:fldData xml:space="preserve">PEVuZE5vdGU+PENpdGUgRXhjbHVkZVllYXI9IjEiPjxBdXRob3I+UXVpbm48L0F1dGhvcj48WWVh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</w:fldData>
        </w:fldChar>
      </w:r>
      <w:r w:rsidR="00C41394" w:rsidRPr="00CD2448">
        <w:rPr>
          <w:rFonts w:ascii="Arial" w:hAnsi="Arial" w:cs="Arial"/>
          <w:color w:val="000000" w:themeColor="text1"/>
          <w:sz w:val="22"/>
        </w:rPr>
        <w:instrText xml:space="preserve"> ADDIN EN.CITE.DATA </w:instrText>
      </w:r>
      <w:r w:rsidR="00C41394" w:rsidRPr="00CD2448">
        <w:rPr>
          <w:rFonts w:ascii="Arial" w:hAnsi="Arial" w:cs="Arial"/>
          <w:color w:val="000000" w:themeColor="text1"/>
          <w:sz w:val="22"/>
        </w:rPr>
      </w:r>
      <w:r w:rsidR="00C41394" w:rsidRPr="00CD2448">
        <w:rPr>
          <w:rFonts w:ascii="Arial" w:hAnsi="Arial" w:cs="Arial"/>
          <w:color w:val="000000" w:themeColor="text1"/>
          <w:sz w:val="22"/>
        </w:rPr>
        <w:fldChar w:fldCharType="end"/>
      </w:r>
      <w:r w:rsidR="00FD398D" w:rsidRPr="00CD2448">
        <w:rPr>
          <w:rFonts w:ascii="Arial" w:hAnsi="Arial" w:cs="Arial"/>
          <w:color w:val="000000" w:themeColor="text1"/>
          <w:sz w:val="22"/>
        </w:rPr>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[48]</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In addition, insulin signaling was downregulated at baseline in the blood transcriptomics of ketamine responders, elevated in our integrated iPSC-CSF network, and previously shown by our laboratory to be increased nearly four-fold in CSF for at least 12 hours post-ketamine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ExcludeYear="1"&gt;&lt;Author&gt;Moaddel&lt;/Author&gt;&lt;Year&gt;2023&lt;/Year&gt;&lt;RecNum&gt;27&lt;/RecNum&gt;&lt;DisplayText&gt;[8]&lt;/DisplayText&gt;&lt;record&gt;&lt;rec-number&gt;27&lt;/rec-number&gt;&lt;foreign-keys&gt;&lt;key app="EN" db-id="dzsadpavbdaf27ef9zmxw006vzddp0epfpxa" timestamp="1759159643"&gt;27&lt;/key&gt;&lt;/foreign-keys&gt;&lt;ref-type name="Journal Article"&gt;17&lt;/ref-type&gt;&lt;contributors&gt;&lt;authors&gt;&lt;author&gt;Moaddel, Ruin&lt;/author&gt;&lt;author&gt;Farmer, Cristan A.&lt;/author&gt;&lt;author&gt;Yavi, Mani&lt;/author&gt;&lt;author&gt;Kadriu, Bashkim&lt;/author&gt;&lt;author&gt;Zhu, Min&lt;/author&gt;&lt;author&gt;Fan, Jinshui&lt;/author&gt;&lt;author&gt;Chen, Qinghua&lt;/author&gt;&lt;author&gt;Lehrmann, Elin&lt;/author&gt;&lt;author&gt;Fantoni, Giovanna&lt;/author&gt;&lt;author&gt;De, Supriyo&lt;/author&gt;&lt;author&gt;Mazucanti, Caio H.&lt;/author&gt;&lt;author&gt;Acevedo-Diaz, Elia E.&lt;/author&gt;&lt;author&gt;Yuan, Peixiong&lt;/author&gt;&lt;author&gt;Gould, Todd D.&lt;/author&gt;&lt;author&gt;Park, Lawrence T.&lt;/author&gt;&lt;author&gt;Egan, Josephine M.&lt;/author&gt;&lt;author&gt;Ferrucci, Luigi&lt;/author&gt;&lt;author&gt;Zarate, Carlos A.&lt;/author&gt;&lt;/authors&gt;&lt;/contributors&gt;&lt;titles&gt;&lt;title&gt;Cerebrospinal fluid exploratory proteomics and ketamine metabolite pharmacokinetics in human volunteers after ketamine infusion&lt;/title&gt;&lt;secondary-title&gt;iScience&lt;/secondary-title&gt;&lt;alt-title&gt;iScience&lt;/alt-title&gt;&lt;/titles&gt;&lt;periodical&gt;&lt;full-title&gt;iScience&lt;/full-title&gt;&lt;abbr-1&gt;iScience&lt;/abbr-1&gt;&lt;/periodical&gt;&lt;alt-periodical&gt;&lt;full-title&gt;iScience&lt;/full-title&gt;&lt;abbr-1&gt;iScience&lt;/abbr-1&gt;&lt;/alt-periodical&gt;&lt;pages&gt;108527&lt;/pages&gt;&lt;volume&gt;26&lt;/volume&gt;&lt;number&gt;12&lt;/number&gt;&lt;dates&gt;&lt;year&gt;2023&lt;/year&gt;&lt;pub-dates&gt;&lt;date&gt;2023/11/23/&lt;/date&gt;&lt;/pub-dates&gt;&lt;/dates&gt;&lt;isbn&gt;2589-0042&lt;/isbn&gt;&lt;urls&gt;&lt;related-urls&gt;&lt;url&gt;https://www.ncbi.nlm.nih.gov/pmc/articles/PMC10755719/&lt;/url&gt;&lt;/related-urls&gt;&lt;/urls&gt;&lt;electronic-resource-num&gt;10.1016/j.isci.2023.108527&lt;/electronic-resource-num&gt;&lt;remote-database-provider&gt;PubMed Central&lt;/remote-database-provider&gt;&lt;access-date&gt;2024/04/02/21:41:55&lt;/access-date&gt;&lt;/record&gt;&lt;/Cite&gt;&lt;/EndNote&gt;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[8]</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Although IL-15 crosses the blood-brain barrier in limited quantities, it primarily activates hypothalamic c-Fos </w:t>
      </w:r>
      <w:r w:rsidR="00FD398D" w:rsidRPr="00CD2448">
        <w:rPr>
          <w:rFonts w:ascii="Arial" w:hAnsi="Arial" w:cs="Arial"/>
          <w:i/>
          <w:iCs/>
          <w:color w:val="000000" w:themeColor="text1"/>
          <w:sz w:val="22"/>
          <w:szCs w:val="22"/>
        </w:rPr>
        <w:t xml:space="preserve">in vivo </w:t>
      </w:r>
      <w:r w:rsidR="00FD398D" w:rsidRPr="00CD2448">
        <w:rPr>
          <w:rFonts w:ascii="Arial" w:hAnsi="Arial" w:cs="Arial"/>
          <w:color w:val="000000" w:themeColor="text1"/>
          <w:sz w:val="22"/>
        </w:rPr>
        <w:fldChar w:fldCharType="begin">
          <w:fldData xml:space="preserve">PEVuZE5vdGU+PENpdGUgRXhjbHVkZVllYXI9IjEiPjxBdXRob3I+SGU8L0F1dGhvcj48WWVhcj4y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</w:fldData>
        </w:fldChar>
      </w:r>
      <w:r w:rsidR="00C41394" w:rsidRPr="00CD2448">
        <w:rPr>
          <w:rFonts w:ascii="Arial" w:hAnsi="Arial" w:cs="Arial"/>
          <w:color w:val="000000" w:themeColor="text1"/>
          <w:sz w:val="22"/>
        </w:rPr>
        <w:instrText xml:space="preserve"> ADDIN EN.CITE </w:instrText>
      </w:r>
      <w:r w:rsidR="00C41394" w:rsidRPr="00CD2448">
        <w:rPr>
          <w:rFonts w:ascii="Arial" w:hAnsi="Arial" w:cs="Arial"/>
          <w:color w:val="000000" w:themeColor="text1"/>
          <w:sz w:val="22"/>
        </w:rPr>
        <w:fldChar w:fldCharType="begin">
          <w:fldData xml:space="preserve">PEVuZE5vdGU+PENpdGUgRXhjbHVkZVllYXI9IjEiPjxBdXRob3I+SGU8L0F1dGhvcj48WWVhcj4y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</w:fldData>
        </w:fldChar>
      </w:r>
      <w:r w:rsidR="00C41394" w:rsidRPr="00CD2448">
        <w:rPr>
          <w:rFonts w:ascii="Arial" w:hAnsi="Arial" w:cs="Arial"/>
          <w:color w:val="000000" w:themeColor="text1"/>
          <w:sz w:val="22"/>
        </w:rPr>
        <w:instrText xml:space="preserve"> ADDIN EN.CITE.DATA </w:instrText>
      </w:r>
      <w:r w:rsidR="00C41394" w:rsidRPr="00CD2448">
        <w:rPr>
          <w:rFonts w:ascii="Arial" w:hAnsi="Arial" w:cs="Arial"/>
          <w:color w:val="000000" w:themeColor="text1"/>
          <w:sz w:val="22"/>
        </w:rPr>
      </w:r>
      <w:r w:rsidR="00C41394" w:rsidRPr="00CD2448">
        <w:rPr>
          <w:rFonts w:ascii="Arial" w:hAnsi="Arial" w:cs="Arial"/>
          <w:color w:val="000000" w:themeColor="text1"/>
          <w:sz w:val="22"/>
        </w:rPr>
        <w:fldChar w:fldCharType="end"/>
      </w:r>
      <w:r w:rsidR="00FD398D" w:rsidRPr="00CD2448">
        <w:rPr>
          <w:rFonts w:ascii="Arial" w:hAnsi="Arial" w:cs="Arial"/>
          <w:color w:val="000000" w:themeColor="text1"/>
          <w:sz w:val="22"/>
        </w:rPr>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[49]</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—a master regulator of insulin response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ExcludeYear="1"&gt;&lt;Author&gt;Chan&lt;/Author&gt;&lt;Year&gt;2012&lt;/Year&gt;&lt;RecNum&gt;84&lt;/RecNum&gt;&lt;DisplayText&gt;[50]&lt;/DisplayText&gt;&lt;record&gt;&lt;rec-number&gt;84&lt;/rec-number&gt;&lt;foreign-keys&gt;&lt;key app="EN" db-id="dzsadpavbdaf27ef9zmxw006vzddp0epfpxa" timestamp="1759159643"&gt;84&lt;/key&gt;&lt;/foreign-keys&gt;&lt;ref-type name="Journal Article"&gt;17&lt;/ref-type&gt;&lt;contributors&gt;&lt;authors&gt;&lt;author&gt;Chan, Owen&lt;/author&gt;&lt;author&gt;Sherwin, Robert S.&lt;/author&gt;&lt;/authors&gt;&lt;/contributors&gt;&lt;titles&gt;&lt;title&gt;Hypothalamic regulation of glucose-stimulated insulin secretion&lt;/title&gt;&lt;secondary-title&gt;Diabetes&lt;/secondary-title&gt;&lt;alt-title&gt;Diabetes&lt;/alt-title&gt;&lt;/titles&gt;&lt;periodical&gt;&lt;full-title&gt;Diabetes&lt;/full-title&gt;&lt;abbr-1&gt;Diabetes&lt;/abbr-1&gt;&lt;/periodical&gt;&lt;alt-periodical&gt;&lt;full-title&gt;Diabetes&lt;/full-title&gt;&lt;abbr-1&gt;Diabetes&lt;/abbr-1&gt;&lt;/alt-periodical&gt;&lt;pages&gt;564-565&lt;/pages&gt;&lt;volume&gt;61&lt;/volume&gt;&lt;number&gt;3&lt;/number&gt;&lt;dates&gt;&lt;year&gt;2012&lt;/year&gt;&lt;pub-dates&gt;&lt;date&gt;2012/03//&lt;/date&gt;&lt;/pub-dates&gt;&lt;/dates&gt;&lt;isbn&gt;0012-1797&lt;/isbn&gt;&lt;urls&gt;&lt;related-urls&gt;&lt;url&gt;https://www.ncbi.nlm.nih.gov/pmc/articles/PMC3282803/&lt;/url&gt;&lt;url&gt;https://pmc.ncbi.nlm.nih.gov/articles/PMC3282803/pdf/564.pdf&lt;/url&gt;&lt;/related-urls&gt;&lt;/urls&gt;&lt;electronic-resource-num&gt;10.2337/db11-1846&lt;/electronic-resource-num&gt;&lt;remote-database-provider&gt;PubMed Central&lt;/remote-database-provider&gt;&lt;access-date&gt;2025/04/13/19:01:56&lt;/access-date&gt;&lt;/record&gt;&lt;/Cite&gt;&lt;/EndNote&gt;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[50]</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—and stimulates the release of insulin-sensitizing adiponectin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ExcludeYear="1"&gt;&lt;Author&gt;Quinn&lt;/Author&gt;&lt;Year&gt;2005&lt;/Year&gt;&lt;RecNum&gt;85&lt;/RecNum&gt;&lt;DisplayText&gt;[51]&lt;/DisplayText&gt;&lt;record&gt;&lt;rec-number&gt;85&lt;/rec-number&gt;&lt;foreign-keys&gt;&lt;key app="EN" db-id="dzsadpavbdaf27ef9zmxw006vzddp0epfpxa" timestamp="1759159643"&gt;85&lt;/key&gt;&lt;/foreign-keys&gt;&lt;ref-type name="Journal Article"&gt;17&lt;/ref-type&gt;&lt;contributors&gt;&lt;authors&gt;&lt;author&gt;Quinn, Lebris S.&lt;/author&gt;&lt;author&gt;Strait-Bodey, Lena&lt;/author&gt;&lt;author&gt;Anderson, Barbara G.&lt;/author&gt;&lt;author&gt;Argilés, Josep M.&lt;/author&gt;&lt;author&gt;Havel, Peter J.&lt;/author&gt;&lt;/authors&gt;&lt;/contributors&gt;&lt;titles&gt;&lt;title&gt;Interleukin-15 stimulates adiponectin secretion by 3T3-L1 adipocytes: evidence for a skeletal muscle-to-fat signaling pathway&lt;/title&gt;&lt;secondary-title&gt;Cell Biol Int&lt;/secondary-title&gt;&lt;alt-title&gt;Cell Biol Int&lt;/alt-title&gt;&lt;short-title&gt;Interleukin-15 stimulates adiponectin secretion by 3T3-L1 adipocytes&lt;/short-title&gt;&lt;/titles&gt;&lt;periodical&gt;&lt;full-title&gt;Cell Biology International&lt;/full-title&gt;&lt;abbr-1&gt;Cell Biol Int&lt;/abbr-1&gt;&lt;/periodical&gt;&lt;alt-periodical&gt;&lt;full-title&gt;Cell Biology International&lt;/full-title&gt;&lt;abbr-1&gt;Cell Biol Int&lt;/abbr-1&gt;&lt;/alt-periodical&gt;&lt;pages&gt;449-457&lt;/pages&gt;&lt;volume&gt;29&lt;/volume&gt;&lt;number&gt;6&lt;/number&gt;&lt;keywords&gt;&lt;keyword&gt;3T3-L1 Cells&lt;/keyword&gt;&lt;keyword&gt;Adipocytes&lt;/keyword&gt;&lt;keyword&gt;Adiponectin&lt;/keyword&gt;&lt;keyword&gt;Animals&lt;/keyword&gt;&lt;keyword&gt;Cells, Cultured&lt;/keyword&gt;&lt;keyword&gt;Interleukin-15&lt;/keyword&gt;&lt;keyword&gt;Mice&lt;/keyword&gt;&lt;keyword&gt;Muscle, Skeletal&lt;/keyword&gt;&lt;keyword&gt;Rats&lt;/keyword&gt;&lt;keyword&gt;Signal Transduction&lt;/keyword&gt;&lt;/keywords&gt;&lt;dates&gt;&lt;year&gt;2005&lt;/year&gt;&lt;pub-dates&gt;&lt;date&gt;2005/06//&lt;/date&gt;&lt;/pub-dates&gt;&lt;/dates&gt;&lt;isbn&gt;1065-6995&lt;/isbn&gt;&lt;urls&gt;&lt;related-urls&gt;&lt;url&gt;http://www.ncbi.nlm.nih.gov/pubmed/15951205&lt;/url&gt;&lt;url&gt;https://escholarship.org/content/qt1sh644jq/qt1sh644jq.pdf?t=ptt3qk&lt;/url&gt;&lt;/related-urls&gt;&lt;/urls&gt;&lt;electronic-resource-num&gt;10.1016/j.cellbi.2005.02.005&lt;/electronic-resource-num&gt;&lt;remote-database-provider&gt;PubMed&lt;/remote-database-provider&gt;&lt;language&gt;eng&lt;/languag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[51]</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In a larger TRD cohort (n=80), another study from our laboratory found that lower baseline adiponectin levels significantly predicted antidepressant response to ketamine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ExcludeYear="1"&gt;&lt;Author&gt;Machado-Vieira&lt;/Author&gt;&lt;Year&gt;2017&lt;/Year&gt;&lt;RecNum&gt;86&lt;/RecNum&gt;&lt;DisplayText&gt;[52]&lt;/DisplayText&gt;&lt;record&gt;&lt;rec-number&gt;86&lt;/rec-number&gt;&lt;foreign-keys&gt;&lt;key app="EN" db-id="dzsadpavbdaf27ef9zmxw006vzddp0epfpxa" timestamp="1759159643"&gt;86&lt;/key&gt;&lt;/foreign-keys&gt;&lt;ref-type name="Journal Article"&gt;17&lt;/ref-type&gt;&lt;contributors&gt;&lt;authors&gt;&lt;author&gt;Machado-Vieira, R.&lt;/author&gt;&lt;author&gt;Gold, P. W.&lt;/author&gt;&lt;author&gt;Luckenbaugh, D. A.&lt;/author&gt;&lt;author&gt;Ballard, E. D.&lt;/author&gt;&lt;author&gt;Richards, E. M.&lt;/author&gt;&lt;author&gt;Henter, I. D.&lt;/author&gt;&lt;author&gt;De Sousa, R. T.&lt;/author&gt;&lt;author&gt;Niciu, M. J.&lt;/author&gt;&lt;author&gt;Yuan, P.&lt;/author&gt;&lt;author&gt;Zarate, C. A.&lt;/author&gt;&lt;/authors&gt;&lt;/contributors&gt;&lt;titles&gt;&lt;title&gt;The role of adipokines in the rapid antidepressant effects of ketamine&lt;/title&gt;&lt;secondary-title&gt;Mol Psychiatry&lt;/secondary-title&gt;&lt;/titles&gt;&lt;periodical&gt;&lt;full-title&gt;Molecular Psychiatry&lt;/full-title&gt;&lt;abbr-1&gt;Mol Psychiatry&lt;/abbr-1&gt;&lt;/periodical&gt;&lt;pages&gt;127-133&lt;/pages&gt;&lt;volume&gt;22&lt;/volume&gt;&lt;number&gt;1&lt;/number&gt;&lt;dates&gt;&lt;year&gt;2017&lt;/year&gt;&lt;pub-dates&gt;&lt;date&gt;2017/01/01/&lt;/date&gt;&lt;/pub-dates&gt;&lt;/dates&gt;&lt;isbn&gt;14765578&lt;/isbn&gt;&lt;urls&gt;&lt;related-urls&gt;&lt;url&gt;/pmc/articles/PMC5112162/&lt;/url&gt;&lt;/related-urls&gt;&lt;/urls&gt;&lt;electronic-resource-num&gt;10.1038/mp.2016.36&lt;/electronic-resource-num&gt;&lt;access-date&gt;2021/05/22/&lt;/access-dat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[52]</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mirroring the IL-15 deficiency/reversal proposed here. Lastly, IL-15 stimulates MCP-1 release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ExcludeYear="1"&gt;&lt;Author&gt;Badolato&lt;/Author&gt;&lt;Year&gt;1997&lt;/Year&gt;&lt;RecNum&gt;64&lt;/RecNum&gt;&lt;DisplayText&gt;[53]&lt;/DisplayText&gt;&lt;record&gt;&lt;rec-number&gt;64&lt;/rec-number&gt;&lt;foreign-keys&gt;&lt;key app="EN" db-id="dzsadpavbdaf27ef9zmxw006vzddp0epfpxa" timestamp="1759159643"&gt;64&lt;/key&gt;&lt;/foreign-keys&gt;&lt;ref-type name="Journal Article"&gt;17&lt;/ref-type&gt;&lt;contributors&gt;&lt;authors&gt;&lt;author&gt;Badolato, R.&lt;/author&gt;&lt;author&gt;Ponzi, A. N.&lt;/author&gt;&lt;author&gt;Millesimo, M.&lt;/author&gt;&lt;author&gt;Notarangelo, L. D.&lt;/author&gt;&lt;author&gt;Musso, T.&lt;/author&gt;&lt;/authors&gt;&lt;/contributors&gt;&lt;titles&gt;&lt;title&gt;Interleukin-15 (IL-15) induces IL-8 and monocyte chemotactic protein 1 production in human monocytes&lt;/title&gt;&lt;secondary-title&gt;Blood&lt;/secondary-title&gt;&lt;alt-title&gt;Blood&lt;/alt-title&gt;&lt;/titles&gt;&lt;periodical&gt;&lt;full-title&gt;Blood&lt;/full-title&gt;&lt;abbr-1&gt;Blood&lt;/abbr-1&gt;&lt;/periodical&gt;&lt;alt-periodical&gt;&lt;full-title&gt;Blood&lt;/full-title&gt;&lt;abbr-1&gt;Blood&lt;/abbr-1&gt;&lt;/alt-periodical&gt;&lt;pages&gt;2804-2809&lt;/pages&gt;&lt;volume&gt;90&lt;/volume&gt;&lt;number&gt;7&lt;/number&gt;&lt;keywords&gt;&lt;keyword&gt;Cells, Cultured&lt;/keyword&gt;&lt;keyword&gt;Chemokine CCL2&lt;/keyword&gt;&lt;keyword&gt;Chemotaxis, Leukocyte&lt;/keyword&gt;&lt;keyword&gt;Gene Expression Regulation&lt;/keyword&gt;&lt;keyword&gt;Humans&lt;/keyword&gt;&lt;keyword&gt;Inflammation&lt;/keyword&gt;&lt;keyword&gt;Interferon-gamma&lt;/keyword&gt;&lt;keyword&gt;Interleukin-15&lt;/keyword&gt;&lt;keyword&gt;Interleukin-4&lt;/keyword&gt;&lt;keyword&gt;Interleukin-8&lt;/keyword&gt;&lt;keyword&gt;Monocytes&lt;/keyword&gt;&lt;keyword&gt;Recombinant Proteins&lt;/keyword&gt;&lt;keyword&gt;RNA, Messenger&lt;/keyword&gt;&lt;keyword&gt;Stimulation, Chemical&lt;/keyword&gt;&lt;keyword&gt;T-Lymphocytes&lt;/keyword&gt;&lt;/keywords&gt;&lt;dates&gt;&lt;year&gt;1997&lt;/year&gt;&lt;pub-dates&gt;&lt;date&gt;1997/10/01/&lt;/date&gt;&lt;/pub-dates&gt;&lt;/dates&gt;&lt;isbn&gt;0006-4971&lt;/isbn&gt;&lt;urls&gt;&lt;related-urls&gt;&lt;url&gt;http://www.ncbi.nlm.nih.gov/pubmed/9326248&lt;/url&gt;&lt;/related-urls&gt;&lt;/urls&gt;&lt;remote-database-provider&gt;PubMed&lt;/remote-database-provider&gt;&lt;language&gt;eng&lt;/languag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[53]</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 which was observed in our iPSC-CSF network in addition to being the strongest predictor of antidepressant </w:t>
      </w:r>
      <w:r w:rsidR="00FD398D" w:rsidRPr="00CD2448">
        <w:rPr>
          <w:rFonts w:ascii="Arial" w:hAnsi="Arial" w:cs="Arial"/>
          <w:i/>
          <w:iCs/>
          <w:color w:val="000000" w:themeColor="text1"/>
          <w:sz w:val="22"/>
          <w:szCs w:val="22"/>
        </w:rPr>
        <w:t>non-response</w:t>
      </w:r>
      <w:r w:rsidR="00FD398D" w:rsidRPr="00CD2448">
        <w:rPr>
          <w:rFonts w:ascii="Arial" w:hAnsi="Arial" w:cs="Arial"/>
          <w:color w:val="000000" w:themeColor="text1"/>
          <w:sz w:val="22"/>
          <w:szCs w:val="22"/>
        </w:rPr>
        <w:t xml:space="preserve"> in peripheral blood. That IL-4/IFN-γ ratios—which govern whether MCP-1 is released downstream of IL-15 </w:t>
      </w:r>
      <w:r w:rsidR="00FD398D" w:rsidRPr="00CD2448">
        <w:rPr>
          <w:rFonts w:ascii="Arial" w:hAnsi="Arial" w:cs="Arial"/>
          <w:color w:val="000000" w:themeColor="text1"/>
          <w:sz w:val="22"/>
        </w:rPr>
        <w:fldChar w:fldCharType="begin"/>
      </w:r>
      <w:r w:rsidR="00C41394" w:rsidRPr="00CD2448">
        <w:rPr>
          <w:rFonts w:ascii="Arial" w:hAnsi="Arial" w:cs="Arial"/>
          <w:color w:val="000000" w:themeColor="text1"/>
          <w:sz w:val="22"/>
        </w:rPr>
        <w:instrText xml:space="preserve"> ADDIN EN.CITE &lt;EndNote&gt;&lt;Cite ExcludeYear="1"&gt;&lt;Author&gt;Badolato&lt;/Author&gt;&lt;Year&gt;1997&lt;/Year&gt;&lt;RecNum&gt;64&lt;/RecNum&gt;&lt;DisplayText&gt;[53]&lt;/DisplayText&gt;&lt;record&gt;&lt;rec-number&gt;64&lt;/rec-number&gt;&lt;foreign-keys&gt;&lt;key app="EN" db-id="dzsadpavbdaf27ef9zmxw006vzddp0epfpxa" timestamp="1759159643"&gt;64&lt;/key&gt;&lt;/foreign-keys&gt;&lt;ref-type name="Journal Article"&gt;17&lt;/ref-type&gt;&lt;contributors&gt;&lt;authors&gt;&lt;author&gt;Badolato, R.&lt;/author&gt;&lt;author&gt;Ponzi, A. N.&lt;/author&gt;&lt;author&gt;Millesimo, M.&lt;/author&gt;&lt;author&gt;Notarangelo, L. D.&lt;/author&gt;&lt;author&gt;Musso, T.&lt;/author&gt;&lt;/authors&gt;&lt;/contributors&gt;&lt;titles&gt;&lt;title&gt;Interleukin-15 (IL-15) induces IL-8 and monocyte chemotactic protein 1 production in human monocytes&lt;/title&gt;&lt;secondary-title&gt;Blood&lt;/secondary-title&gt;&lt;alt-title&gt;Blood&lt;/alt-title&gt;&lt;/titles&gt;&lt;periodical&gt;&lt;full-title&gt;Blood&lt;/full-title&gt;&lt;abbr-1&gt;Blood&lt;/abbr-1&gt;&lt;/periodical&gt;&lt;alt-periodical&gt;&lt;full-title&gt;Blood&lt;/full-title&gt;&lt;abbr-1&gt;Blood&lt;/abbr-1&gt;&lt;/alt-periodical&gt;&lt;pages&gt;2804-2809&lt;/pages&gt;&lt;volume&gt;90&lt;/volume&gt;&lt;number&gt;7&lt;/number&gt;&lt;keywords&gt;&lt;keyword&gt;Cells, Cultured&lt;/keyword&gt;&lt;keyword&gt;Chemokine CCL2&lt;/keyword&gt;&lt;keyword&gt;Chemotaxis, Leukocyte&lt;/keyword&gt;&lt;keyword&gt;Gene Expression Regulation&lt;/keyword&gt;&lt;keyword&gt;Humans&lt;/keyword&gt;&lt;keyword&gt;Inflammation&lt;/keyword&gt;&lt;keyword&gt;Interferon-gamma&lt;/keyword&gt;&lt;keyword&gt;Interleukin-15&lt;/keyword&gt;&lt;keyword&gt;Interleukin-4&lt;/keyword&gt;&lt;keyword&gt;Interleukin-8&lt;/keyword&gt;&lt;keyword&gt;Monocytes&lt;/keyword&gt;&lt;keyword&gt;Recombinant Proteins&lt;/keyword&gt;&lt;keyword&gt;RNA, Messenger&lt;/keyword&gt;&lt;keyword&gt;Stimulation, Chemical&lt;/keyword&gt;&lt;keyword&gt;T-Lymphocytes&lt;/keyword&gt;&lt;/keywords&gt;&lt;dates&gt;&lt;year&gt;1997&lt;/year&gt;&lt;pub-dates&gt;&lt;date&gt;1997/10/01/&lt;/date&gt;&lt;/pub-dates&gt;&lt;/dates&gt;&lt;isbn&gt;0006-4971&lt;/isbn&gt;&lt;urls&gt;&lt;related-urls&gt;&lt;url&gt;http://www.ncbi.nlm.nih.gov/pubmed/9326248&lt;/url&gt;&lt;/related-urls&gt;&lt;/urls&gt;&lt;remote-database-provider&gt;PubMed&lt;/remote-database-provider&gt;&lt;language&gt;eng&lt;/language&gt;&lt;/record&gt;&lt;/Cite&gt;&lt;/EndNote&gt;</w:instrText>
      </w:r>
      <w:r w:rsidR="00FD398D" w:rsidRPr="00CD2448">
        <w:rPr>
          <w:rFonts w:ascii="Arial" w:hAnsi="Arial" w:cs="Arial"/>
          <w:color w:val="000000" w:themeColor="text1"/>
          <w:sz w:val="22"/>
        </w:rPr>
        <w:fldChar w:fldCharType="separate"/>
      </w:r>
      <w:r w:rsidR="00C41394" w:rsidRPr="00CD2448">
        <w:rPr>
          <w:rFonts w:ascii="Arial" w:hAnsi="Arial" w:cs="Arial"/>
          <w:noProof/>
          <w:color w:val="000000" w:themeColor="text1"/>
          <w:sz w:val="22"/>
        </w:rPr>
        <w:t>[53]</w:t>
      </w:r>
      <w:r w:rsidR="00FD398D" w:rsidRPr="00CD2448">
        <w:rPr>
          <w:rFonts w:ascii="Arial" w:hAnsi="Arial" w:cs="Arial"/>
          <w:color w:val="000000" w:themeColor="text1"/>
          <w:sz w:val="22"/>
        </w:rPr>
        <w:fldChar w:fldCharType="end"/>
      </w:r>
      <w:r w:rsidR="00FD398D" w:rsidRPr="00CD2448">
        <w:rPr>
          <w:rFonts w:ascii="Arial" w:hAnsi="Arial" w:cs="Arial"/>
          <w:color w:val="000000" w:themeColor="text1"/>
          <w:sz w:val="22"/>
          <w:szCs w:val="22"/>
        </w:rPr>
        <w:t xml:space="preserve">—emerged as the strongest predictor of clinical response further supports the importance of IL-15 pathways. </w:t>
      </w:r>
    </w:p>
    <w:p w14:paraId="521CB977" w14:textId="208AC976" w:rsidR="008A295F" w:rsidRPr="00CD2448" w:rsidRDefault="008A295F" w:rsidP="00744224">
      <w:pPr>
        <w:rPr>
          <w:rFonts w:ascii="Arial" w:hAnsi="Arial" w:cs="Arial"/>
          <w:i/>
          <w:iCs/>
          <w:color w:val="000000" w:themeColor="text1"/>
          <w:sz w:val="22"/>
          <w:szCs w:val="22"/>
        </w:rPr>
      </w:pPr>
    </w:p>
    <w:p w14:paraId="6F6CF98A" w14:textId="724BA9CB" w:rsidR="008A295F" w:rsidRPr="00CD2448" w:rsidRDefault="008A295F" w:rsidP="00744224">
      <w:pPr>
        <w:rPr>
          <w:rFonts w:ascii="Arial" w:hAnsi="Arial" w:cs="Arial"/>
          <w:i/>
          <w:iCs/>
          <w:color w:val="000000" w:themeColor="text1"/>
          <w:sz w:val="22"/>
          <w:szCs w:val="22"/>
        </w:rPr>
      </w:pPr>
      <w:r w:rsidRPr="00CD2448">
        <w:rPr>
          <w:rFonts w:ascii="Arial" w:hAnsi="Arial" w:cs="Arial"/>
          <w:i/>
          <w:iCs/>
          <w:color w:val="000000" w:themeColor="text1"/>
          <w:sz w:val="22"/>
          <w:szCs w:val="22"/>
        </w:rPr>
        <w:t>Comparison with Prior Ketamine Transcriptomic Approaches</w:t>
      </w:r>
    </w:p>
    <w:p w14:paraId="67D1C95B" w14:textId="5903CFDD" w:rsidR="008A295F" w:rsidRPr="00CD2448" w:rsidRDefault="008A295F" w:rsidP="00744224">
      <w:pPr>
        <w:ind w:firstLine="720"/>
        <w:rPr>
          <w:rFonts w:ascii="Arial" w:hAnsi="Arial" w:cs="Arial"/>
          <w:color w:val="000000" w:themeColor="text1"/>
          <w:sz w:val="22"/>
          <w:szCs w:val="22"/>
        </w:rPr>
      </w:pPr>
      <w:bookmarkStart w:id="57" w:name="OLE_LINK5"/>
      <w:r w:rsidRPr="00CD2448">
        <w:rPr>
          <w:rFonts w:ascii="Arial" w:hAnsi="Arial" w:cs="Arial"/>
          <w:color w:val="000000" w:themeColor="text1"/>
          <w:sz w:val="22"/>
          <w:szCs w:val="22"/>
        </w:rPr>
        <w:t xml:space="preserve">The ketamine blood transcriptomics approach here differs from prior work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ExcludeYear="1"&gt;&lt;Author&gt;Cathomas&lt;/Author&gt;&lt;Year&gt;2022&lt;/Year&gt;&lt;RecNum&gt;93&lt;/RecNum&gt;&lt;DisplayText&gt;[58]&lt;/DisplayText&gt;&lt;record&gt;&lt;rec-number&gt;93&lt;/rec-number&gt;&lt;foreign-keys&gt;&lt;key app="EN" db-id="dzsadpavbdaf27ef9zmxw006vzddp0epfpxa" timestamp="1759159643"&gt;93&lt;/key&gt;&lt;/foreign-keys&gt;&lt;ref-type name="Journal Article"&gt;17&lt;/ref-type&gt;&lt;contributors&gt;&lt;authors&gt;&lt;author&gt;Cathomas, Flurin&lt;/author&gt;&lt;author&gt;Bevilacqua, Laura&lt;/author&gt;&lt;author&gt;Ramakrishnan, Aarthi&lt;/author&gt;&lt;author&gt;Kronman, Hope&lt;/author&gt;&lt;author&gt;Costi, Sara&lt;/author&gt;&lt;author&gt;Schneider, Molly&lt;/author&gt;&lt;author&gt;Chan, Kenny L.&lt;/author&gt;&lt;author&gt;Li, Long&lt;/author&gt;&lt;author&gt;Nestler, Eric J.&lt;/author&gt;&lt;author&gt;Shen, Li&lt;/author&gt;&lt;author&gt;Charney, Dennis S.&lt;/author&gt;&lt;author&gt;Russo, Scott J.&lt;/author&gt;&lt;author&gt;Murrough, James W.&lt;/author&gt;&lt;/authors&gt;&lt;/contributors&gt;&lt;titles&gt;&lt;title&gt;Whole blood transcriptional signatures associated with rapid antidepressant response to ketamine in patients with treatment resistant depression&lt;/title&gt;&lt;secondary-title&gt;Transl Psychiatry&lt;/secondary-title&gt;&lt;alt-title&gt;Transl Psychiatry&lt;/alt-title&gt;&lt;/titles&gt;&lt;periodical&gt;&lt;full-title&gt;Translational Psychiatry&lt;/full-title&gt;&lt;abbr-1&gt;Transl Psychiatry&lt;/abbr-1&gt;&lt;/periodical&gt;&lt;alt-periodical&gt;&lt;full-title&gt;Translational Psychiatry&lt;/full-title&gt;&lt;abbr-1&gt;Transl Psychiatry&lt;/abbr-1&gt;&lt;/alt-periodical&gt;&lt;pages&gt;12&lt;/pages&gt;&lt;volume&gt;12&lt;/volume&gt;&lt;dates&gt;&lt;year&gt;2022&lt;/year&gt;&lt;pub-dates&gt;&lt;date&gt;2022/01/10/&lt;/date&gt;&lt;/pub-dates&gt;&lt;/dates&gt;&lt;isbn&gt;2158-3188&lt;/isbn&gt;&lt;urls&gt;&lt;related-urls&gt;&lt;url&gt;https://www.ncbi.nlm.nih.gov/pmc/articles/PMC8748646/&lt;/url&gt;&lt;/related-urls&gt;&lt;/urls&gt;&lt;electronic-resource-num&gt;10.1038/s41398-021-01712-0&lt;/electronic-resource-num&gt;&lt;remote-database-provider&gt;PubMed Central&lt;/remote-database-provider&gt;&lt;access-date&gt;2024/04/01/19:51:21&lt;/access-date&gt;&lt;/record&gt;&lt;/Cite&gt;&lt;/EndNote&gt;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[58]</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This study assessed early RNA changes (0–4 hours), hypothesizing that they likely precede peak clinical response (24 hours post-infusion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ExcludeYear="1"&gt;&lt;Author&gt;Coyle&lt;/Author&gt;&lt;Year&gt;2015&lt;/Year&gt;&lt;RecNum&gt;40&lt;/RecNum&gt;&lt;DisplayText&gt;[59]&lt;/DisplayText&gt;&lt;record&gt;&lt;rec-number&gt;40&lt;/rec-number&gt;&lt;foreign-keys&gt;&lt;key app="EN" db-id="dzsadpavbdaf27ef9zmxw006vzddp0epfpxa" timestamp="1759159643"&gt;40&lt;/key&gt;&lt;/foreign-keys&gt;&lt;ref-type name="Journal Article"&gt;17&lt;/ref-type&gt;&lt;contributors&gt;&lt;authors&gt;&lt;author&gt;Coyle, Caoimhe M.&lt;/author&gt;&lt;author&gt;Laws, Keith R.&lt;/author&gt;&lt;/authors&gt;&lt;/contributors&gt;&lt;titles&gt;&lt;title&gt;The use of ketamine as an antidepressant: a systematic review and meta-analysis&lt;/title&gt;&lt;secondary-title&gt;Hum Psychopharmacol&lt;/secondary-title&gt;&lt;alt-title&gt;Hum Psychopharmacol&lt;/alt-title&gt;&lt;short-title&gt;The use of ketamine as an antidepressant&lt;/short-title&gt;&lt;/titles&gt;&lt;periodical&gt;&lt;full-title&gt;Human Psychopharmacology&lt;/full-title&gt;&lt;abbr-1&gt;Hum Psychopharmacol&lt;/abbr-1&gt;&lt;/periodical&gt;&lt;alt-periodical&gt;&lt;full-title&gt;Human Psychopharmacology&lt;/full-title&gt;&lt;abbr-1&gt;Hum Psychopharmacol&lt;/abbr-1&gt;&lt;/alt-periodical&gt;&lt;pages&gt;152-163&lt;/pages&gt;&lt;volume&gt;30&lt;/volume&gt;&lt;number&gt;3&lt;/number&gt;&lt;keywords&gt;&lt;keyword&gt;Antidepressive Agents&lt;/keyword&gt;&lt;keyword&gt;bipolar disorder&lt;/keyword&gt;&lt;keyword&gt;depression&lt;/keyword&gt;&lt;keyword&gt;Depressive Disorder, Major&lt;/keyword&gt;&lt;keyword&gt;Excitatory Amino Acid Antagonists&lt;/keyword&gt;&lt;keyword&gt;Female&lt;/keyword&gt;&lt;keyword&gt;Humans&lt;/keyword&gt;&lt;keyword&gt;Infusions, Intravenous&lt;/keyword&gt;&lt;keyword&gt;ketamine&lt;/keyword&gt;&lt;keyword&gt;major depressive disorder&lt;/keyword&gt;&lt;keyword&gt;Male&lt;/keyword&gt;&lt;keyword&gt;Sex Factors&lt;/keyword&gt;&lt;keyword&gt;Time Factors&lt;/keyword&gt;&lt;/keywords&gt;&lt;dates&gt;&lt;year&gt;2015&lt;/year&gt;&lt;pub-dates&gt;&lt;date&gt;2015/05//&lt;/date&gt;&lt;/pub-dates&gt;&lt;/dates&gt;&lt;isbn&gt;1099-1077&lt;/isbn&gt;&lt;urls&gt;&lt;related-urls&gt;&lt;url&gt;http://www.ncbi.nlm.nih.gov/pubmed/25847818&lt;/url&gt;&lt;/related-urls&gt;&lt;/urls&gt;&lt;electronic-resource-num&gt;10.1002/hup.2475&lt;/electronic-resource-num&gt;&lt;remote-database-provider&gt;PubMed&lt;/remote-database-provider&gt;&lt;language&gt;eng&lt;/language&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[59]</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Hemoglobin depletion was also used, whereas 38% of raw reads in a study by </w:t>
      </w:r>
      <w:proofErr w:type="spellStart"/>
      <w:r w:rsidRPr="00CD2448">
        <w:rPr>
          <w:rFonts w:ascii="Arial" w:hAnsi="Arial" w:cs="Arial"/>
          <w:color w:val="000000" w:themeColor="text1"/>
          <w:sz w:val="22"/>
          <w:szCs w:val="22"/>
        </w:rPr>
        <w:t>Cathomas</w:t>
      </w:r>
      <w:proofErr w:type="spellEnd"/>
      <w:r w:rsidRPr="00CD2448">
        <w:rPr>
          <w:rFonts w:ascii="Arial" w:hAnsi="Arial" w:cs="Arial"/>
          <w:color w:val="000000" w:themeColor="text1"/>
          <w:sz w:val="22"/>
          <w:szCs w:val="22"/>
        </w:rPr>
        <w:t xml:space="preserve"> and colleagues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ExcludeYear="1"&gt;&lt;Author&gt;Cathomas&lt;/Author&gt;&lt;Year&gt;2022&lt;/Year&gt;&lt;RecNum&gt;93&lt;/RecNum&gt;&lt;DisplayText&gt;[58]&lt;/DisplayText&gt;&lt;record&gt;&lt;rec-number&gt;93&lt;/rec-number&gt;&lt;foreign-keys&gt;&lt;key app="EN" db-id="dzsadpavbdaf27ef9zmxw006vzddp0epfpxa" timestamp="1759159643"&gt;93&lt;/key&gt;&lt;/foreign-keys&gt;&lt;ref-type name="Journal Article"&gt;17&lt;/ref-type&gt;&lt;contributors&gt;&lt;authors&gt;&lt;author&gt;Cathomas, Flurin&lt;/author&gt;&lt;author&gt;Bevilacqua, Laura&lt;/author&gt;&lt;author&gt;Ramakrishnan, Aarthi&lt;/author&gt;&lt;author&gt;Kronman, Hope&lt;/author&gt;&lt;author&gt;Costi, Sara&lt;/author&gt;&lt;author&gt;Schneider, Molly&lt;/author&gt;&lt;author&gt;Chan, Kenny L.&lt;/author&gt;&lt;author&gt;Li, Long&lt;/author&gt;&lt;author&gt;Nestler, Eric J.&lt;/author&gt;&lt;author&gt;Shen, Li&lt;/author&gt;&lt;author&gt;Charney, Dennis S.&lt;/author&gt;&lt;author&gt;Russo, Scott J.&lt;/author&gt;&lt;author&gt;Murrough, James W.&lt;/author&gt;&lt;/authors&gt;&lt;/contributors&gt;&lt;titles&gt;&lt;title&gt;Whole blood transcriptional signatures associated with rapid antidepressant response to ketamine in patients with treatment resistant depression&lt;/title&gt;&lt;secondary-title&gt;Transl Psychiatry&lt;/secondary-title&gt;&lt;alt-title&gt;Transl Psychiatry&lt;/alt-title&gt;&lt;/titles&gt;&lt;periodical&gt;&lt;full-title&gt;Translational Psychiatry&lt;/full-title&gt;&lt;abbr-1&gt;Transl Psychiatry&lt;/abbr-1&gt;&lt;/periodical&gt;&lt;alt-periodical&gt;&lt;full-title&gt;Translational Psychiatry&lt;/full-title&gt;&lt;abbr-1&gt;Transl Psychiatry&lt;/abbr-1&gt;&lt;/alt-periodical&gt;&lt;pages&gt;12&lt;/pages&gt;&lt;volume&gt;12&lt;/volume&gt;&lt;dates&gt;&lt;year&gt;2022&lt;/year&gt;&lt;pub-dates&gt;&lt;date&gt;2022/01/10/&lt;/date&gt;&lt;/pub-dates&gt;&lt;/dates&gt;&lt;isbn&gt;2158-3188&lt;/isbn&gt;&lt;urls&gt;&lt;related-urls&gt;&lt;url&gt;https://www.ncbi.nlm.nih.gov/pmc/articles/PMC8748646/&lt;/url&gt;&lt;/related-urls&gt;&lt;/urls&gt;&lt;electronic-resource-num&gt;10.1038/s41398-021-01712-0&lt;/electronic-resource-num&gt;&lt;remote-database-provider&gt;PubMed Central&lt;/remote-database-provider&gt;&lt;access-date&gt;2024/04/01/19:51:21&lt;/access-date&gt;&lt;/record&gt;&lt;/Cite&gt;&lt;/EndNote&gt;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[58]</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were derived from hemoglobin genes. Each approach has tradeoffs: non-depletion risks reduced sensitivity for disease-relevant genes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ExcludeYear="1"&gt;&lt;Author&gt;Sheerin&lt;/Author&gt;&lt;Year&gt;2023&lt;/Year&gt;&lt;RecNum&gt;94&lt;/RecNum&gt;&lt;DisplayText&gt;[60]&lt;/DisplayText&gt;&lt;record&gt;&lt;rec-number&gt;94&lt;/rec-number&gt;&lt;foreign-keys&gt;&lt;key app="EN" db-id="dzsadpavbdaf27ef9zmxw006vzddp0epfpxa" timestamp="1759159643"&gt;94&lt;/key&gt;&lt;/foreign-keys&gt;&lt;ref-type name="Journal Article"&gt;17&lt;/ref-type&gt;&lt;contributors&gt;&lt;authors&gt;&lt;author&gt;Sheerin, Dylan&lt;/author&gt;&lt;author&gt;Lakay, Francisco&lt;/author&gt;&lt;author&gt;Esmail, Hanif&lt;/author&gt;&lt;author&gt;Kinnear, Craig&lt;/author&gt;&lt;author&gt;Sansom, Bianca&lt;/author&gt;&lt;author&gt;Glanzmann, Brigitte&lt;/author&gt;&lt;author&gt;Wilkinson, Robert J.&lt;/author&gt;&lt;author&gt;Ritchie, Matthew E.&lt;/author&gt;&lt;author&gt;Coussens, Anna K.&lt;/author&gt;&lt;/authors&gt;&lt;/contributors&gt;&lt;titles&gt;&lt;title&gt;Identification and control for the effects of bioinformatic globin depletion on human RNA-seq differential expression analysis&lt;/title&gt;&lt;secondary-title&gt;Sci Rep&lt;/secondary-title&gt;&lt;alt-title&gt;Sci Rep&lt;/alt-title&gt;&lt;/titles&gt;&lt;periodical&gt;&lt;full-title&gt;Sci Rep&lt;/full-title&gt;&lt;/periodical&gt;&lt;alt-periodical&gt;&lt;full-title&gt;Sci Rep&lt;/full-title&gt;&lt;/alt-periodical&gt;&lt;pages&gt;1859&lt;/pages&gt;&lt;volume&gt;13&lt;/volume&gt;&lt;number&gt;1&lt;/number&gt;&lt;keywords&gt;&lt;keyword&gt;Computational Biology&lt;/keyword&gt;&lt;keyword&gt;Data processing&lt;/keyword&gt;&lt;keyword&gt;Gene Expression Profiling&lt;/keyword&gt;&lt;keyword&gt;Hemoglobins&lt;/keyword&gt;&lt;keyword&gt;Humans&lt;/keyword&gt;&lt;keyword&gt;Quality control&lt;/keyword&gt;&lt;keyword&gt;RNA&lt;/keyword&gt;&lt;keyword&gt;RNA-Seq&lt;/keyword&gt;&lt;keyword&gt;RNA, Messenger&lt;/keyword&gt;&lt;keyword&gt;Sequence Analysis, RNA&lt;/keyword&gt;&lt;keyword&gt;Statistical methods&lt;/keyword&gt;&lt;keyword&gt;Transcriptome&lt;/keyword&gt;&lt;keyword&gt;Tuberculosis&lt;/keyword&gt;&lt;/keywords&gt;&lt;dates&gt;&lt;year&gt;2023&lt;/year&gt;&lt;pub-dates&gt;&lt;date&gt;2023/02/01/&lt;/date&gt;&lt;/pub-dates&gt;&lt;/dates&gt;&lt;isbn&gt;2045-2322&lt;/isbn&gt;&lt;urls&gt;&lt;related-urls&gt;&lt;url&gt;https://www.nature.com/articles/s41598-023-28218-7&lt;/url&gt;&lt;/related-urls&gt;&lt;/urls&gt;&lt;electronic-resource-num&gt;10.1038/s41598-023-28218-7&lt;/electronic-resource-num&gt;&lt;remote-database-provider&gt;www.nature.com&lt;/remote-database-provider&gt;&lt;language&gt;en&lt;/language&gt;&lt;access-date&gt;2025/04/13/18:06:51&lt;/access-date&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[60]</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while depletion can mask metabolic pathway expression </w:t>
      </w:r>
      <w:r w:rsidRPr="00CD2448">
        <w:rPr>
          <w:rFonts w:ascii="Arial" w:hAnsi="Arial" w:cs="Arial"/>
          <w:color w:val="000000" w:themeColor="text1"/>
          <w:sz w:val="22"/>
          <w:szCs w:val="22"/>
        </w:rPr>
        <w:fldChar w:fldCharType="begin">
          <w:fldData xml:space="preserve">PEVuZE5vdGU+PENpdGUgRXhjbHVkZVllYXI9IjEiPjxBdXRob3I+U2hpbjwvQXV0aG9yPjxZZWFy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</w:fldData>
        </w:fldChar>
      </w:r>
      <w:r w:rsidR="00C41394" w:rsidRPr="00CD2448">
        <w:rPr>
          <w:rFonts w:ascii="Arial" w:hAnsi="Arial" w:cs="Arial"/>
          <w:color w:val="000000" w:themeColor="text1"/>
          <w:sz w:val="22"/>
          <w:szCs w:val="22"/>
        </w:rPr>
        <w:instrText xml:space="preserve"> ADDIN EN.CITE </w:instrText>
      </w:r>
      <w:r w:rsidR="00C41394" w:rsidRPr="00CD2448">
        <w:rPr>
          <w:rFonts w:ascii="Arial" w:hAnsi="Arial" w:cs="Arial"/>
          <w:color w:val="000000" w:themeColor="text1"/>
          <w:sz w:val="22"/>
          <w:szCs w:val="22"/>
        </w:rPr>
        <w:fldChar w:fldCharType="begin">
          <w:fldData xml:space="preserve">PEVuZE5vdGU+PENpdGUgRXhjbHVkZVllYXI9IjEiPjxBdXRob3I+U2hpbjwvQXV0aG9yPjxZZWFy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</w:fldData>
        </w:fldChar>
      </w:r>
      <w:r w:rsidR="00C41394" w:rsidRPr="00CD2448">
        <w:rPr>
          <w:rFonts w:ascii="Arial" w:hAnsi="Arial" w:cs="Arial"/>
          <w:color w:val="000000" w:themeColor="text1"/>
          <w:sz w:val="22"/>
          <w:szCs w:val="22"/>
        </w:rPr>
        <w:instrText xml:space="preserve"> ADDIN EN.CITE.DATA </w:instrText>
      </w:r>
      <w:r w:rsidR="00C41394" w:rsidRPr="00CD2448">
        <w:rPr>
          <w:rFonts w:ascii="Arial" w:hAnsi="Arial" w:cs="Arial"/>
          <w:color w:val="000000" w:themeColor="text1"/>
          <w:sz w:val="22"/>
          <w:szCs w:val="22"/>
        </w:rPr>
      </w:r>
      <w:r w:rsidR="00C41394"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[61]</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w:t>
      </w:r>
      <w:proofErr w:type="spellStart"/>
      <w:r w:rsidRPr="00CD2448">
        <w:rPr>
          <w:rFonts w:ascii="Arial" w:hAnsi="Arial" w:cs="Arial"/>
          <w:color w:val="000000" w:themeColor="text1"/>
          <w:sz w:val="22"/>
          <w:szCs w:val="22"/>
        </w:rPr>
        <w:t>Cathomas</w:t>
      </w:r>
      <w:proofErr w:type="spellEnd"/>
      <w:r w:rsidRPr="00CD2448">
        <w:rPr>
          <w:rFonts w:ascii="Arial" w:hAnsi="Arial" w:cs="Arial"/>
          <w:color w:val="000000" w:themeColor="text1"/>
          <w:sz w:val="22"/>
          <w:szCs w:val="22"/>
        </w:rPr>
        <w:t xml:space="preserve"> and colleagues </w:t>
      </w:r>
      <w:r w:rsidRPr="00CD2448">
        <w:rPr>
          <w:rFonts w:ascii="Arial" w:hAnsi="Arial" w:cs="Arial"/>
          <w:color w:val="000000" w:themeColor="text1"/>
          <w:sz w:val="22"/>
          <w:szCs w:val="22"/>
        </w:rPr>
        <w:fldChar w:fldCharType="begin"/>
      </w:r>
      <w:r w:rsidR="00C41394" w:rsidRPr="00CD2448">
        <w:rPr>
          <w:rFonts w:ascii="Arial" w:hAnsi="Arial" w:cs="Arial"/>
          <w:color w:val="000000" w:themeColor="text1"/>
          <w:sz w:val="22"/>
          <w:szCs w:val="22"/>
        </w:rPr>
        <w:instrText xml:space="preserve"> ADDIN EN.CITE &lt;EndNote&gt;&lt;Cite ExcludeYear="1"&gt;&lt;Author&gt;Cathomas&lt;/Author&gt;&lt;Year&gt;2022&lt;/Year&gt;&lt;RecNum&gt;93&lt;/RecNum&gt;&lt;DisplayText&gt;[58]&lt;/DisplayText&gt;&lt;record&gt;&lt;rec-number&gt;93&lt;/rec-number&gt;&lt;foreign-keys&gt;&lt;key app="EN" db-id="dzsadpavbdaf27ef9zmxw006vzddp0epfpxa" timestamp="1759159643"&gt;93&lt;/key&gt;&lt;/foreign-keys&gt;&lt;ref-type name="Journal Article"&gt;17&lt;/ref-type&gt;&lt;contributors&gt;&lt;authors&gt;&lt;author&gt;Cathomas, Flurin&lt;/author&gt;&lt;author&gt;Bevilacqua, Laura&lt;/author&gt;&lt;author&gt;Ramakrishnan, Aarthi&lt;/author&gt;&lt;author&gt;Kronman, Hope&lt;/author&gt;&lt;author&gt;Costi, Sara&lt;/author&gt;&lt;author&gt;Schneider, Molly&lt;/author&gt;&lt;author&gt;Chan, Kenny L.&lt;/author&gt;&lt;author&gt;Li, Long&lt;/author&gt;&lt;author&gt;Nestler, Eric J.&lt;/author&gt;&lt;author&gt;Shen, Li&lt;/author&gt;&lt;author&gt;Charney, Dennis S.&lt;/author&gt;&lt;author&gt;Russo, Scott J.&lt;/author&gt;&lt;author&gt;Murrough, James W.&lt;/author&gt;&lt;/authors&gt;&lt;/contributors&gt;&lt;titles&gt;&lt;title&gt;Whole blood transcriptional signatures associated with rapid antidepressant response to ketamine in patients with treatment resistant depression&lt;/title&gt;&lt;secondary-title&gt;Transl Psychiatry&lt;/secondary-title&gt;&lt;alt-title&gt;Transl Psychiatry&lt;/alt-title&gt;&lt;/titles&gt;&lt;periodical&gt;&lt;full-title&gt;Translational Psychiatry&lt;/full-title&gt;&lt;abbr-1&gt;Transl Psychiatry&lt;/abbr-1&gt;&lt;/periodical&gt;&lt;alt-periodical&gt;&lt;full-title&gt;Translational Psychiatry&lt;/full-title&gt;&lt;abbr-1&gt;Transl Psychiatry&lt;/abbr-1&gt;&lt;/alt-periodical&gt;&lt;pages&gt;12&lt;/pages&gt;&lt;volume&gt;12&lt;/volume&gt;&lt;dates&gt;&lt;year&gt;2022&lt;/year&gt;&lt;pub-dates&gt;&lt;date&gt;2022/01/10/&lt;/date&gt;&lt;/pub-dates&gt;&lt;/dates&gt;&lt;isbn&gt;2158-3188&lt;/isbn&gt;&lt;urls&gt;&lt;related-urls&gt;&lt;url&gt;https://www.ncbi.nlm.nih.gov/pmc/articles/PMC8748646/&lt;/url&gt;&lt;/related-urls&gt;&lt;/urls&gt;&lt;electronic-resource-num&gt;10.1038/s41398-021-01712-0&lt;/electronic-resource-num&gt;&lt;remote-database-provider&gt;PubMed Central&lt;/remote-database-provider&gt;&lt;access-date&gt;2024/04/01/19:51:21&lt;/access-date&gt;&lt;/record&gt;&lt;/Cite&gt;&lt;/EndNote&gt;</w:instrText>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[58]</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found that metabolic (glutamate) and cyclic adenosine monophosphate (cAMP) signaling differentiated responders; both pathways are clearly established ketamine mechanisms </w:t>
      </w:r>
      <w:r w:rsidRPr="00CD2448">
        <w:rPr>
          <w:rFonts w:ascii="Arial" w:hAnsi="Arial" w:cs="Arial"/>
          <w:color w:val="000000" w:themeColor="text1"/>
          <w:sz w:val="22"/>
          <w:szCs w:val="22"/>
        </w:rPr>
        <w:fldChar w:fldCharType="begin">
          <w:fldData xml:space="preserve">PEVuZE5vdGU+PENpdGUgRXhjbHVkZVllYXI9IjEiPjxBdXRob3I+S2Fkcml1PC9BdXRob3I+PFll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</w:fldData>
        </w:fldChar>
      </w:r>
      <w:r w:rsidR="00C41394" w:rsidRPr="00CD2448">
        <w:rPr>
          <w:rFonts w:ascii="Arial" w:hAnsi="Arial" w:cs="Arial"/>
          <w:color w:val="000000" w:themeColor="text1"/>
          <w:sz w:val="22"/>
          <w:szCs w:val="22"/>
        </w:rPr>
        <w:instrText xml:space="preserve"> ADDIN EN.CITE </w:instrText>
      </w:r>
      <w:r w:rsidR="00C41394" w:rsidRPr="00CD2448">
        <w:rPr>
          <w:rFonts w:ascii="Arial" w:hAnsi="Arial" w:cs="Arial"/>
          <w:color w:val="000000" w:themeColor="text1"/>
          <w:sz w:val="22"/>
          <w:szCs w:val="22"/>
        </w:rPr>
        <w:fldChar w:fldCharType="begin">
          <w:fldData xml:space="preserve">PEVuZE5vdGU+PENpdGUgRXhjbHVkZVllYXI9IjEiPjxBdXRob3I+S2Fkcml1PC9BdXRob3I+PFll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</w:fldData>
        </w:fldChar>
      </w:r>
      <w:r w:rsidR="00C41394" w:rsidRPr="00CD2448">
        <w:rPr>
          <w:rFonts w:ascii="Arial" w:hAnsi="Arial" w:cs="Arial"/>
          <w:color w:val="000000" w:themeColor="text1"/>
          <w:sz w:val="22"/>
          <w:szCs w:val="22"/>
        </w:rPr>
        <w:instrText xml:space="preserve"> ADDIN EN.CITE.DATA </w:instrText>
      </w:r>
      <w:r w:rsidR="00C41394" w:rsidRPr="00CD2448">
        <w:rPr>
          <w:rFonts w:ascii="Arial" w:hAnsi="Arial" w:cs="Arial"/>
          <w:color w:val="000000" w:themeColor="text1"/>
          <w:sz w:val="22"/>
          <w:szCs w:val="22"/>
        </w:rPr>
      </w:r>
      <w:r w:rsidR="00C41394"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[47, 58, 62]</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Rarer immune transcripts were found here, likely due to increased read availability alongside metabolic masking </w:t>
      </w:r>
      <w:r w:rsidRPr="00CD2448">
        <w:rPr>
          <w:rFonts w:ascii="Arial" w:hAnsi="Arial" w:cs="Arial"/>
          <w:color w:val="000000" w:themeColor="text1"/>
          <w:sz w:val="22"/>
          <w:szCs w:val="22"/>
        </w:rPr>
        <w:fldChar w:fldCharType="begin">
          <w:fldData xml:space="preserve">PEVuZE5vdGU+PENpdGUgRXhjbHVkZVllYXI9IjEiPjxBdXRob3I+U2hpbjwvQXV0aG9yPjxZZWFy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</w:fldData>
        </w:fldChar>
      </w:r>
      <w:r w:rsidR="00C41394" w:rsidRPr="00CD2448">
        <w:rPr>
          <w:rFonts w:ascii="Arial" w:hAnsi="Arial" w:cs="Arial"/>
          <w:color w:val="000000" w:themeColor="text1"/>
          <w:sz w:val="22"/>
          <w:szCs w:val="22"/>
        </w:rPr>
        <w:instrText xml:space="preserve"> ADDIN EN.CITE </w:instrText>
      </w:r>
      <w:r w:rsidR="00C41394" w:rsidRPr="00CD2448">
        <w:rPr>
          <w:rFonts w:ascii="Arial" w:hAnsi="Arial" w:cs="Arial"/>
          <w:color w:val="000000" w:themeColor="text1"/>
          <w:sz w:val="22"/>
          <w:szCs w:val="22"/>
        </w:rPr>
        <w:fldChar w:fldCharType="begin">
          <w:fldData xml:space="preserve">PEVuZE5vdGU+PENpdGUgRXhjbHVkZVllYXI9IjEiPjxBdXRob3I+U2hpbjwvQXV0aG9yPjxZZWFy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</w:fldData>
        </w:fldChar>
      </w:r>
      <w:r w:rsidR="00C41394" w:rsidRPr="00CD2448">
        <w:rPr>
          <w:rFonts w:ascii="Arial" w:hAnsi="Arial" w:cs="Arial"/>
          <w:color w:val="000000" w:themeColor="text1"/>
          <w:sz w:val="22"/>
          <w:szCs w:val="22"/>
        </w:rPr>
        <w:instrText xml:space="preserve"> ADDIN EN.CITE.DATA </w:instrText>
      </w:r>
      <w:r w:rsidR="00C41394" w:rsidRPr="00CD2448">
        <w:rPr>
          <w:rFonts w:ascii="Arial" w:hAnsi="Arial" w:cs="Arial"/>
          <w:color w:val="000000" w:themeColor="text1"/>
          <w:sz w:val="22"/>
          <w:szCs w:val="22"/>
        </w:rPr>
      </w:r>
      <w:r w:rsidR="00C41394"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r>
      <w:r w:rsidRPr="00CD2448">
        <w:rPr>
          <w:rFonts w:ascii="Arial" w:hAnsi="Arial" w:cs="Arial"/>
          <w:color w:val="000000" w:themeColor="text1"/>
          <w:sz w:val="22"/>
          <w:szCs w:val="22"/>
        </w:rPr>
        <w:fldChar w:fldCharType="separate"/>
      </w:r>
      <w:r w:rsidR="00C41394" w:rsidRPr="00CD2448">
        <w:rPr>
          <w:rFonts w:ascii="Arial" w:hAnsi="Arial" w:cs="Arial"/>
          <w:noProof/>
          <w:color w:val="000000" w:themeColor="text1"/>
          <w:sz w:val="22"/>
          <w:szCs w:val="22"/>
        </w:rPr>
        <w:t>[61]</w:t>
      </w:r>
      <w:r w:rsidRPr="00CD2448">
        <w:rPr>
          <w:rFonts w:ascii="Arial" w:hAnsi="Arial" w:cs="Arial"/>
          <w:color w:val="000000" w:themeColor="text1"/>
          <w:sz w:val="22"/>
          <w:szCs w:val="22"/>
        </w:rPr>
        <w:fldChar w:fldCharType="end"/>
      </w:r>
      <w:r w:rsidRPr="00CD2448">
        <w:rPr>
          <w:rFonts w:ascii="Arial" w:hAnsi="Arial" w:cs="Arial"/>
          <w:color w:val="000000" w:themeColor="text1"/>
          <w:sz w:val="22"/>
          <w:szCs w:val="22"/>
        </w:rPr>
        <w:t xml:space="preserve">. Importantly, both approaches identified bone-related signals associated with response, underscoring convergent biology despite methodological differences. </w:t>
      </w:r>
    </w:p>
    <w:bookmarkEnd w:id="57"/>
    <w:p w14:paraId="7626A808" w14:textId="77777777" w:rsidR="008A295F" w:rsidRPr="00CD2448" w:rsidRDefault="008A295F" w:rsidP="008A295F">
      <w:pPr>
        <w:jc w:val="both"/>
        <w:rPr>
          <w:rFonts w:ascii="Arial" w:hAnsi="Arial" w:cs="Arial"/>
          <w:color w:val="000000" w:themeColor="text1"/>
          <w:sz w:val="22"/>
          <w:szCs w:val="22"/>
        </w:rPr>
      </w:pPr>
    </w:p>
    <w:p w14:paraId="0A2DE73A" w14:textId="77777777" w:rsidR="008A295F" w:rsidRPr="00CD2448" w:rsidRDefault="008A295F" w:rsidP="008A295F">
      <w:pPr>
        <w:jc w:val="both"/>
        <w:rPr>
          <w:rFonts w:ascii="Arial" w:hAnsi="Arial" w:cs="Arial"/>
          <w:color w:val="000000" w:themeColor="text1"/>
          <w:sz w:val="22"/>
          <w:szCs w:val="22"/>
        </w:rPr>
      </w:pPr>
    </w:p>
    <w:p w14:paraId="2E5AF3C0" w14:textId="3993748E" w:rsidR="008610C8" w:rsidRPr="00CD2448" w:rsidRDefault="008610C8" w:rsidP="008B74B0">
      <w:pPr>
        <w:jc w:val="both"/>
        <w:rPr>
          <w:rFonts w:ascii="Arial" w:hAnsi="Arial" w:cs="Arial"/>
          <w:color w:val="000000" w:themeColor="text1"/>
          <w:sz w:val="22"/>
          <w:szCs w:val="22"/>
        </w:rPr>
      </w:pPr>
      <w:r w:rsidRPr="00CD2448">
        <w:rPr>
          <w:rFonts w:ascii="Arial" w:hAnsi="Arial" w:cs="Arial"/>
          <w:color w:val="000000" w:themeColor="text1"/>
          <w:sz w:val="22"/>
          <w:szCs w:val="22"/>
        </w:rPr>
        <w:br w:type="page"/>
      </w:r>
    </w:p>
    <w:p w14:paraId="532D07AC" w14:textId="77777777" w:rsidR="00660ACD" w:rsidRPr="00CD2448" w:rsidRDefault="00660ACD" w:rsidP="008B74B0">
      <w:pPr>
        <w:jc w:val="both"/>
        <w:rPr>
          <w:rFonts w:ascii="Arial" w:hAnsi="Arial" w:cs="Arial"/>
          <w:color w:val="000000" w:themeColor="text1"/>
          <w:sz w:val="20"/>
          <w:szCs w:val="20"/>
        </w:rPr>
      </w:pPr>
    </w:p>
    <w:p w14:paraId="1D27CDBC" w14:textId="1B0C75FF" w:rsidR="002D69D0" w:rsidRPr="00CD2448" w:rsidRDefault="002D69D0" w:rsidP="008B74B0">
      <w:pPr>
        <w:jc w:val="both"/>
        <w:rPr>
          <w:rFonts w:ascii="Arial" w:hAnsi="Arial" w:cs="Arial"/>
          <w:b/>
          <w:bCs/>
          <w:color w:val="000000" w:themeColor="text1"/>
          <w:sz w:val="20"/>
          <w:szCs w:val="20"/>
        </w:rPr>
      </w:pPr>
      <w:r w:rsidRPr="00CD2448">
        <w:rPr>
          <w:rFonts w:ascii="Arial" w:hAnsi="Arial" w:cs="Arial"/>
          <w:b/>
          <w:bCs/>
          <w:color w:val="000000" w:themeColor="text1"/>
          <w:sz w:val="20"/>
          <w:szCs w:val="20"/>
        </w:rPr>
        <w:t>R Package Versions</w:t>
      </w:r>
    </w:p>
    <w:tbl>
      <w:tblPr>
        <w:tblStyle w:val="TableGrid"/>
        <w:tblW w:w="5000" w:type="pct"/>
        <w:tblLook w:val="04A0" w:firstRow="1" w:lastRow="0" w:firstColumn="1" w:lastColumn="0" w:noHBand="0" w:noVBand="1"/>
      </w:tblPr>
      <w:tblGrid>
        <w:gridCol w:w="7255"/>
        <w:gridCol w:w="3535"/>
      </w:tblGrid>
      <w:tr w:rsidR="008610C8" w:rsidRPr="00CD2448" w14:paraId="45255CDE" w14:textId="77777777" w:rsidTr="008610C8">
        <w:trPr>
          <w:trHeight w:val="20"/>
        </w:trPr>
        <w:tc>
          <w:tcPr>
            <w:tcW w:w="3362" w:type="pct"/>
            <w:hideMark/>
          </w:tcPr>
          <w:p w14:paraId="10F517B3" w14:textId="77777777" w:rsidR="008610C8" w:rsidRPr="00CD2448" w:rsidRDefault="008610C8" w:rsidP="008610C8">
            <w:pPr>
              <w:rPr>
                <w:rFonts w:ascii="Arial" w:hAnsi="Arial" w:cs="Arial"/>
                <w:b/>
                <w:bCs/>
                <w:color w:val="000000" w:themeColor="text1"/>
                <w:sz w:val="20"/>
                <w:szCs w:val="20"/>
              </w:rPr>
            </w:pPr>
            <w:r w:rsidRPr="00CD2448">
              <w:rPr>
                <w:rFonts w:ascii="Arial" w:hAnsi="Arial" w:cs="Arial"/>
                <w:b/>
                <w:bCs/>
                <w:color w:val="000000" w:themeColor="text1"/>
                <w:sz w:val="20"/>
                <w:szCs w:val="20"/>
              </w:rPr>
              <w:t>Package</w:t>
            </w:r>
          </w:p>
        </w:tc>
        <w:tc>
          <w:tcPr>
            <w:tcW w:w="1638" w:type="pct"/>
            <w:hideMark/>
          </w:tcPr>
          <w:p w14:paraId="259AF7E9" w14:textId="77777777" w:rsidR="008610C8" w:rsidRPr="00CD2448" w:rsidRDefault="008610C8" w:rsidP="008610C8">
            <w:pPr>
              <w:rPr>
                <w:rFonts w:ascii="Arial" w:hAnsi="Arial" w:cs="Arial"/>
                <w:b/>
                <w:bCs/>
                <w:color w:val="000000" w:themeColor="text1"/>
                <w:sz w:val="20"/>
                <w:szCs w:val="20"/>
              </w:rPr>
            </w:pPr>
            <w:r w:rsidRPr="00CD2448">
              <w:rPr>
                <w:rFonts w:ascii="Arial" w:hAnsi="Arial" w:cs="Arial"/>
                <w:b/>
                <w:bCs/>
                <w:color w:val="000000" w:themeColor="text1"/>
                <w:sz w:val="20"/>
                <w:szCs w:val="20"/>
              </w:rPr>
              <w:t>Version</w:t>
            </w:r>
          </w:p>
        </w:tc>
      </w:tr>
      <w:tr w:rsidR="008610C8" w:rsidRPr="00CD2448" w14:paraId="6AFCDB57" w14:textId="77777777" w:rsidTr="008610C8">
        <w:trPr>
          <w:trHeight w:val="20"/>
        </w:trPr>
        <w:tc>
          <w:tcPr>
            <w:tcW w:w="3362" w:type="pct"/>
            <w:hideMark/>
          </w:tcPr>
          <w:p w14:paraId="45688578"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dplyr</w:t>
            </w:r>
            <w:proofErr w:type="spellEnd"/>
          </w:p>
        </w:tc>
        <w:tc>
          <w:tcPr>
            <w:tcW w:w="1638" w:type="pct"/>
            <w:hideMark/>
          </w:tcPr>
          <w:p w14:paraId="55D517BF"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1.2.0</w:t>
            </w:r>
          </w:p>
        </w:tc>
      </w:tr>
      <w:tr w:rsidR="008610C8" w:rsidRPr="00CD2448" w14:paraId="500D53DE" w14:textId="77777777" w:rsidTr="008610C8">
        <w:trPr>
          <w:trHeight w:val="20"/>
        </w:trPr>
        <w:tc>
          <w:tcPr>
            <w:tcW w:w="3362" w:type="pct"/>
            <w:hideMark/>
          </w:tcPr>
          <w:p w14:paraId="01779A76"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tidyverse</w:t>
            </w:r>
            <w:proofErr w:type="spellEnd"/>
          </w:p>
        </w:tc>
        <w:tc>
          <w:tcPr>
            <w:tcW w:w="1638" w:type="pct"/>
            <w:hideMark/>
          </w:tcPr>
          <w:p w14:paraId="646D4C19"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2.0.0</w:t>
            </w:r>
          </w:p>
        </w:tc>
      </w:tr>
      <w:tr w:rsidR="008610C8" w:rsidRPr="00CD2448" w14:paraId="207E513A" w14:textId="77777777" w:rsidTr="008610C8">
        <w:trPr>
          <w:trHeight w:val="20"/>
        </w:trPr>
        <w:tc>
          <w:tcPr>
            <w:tcW w:w="3362" w:type="pct"/>
            <w:hideMark/>
          </w:tcPr>
          <w:p w14:paraId="2A574976"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readxl</w:t>
            </w:r>
            <w:proofErr w:type="spellEnd"/>
          </w:p>
        </w:tc>
        <w:tc>
          <w:tcPr>
            <w:tcW w:w="1638" w:type="pct"/>
            <w:hideMark/>
          </w:tcPr>
          <w:p w14:paraId="71A9F73A"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1.4.5</w:t>
            </w:r>
          </w:p>
        </w:tc>
      </w:tr>
      <w:tr w:rsidR="008610C8" w:rsidRPr="00CD2448" w14:paraId="1C50EFC5" w14:textId="77777777" w:rsidTr="008610C8">
        <w:trPr>
          <w:trHeight w:val="20"/>
        </w:trPr>
        <w:tc>
          <w:tcPr>
            <w:tcW w:w="3362" w:type="pct"/>
            <w:hideMark/>
          </w:tcPr>
          <w:p w14:paraId="28FED9CA"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openxlsx</w:t>
            </w:r>
            <w:proofErr w:type="spellEnd"/>
          </w:p>
        </w:tc>
        <w:tc>
          <w:tcPr>
            <w:tcW w:w="1638" w:type="pct"/>
            <w:hideMark/>
          </w:tcPr>
          <w:p w14:paraId="53F5EB4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4.2.8.1</w:t>
            </w:r>
          </w:p>
        </w:tc>
      </w:tr>
      <w:tr w:rsidR="008610C8" w:rsidRPr="00CD2448" w14:paraId="083F8354" w14:textId="77777777" w:rsidTr="008610C8">
        <w:trPr>
          <w:trHeight w:val="20"/>
        </w:trPr>
        <w:tc>
          <w:tcPr>
            <w:tcW w:w="3362" w:type="pct"/>
            <w:hideMark/>
          </w:tcPr>
          <w:p w14:paraId="680B29A3"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purrr</w:t>
            </w:r>
            <w:proofErr w:type="spellEnd"/>
          </w:p>
        </w:tc>
        <w:tc>
          <w:tcPr>
            <w:tcW w:w="1638" w:type="pct"/>
            <w:hideMark/>
          </w:tcPr>
          <w:p w14:paraId="0F494096"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1.2.1</w:t>
            </w:r>
          </w:p>
        </w:tc>
      </w:tr>
      <w:tr w:rsidR="008610C8" w:rsidRPr="00CD2448" w14:paraId="7CB16B3B" w14:textId="77777777" w:rsidTr="008610C8">
        <w:trPr>
          <w:trHeight w:val="20"/>
        </w:trPr>
        <w:tc>
          <w:tcPr>
            <w:tcW w:w="3362" w:type="pct"/>
            <w:hideMark/>
          </w:tcPr>
          <w:p w14:paraId="079DCFE9"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ggplot2</w:t>
            </w:r>
          </w:p>
        </w:tc>
        <w:tc>
          <w:tcPr>
            <w:tcW w:w="1638" w:type="pct"/>
            <w:hideMark/>
          </w:tcPr>
          <w:p w14:paraId="4C3DDF6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4.0.2</w:t>
            </w:r>
          </w:p>
        </w:tc>
      </w:tr>
      <w:tr w:rsidR="008610C8" w:rsidRPr="00CD2448" w14:paraId="4B50317C" w14:textId="77777777" w:rsidTr="008610C8">
        <w:trPr>
          <w:trHeight w:val="20"/>
        </w:trPr>
        <w:tc>
          <w:tcPr>
            <w:tcW w:w="3362" w:type="pct"/>
            <w:hideMark/>
          </w:tcPr>
          <w:p w14:paraId="3D6BA255"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ggrepel</w:t>
            </w:r>
            <w:proofErr w:type="spellEnd"/>
          </w:p>
        </w:tc>
        <w:tc>
          <w:tcPr>
            <w:tcW w:w="1638" w:type="pct"/>
            <w:hideMark/>
          </w:tcPr>
          <w:p w14:paraId="653F5FEF"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0.9.7</w:t>
            </w:r>
          </w:p>
        </w:tc>
      </w:tr>
      <w:tr w:rsidR="008610C8" w:rsidRPr="00CD2448" w14:paraId="35BCEA43" w14:textId="77777777" w:rsidTr="008610C8">
        <w:trPr>
          <w:trHeight w:val="20"/>
        </w:trPr>
        <w:tc>
          <w:tcPr>
            <w:tcW w:w="3362" w:type="pct"/>
            <w:hideMark/>
          </w:tcPr>
          <w:p w14:paraId="5E873DD5"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gridExtra</w:t>
            </w:r>
            <w:proofErr w:type="spellEnd"/>
          </w:p>
        </w:tc>
        <w:tc>
          <w:tcPr>
            <w:tcW w:w="1638" w:type="pct"/>
            <w:hideMark/>
          </w:tcPr>
          <w:p w14:paraId="055C01C7"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2.3</w:t>
            </w:r>
          </w:p>
        </w:tc>
      </w:tr>
      <w:tr w:rsidR="008610C8" w:rsidRPr="00CD2448" w14:paraId="6235E5B9" w14:textId="77777777" w:rsidTr="008610C8">
        <w:trPr>
          <w:trHeight w:val="20"/>
        </w:trPr>
        <w:tc>
          <w:tcPr>
            <w:tcW w:w="3362" w:type="pct"/>
            <w:hideMark/>
          </w:tcPr>
          <w:p w14:paraId="2B73E44F"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grid</w:t>
            </w:r>
          </w:p>
        </w:tc>
        <w:tc>
          <w:tcPr>
            <w:tcW w:w="1638" w:type="pct"/>
            <w:hideMark/>
          </w:tcPr>
          <w:p w14:paraId="180A679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4.5.0</w:t>
            </w:r>
          </w:p>
        </w:tc>
      </w:tr>
      <w:tr w:rsidR="008610C8" w:rsidRPr="00CD2448" w14:paraId="43F94CEE" w14:textId="77777777" w:rsidTr="008610C8">
        <w:trPr>
          <w:trHeight w:val="20"/>
        </w:trPr>
        <w:tc>
          <w:tcPr>
            <w:tcW w:w="3362" w:type="pct"/>
            <w:hideMark/>
          </w:tcPr>
          <w:p w14:paraId="48BAD56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cowplot</w:t>
            </w:r>
            <w:proofErr w:type="spellEnd"/>
          </w:p>
        </w:tc>
        <w:tc>
          <w:tcPr>
            <w:tcW w:w="1638" w:type="pct"/>
            <w:hideMark/>
          </w:tcPr>
          <w:p w14:paraId="429AB407"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1.2.0</w:t>
            </w:r>
          </w:p>
        </w:tc>
      </w:tr>
      <w:tr w:rsidR="008610C8" w:rsidRPr="00CD2448" w14:paraId="4310E669" w14:textId="77777777" w:rsidTr="008610C8">
        <w:trPr>
          <w:trHeight w:val="20"/>
        </w:trPr>
        <w:tc>
          <w:tcPr>
            <w:tcW w:w="3362" w:type="pct"/>
            <w:hideMark/>
          </w:tcPr>
          <w:p w14:paraId="4E091EE0"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patchwork</w:t>
            </w:r>
          </w:p>
        </w:tc>
        <w:tc>
          <w:tcPr>
            <w:tcW w:w="1638" w:type="pct"/>
            <w:hideMark/>
          </w:tcPr>
          <w:p w14:paraId="4EF25E1A"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1.3.2</w:t>
            </w:r>
          </w:p>
        </w:tc>
      </w:tr>
      <w:tr w:rsidR="008610C8" w:rsidRPr="00CD2448" w14:paraId="71467111" w14:textId="77777777" w:rsidTr="008610C8">
        <w:trPr>
          <w:trHeight w:val="20"/>
        </w:trPr>
        <w:tc>
          <w:tcPr>
            <w:tcW w:w="3362" w:type="pct"/>
            <w:hideMark/>
          </w:tcPr>
          <w:p w14:paraId="7A641140"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tidytext</w:t>
            </w:r>
            <w:proofErr w:type="spellEnd"/>
          </w:p>
        </w:tc>
        <w:tc>
          <w:tcPr>
            <w:tcW w:w="1638" w:type="pct"/>
            <w:hideMark/>
          </w:tcPr>
          <w:p w14:paraId="6BF6AC8C"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0.4.3</w:t>
            </w:r>
          </w:p>
        </w:tc>
      </w:tr>
      <w:tr w:rsidR="008610C8" w:rsidRPr="00CD2448" w14:paraId="62324873" w14:textId="77777777" w:rsidTr="008610C8">
        <w:trPr>
          <w:trHeight w:val="20"/>
        </w:trPr>
        <w:tc>
          <w:tcPr>
            <w:tcW w:w="3362" w:type="pct"/>
            <w:hideMark/>
          </w:tcPr>
          <w:p w14:paraId="366C7CE8"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ggVennDiagram</w:t>
            </w:r>
            <w:proofErr w:type="spellEnd"/>
          </w:p>
        </w:tc>
        <w:tc>
          <w:tcPr>
            <w:tcW w:w="1638" w:type="pct"/>
            <w:hideMark/>
          </w:tcPr>
          <w:p w14:paraId="7B00A120"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1.5.7</w:t>
            </w:r>
          </w:p>
        </w:tc>
      </w:tr>
      <w:tr w:rsidR="008610C8" w:rsidRPr="00CD2448" w14:paraId="704CB6B9" w14:textId="77777777" w:rsidTr="008610C8">
        <w:trPr>
          <w:trHeight w:val="20"/>
        </w:trPr>
        <w:tc>
          <w:tcPr>
            <w:tcW w:w="3362" w:type="pct"/>
            <w:hideMark/>
          </w:tcPr>
          <w:p w14:paraId="3E125F56"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viridis</w:t>
            </w:r>
            <w:proofErr w:type="spellEnd"/>
          </w:p>
        </w:tc>
        <w:tc>
          <w:tcPr>
            <w:tcW w:w="1638" w:type="pct"/>
            <w:hideMark/>
          </w:tcPr>
          <w:p w14:paraId="61E02DDF"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0.6.5</w:t>
            </w:r>
          </w:p>
        </w:tc>
      </w:tr>
      <w:tr w:rsidR="008610C8" w:rsidRPr="00CD2448" w14:paraId="7CA4A42C" w14:textId="77777777" w:rsidTr="008610C8">
        <w:trPr>
          <w:trHeight w:val="20"/>
        </w:trPr>
        <w:tc>
          <w:tcPr>
            <w:tcW w:w="3362" w:type="pct"/>
            <w:hideMark/>
          </w:tcPr>
          <w:p w14:paraId="4A0ADAE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viridisLite</w:t>
            </w:r>
            <w:proofErr w:type="spellEnd"/>
          </w:p>
        </w:tc>
        <w:tc>
          <w:tcPr>
            <w:tcW w:w="1638" w:type="pct"/>
            <w:hideMark/>
          </w:tcPr>
          <w:p w14:paraId="1D7DC2B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0.4.3</w:t>
            </w:r>
          </w:p>
        </w:tc>
      </w:tr>
      <w:tr w:rsidR="008610C8" w:rsidRPr="00CD2448" w14:paraId="3CBDA5B0" w14:textId="77777777" w:rsidTr="008610C8">
        <w:trPr>
          <w:trHeight w:val="20"/>
        </w:trPr>
        <w:tc>
          <w:tcPr>
            <w:tcW w:w="3362" w:type="pct"/>
            <w:hideMark/>
          </w:tcPr>
          <w:p w14:paraId="533B322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ggbeeswarm</w:t>
            </w:r>
            <w:proofErr w:type="spellEnd"/>
          </w:p>
        </w:tc>
        <w:tc>
          <w:tcPr>
            <w:tcW w:w="1638" w:type="pct"/>
            <w:hideMark/>
          </w:tcPr>
          <w:p w14:paraId="2100F4D7"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0.7.3</w:t>
            </w:r>
          </w:p>
        </w:tc>
      </w:tr>
      <w:tr w:rsidR="008610C8" w:rsidRPr="00CD2448" w14:paraId="3ECCDD54" w14:textId="77777777" w:rsidTr="008610C8">
        <w:trPr>
          <w:trHeight w:val="20"/>
        </w:trPr>
        <w:tc>
          <w:tcPr>
            <w:tcW w:w="3362" w:type="pct"/>
            <w:hideMark/>
          </w:tcPr>
          <w:p w14:paraId="528A12A6"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lme4</w:t>
            </w:r>
          </w:p>
        </w:tc>
        <w:tc>
          <w:tcPr>
            <w:tcW w:w="1638" w:type="pct"/>
            <w:hideMark/>
          </w:tcPr>
          <w:p w14:paraId="15FA4F9C"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1.1.38</w:t>
            </w:r>
          </w:p>
        </w:tc>
      </w:tr>
      <w:tr w:rsidR="008610C8" w:rsidRPr="00CD2448" w14:paraId="48518B5C" w14:textId="77777777" w:rsidTr="008610C8">
        <w:trPr>
          <w:trHeight w:val="20"/>
        </w:trPr>
        <w:tc>
          <w:tcPr>
            <w:tcW w:w="3362" w:type="pct"/>
            <w:hideMark/>
          </w:tcPr>
          <w:p w14:paraId="5453A832"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lmerTest</w:t>
            </w:r>
            <w:proofErr w:type="spellEnd"/>
          </w:p>
        </w:tc>
        <w:tc>
          <w:tcPr>
            <w:tcW w:w="1638" w:type="pct"/>
            <w:hideMark/>
          </w:tcPr>
          <w:p w14:paraId="28686759"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3.2.1</w:t>
            </w:r>
          </w:p>
        </w:tc>
      </w:tr>
      <w:tr w:rsidR="008610C8" w:rsidRPr="00CD2448" w14:paraId="3E5D88AD" w14:textId="77777777" w:rsidTr="008610C8">
        <w:trPr>
          <w:trHeight w:val="20"/>
        </w:trPr>
        <w:tc>
          <w:tcPr>
            <w:tcW w:w="3362" w:type="pct"/>
            <w:hideMark/>
          </w:tcPr>
          <w:p w14:paraId="7B5C33F1"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effectsize</w:t>
            </w:r>
            <w:proofErr w:type="spellEnd"/>
          </w:p>
        </w:tc>
        <w:tc>
          <w:tcPr>
            <w:tcW w:w="1638" w:type="pct"/>
            <w:hideMark/>
          </w:tcPr>
          <w:p w14:paraId="1B41977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1.0.1</w:t>
            </w:r>
          </w:p>
        </w:tc>
      </w:tr>
      <w:tr w:rsidR="008610C8" w:rsidRPr="00CD2448" w14:paraId="45A08EF4" w14:textId="77777777" w:rsidTr="008610C8">
        <w:trPr>
          <w:trHeight w:val="20"/>
        </w:trPr>
        <w:tc>
          <w:tcPr>
            <w:tcW w:w="3362" w:type="pct"/>
            <w:hideMark/>
          </w:tcPr>
          <w:p w14:paraId="25512EC3"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ggeffects</w:t>
            </w:r>
            <w:proofErr w:type="spellEnd"/>
          </w:p>
        </w:tc>
        <w:tc>
          <w:tcPr>
            <w:tcW w:w="1638" w:type="pct"/>
            <w:hideMark/>
          </w:tcPr>
          <w:p w14:paraId="367BC77B"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2.3.2</w:t>
            </w:r>
          </w:p>
        </w:tc>
      </w:tr>
      <w:tr w:rsidR="008610C8" w:rsidRPr="00CD2448" w14:paraId="3BD3B0D9" w14:textId="77777777" w:rsidTr="008610C8">
        <w:trPr>
          <w:trHeight w:val="20"/>
        </w:trPr>
        <w:tc>
          <w:tcPr>
            <w:tcW w:w="3362" w:type="pct"/>
            <w:hideMark/>
          </w:tcPr>
          <w:p w14:paraId="3B98F53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emmeans</w:t>
            </w:r>
            <w:proofErr w:type="spellEnd"/>
          </w:p>
        </w:tc>
        <w:tc>
          <w:tcPr>
            <w:tcW w:w="1638" w:type="pct"/>
            <w:hideMark/>
          </w:tcPr>
          <w:p w14:paraId="760513C0"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2.0.2</w:t>
            </w:r>
          </w:p>
        </w:tc>
      </w:tr>
      <w:tr w:rsidR="008610C8" w:rsidRPr="00CD2448" w14:paraId="7750F0CC" w14:textId="77777777" w:rsidTr="008610C8">
        <w:trPr>
          <w:trHeight w:val="20"/>
        </w:trPr>
        <w:tc>
          <w:tcPr>
            <w:tcW w:w="3362" w:type="pct"/>
            <w:hideMark/>
          </w:tcPr>
          <w:p w14:paraId="433457AA"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edgeR</w:t>
            </w:r>
            <w:proofErr w:type="spellEnd"/>
          </w:p>
        </w:tc>
        <w:tc>
          <w:tcPr>
            <w:tcW w:w="1638" w:type="pct"/>
            <w:hideMark/>
          </w:tcPr>
          <w:p w14:paraId="4A13DEA3"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4.6.3</w:t>
            </w:r>
          </w:p>
        </w:tc>
      </w:tr>
      <w:tr w:rsidR="008610C8" w:rsidRPr="00CD2448" w14:paraId="13667717" w14:textId="77777777" w:rsidTr="008610C8">
        <w:trPr>
          <w:trHeight w:val="20"/>
        </w:trPr>
        <w:tc>
          <w:tcPr>
            <w:tcW w:w="3362" w:type="pct"/>
            <w:hideMark/>
          </w:tcPr>
          <w:p w14:paraId="7732BD4A"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limma</w:t>
            </w:r>
            <w:proofErr w:type="spellEnd"/>
          </w:p>
        </w:tc>
        <w:tc>
          <w:tcPr>
            <w:tcW w:w="1638" w:type="pct"/>
            <w:hideMark/>
          </w:tcPr>
          <w:p w14:paraId="7094B166"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3.66.0</w:t>
            </w:r>
          </w:p>
        </w:tc>
      </w:tr>
      <w:tr w:rsidR="008610C8" w:rsidRPr="00CD2448" w14:paraId="5F3BD06D" w14:textId="77777777" w:rsidTr="008610C8">
        <w:trPr>
          <w:trHeight w:val="20"/>
        </w:trPr>
        <w:tc>
          <w:tcPr>
            <w:tcW w:w="3362" w:type="pct"/>
            <w:hideMark/>
          </w:tcPr>
          <w:p w14:paraId="5CF36985"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variancePartition</w:t>
            </w:r>
            <w:proofErr w:type="spellEnd"/>
          </w:p>
        </w:tc>
        <w:tc>
          <w:tcPr>
            <w:tcW w:w="1638" w:type="pct"/>
            <w:hideMark/>
          </w:tcPr>
          <w:p w14:paraId="01240E0E"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1.38.1</w:t>
            </w:r>
          </w:p>
        </w:tc>
      </w:tr>
      <w:tr w:rsidR="008610C8" w:rsidRPr="00CD2448" w14:paraId="5B9D238E" w14:textId="77777777" w:rsidTr="008610C8">
        <w:trPr>
          <w:trHeight w:val="20"/>
        </w:trPr>
        <w:tc>
          <w:tcPr>
            <w:tcW w:w="3362" w:type="pct"/>
            <w:hideMark/>
          </w:tcPr>
          <w:p w14:paraId="14B7DF49"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biomaRt</w:t>
            </w:r>
            <w:proofErr w:type="spellEnd"/>
          </w:p>
        </w:tc>
        <w:tc>
          <w:tcPr>
            <w:tcW w:w="1638" w:type="pct"/>
            <w:hideMark/>
          </w:tcPr>
          <w:p w14:paraId="6CFDB1DC"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2.64.0</w:t>
            </w:r>
          </w:p>
        </w:tc>
      </w:tr>
      <w:tr w:rsidR="008610C8" w:rsidRPr="00CD2448" w14:paraId="205AA447" w14:textId="77777777" w:rsidTr="008610C8">
        <w:trPr>
          <w:trHeight w:val="20"/>
        </w:trPr>
        <w:tc>
          <w:tcPr>
            <w:tcW w:w="3362" w:type="pct"/>
            <w:hideMark/>
          </w:tcPr>
          <w:p w14:paraId="3669E850"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EnhancedVolcano</w:t>
            </w:r>
            <w:proofErr w:type="spellEnd"/>
          </w:p>
        </w:tc>
        <w:tc>
          <w:tcPr>
            <w:tcW w:w="1638" w:type="pct"/>
            <w:hideMark/>
          </w:tcPr>
          <w:p w14:paraId="180203DB"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1.26.0</w:t>
            </w:r>
          </w:p>
        </w:tc>
      </w:tr>
      <w:tr w:rsidR="008610C8" w:rsidRPr="00CD2448" w14:paraId="340EC615" w14:textId="77777777" w:rsidTr="008610C8">
        <w:trPr>
          <w:trHeight w:val="20"/>
        </w:trPr>
        <w:tc>
          <w:tcPr>
            <w:tcW w:w="3362" w:type="pct"/>
            <w:hideMark/>
          </w:tcPr>
          <w:p w14:paraId="505D08B7"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clusterProfiler</w:t>
            </w:r>
            <w:proofErr w:type="spellEnd"/>
          </w:p>
        </w:tc>
        <w:tc>
          <w:tcPr>
            <w:tcW w:w="1638" w:type="pct"/>
            <w:hideMark/>
          </w:tcPr>
          <w:p w14:paraId="1C2434EA"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4.16.0</w:t>
            </w:r>
          </w:p>
        </w:tc>
      </w:tr>
      <w:tr w:rsidR="008610C8" w:rsidRPr="00CD2448" w14:paraId="130B261E" w14:textId="77777777" w:rsidTr="008610C8">
        <w:trPr>
          <w:trHeight w:val="20"/>
        </w:trPr>
        <w:tc>
          <w:tcPr>
            <w:tcW w:w="3362" w:type="pct"/>
            <w:hideMark/>
          </w:tcPr>
          <w:p w14:paraId="35D1DBA3"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org.Hs.eg.db</w:t>
            </w:r>
            <w:proofErr w:type="spellEnd"/>
          </w:p>
        </w:tc>
        <w:tc>
          <w:tcPr>
            <w:tcW w:w="1638" w:type="pct"/>
            <w:hideMark/>
          </w:tcPr>
          <w:p w14:paraId="4EE3C50B"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3.21.0</w:t>
            </w:r>
          </w:p>
        </w:tc>
      </w:tr>
      <w:tr w:rsidR="008610C8" w:rsidRPr="00CD2448" w14:paraId="6B96B95D" w14:textId="77777777" w:rsidTr="008610C8">
        <w:trPr>
          <w:trHeight w:val="20"/>
        </w:trPr>
        <w:tc>
          <w:tcPr>
            <w:tcW w:w="3362" w:type="pct"/>
            <w:hideMark/>
          </w:tcPr>
          <w:p w14:paraId="2DC20EB0"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ComplexHeatmap</w:t>
            </w:r>
            <w:proofErr w:type="spellEnd"/>
          </w:p>
        </w:tc>
        <w:tc>
          <w:tcPr>
            <w:tcW w:w="1638" w:type="pct"/>
            <w:hideMark/>
          </w:tcPr>
          <w:p w14:paraId="08BA3BD9"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2.24.1</w:t>
            </w:r>
          </w:p>
        </w:tc>
      </w:tr>
      <w:tr w:rsidR="008610C8" w:rsidRPr="00CD2448" w14:paraId="57CB98E1" w14:textId="77777777" w:rsidTr="008610C8">
        <w:trPr>
          <w:trHeight w:val="20"/>
        </w:trPr>
        <w:tc>
          <w:tcPr>
            <w:tcW w:w="3362" w:type="pct"/>
            <w:hideMark/>
          </w:tcPr>
          <w:p w14:paraId="10521435"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zenith</w:t>
            </w:r>
          </w:p>
        </w:tc>
        <w:tc>
          <w:tcPr>
            <w:tcW w:w="1638" w:type="pct"/>
            <w:hideMark/>
          </w:tcPr>
          <w:p w14:paraId="37DDECA0"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1.10.0</w:t>
            </w:r>
          </w:p>
        </w:tc>
      </w:tr>
      <w:tr w:rsidR="008610C8" w:rsidRPr="00CD2448" w14:paraId="5AAE4B8D" w14:textId="77777777" w:rsidTr="008610C8">
        <w:trPr>
          <w:trHeight w:val="20"/>
        </w:trPr>
        <w:tc>
          <w:tcPr>
            <w:tcW w:w="3362" w:type="pct"/>
            <w:hideMark/>
          </w:tcPr>
          <w:p w14:paraId="38B4D903"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pheatmap</w:t>
            </w:r>
            <w:proofErr w:type="spellEnd"/>
          </w:p>
        </w:tc>
        <w:tc>
          <w:tcPr>
            <w:tcW w:w="1638" w:type="pct"/>
            <w:hideMark/>
          </w:tcPr>
          <w:p w14:paraId="0CF629CD"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1.0.13</w:t>
            </w:r>
          </w:p>
        </w:tc>
      </w:tr>
      <w:tr w:rsidR="008610C8" w:rsidRPr="00CD2448" w14:paraId="79A519D2" w14:textId="77777777" w:rsidTr="008610C8">
        <w:trPr>
          <w:trHeight w:val="20"/>
        </w:trPr>
        <w:tc>
          <w:tcPr>
            <w:tcW w:w="3362" w:type="pct"/>
            <w:hideMark/>
          </w:tcPr>
          <w:p w14:paraId="6B955542"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RColorBrewer</w:t>
            </w:r>
            <w:proofErr w:type="spellEnd"/>
          </w:p>
        </w:tc>
        <w:tc>
          <w:tcPr>
            <w:tcW w:w="1638" w:type="pct"/>
            <w:hideMark/>
          </w:tcPr>
          <w:p w14:paraId="5AF4BA8A"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1.1.3</w:t>
            </w:r>
          </w:p>
        </w:tc>
      </w:tr>
      <w:tr w:rsidR="008610C8" w:rsidRPr="00CD2448" w14:paraId="4053A50F" w14:textId="77777777" w:rsidTr="008610C8">
        <w:trPr>
          <w:trHeight w:val="20"/>
        </w:trPr>
        <w:tc>
          <w:tcPr>
            <w:tcW w:w="3362" w:type="pct"/>
            <w:hideMark/>
          </w:tcPr>
          <w:p w14:paraId="4DDC7763"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knitr</w:t>
            </w:r>
            <w:proofErr w:type="spellEnd"/>
          </w:p>
        </w:tc>
        <w:tc>
          <w:tcPr>
            <w:tcW w:w="1638" w:type="pct"/>
            <w:hideMark/>
          </w:tcPr>
          <w:p w14:paraId="1DDCF299"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1.51</w:t>
            </w:r>
          </w:p>
        </w:tc>
      </w:tr>
      <w:tr w:rsidR="008610C8" w:rsidRPr="00CD2448" w14:paraId="26406141" w14:textId="77777777" w:rsidTr="008610C8">
        <w:trPr>
          <w:trHeight w:val="20"/>
        </w:trPr>
        <w:tc>
          <w:tcPr>
            <w:tcW w:w="3362" w:type="pct"/>
            <w:hideMark/>
          </w:tcPr>
          <w:p w14:paraId="63F0033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kableExtra</w:t>
            </w:r>
            <w:proofErr w:type="spellEnd"/>
          </w:p>
        </w:tc>
        <w:tc>
          <w:tcPr>
            <w:tcW w:w="1638" w:type="pct"/>
            <w:hideMark/>
          </w:tcPr>
          <w:p w14:paraId="09B956B7"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1.4.0</w:t>
            </w:r>
          </w:p>
        </w:tc>
      </w:tr>
      <w:tr w:rsidR="008610C8" w:rsidRPr="00CD2448" w14:paraId="5CE3424E" w14:textId="77777777" w:rsidTr="008610C8">
        <w:trPr>
          <w:trHeight w:val="20"/>
        </w:trPr>
        <w:tc>
          <w:tcPr>
            <w:tcW w:w="3362" w:type="pct"/>
            <w:hideMark/>
          </w:tcPr>
          <w:p w14:paraId="0EDFCBFD"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igraph</w:t>
            </w:r>
            <w:proofErr w:type="spellEnd"/>
          </w:p>
        </w:tc>
        <w:tc>
          <w:tcPr>
            <w:tcW w:w="1638" w:type="pct"/>
            <w:hideMark/>
          </w:tcPr>
          <w:p w14:paraId="3AA1666D"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2.2.2</w:t>
            </w:r>
          </w:p>
        </w:tc>
      </w:tr>
      <w:tr w:rsidR="008610C8" w:rsidRPr="00CD2448" w14:paraId="684D4BF7" w14:textId="77777777" w:rsidTr="008610C8">
        <w:trPr>
          <w:trHeight w:val="20"/>
        </w:trPr>
        <w:tc>
          <w:tcPr>
            <w:tcW w:w="3362" w:type="pct"/>
            <w:hideMark/>
          </w:tcPr>
          <w:p w14:paraId="15739AF5"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STRINGdb</w:t>
            </w:r>
          </w:p>
        </w:tc>
        <w:tc>
          <w:tcPr>
            <w:tcW w:w="1638" w:type="pct"/>
            <w:hideMark/>
          </w:tcPr>
          <w:p w14:paraId="0F0C5CB5"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2.20.0</w:t>
            </w:r>
          </w:p>
        </w:tc>
      </w:tr>
      <w:tr w:rsidR="008610C8" w:rsidRPr="00CD2448" w14:paraId="4B63D24C" w14:textId="77777777" w:rsidTr="008610C8">
        <w:trPr>
          <w:trHeight w:val="20"/>
        </w:trPr>
        <w:tc>
          <w:tcPr>
            <w:tcW w:w="3362" w:type="pct"/>
            <w:hideMark/>
          </w:tcPr>
          <w:p w14:paraId="7868361E"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ggraph</w:t>
            </w:r>
            <w:proofErr w:type="spellEnd"/>
          </w:p>
        </w:tc>
        <w:tc>
          <w:tcPr>
            <w:tcW w:w="1638" w:type="pct"/>
            <w:hideMark/>
          </w:tcPr>
          <w:p w14:paraId="50F1129C"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2.2.2</w:t>
            </w:r>
          </w:p>
        </w:tc>
      </w:tr>
      <w:tr w:rsidR="008610C8" w:rsidRPr="00CD2448" w14:paraId="3B790F78" w14:textId="77777777" w:rsidTr="008610C8">
        <w:trPr>
          <w:trHeight w:val="20"/>
        </w:trPr>
        <w:tc>
          <w:tcPr>
            <w:tcW w:w="3362" w:type="pct"/>
            <w:hideMark/>
          </w:tcPr>
          <w:p w14:paraId="4F878F77" w14:textId="77777777" w:rsidR="008610C8" w:rsidRPr="00CD2448" w:rsidRDefault="008610C8" w:rsidP="008610C8">
            <w:pPr>
              <w:rPr>
                <w:rFonts w:ascii="Arial" w:hAnsi="Arial" w:cs="Arial"/>
                <w:color w:val="000000" w:themeColor="text1"/>
                <w:sz w:val="20"/>
                <w:szCs w:val="20"/>
              </w:rPr>
            </w:pPr>
            <w:proofErr w:type="spellStart"/>
            <w:r w:rsidRPr="00CD2448">
              <w:rPr>
                <w:rFonts w:ascii="Arial" w:hAnsi="Arial" w:cs="Arial"/>
                <w:color w:val="000000" w:themeColor="text1"/>
                <w:sz w:val="20"/>
                <w:szCs w:val="20"/>
              </w:rPr>
              <w:t>tidygraph</w:t>
            </w:r>
            <w:proofErr w:type="spellEnd"/>
          </w:p>
        </w:tc>
        <w:tc>
          <w:tcPr>
            <w:tcW w:w="1638" w:type="pct"/>
            <w:hideMark/>
          </w:tcPr>
          <w:p w14:paraId="1E97AA9D" w14:textId="77777777" w:rsidR="008610C8" w:rsidRPr="00CD2448" w:rsidRDefault="008610C8" w:rsidP="008610C8">
            <w:pPr>
              <w:rPr>
                <w:rFonts w:ascii="Arial" w:hAnsi="Arial" w:cs="Arial"/>
                <w:color w:val="000000" w:themeColor="text1"/>
                <w:sz w:val="20"/>
                <w:szCs w:val="20"/>
              </w:rPr>
            </w:pPr>
            <w:r w:rsidRPr="00CD2448">
              <w:rPr>
                <w:rFonts w:ascii="Arial" w:hAnsi="Arial" w:cs="Arial"/>
                <w:color w:val="000000" w:themeColor="text1"/>
                <w:sz w:val="20"/>
                <w:szCs w:val="20"/>
              </w:rPr>
              <w:t>1.3.1</w:t>
            </w:r>
          </w:p>
        </w:tc>
      </w:tr>
    </w:tbl>
    <w:p w14:paraId="324ACB45" w14:textId="77777777" w:rsidR="00401467" w:rsidRPr="00CD2448" w:rsidRDefault="00401467" w:rsidP="007F3F8E">
      <w:pPr>
        <w:spacing w:line="480" w:lineRule="auto"/>
        <w:jc w:val="both"/>
        <w:rPr>
          <w:rFonts w:ascii="Arial" w:hAnsi="Arial" w:cs="Arial"/>
          <w:b/>
          <w:bCs/>
          <w:color w:val="000000" w:themeColor="text1"/>
          <w:sz w:val="22"/>
          <w:szCs w:val="22"/>
        </w:rPr>
      </w:pPr>
    </w:p>
    <w:p w14:paraId="5583559A" w14:textId="77777777" w:rsidR="00EA5ACD" w:rsidRPr="00CD2448" w:rsidRDefault="00EA5ACD">
      <w:pPr>
        <w:spacing w:after="160" w:line="278" w:lineRule="auto"/>
        <w:rPr>
          <w:rFonts w:ascii="Arial" w:eastAsia="Aptos" w:hAnsi="Arial" w:cs="Arial"/>
          <w:b/>
          <w:bCs/>
          <w:color w:val="000000" w:themeColor="text1"/>
          <w:sz w:val="22"/>
          <w:szCs w:val="22"/>
        </w:rPr>
      </w:pPr>
      <w:r w:rsidRPr="00CD2448">
        <w:rPr>
          <w:rFonts w:ascii="Arial" w:eastAsia="Aptos" w:hAnsi="Arial" w:cs="Arial"/>
          <w:b/>
          <w:bCs/>
          <w:color w:val="000000" w:themeColor="text1"/>
          <w:sz w:val="22"/>
          <w:szCs w:val="22"/>
        </w:rPr>
        <w:br w:type="page"/>
      </w:r>
    </w:p>
    <w:p w14:paraId="2C5F1F55" w14:textId="16D3C6EE" w:rsidR="00534AD9" w:rsidRPr="00CD2448" w:rsidRDefault="00534AD9" w:rsidP="00534AD9">
      <w:pPr>
        <w:jc w:val="both"/>
        <w:rPr>
          <w:rFonts w:ascii="Arial" w:eastAsia="Aptos" w:hAnsi="Arial" w:cs="Arial"/>
          <w:b/>
          <w:bCs/>
          <w:color w:val="000000" w:themeColor="text1"/>
          <w:sz w:val="22"/>
          <w:szCs w:val="22"/>
        </w:rPr>
      </w:pPr>
      <w:r w:rsidRPr="00CD2448">
        <w:rPr>
          <w:rFonts w:ascii="Arial" w:eastAsia="Aptos" w:hAnsi="Arial" w:cs="Arial"/>
          <w:b/>
          <w:bCs/>
          <w:color w:val="000000" w:themeColor="text1"/>
          <w:sz w:val="22"/>
          <w:szCs w:val="22"/>
        </w:rPr>
        <w:lastRenderedPageBreak/>
        <w:t>Supplementary References</w:t>
      </w:r>
    </w:p>
    <w:p w14:paraId="5841DB4A" w14:textId="77777777" w:rsidR="00534AD9" w:rsidRPr="00CD2448" w:rsidRDefault="00534AD9" w:rsidP="00534AD9">
      <w:pPr>
        <w:jc w:val="both"/>
        <w:rPr>
          <w:rFonts w:ascii="Arial" w:eastAsia="Aptos" w:hAnsi="Arial" w:cs="Arial"/>
          <w:b/>
          <w:bCs/>
          <w:color w:val="000000" w:themeColor="text1"/>
          <w:sz w:val="22"/>
          <w:szCs w:val="22"/>
        </w:rPr>
      </w:pPr>
    </w:p>
    <w:p w14:paraId="24B8BF3E" w14:textId="77777777" w:rsidR="00C41394" w:rsidRPr="00CD2448" w:rsidRDefault="00534AD9" w:rsidP="00C41394">
      <w:pPr>
        <w:pStyle w:val="EndNoteBibliography"/>
        <w:ind w:left="720" w:hanging="720"/>
        <w:rPr>
          <w:rFonts w:ascii="Arial" w:hAnsi="Arial" w:cs="Arial"/>
          <w:noProof/>
          <w:color w:val="000000" w:themeColor="text1"/>
          <w:sz w:val="22"/>
          <w:szCs w:val="22"/>
        </w:rPr>
      </w:pPr>
      <w:r w:rsidRPr="00CD2448">
        <w:rPr>
          <w:rFonts w:ascii="Arial" w:hAnsi="Arial" w:cs="Arial"/>
          <w:b/>
          <w:bCs/>
          <w:color w:val="000000" w:themeColor="text1"/>
          <w:sz w:val="22"/>
          <w:szCs w:val="22"/>
        </w:rPr>
        <w:fldChar w:fldCharType="begin"/>
      </w:r>
      <w:r w:rsidRPr="00CD2448">
        <w:rPr>
          <w:rFonts w:ascii="Arial" w:hAnsi="Arial" w:cs="Arial"/>
          <w:b/>
          <w:bCs/>
          <w:color w:val="000000" w:themeColor="text1"/>
          <w:sz w:val="22"/>
          <w:szCs w:val="22"/>
        </w:rPr>
        <w:instrText xml:space="preserve"> ADDIN EN.REFLIST </w:instrText>
      </w:r>
      <w:r w:rsidRPr="00CD2448">
        <w:rPr>
          <w:rFonts w:ascii="Arial" w:hAnsi="Arial" w:cs="Arial"/>
          <w:b/>
          <w:bCs/>
          <w:color w:val="000000" w:themeColor="text1"/>
          <w:sz w:val="22"/>
          <w:szCs w:val="22"/>
        </w:rPr>
        <w:fldChar w:fldCharType="separate"/>
      </w:r>
      <w:r w:rsidR="00C41394" w:rsidRPr="00CD2448">
        <w:rPr>
          <w:rFonts w:ascii="Arial" w:hAnsi="Arial" w:cs="Arial"/>
          <w:noProof/>
          <w:color w:val="000000" w:themeColor="text1"/>
          <w:sz w:val="22"/>
          <w:szCs w:val="22"/>
        </w:rPr>
        <w:t>1.</w:t>
      </w:r>
      <w:r w:rsidR="00C41394" w:rsidRPr="00CD2448">
        <w:rPr>
          <w:rFonts w:ascii="Arial" w:hAnsi="Arial" w:cs="Arial"/>
          <w:noProof/>
          <w:color w:val="000000" w:themeColor="text1"/>
          <w:sz w:val="22"/>
          <w:szCs w:val="22"/>
        </w:rPr>
        <w:tab/>
        <w:t>Bardy C, van den Hurk M, Eames T, Marchand C, Hernandex RV, Kellogg M</w:t>
      </w:r>
      <w:r w:rsidR="00C41394" w:rsidRPr="00CD2448">
        <w:rPr>
          <w:rFonts w:ascii="Arial" w:hAnsi="Arial" w:cs="Arial"/>
          <w:i/>
          <w:noProof/>
          <w:color w:val="000000" w:themeColor="text1"/>
          <w:sz w:val="22"/>
          <w:szCs w:val="22"/>
        </w:rPr>
        <w:t xml:space="preserve"> et al.</w:t>
      </w:r>
      <w:r w:rsidR="00C41394" w:rsidRPr="00CD2448">
        <w:rPr>
          <w:rFonts w:ascii="Arial" w:hAnsi="Arial" w:cs="Arial"/>
          <w:noProof/>
          <w:color w:val="000000" w:themeColor="text1"/>
          <w:sz w:val="22"/>
          <w:szCs w:val="22"/>
        </w:rPr>
        <w:t xml:space="preserve"> Neuronal medium that supports basic synaptic functions and activity of human neurons in vitro. </w:t>
      </w:r>
      <w:r w:rsidR="00C41394" w:rsidRPr="00CD2448">
        <w:rPr>
          <w:rFonts w:ascii="Arial" w:hAnsi="Arial" w:cs="Arial"/>
          <w:i/>
          <w:noProof/>
          <w:color w:val="000000" w:themeColor="text1"/>
          <w:sz w:val="22"/>
          <w:szCs w:val="22"/>
        </w:rPr>
        <w:t>Proc Natl Acad Sci</w:t>
      </w:r>
      <w:r w:rsidR="00C41394" w:rsidRPr="00CD2448">
        <w:rPr>
          <w:rFonts w:ascii="Arial" w:hAnsi="Arial" w:cs="Arial"/>
          <w:noProof/>
          <w:color w:val="000000" w:themeColor="text1"/>
          <w:sz w:val="22"/>
          <w:szCs w:val="22"/>
        </w:rPr>
        <w:t xml:space="preserve"> 2015; </w:t>
      </w:r>
      <w:r w:rsidR="00C41394" w:rsidRPr="00CD2448">
        <w:rPr>
          <w:rFonts w:ascii="Arial" w:hAnsi="Arial" w:cs="Arial"/>
          <w:b/>
          <w:noProof/>
          <w:color w:val="000000" w:themeColor="text1"/>
          <w:sz w:val="22"/>
          <w:szCs w:val="22"/>
        </w:rPr>
        <w:t xml:space="preserve">112: </w:t>
      </w:r>
      <w:r w:rsidR="00C41394" w:rsidRPr="00CD2448">
        <w:rPr>
          <w:rFonts w:ascii="Arial" w:hAnsi="Arial" w:cs="Arial"/>
          <w:noProof/>
          <w:color w:val="000000" w:themeColor="text1"/>
          <w:sz w:val="22"/>
          <w:szCs w:val="22"/>
        </w:rPr>
        <w:t>E2725-E2734.</w:t>
      </w:r>
    </w:p>
    <w:p w14:paraId="70D7AE48" w14:textId="77777777" w:rsidR="00C41394" w:rsidRPr="00CD2448" w:rsidRDefault="00C41394" w:rsidP="00C41394">
      <w:pPr>
        <w:pStyle w:val="EndNoteBibliography"/>
        <w:rPr>
          <w:rFonts w:ascii="Arial" w:hAnsi="Arial" w:cs="Arial"/>
          <w:noProof/>
          <w:color w:val="000000" w:themeColor="text1"/>
          <w:sz w:val="22"/>
          <w:szCs w:val="22"/>
        </w:rPr>
      </w:pPr>
    </w:p>
    <w:p w14:paraId="67AA05CD"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w:t>
      </w:r>
      <w:r w:rsidRPr="00CD2448">
        <w:rPr>
          <w:rFonts w:ascii="Arial" w:hAnsi="Arial" w:cs="Arial"/>
          <w:noProof/>
          <w:color w:val="000000" w:themeColor="text1"/>
          <w:sz w:val="22"/>
          <w:szCs w:val="22"/>
        </w:rPr>
        <w:tab/>
        <w:t>Cavalleri L, Merlo Pich E, Millan MJ, Chiamulera C, Kunath T, Spano PF</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Ketamine enhances structural plasticity in mouse mesencephalic and human iPSC-derived dopaminergic neurons via AMPAR-driven BDNF and mTOR signaling. </w:t>
      </w:r>
      <w:r w:rsidRPr="00CD2448">
        <w:rPr>
          <w:rFonts w:ascii="Arial" w:hAnsi="Arial" w:cs="Arial"/>
          <w:i/>
          <w:noProof/>
          <w:color w:val="000000" w:themeColor="text1"/>
          <w:sz w:val="22"/>
          <w:szCs w:val="22"/>
        </w:rPr>
        <w:t>Mol Psychiatry</w:t>
      </w:r>
      <w:r w:rsidRPr="00CD2448">
        <w:rPr>
          <w:rFonts w:ascii="Arial" w:hAnsi="Arial" w:cs="Arial"/>
          <w:noProof/>
          <w:color w:val="000000" w:themeColor="text1"/>
          <w:sz w:val="22"/>
          <w:szCs w:val="22"/>
        </w:rPr>
        <w:t xml:space="preserve"> 2017; </w:t>
      </w:r>
      <w:r w:rsidRPr="00CD2448">
        <w:rPr>
          <w:rFonts w:ascii="Arial" w:hAnsi="Arial" w:cs="Arial"/>
          <w:b/>
          <w:noProof/>
          <w:color w:val="000000" w:themeColor="text1"/>
          <w:sz w:val="22"/>
          <w:szCs w:val="22"/>
        </w:rPr>
        <w:t>23</w:t>
      </w:r>
      <w:r w:rsidRPr="00CD2448">
        <w:rPr>
          <w:rFonts w:ascii="Arial" w:hAnsi="Arial" w:cs="Arial"/>
          <w:noProof/>
          <w:color w:val="000000" w:themeColor="text1"/>
          <w:sz w:val="22"/>
          <w:szCs w:val="22"/>
        </w:rPr>
        <w:t>(4)</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812-823.</w:t>
      </w:r>
    </w:p>
    <w:p w14:paraId="1CAFC1B6" w14:textId="77777777" w:rsidR="00C41394" w:rsidRPr="00CD2448" w:rsidRDefault="00C41394" w:rsidP="00C41394">
      <w:pPr>
        <w:pStyle w:val="EndNoteBibliography"/>
        <w:rPr>
          <w:rFonts w:ascii="Arial" w:hAnsi="Arial" w:cs="Arial"/>
          <w:noProof/>
          <w:color w:val="000000" w:themeColor="text1"/>
          <w:sz w:val="22"/>
          <w:szCs w:val="22"/>
        </w:rPr>
      </w:pPr>
    </w:p>
    <w:p w14:paraId="230B5341"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w:t>
      </w:r>
      <w:r w:rsidRPr="00CD2448">
        <w:rPr>
          <w:rFonts w:ascii="Arial" w:hAnsi="Arial" w:cs="Arial"/>
          <w:noProof/>
          <w:color w:val="000000" w:themeColor="text1"/>
          <w:sz w:val="22"/>
          <w:szCs w:val="22"/>
        </w:rPr>
        <w:tab/>
        <w:t>Ly C, Greb AC, Cameron LP, Wong JM, Barragan EV, Wilson PC</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Psychedelics promote structural and functional neural plasticity. </w:t>
      </w:r>
      <w:r w:rsidRPr="00CD2448">
        <w:rPr>
          <w:rFonts w:ascii="Arial" w:hAnsi="Arial" w:cs="Arial"/>
          <w:i/>
          <w:noProof/>
          <w:color w:val="000000" w:themeColor="text1"/>
          <w:sz w:val="22"/>
          <w:szCs w:val="22"/>
        </w:rPr>
        <w:t>Cell Rep</w:t>
      </w:r>
      <w:r w:rsidRPr="00CD2448">
        <w:rPr>
          <w:rFonts w:ascii="Arial" w:hAnsi="Arial" w:cs="Arial"/>
          <w:noProof/>
          <w:color w:val="000000" w:themeColor="text1"/>
          <w:sz w:val="22"/>
          <w:szCs w:val="22"/>
        </w:rPr>
        <w:t xml:space="preserve"> 2018; </w:t>
      </w:r>
      <w:r w:rsidRPr="00CD2448">
        <w:rPr>
          <w:rFonts w:ascii="Arial" w:hAnsi="Arial" w:cs="Arial"/>
          <w:b/>
          <w:noProof/>
          <w:color w:val="000000" w:themeColor="text1"/>
          <w:sz w:val="22"/>
          <w:szCs w:val="22"/>
        </w:rPr>
        <w:t>23</w:t>
      </w:r>
      <w:r w:rsidRPr="00CD2448">
        <w:rPr>
          <w:rFonts w:ascii="Arial" w:hAnsi="Arial" w:cs="Arial"/>
          <w:noProof/>
          <w:color w:val="000000" w:themeColor="text1"/>
          <w:sz w:val="22"/>
          <w:szCs w:val="22"/>
        </w:rPr>
        <w:t>(11)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3170-3182.</w:t>
      </w:r>
    </w:p>
    <w:p w14:paraId="14E7A36E" w14:textId="77777777" w:rsidR="00C41394" w:rsidRPr="00CD2448" w:rsidRDefault="00C41394" w:rsidP="00C41394">
      <w:pPr>
        <w:pStyle w:val="EndNoteBibliography"/>
        <w:rPr>
          <w:rFonts w:ascii="Arial" w:hAnsi="Arial" w:cs="Arial"/>
          <w:noProof/>
          <w:color w:val="000000" w:themeColor="text1"/>
          <w:sz w:val="22"/>
          <w:szCs w:val="22"/>
        </w:rPr>
      </w:pPr>
    </w:p>
    <w:p w14:paraId="00BEAC84"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w:t>
      </w:r>
      <w:r w:rsidRPr="00CD2448">
        <w:rPr>
          <w:rFonts w:ascii="Arial" w:hAnsi="Arial" w:cs="Arial"/>
          <w:noProof/>
          <w:color w:val="000000" w:themeColor="text1"/>
          <w:sz w:val="22"/>
          <w:szCs w:val="22"/>
        </w:rPr>
        <w:tab/>
        <w:t>Dobin A, Davis CA, Schlesinger F, Drenkow J, Zaleski C, Jha S</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STAR: ultrafast universal RNA-seq aligner.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2013; </w:t>
      </w:r>
      <w:r w:rsidRPr="00CD2448">
        <w:rPr>
          <w:rFonts w:ascii="Arial" w:hAnsi="Arial" w:cs="Arial"/>
          <w:b/>
          <w:noProof/>
          <w:color w:val="000000" w:themeColor="text1"/>
          <w:sz w:val="22"/>
          <w:szCs w:val="22"/>
        </w:rPr>
        <w:t xml:space="preserve">29: </w:t>
      </w:r>
      <w:r w:rsidRPr="00CD2448">
        <w:rPr>
          <w:rFonts w:ascii="Arial" w:hAnsi="Arial" w:cs="Arial"/>
          <w:noProof/>
          <w:color w:val="000000" w:themeColor="text1"/>
          <w:sz w:val="22"/>
          <w:szCs w:val="22"/>
        </w:rPr>
        <w:t>15-21.</w:t>
      </w:r>
    </w:p>
    <w:p w14:paraId="7949ECB2" w14:textId="77777777" w:rsidR="00C41394" w:rsidRPr="00CD2448" w:rsidRDefault="00C41394" w:rsidP="00C41394">
      <w:pPr>
        <w:pStyle w:val="EndNoteBibliography"/>
        <w:rPr>
          <w:rFonts w:ascii="Arial" w:hAnsi="Arial" w:cs="Arial"/>
          <w:noProof/>
          <w:color w:val="000000" w:themeColor="text1"/>
          <w:sz w:val="22"/>
          <w:szCs w:val="22"/>
        </w:rPr>
      </w:pPr>
    </w:p>
    <w:p w14:paraId="3EE2E8A8"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w:t>
      </w:r>
      <w:r w:rsidRPr="00CD2448">
        <w:rPr>
          <w:rFonts w:ascii="Arial" w:hAnsi="Arial" w:cs="Arial"/>
          <w:noProof/>
          <w:color w:val="000000" w:themeColor="text1"/>
          <w:sz w:val="22"/>
          <w:szCs w:val="22"/>
        </w:rPr>
        <w:tab/>
        <w:t xml:space="preserve">Liao Y, Smyth GK, Shi W. featureCounts: an efficient general purpose program for assigning sequence reads to genomic features.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2014; </w:t>
      </w:r>
      <w:r w:rsidRPr="00CD2448">
        <w:rPr>
          <w:rFonts w:ascii="Arial" w:hAnsi="Arial" w:cs="Arial"/>
          <w:b/>
          <w:noProof/>
          <w:color w:val="000000" w:themeColor="text1"/>
          <w:sz w:val="22"/>
          <w:szCs w:val="22"/>
        </w:rPr>
        <w:t xml:space="preserve">30: </w:t>
      </w:r>
      <w:r w:rsidRPr="00CD2448">
        <w:rPr>
          <w:rFonts w:ascii="Arial" w:hAnsi="Arial" w:cs="Arial"/>
          <w:noProof/>
          <w:color w:val="000000" w:themeColor="text1"/>
          <w:sz w:val="22"/>
          <w:szCs w:val="22"/>
        </w:rPr>
        <w:t>923-930.</w:t>
      </w:r>
    </w:p>
    <w:p w14:paraId="1B9D23D0" w14:textId="77777777" w:rsidR="00C41394" w:rsidRPr="00CD2448" w:rsidRDefault="00C41394" w:rsidP="00C41394">
      <w:pPr>
        <w:pStyle w:val="EndNoteBibliography"/>
        <w:rPr>
          <w:rFonts w:ascii="Arial" w:hAnsi="Arial" w:cs="Arial"/>
          <w:noProof/>
          <w:color w:val="000000" w:themeColor="text1"/>
          <w:sz w:val="22"/>
          <w:szCs w:val="22"/>
        </w:rPr>
      </w:pPr>
    </w:p>
    <w:p w14:paraId="4F352B44"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6.</w:t>
      </w:r>
      <w:r w:rsidRPr="00CD2448">
        <w:rPr>
          <w:rFonts w:ascii="Arial" w:hAnsi="Arial" w:cs="Arial"/>
          <w:noProof/>
          <w:color w:val="000000" w:themeColor="text1"/>
          <w:sz w:val="22"/>
          <w:szCs w:val="22"/>
        </w:rPr>
        <w:tab/>
        <w:t xml:space="preserve">Hoffman GE, Roussos P. Dream: powerful differential expression analysis for repeated measures designs.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2021; </w:t>
      </w:r>
      <w:r w:rsidRPr="00CD2448">
        <w:rPr>
          <w:rFonts w:ascii="Arial" w:hAnsi="Arial" w:cs="Arial"/>
          <w:b/>
          <w:noProof/>
          <w:color w:val="000000" w:themeColor="text1"/>
          <w:sz w:val="22"/>
          <w:szCs w:val="22"/>
        </w:rPr>
        <w:t>37</w:t>
      </w:r>
      <w:r w:rsidRPr="00CD2448">
        <w:rPr>
          <w:rFonts w:ascii="Arial" w:hAnsi="Arial" w:cs="Arial"/>
          <w:noProof/>
          <w:color w:val="000000" w:themeColor="text1"/>
          <w:sz w:val="22"/>
          <w:szCs w:val="22"/>
        </w:rPr>
        <w:t>(2)</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192-201.</w:t>
      </w:r>
    </w:p>
    <w:p w14:paraId="64C7A7AD" w14:textId="77777777" w:rsidR="00C41394" w:rsidRPr="00CD2448" w:rsidRDefault="00C41394" w:rsidP="00C41394">
      <w:pPr>
        <w:pStyle w:val="EndNoteBibliography"/>
        <w:rPr>
          <w:rFonts w:ascii="Arial" w:hAnsi="Arial" w:cs="Arial"/>
          <w:noProof/>
          <w:color w:val="000000" w:themeColor="text1"/>
          <w:sz w:val="22"/>
          <w:szCs w:val="22"/>
        </w:rPr>
      </w:pPr>
    </w:p>
    <w:p w14:paraId="5A2F98C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7.</w:t>
      </w:r>
      <w:r w:rsidRPr="00CD2448">
        <w:rPr>
          <w:rFonts w:ascii="Arial" w:hAnsi="Arial" w:cs="Arial"/>
          <w:noProof/>
          <w:color w:val="000000" w:themeColor="text1"/>
          <w:sz w:val="22"/>
          <w:szCs w:val="22"/>
        </w:rPr>
        <w:tab/>
        <w:t xml:space="preserve">Hoffman GE, Schadt EE. variancePartition: interpreting drivers of variation in complex gene expression studies. </w:t>
      </w:r>
      <w:r w:rsidRPr="00CD2448">
        <w:rPr>
          <w:rFonts w:ascii="Arial" w:hAnsi="Arial" w:cs="Arial"/>
          <w:i/>
          <w:noProof/>
          <w:color w:val="000000" w:themeColor="text1"/>
          <w:sz w:val="22"/>
          <w:szCs w:val="22"/>
        </w:rPr>
        <w:t>BMC Bioinformatics</w:t>
      </w:r>
      <w:r w:rsidRPr="00CD2448">
        <w:rPr>
          <w:rFonts w:ascii="Arial" w:hAnsi="Arial" w:cs="Arial"/>
          <w:noProof/>
          <w:color w:val="000000" w:themeColor="text1"/>
          <w:sz w:val="22"/>
          <w:szCs w:val="22"/>
        </w:rPr>
        <w:t xml:space="preserve"> 2016; </w:t>
      </w:r>
      <w:r w:rsidRPr="00CD2448">
        <w:rPr>
          <w:rFonts w:ascii="Arial" w:hAnsi="Arial" w:cs="Arial"/>
          <w:b/>
          <w:noProof/>
          <w:color w:val="000000" w:themeColor="text1"/>
          <w:sz w:val="22"/>
          <w:szCs w:val="22"/>
        </w:rPr>
        <w:t xml:space="preserve">17: </w:t>
      </w:r>
      <w:r w:rsidRPr="00CD2448">
        <w:rPr>
          <w:rFonts w:ascii="Arial" w:hAnsi="Arial" w:cs="Arial"/>
          <w:noProof/>
          <w:color w:val="000000" w:themeColor="text1"/>
          <w:sz w:val="22"/>
          <w:szCs w:val="22"/>
        </w:rPr>
        <w:t>483.</w:t>
      </w:r>
    </w:p>
    <w:p w14:paraId="3BD30D2A" w14:textId="77777777" w:rsidR="00C41394" w:rsidRPr="00CD2448" w:rsidRDefault="00C41394" w:rsidP="00C41394">
      <w:pPr>
        <w:pStyle w:val="EndNoteBibliography"/>
        <w:rPr>
          <w:rFonts w:ascii="Arial" w:hAnsi="Arial" w:cs="Arial"/>
          <w:noProof/>
          <w:color w:val="000000" w:themeColor="text1"/>
          <w:sz w:val="22"/>
          <w:szCs w:val="22"/>
        </w:rPr>
      </w:pPr>
    </w:p>
    <w:p w14:paraId="3F51534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8.</w:t>
      </w:r>
      <w:r w:rsidRPr="00CD2448">
        <w:rPr>
          <w:rFonts w:ascii="Arial" w:hAnsi="Arial" w:cs="Arial"/>
          <w:noProof/>
          <w:color w:val="000000" w:themeColor="text1"/>
          <w:sz w:val="22"/>
          <w:szCs w:val="22"/>
        </w:rPr>
        <w:tab/>
        <w:t>Moaddel R, Farmer CA, Yavi M, Kadriu B, Zhu M, Fan J</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Cerebrospinal fluid exploratory proteomics and ketamine metabolite pharmacokinetics in human volunteers after ketamine infusion. </w:t>
      </w:r>
      <w:r w:rsidRPr="00CD2448">
        <w:rPr>
          <w:rFonts w:ascii="Arial" w:hAnsi="Arial" w:cs="Arial"/>
          <w:i/>
          <w:noProof/>
          <w:color w:val="000000" w:themeColor="text1"/>
          <w:sz w:val="22"/>
          <w:szCs w:val="22"/>
        </w:rPr>
        <w:t>iScience</w:t>
      </w:r>
      <w:r w:rsidRPr="00CD2448">
        <w:rPr>
          <w:rFonts w:ascii="Arial" w:hAnsi="Arial" w:cs="Arial"/>
          <w:noProof/>
          <w:color w:val="000000" w:themeColor="text1"/>
          <w:sz w:val="22"/>
          <w:szCs w:val="22"/>
        </w:rPr>
        <w:t xml:space="preserve"> 2023; </w:t>
      </w:r>
      <w:r w:rsidRPr="00CD2448">
        <w:rPr>
          <w:rFonts w:ascii="Arial" w:hAnsi="Arial" w:cs="Arial"/>
          <w:b/>
          <w:noProof/>
          <w:color w:val="000000" w:themeColor="text1"/>
          <w:sz w:val="22"/>
          <w:szCs w:val="22"/>
        </w:rPr>
        <w:t>26</w:t>
      </w:r>
      <w:r w:rsidRPr="00CD2448">
        <w:rPr>
          <w:rFonts w:ascii="Arial" w:hAnsi="Arial" w:cs="Arial"/>
          <w:noProof/>
          <w:color w:val="000000" w:themeColor="text1"/>
          <w:sz w:val="22"/>
          <w:szCs w:val="22"/>
        </w:rPr>
        <w:t>(12)</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108527.</w:t>
      </w:r>
    </w:p>
    <w:p w14:paraId="18DC0063" w14:textId="77777777" w:rsidR="00C41394" w:rsidRPr="00CD2448" w:rsidRDefault="00C41394" w:rsidP="00C41394">
      <w:pPr>
        <w:pStyle w:val="EndNoteBibliography"/>
        <w:rPr>
          <w:rFonts w:ascii="Arial" w:hAnsi="Arial" w:cs="Arial"/>
          <w:noProof/>
          <w:color w:val="000000" w:themeColor="text1"/>
          <w:sz w:val="22"/>
          <w:szCs w:val="22"/>
        </w:rPr>
      </w:pPr>
    </w:p>
    <w:p w14:paraId="469A89FD"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9.</w:t>
      </w:r>
      <w:r w:rsidRPr="00CD2448">
        <w:rPr>
          <w:rFonts w:ascii="Arial" w:hAnsi="Arial" w:cs="Arial"/>
          <w:noProof/>
          <w:color w:val="000000" w:themeColor="text1"/>
          <w:sz w:val="22"/>
          <w:szCs w:val="22"/>
        </w:rPr>
        <w:tab/>
        <w:t xml:space="preserve">Yeager MP, Lunt P, Arruda J, Whalen K, Rose R, DeLeo JA. Cerebrospinal fluid cytokine levels after surgery with spinal or general anesthesia. </w:t>
      </w:r>
      <w:r w:rsidRPr="00CD2448">
        <w:rPr>
          <w:rFonts w:ascii="Arial" w:hAnsi="Arial" w:cs="Arial"/>
          <w:i/>
          <w:noProof/>
          <w:color w:val="000000" w:themeColor="text1"/>
          <w:sz w:val="22"/>
          <w:szCs w:val="22"/>
        </w:rPr>
        <w:t>Reg Anesth Pain Med</w:t>
      </w:r>
      <w:r w:rsidRPr="00CD2448">
        <w:rPr>
          <w:rFonts w:ascii="Arial" w:hAnsi="Arial" w:cs="Arial"/>
          <w:noProof/>
          <w:color w:val="000000" w:themeColor="text1"/>
          <w:sz w:val="22"/>
          <w:szCs w:val="22"/>
        </w:rPr>
        <w:t xml:space="preserve"> 1999; </w:t>
      </w:r>
      <w:r w:rsidRPr="00CD2448">
        <w:rPr>
          <w:rFonts w:ascii="Arial" w:hAnsi="Arial" w:cs="Arial"/>
          <w:b/>
          <w:noProof/>
          <w:color w:val="000000" w:themeColor="text1"/>
          <w:sz w:val="22"/>
          <w:szCs w:val="22"/>
        </w:rPr>
        <w:t xml:space="preserve">24: </w:t>
      </w:r>
      <w:r w:rsidRPr="00CD2448">
        <w:rPr>
          <w:rFonts w:ascii="Arial" w:hAnsi="Arial" w:cs="Arial"/>
          <w:noProof/>
          <w:color w:val="000000" w:themeColor="text1"/>
          <w:sz w:val="22"/>
          <w:szCs w:val="22"/>
        </w:rPr>
        <w:t>557-562.</w:t>
      </w:r>
    </w:p>
    <w:p w14:paraId="4323BE21" w14:textId="77777777" w:rsidR="00C41394" w:rsidRPr="00CD2448" w:rsidRDefault="00C41394" w:rsidP="00C41394">
      <w:pPr>
        <w:pStyle w:val="EndNoteBibliography"/>
        <w:rPr>
          <w:rFonts w:ascii="Arial" w:hAnsi="Arial" w:cs="Arial"/>
          <w:noProof/>
          <w:color w:val="000000" w:themeColor="text1"/>
          <w:sz w:val="22"/>
          <w:szCs w:val="22"/>
        </w:rPr>
      </w:pPr>
    </w:p>
    <w:p w14:paraId="537D9D23"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10.</w:t>
      </w:r>
      <w:r w:rsidRPr="00CD2448">
        <w:rPr>
          <w:rFonts w:ascii="Arial" w:hAnsi="Arial" w:cs="Arial"/>
          <w:noProof/>
          <w:color w:val="000000" w:themeColor="text1"/>
          <w:sz w:val="22"/>
          <w:szCs w:val="22"/>
        </w:rPr>
        <w:tab/>
        <w:t xml:space="preserve">Sackeim HA. The definition and meaning of treatment-resistant depression. </w:t>
      </w:r>
      <w:r w:rsidRPr="00CD2448">
        <w:rPr>
          <w:rFonts w:ascii="Arial" w:hAnsi="Arial" w:cs="Arial"/>
          <w:i/>
          <w:noProof/>
          <w:color w:val="000000" w:themeColor="text1"/>
          <w:sz w:val="22"/>
          <w:szCs w:val="22"/>
        </w:rPr>
        <w:t>J Clin Psychiatry</w:t>
      </w:r>
      <w:r w:rsidRPr="00CD2448">
        <w:rPr>
          <w:rFonts w:ascii="Arial" w:hAnsi="Arial" w:cs="Arial"/>
          <w:noProof/>
          <w:color w:val="000000" w:themeColor="text1"/>
          <w:sz w:val="22"/>
          <w:szCs w:val="22"/>
        </w:rPr>
        <w:t xml:space="preserve"> 2001; </w:t>
      </w:r>
      <w:r w:rsidRPr="00CD2448">
        <w:rPr>
          <w:rFonts w:ascii="Arial" w:hAnsi="Arial" w:cs="Arial"/>
          <w:b/>
          <w:noProof/>
          <w:color w:val="000000" w:themeColor="text1"/>
          <w:sz w:val="22"/>
          <w:szCs w:val="22"/>
        </w:rPr>
        <w:t xml:space="preserve">62 (Suppl 16): </w:t>
      </w:r>
      <w:r w:rsidRPr="00CD2448">
        <w:rPr>
          <w:rFonts w:ascii="Arial" w:hAnsi="Arial" w:cs="Arial"/>
          <w:noProof/>
          <w:color w:val="000000" w:themeColor="text1"/>
          <w:sz w:val="22"/>
          <w:szCs w:val="22"/>
        </w:rPr>
        <w:t>10-17.</w:t>
      </w:r>
    </w:p>
    <w:p w14:paraId="0F5AC46A" w14:textId="77777777" w:rsidR="00C41394" w:rsidRPr="00CD2448" w:rsidRDefault="00C41394" w:rsidP="00C41394">
      <w:pPr>
        <w:pStyle w:val="EndNoteBibliography"/>
        <w:rPr>
          <w:rFonts w:ascii="Arial" w:hAnsi="Arial" w:cs="Arial"/>
          <w:noProof/>
          <w:color w:val="000000" w:themeColor="text1"/>
          <w:sz w:val="22"/>
          <w:szCs w:val="22"/>
        </w:rPr>
      </w:pPr>
    </w:p>
    <w:p w14:paraId="009C0F5C"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11.</w:t>
      </w:r>
      <w:r w:rsidRPr="00CD2448">
        <w:rPr>
          <w:rFonts w:ascii="Arial" w:hAnsi="Arial" w:cs="Arial"/>
          <w:noProof/>
          <w:color w:val="000000" w:themeColor="text1"/>
          <w:sz w:val="22"/>
          <w:szCs w:val="22"/>
        </w:rPr>
        <w:tab/>
        <w:t xml:space="preserve">Montgomery SA, Åsberg M. A new depression scale designed to be sensitive to change. </w:t>
      </w:r>
      <w:r w:rsidRPr="00CD2448">
        <w:rPr>
          <w:rFonts w:ascii="Arial" w:hAnsi="Arial" w:cs="Arial"/>
          <w:i/>
          <w:noProof/>
          <w:color w:val="000000" w:themeColor="text1"/>
          <w:sz w:val="22"/>
          <w:szCs w:val="22"/>
        </w:rPr>
        <w:t>Br J Psychiatry</w:t>
      </w:r>
      <w:r w:rsidRPr="00CD2448">
        <w:rPr>
          <w:rFonts w:ascii="Arial" w:hAnsi="Arial" w:cs="Arial"/>
          <w:noProof/>
          <w:color w:val="000000" w:themeColor="text1"/>
          <w:sz w:val="22"/>
          <w:szCs w:val="22"/>
        </w:rPr>
        <w:t xml:space="preserve"> 1979; </w:t>
      </w:r>
      <w:r w:rsidRPr="00CD2448">
        <w:rPr>
          <w:rFonts w:ascii="Arial" w:hAnsi="Arial" w:cs="Arial"/>
          <w:b/>
          <w:noProof/>
          <w:color w:val="000000" w:themeColor="text1"/>
          <w:sz w:val="22"/>
          <w:szCs w:val="22"/>
        </w:rPr>
        <w:t>134</w:t>
      </w:r>
      <w:r w:rsidRPr="00CD2448">
        <w:rPr>
          <w:rFonts w:ascii="Arial" w:hAnsi="Arial" w:cs="Arial"/>
          <w:noProof/>
          <w:color w:val="000000" w:themeColor="text1"/>
          <w:sz w:val="22"/>
          <w:szCs w:val="22"/>
        </w:rPr>
        <w:t>(4)</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382-389.</w:t>
      </w:r>
    </w:p>
    <w:p w14:paraId="449D5E8E" w14:textId="77777777" w:rsidR="00C41394" w:rsidRPr="00CD2448" w:rsidRDefault="00C41394" w:rsidP="00C41394">
      <w:pPr>
        <w:pStyle w:val="EndNoteBibliography"/>
        <w:rPr>
          <w:rFonts w:ascii="Arial" w:hAnsi="Arial" w:cs="Arial"/>
          <w:noProof/>
          <w:color w:val="000000" w:themeColor="text1"/>
          <w:sz w:val="22"/>
          <w:szCs w:val="22"/>
        </w:rPr>
      </w:pPr>
    </w:p>
    <w:p w14:paraId="457F41FE" w14:textId="176ECD4D"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12.</w:t>
      </w:r>
      <w:r w:rsidRPr="00CD2448">
        <w:rPr>
          <w:rFonts w:ascii="Arial" w:hAnsi="Arial" w:cs="Arial"/>
          <w:noProof/>
          <w:color w:val="000000" w:themeColor="text1"/>
          <w:sz w:val="22"/>
          <w:szCs w:val="22"/>
        </w:rPr>
        <w:tab/>
        <w:t xml:space="preserve">Bioinformatics B. Fast QC: A quality control tool for high throughput sequence data. Available at: </w:t>
      </w:r>
      <w:hyperlink r:id="rId21" w:history="1">
        <w:r w:rsidRPr="00CD2448">
          <w:rPr>
            <w:rStyle w:val="Hyperlink"/>
            <w:rFonts w:ascii="Arial" w:hAnsi="Arial" w:cs="Arial"/>
            <w:noProof/>
            <w:color w:val="000000" w:themeColor="text1"/>
            <w:sz w:val="22"/>
            <w:szCs w:val="22"/>
          </w:rPr>
          <w:t>https://www.bioinformatics.babraham.ac.uk/projects/fastqc/</w:t>
        </w:r>
      </w:hyperlink>
      <w:r w:rsidRPr="00CD2448">
        <w:rPr>
          <w:rFonts w:ascii="Arial" w:hAnsi="Arial" w:cs="Arial"/>
          <w:noProof/>
          <w:color w:val="000000" w:themeColor="text1"/>
          <w:sz w:val="22"/>
          <w:szCs w:val="22"/>
        </w:rPr>
        <w:t>.</w:t>
      </w:r>
    </w:p>
    <w:p w14:paraId="0D1C61C1" w14:textId="77777777" w:rsidR="00C41394" w:rsidRPr="00CD2448" w:rsidRDefault="00C41394" w:rsidP="00C41394">
      <w:pPr>
        <w:pStyle w:val="EndNoteBibliography"/>
        <w:rPr>
          <w:rFonts w:ascii="Arial" w:hAnsi="Arial" w:cs="Arial"/>
          <w:noProof/>
          <w:color w:val="000000" w:themeColor="text1"/>
          <w:sz w:val="22"/>
          <w:szCs w:val="22"/>
        </w:rPr>
      </w:pPr>
    </w:p>
    <w:p w14:paraId="471A2380"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13.</w:t>
      </w:r>
      <w:r w:rsidRPr="00CD2448">
        <w:rPr>
          <w:rFonts w:ascii="Arial" w:hAnsi="Arial" w:cs="Arial"/>
          <w:noProof/>
          <w:color w:val="000000" w:themeColor="text1"/>
          <w:sz w:val="22"/>
          <w:szCs w:val="22"/>
        </w:rPr>
        <w:tab/>
        <w:t xml:space="preserve">Chen S, Zhou Y, Chen Y, Gu J. fastp: an ultra-fast all-in-one FASTQ preprocessor.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2018; </w:t>
      </w:r>
      <w:r w:rsidRPr="00CD2448">
        <w:rPr>
          <w:rFonts w:ascii="Arial" w:hAnsi="Arial" w:cs="Arial"/>
          <w:b/>
          <w:noProof/>
          <w:color w:val="000000" w:themeColor="text1"/>
          <w:sz w:val="22"/>
          <w:szCs w:val="22"/>
        </w:rPr>
        <w:t xml:space="preserve">34: </w:t>
      </w:r>
      <w:r w:rsidRPr="00CD2448">
        <w:rPr>
          <w:rFonts w:ascii="Arial" w:hAnsi="Arial" w:cs="Arial"/>
          <w:noProof/>
          <w:color w:val="000000" w:themeColor="text1"/>
          <w:sz w:val="22"/>
          <w:szCs w:val="22"/>
        </w:rPr>
        <w:t>i884-i890.</w:t>
      </w:r>
    </w:p>
    <w:p w14:paraId="709FFCED" w14:textId="77777777" w:rsidR="00C41394" w:rsidRPr="00CD2448" w:rsidRDefault="00C41394" w:rsidP="00C41394">
      <w:pPr>
        <w:pStyle w:val="EndNoteBibliography"/>
        <w:rPr>
          <w:rFonts w:ascii="Arial" w:hAnsi="Arial" w:cs="Arial"/>
          <w:noProof/>
          <w:color w:val="000000" w:themeColor="text1"/>
          <w:sz w:val="22"/>
          <w:szCs w:val="22"/>
        </w:rPr>
      </w:pPr>
    </w:p>
    <w:p w14:paraId="3335234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14.</w:t>
      </w:r>
      <w:r w:rsidRPr="00CD2448">
        <w:rPr>
          <w:rFonts w:ascii="Arial" w:hAnsi="Arial" w:cs="Arial"/>
          <w:noProof/>
          <w:color w:val="000000" w:themeColor="text1"/>
          <w:sz w:val="22"/>
          <w:szCs w:val="22"/>
        </w:rPr>
        <w:tab/>
        <w:t xml:space="preserve">Kim D, Paggi JM, Park C, Bennett C, Salzberg SL. Graph-based genome alignment and genotyping with HISAT2 and HISAT-genotype. </w:t>
      </w:r>
      <w:r w:rsidRPr="00CD2448">
        <w:rPr>
          <w:rFonts w:ascii="Arial" w:hAnsi="Arial" w:cs="Arial"/>
          <w:i/>
          <w:noProof/>
          <w:color w:val="000000" w:themeColor="text1"/>
          <w:sz w:val="22"/>
          <w:szCs w:val="22"/>
        </w:rPr>
        <w:t>Nat Biotechnol</w:t>
      </w:r>
      <w:r w:rsidRPr="00CD2448">
        <w:rPr>
          <w:rFonts w:ascii="Arial" w:hAnsi="Arial" w:cs="Arial"/>
          <w:noProof/>
          <w:color w:val="000000" w:themeColor="text1"/>
          <w:sz w:val="22"/>
          <w:szCs w:val="22"/>
        </w:rPr>
        <w:t xml:space="preserve"> 2019; </w:t>
      </w:r>
      <w:r w:rsidRPr="00CD2448">
        <w:rPr>
          <w:rFonts w:ascii="Arial" w:hAnsi="Arial" w:cs="Arial"/>
          <w:b/>
          <w:noProof/>
          <w:color w:val="000000" w:themeColor="text1"/>
          <w:sz w:val="22"/>
          <w:szCs w:val="22"/>
        </w:rPr>
        <w:t>37</w:t>
      </w:r>
      <w:r w:rsidRPr="00CD2448">
        <w:rPr>
          <w:rFonts w:ascii="Arial" w:hAnsi="Arial" w:cs="Arial"/>
          <w:noProof/>
          <w:color w:val="000000" w:themeColor="text1"/>
          <w:sz w:val="22"/>
          <w:szCs w:val="22"/>
        </w:rPr>
        <w:t>(8)</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907-915.</w:t>
      </w:r>
    </w:p>
    <w:p w14:paraId="75A98322" w14:textId="77777777" w:rsidR="00C41394" w:rsidRPr="00CD2448" w:rsidRDefault="00C41394" w:rsidP="00C41394">
      <w:pPr>
        <w:pStyle w:val="EndNoteBibliography"/>
        <w:rPr>
          <w:rFonts w:ascii="Arial" w:hAnsi="Arial" w:cs="Arial"/>
          <w:noProof/>
          <w:color w:val="000000" w:themeColor="text1"/>
          <w:sz w:val="22"/>
          <w:szCs w:val="22"/>
        </w:rPr>
      </w:pPr>
    </w:p>
    <w:p w14:paraId="7C2AFD5B"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15.</w:t>
      </w:r>
      <w:r w:rsidRPr="00CD2448">
        <w:rPr>
          <w:rFonts w:ascii="Arial" w:hAnsi="Arial" w:cs="Arial"/>
          <w:noProof/>
          <w:color w:val="000000" w:themeColor="text1"/>
          <w:sz w:val="22"/>
          <w:szCs w:val="22"/>
        </w:rPr>
        <w:tab/>
        <w:t xml:space="preserve">Pertea M, Kim D, Pertea GM, Leek JT, Salzber SL. Transcript-level expression analysis of RNA-seq experiments with HISAT, StringTie and Ballgown. </w:t>
      </w:r>
      <w:r w:rsidRPr="00CD2448">
        <w:rPr>
          <w:rFonts w:ascii="Arial" w:hAnsi="Arial" w:cs="Arial"/>
          <w:i/>
          <w:noProof/>
          <w:color w:val="000000" w:themeColor="text1"/>
          <w:sz w:val="22"/>
          <w:szCs w:val="22"/>
        </w:rPr>
        <w:t>Nat Protoc</w:t>
      </w:r>
      <w:r w:rsidRPr="00CD2448">
        <w:rPr>
          <w:rFonts w:ascii="Arial" w:hAnsi="Arial" w:cs="Arial"/>
          <w:noProof/>
          <w:color w:val="000000" w:themeColor="text1"/>
          <w:sz w:val="22"/>
          <w:szCs w:val="22"/>
        </w:rPr>
        <w:t xml:space="preserve"> 2016; </w:t>
      </w:r>
      <w:r w:rsidRPr="00CD2448">
        <w:rPr>
          <w:rFonts w:ascii="Arial" w:hAnsi="Arial" w:cs="Arial"/>
          <w:b/>
          <w:noProof/>
          <w:color w:val="000000" w:themeColor="text1"/>
          <w:sz w:val="22"/>
          <w:szCs w:val="22"/>
        </w:rPr>
        <w:t xml:space="preserve">11: </w:t>
      </w:r>
      <w:r w:rsidRPr="00CD2448">
        <w:rPr>
          <w:rFonts w:ascii="Arial" w:hAnsi="Arial" w:cs="Arial"/>
          <w:noProof/>
          <w:color w:val="000000" w:themeColor="text1"/>
          <w:sz w:val="22"/>
          <w:szCs w:val="22"/>
        </w:rPr>
        <w:t>1650-1667.</w:t>
      </w:r>
    </w:p>
    <w:p w14:paraId="6201C03B" w14:textId="77777777" w:rsidR="00C41394" w:rsidRPr="00CD2448" w:rsidRDefault="00C41394" w:rsidP="00C41394">
      <w:pPr>
        <w:pStyle w:val="EndNoteBibliography"/>
        <w:rPr>
          <w:rFonts w:ascii="Arial" w:hAnsi="Arial" w:cs="Arial"/>
          <w:noProof/>
          <w:color w:val="000000" w:themeColor="text1"/>
          <w:sz w:val="22"/>
          <w:szCs w:val="22"/>
        </w:rPr>
      </w:pPr>
    </w:p>
    <w:p w14:paraId="2AA5E1D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16.</w:t>
      </w:r>
      <w:r w:rsidRPr="00CD2448">
        <w:rPr>
          <w:rFonts w:ascii="Arial" w:hAnsi="Arial" w:cs="Arial"/>
          <w:noProof/>
          <w:color w:val="000000" w:themeColor="text1"/>
          <w:sz w:val="22"/>
          <w:szCs w:val="22"/>
        </w:rPr>
        <w:tab/>
        <w:t xml:space="preserve">Okonechnikov K, Conesa A, García-Alcalde F. Qualimap 2: advanced multi-sample quality control for high-throughput sequencing data.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2016; </w:t>
      </w:r>
      <w:r w:rsidRPr="00CD2448">
        <w:rPr>
          <w:rFonts w:ascii="Arial" w:hAnsi="Arial" w:cs="Arial"/>
          <w:b/>
          <w:noProof/>
          <w:color w:val="000000" w:themeColor="text1"/>
          <w:sz w:val="22"/>
          <w:szCs w:val="22"/>
        </w:rPr>
        <w:t xml:space="preserve">32: </w:t>
      </w:r>
      <w:r w:rsidRPr="00CD2448">
        <w:rPr>
          <w:rFonts w:ascii="Arial" w:hAnsi="Arial" w:cs="Arial"/>
          <w:noProof/>
          <w:color w:val="000000" w:themeColor="text1"/>
          <w:sz w:val="22"/>
          <w:szCs w:val="22"/>
        </w:rPr>
        <w:t>292-294.</w:t>
      </w:r>
    </w:p>
    <w:p w14:paraId="09FE9B01" w14:textId="77777777" w:rsidR="00C41394" w:rsidRPr="00CD2448" w:rsidRDefault="00C41394" w:rsidP="00C41394">
      <w:pPr>
        <w:pStyle w:val="EndNoteBibliography"/>
        <w:rPr>
          <w:rFonts w:ascii="Arial" w:hAnsi="Arial" w:cs="Arial"/>
          <w:noProof/>
          <w:color w:val="000000" w:themeColor="text1"/>
          <w:sz w:val="22"/>
          <w:szCs w:val="22"/>
        </w:rPr>
      </w:pPr>
    </w:p>
    <w:p w14:paraId="06D22ECF"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17.</w:t>
      </w:r>
      <w:r w:rsidRPr="00CD2448">
        <w:rPr>
          <w:rFonts w:ascii="Arial" w:hAnsi="Arial" w:cs="Arial"/>
          <w:noProof/>
          <w:color w:val="000000" w:themeColor="text1"/>
          <w:sz w:val="22"/>
          <w:szCs w:val="22"/>
        </w:rPr>
        <w:tab/>
        <w:t xml:space="preserve">Krämer A, Green J, Pollard J, Jr., Tugendreich S. Causal analysis approaches in Ingenuity Pathway Analysis.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2014; </w:t>
      </w:r>
      <w:r w:rsidRPr="00CD2448">
        <w:rPr>
          <w:rFonts w:ascii="Arial" w:hAnsi="Arial" w:cs="Arial"/>
          <w:b/>
          <w:noProof/>
          <w:color w:val="000000" w:themeColor="text1"/>
          <w:sz w:val="22"/>
          <w:szCs w:val="22"/>
        </w:rPr>
        <w:t>30</w:t>
      </w:r>
      <w:r w:rsidRPr="00CD2448">
        <w:rPr>
          <w:rFonts w:ascii="Arial" w:hAnsi="Arial" w:cs="Arial"/>
          <w:noProof/>
          <w:color w:val="000000" w:themeColor="text1"/>
          <w:sz w:val="22"/>
          <w:szCs w:val="22"/>
        </w:rPr>
        <w:t>(4)</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523-530.</w:t>
      </w:r>
    </w:p>
    <w:p w14:paraId="51320A90" w14:textId="77777777" w:rsidR="00C41394" w:rsidRPr="00CD2448" w:rsidRDefault="00C41394" w:rsidP="00C41394">
      <w:pPr>
        <w:pStyle w:val="EndNoteBibliography"/>
        <w:rPr>
          <w:rFonts w:ascii="Arial" w:hAnsi="Arial" w:cs="Arial"/>
          <w:noProof/>
          <w:color w:val="000000" w:themeColor="text1"/>
          <w:sz w:val="22"/>
          <w:szCs w:val="22"/>
        </w:rPr>
      </w:pPr>
    </w:p>
    <w:p w14:paraId="38F3AC98"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18.</w:t>
      </w:r>
      <w:r w:rsidRPr="00CD2448">
        <w:rPr>
          <w:rFonts w:ascii="Arial" w:hAnsi="Arial" w:cs="Arial"/>
          <w:noProof/>
          <w:color w:val="000000" w:themeColor="text1"/>
          <w:sz w:val="22"/>
          <w:szCs w:val="22"/>
        </w:rPr>
        <w:tab/>
        <w:t xml:space="preserve">Aran D, Hu Z, Butte AJ. xCell: digitally portraying the tissue cellular heterogeneity landscape. </w:t>
      </w:r>
      <w:r w:rsidRPr="00CD2448">
        <w:rPr>
          <w:rFonts w:ascii="Arial" w:hAnsi="Arial" w:cs="Arial"/>
          <w:i/>
          <w:noProof/>
          <w:color w:val="000000" w:themeColor="text1"/>
          <w:sz w:val="22"/>
          <w:szCs w:val="22"/>
        </w:rPr>
        <w:t>Genome Biol</w:t>
      </w:r>
      <w:r w:rsidRPr="00CD2448">
        <w:rPr>
          <w:rFonts w:ascii="Arial" w:hAnsi="Arial" w:cs="Arial"/>
          <w:noProof/>
          <w:color w:val="000000" w:themeColor="text1"/>
          <w:sz w:val="22"/>
          <w:szCs w:val="22"/>
        </w:rPr>
        <w:t xml:space="preserve"> 2017; </w:t>
      </w:r>
      <w:r w:rsidRPr="00CD2448">
        <w:rPr>
          <w:rFonts w:ascii="Arial" w:hAnsi="Arial" w:cs="Arial"/>
          <w:b/>
          <w:noProof/>
          <w:color w:val="000000" w:themeColor="text1"/>
          <w:sz w:val="22"/>
          <w:szCs w:val="22"/>
        </w:rPr>
        <w:t>18</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220.</w:t>
      </w:r>
    </w:p>
    <w:p w14:paraId="2FB396F6" w14:textId="77777777" w:rsidR="00C41394" w:rsidRPr="00CD2448" w:rsidRDefault="00C41394" w:rsidP="00C41394">
      <w:pPr>
        <w:pStyle w:val="EndNoteBibliography"/>
        <w:rPr>
          <w:rFonts w:ascii="Arial" w:hAnsi="Arial" w:cs="Arial"/>
          <w:noProof/>
          <w:color w:val="000000" w:themeColor="text1"/>
          <w:sz w:val="22"/>
          <w:szCs w:val="22"/>
        </w:rPr>
      </w:pPr>
    </w:p>
    <w:p w14:paraId="6BA8DF8C"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19.</w:t>
      </w:r>
      <w:r w:rsidRPr="00CD2448">
        <w:rPr>
          <w:rFonts w:ascii="Arial" w:hAnsi="Arial" w:cs="Arial"/>
          <w:noProof/>
          <w:color w:val="000000" w:themeColor="text1"/>
          <w:sz w:val="22"/>
          <w:szCs w:val="22"/>
        </w:rPr>
        <w:tab/>
        <w:t>Sturm G, Finotello F, Petitprez F, Zhang JD, Baumbach J, Fridman WH</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Comprehensive evaluation of transcriptome-based cell-type quantification methods for immuno-oncology. </w:t>
      </w:r>
      <w:r w:rsidRPr="00CD2448">
        <w:rPr>
          <w:rFonts w:ascii="Arial" w:hAnsi="Arial" w:cs="Arial"/>
          <w:i/>
          <w:noProof/>
          <w:color w:val="000000" w:themeColor="text1"/>
          <w:sz w:val="22"/>
          <w:szCs w:val="22"/>
        </w:rPr>
        <w:t>Bioinformatics</w:t>
      </w:r>
      <w:r w:rsidRPr="00CD2448">
        <w:rPr>
          <w:rFonts w:ascii="Arial" w:hAnsi="Arial" w:cs="Arial"/>
          <w:noProof/>
          <w:color w:val="000000" w:themeColor="text1"/>
          <w:sz w:val="22"/>
          <w:szCs w:val="22"/>
        </w:rPr>
        <w:t xml:space="preserve"> 2019; </w:t>
      </w:r>
      <w:r w:rsidRPr="00CD2448">
        <w:rPr>
          <w:rFonts w:ascii="Arial" w:hAnsi="Arial" w:cs="Arial"/>
          <w:b/>
          <w:noProof/>
          <w:color w:val="000000" w:themeColor="text1"/>
          <w:sz w:val="22"/>
          <w:szCs w:val="22"/>
        </w:rPr>
        <w:t>35</w:t>
      </w:r>
      <w:r w:rsidRPr="00CD2448">
        <w:rPr>
          <w:rFonts w:ascii="Arial" w:hAnsi="Arial" w:cs="Arial"/>
          <w:noProof/>
          <w:color w:val="000000" w:themeColor="text1"/>
          <w:sz w:val="22"/>
          <w:szCs w:val="22"/>
        </w:rPr>
        <w:t>(14)</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i436-i445.</w:t>
      </w:r>
    </w:p>
    <w:p w14:paraId="139383A3" w14:textId="77777777" w:rsidR="00C41394" w:rsidRPr="00CD2448" w:rsidRDefault="00C41394" w:rsidP="00C41394">
      <w:pPr>
        <w:pStyle w:val="EndNoteBibliography"/>
        <w:rPr>
          <w:rFonts w:ascii="Arial" w:hAnsi="Arial" w:cs="Arial"/>
          <w:noProof/>
          <w:color w:val="000000" w:themeColor="text1"/>
          <w:sz w:val="22"/>
          <w:szCs w:val="22"/>
        </w:rPr>
      </w:pPr>
    </w:p>
    <w:p w14:paraId="7AD7FBE7"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20.</w:t>
      </w:r>
      <w:r w:rsidRPr="00CD2448">
        <w:rPr>
          <w:rFonts w:ascii="Arial" w:hAnsi="Arial" w:cs="Arial"/>
          <w:noProof/>
          <w:color w:val="000000" w:themeColor="text1"/>
          <w:sz w:val="22"/>
          <w:szCs w:val="22"/>
        </w:rPr>
        <w:tab/>
        <w:t xml:space="preserve">Chu T, Wang Z, Pe’er D, Danko CG. Cell type and gene expression deconvolution with BayesPrism enables Bayesian integrative analysis across bulk and single-cell RNA sequencing in oncology. </w:t>
      </w:r>
      <w:r w:rsidRPr="00CD2448">
        <w:rPr>
          <w:rFonts w:ascii="Arial" w:hAnsi="Arial" w:cs="Arial"/>
          <w:i/>
          <w:noProof/>
          <w:color w:val="000000" w:themeColor="text1"/>
          <w:sz w:val="22"/>
          <w:szCs w:val="22"/>
        </w:rPr>
        <w:t>Nat Cancer</w:t>
      </w:r>
      <w:r w:rsidRPr="00CD2448">
        <w:rPr>
          <w:rFonts w:ascii="Arial" w:hAnsi="Arial" w:cs="Arial"/>
          <w:noProof/>
          <w:color w:val="000000" w:themeColor="text1"/>
          <w:sz w:val="22"/>
          <w:szCs w:val="22"/>
        </w:rPr>
        <w:t xml:space="preserve"> 2022; </w:t>
      </w:r>
      <w:r w:rsidRPr="00CD2448">
        <w:rPr>
          <w:rFonts w:ascii="Arial" w:hAnsi="Arial" w:cs="Arial"/>
          <w:b/>
          <w:noProof/>
          <w:color w:val="000000" w:themeColor="text1"/>
          <w:sz w:val="22"/>
          <w:szCs w:val="22"/>
        </w:rPr>
        <w:t>3</w:t>
      </w:r>
      <w:r w:rsidRPr="00CD2448">
        <w:rPr>
          <w:rFonts w:ascii="Arial" w:hAnsi="Arial" w:cs="Arial"/>
          <w:noProof/>
          <w:color w:val="000000" w:themeColor="text1"/>
          <w:sz w:val="22"/>
          <w:szCs w:val="22"/>
        </w:rPr>
        <w:t>(4)</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505-517.</w:t>
      </w:r>
    </w:p>
    <w:p w14:paraId="3A33813F" w14:textId="77777777" w:rsidR="00C41394" w:rsidRPr="00CD2448" w:rsidRDefault="00C41394" w:rsidP="00C41394">
      <w:pPr>
        <w:pStyle w:val="EndNoteBibliography"/>
        <w:rPr>
          <w:rFonts w:ascii="Arial" w:hAnsi="Arial" w:cs="Arial"/>
          <w:noProof/>
          <w:color w:val="000000" w:themeColor="text1"/>
          <w:sz w:val="22"/>
          <w:szCs w:val="22"/>
        </w:rPr>
      </w:pPr>
    </w:p>
    <w:p w14:paraId="3EA3707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21.</w:t>
      </w:r>
      <w:r w:rsidRPr="00CD2448">
        <w:rPr>
          <w:rFonts w:ascii="Arial" w:hAnsi="Arial" w:cs="Arial"/>
          <w:noProof/>
          <w:color w:val="000000" w:themeColor="text1"/>
          <w:sz w:val="22"/>
          <w:szCs w:val="22"/>
        </w:rPr>
        <w:tab/>
        <w:t>Hao Y, Hao S, Andersen-Nissen E, Mauck WM, Zheng S, Butler A</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Integrated analysis of multimodal single-cell data. </w:t>
      </w:r>
      <w:r w:rsidRPr="00CD2448">
        <w:rPr>
          <w:rFonts w:ascii="Arial" w:hAnsi="Arial" w:cs="Arial"/>
          <w:i/>
          <w:noProof/>
          <w:color w:val="000000" w:themeColor="text1"/>
          <w:sz w:val="22"/>
          <w:szCs w:val="22"/>
        </w:rPr>
        <w:t>Cell</w:t>
      </w:r>
      <w:r w:rsidRPr="00CD2448">
        <w:rPr>
          <w:rFonts w:ascii="Arial" w:hAnsi="Arial" w:cs="Arial"/>
          <w:noProof/>
          <w:color w:val="000000" w:themeColor="text1"/>
          <w:sz w:val="22"/>
          <w:szCs w:val="22"/>
        </w:rPr>
        <w:t xml:space="preserve"> 2021; </w:t>
      </w:r>
      <w:r w:rsidRPr="00CD2448">
        <w:rPr>
          <w:rFonts w:ascii="Arial" w:hAnsi="Arial" w:cs="Arial"/>
          <w:b/>
          <w:noProof/>
          <w:color w:val="000000" w:themeColor="text1"/>
          <w:sz w:val="22"/>
          <w:szCs w:val="22"/>
        </w:rPr>
        <w:t>184</w:t>
      </w:r>
      <w:r w:rsidRPr="00CD2448">
        <w:rPr>
          <w:rFonts w:ascii="Arial" w:hAnsi="Arial" w:cs="Arial"/>
          <w:noProof/>
          <w:color w:val="000000" w:themeColor="text1"/>
          <w:sz w:val="22"/>
          <w:szCs w:val="22"/>
        </w:rPr>
        <w:t>(13)</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3573-3587.e3529.</w:t>
      </w:r>
    </w:p>
    <w:p w14:paraId="126D8359" w14:textId="77777777" w:rsidR="00C41394" w:rsidRPr="00CD2448" w:rsidRDefault="00C41394" w:rsidP="00C41394">
      <w:pPr>
        <w:pStyle w:val="EndNoteBibliography"/>
        <w:rPr>
          <w:rFonts w:ascii="Arial" w:hAnsi="Arial" w:cs="Arial"/>
          <w:noProof/>
          <w:color w:val="000000" w:themeColor="text1"/>
          <w:sz w:val="22"/>
          <w:szCs w:val="22"/>
        </w:rPr>
      </w:pPr>
    </w:p>
    <w:p w14:paraId="636FCB6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22.</w:t>
      </w:r>
      <w:r w:rsidRPr="00CD2448">
        <w:rPr>
          <w:rFonts w:ascii="Arial" w:hAnsi="Arial" w:cs="Arial"/>
          <w:noProof/>
          <w:color w:val="000000" w:themeColor="text1"/>
          <w:sz w:val="22"/>
          <w:szCs w:val="22"/>
        </w:rPr>
        <w:tab/>
        <w:t xml:space="preserve">Kenward MG, Roger JH. The use of baseline covariates in crossover studies. </w:t>
      </w:r>
      <w:r w:rsidRPr="00CD2448">
        <w:rPr>
          <w:rFonts w:ascii="Arial" w:hAnsi="Arial" w:cs="Arial"/>
          <w:i/>
          <w:noProof/>
          <w:color w:val="000000" w:themeColor="text1"/>
          <w:sz w:val="22"/>
          <w:szCs w:val="22"/>
        </w:rPr>
        <w:t>Biostatistics</w:t>
      </w:r>
      <w:r w:rsidRPr="00CD2448">
        <w:rPr>
          <w:rFonts w:ascii="Arial" w:hAnsi="Arial" w:cs="Arial"/>
          <w:noProof/>
          <w:color w:val="000000" w:themeColor="text1"/>
          <w:sz w:val="22"/>
          <w:szCs w:val="22"/>
        </w:rPr>
        <w:t xml:space="preserve"> 2010; </w:t>
      </w:r>
      <w:r w:rsidRPr="00CD2448">
        <w:rPr>
          <w:rFonts w:ascii="Arial" w:hAnsi="Arial" w:cs="Arial"/>
          <w:b/>
          <w:noProof/>
          <w:color w:val="000000" w:themeColor="text1"/>
          <w:sz w:val="22"/>
          <w:szCs w:val="22"/>
        </w:rPr>
        <w:t>11</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1-17.</w:t>
      </w:r>
    </w:p>
    <w:p w14:paraId="4E3C5BC6" w14:textId="77777777" w:rsidR="00C41394" w:rsidRPr="00CD2448" w:rsidRDefault="00C41394" w:rsidP="00C41394">
      <w:pPr>
        <w:pStyle w:val="EndNoteBibliography"/>
        <w:rPr>
          <w:rFonts w:ascii="Arial" w:hAnsi="Arial" w:cs="Arial"/>
          <w:noProof/>
          <w:color w:val="000000" w:themeColor="text1"/>
          <w:sz w:val="22"/>
          <w:szCs w:val="22"/>
        </w:rPr>
      </w:pPr>
    </w:p>
    <w:p w14:paraId="5F86205B"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23.</w:t>
      </w:r>
      <w:r w:rsidRPr="00CD2448">
        <w:rPr>
          <w:rFonts w:ascii="Arial" w:hAnsi="Arial" w:cs="Arial"/>
          <w:noProof/>
          <w:color w:val="000000" w:themeColor="text1"/>
          <w:sz w:val="22"/>
          <w:szCs w:val="22"/>
        </w:rPr>
        <w:tab/>
        <w:t xml:space="preserve">Ben-Shachar MS, Lüdecke D, Makowski D. effectsize: Estimation of effect size indices and standardized parameters. </w:t>
      </w:r>
      <w:r w:rsidRPr="00CD2448">
        <w:rPr>
          <w:rFonts w:ascii="Arial" w:hAnsi="Arial" w:cs="Arial"/>
          <w:i/>
          <w:noProof/>
          <w:color w:val="000000" w:themeColor="text1"/>
          <w:sz w:val="22"/>
          <w:szCs w:val="22"/>
        </w:rPr>
        <w:t>J Open Source Softw</w:t>
      </w:r>
      <w:r w:rsidRPr="00CD2448">
        <w:rPr>
          <w:rFonts w:ascii="Arial" w:hAnsi="Arial" w:cs="Arial"/>
          <w:noProof/>
          <w:color w:val="000000" w:themeColor="text1"/>
          <w:sz w:val="22"/>
          <w:szCs w:val="22"/>
        </w:rPr>
        <w:t xml:space="preserve"> 2020; </w:t>
      </w:r>
      <w:r w:rsidRPr="00CD2448">
        <w:rPr>
          <w:rFonts w:ascii="Arial" w:hAnsi="Arial" w:cs="Arial"/>
          <w:b/>
          <w:noProof/>
          <w:color w:val="000000" w:themeColor="text1"/>
          <w:sz w:val="22"/>
          <w:szCs w:val="22"/>
        </w:rPr>
        <w:t>5</w:t>
      </w:r>
      <w:r w:rsidRPr="00CD2448">
        <w:rPr>
          <w:rFonts w:ascii="Arial" w:hAnsi="Arial" w:cs="Arial"/>
          <w:noProof/>
          <w:color w:val="000000" w:themeColor="text1"/>
          <w:sz w:val="22"/>
          <w:szCs w:val="22"/>
        </w:rPr>
        <w:t>(56)</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2815.</w:t>
      </w:r>
    </w:p>
    <w:p w14:paraId="4BD72AAE" w14:textId="77777777" w:rsidR="00C41394" w:rsidRPr="00CD2448" w:rsidRDefault="00C41394" w:rsidP="00C41394">
      <w:pPr>
        <w:pStyle w:val="EndNoteBibliography"/>
        <w:rPr>
          <w:rFonts w:ascii="Arial" w:hAnsi="Arial" w:cs="Arial"/>
          <w:noProof/>
          <w:color w:val="000000" w:themeColor="text1"/>
          <w:sz w:val="22"/>
          <w:szCs w:val="22"/>
        </w:rPr>
      </w:pPr>
    </w:p>
    <w:p w14:paraId="3C5538DF"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24.</w:t>
      </w:r>
      <w:r w:rsidRPr="00CD2448">
        <w:rPr>
          <w:rFonts w:ascii="Arial" w:hAnsi="Arial" w:cs="Arial"/>
          <w:noProof/>
          <w:color w:val="000000" w:themeColor="text1"/>
          <w:sz w:val="22"/>
          <w:szCs w:val="22"/>
        </w:rPr>
        <w:tab/>
        <w:t>Álvarez-Soria MA, Largo R, Santillana J, Sánchez-Pernaute O, Calvo E, Hernández M</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Long term NSAID treatment inhibits COX</w:t>
      </w:r>
      <w:r w:rsidRPr="00CD2448">
        <w:rPr>
          <w:rFonts w:ascii="Cambria Math" w:hAnsi="Cambria Math" w:cs="Cambria Math"/>
          <w:noProof/>
          <w:color w:val="000000" w:themeColor="text1"/>
          <w:sz w:val="22"/>
          <w:szCs w:val="22"/>
        </w:rPr>
        <w:t>‐</w:t>
      </w:r>
      <w:r w:rsidRPr="00CD2448">
        <w:rPr>
          <w:rFonts w:ascii="Arial" w:hAnsi="Arial" w:cs="Arial"/>
          <w:noProof/>
          <w:color w:val="000000" w:themeColor="text1"/>
          <w:sz w:val="22"/>
          <w:szCs w:val="22"/>
        </w:rPr>
        <w:t xml:space="preserve">2 synthesis in the knee synovial membrane of patients with osteoarthritis: differential proinflammatory cytokine profile between celecoxib and aceclofenac. </w:t>
      </w:r>
      <w:r w:rsidRPr="00CD2448">
        <w:rPr>
          <w:rFonts w:ascii="Arial" w:hAnsi="Arial" w:cs="Arial"/>
          <w:i/>
          <w:noProof/>
          <w:color w:val="000000" w:themeColor="text1"/>
          <w:sz w:val="22"/>
          <w:szCs w:val="22"/>
        </w:rPr>
        <w:t>Ann Rheum Dis</w:t>
      </w:r>
      <w:r w:rsidRPr="00CD2448">
        <w:rPr>
          <w:rFonts w:ascii="Arial" w:hAnsi="Arial" w:cs="Arial"/>
          <w:noProof/>
          <w:color w:val="000000" w:themeColor="text1"/>
          <w:sz w:val="22"/>
          <w:szCs w:val="22"/>
        </w:rPr>
        <w:t xml:space="preserve"> 2006; </w:t>
      </w:r>
      <w:r w:rsidRPr="00CD2448">
        <w:rPr>
          <w:rFonts w:ascii="Arial" w:hAnsi="Arial" w:cs="Arial"/>
          <w:b/>
          <w:noProof/>
          <w:color w:val="000000" w:themeColor="text1"/>
          <w:sz w:val="22"/>
          <w:szCs w:val="22"/>
        </w:rPr>
        <w:t xml:space="preserve">65: </w:t>
      </w:r>
      <w:r w:rsidRPr="00CD2448">
        <w:rPr>
          <w:rFonts w:ascii="Arial" w:hAnsi="Arial" w:cs="Arial"/>
          <w:noProof/>
          <w:color w:val="000000" w:themeColor="text1"/>
          <w:sz w:val="22"/>
          <w:szCs w:val="22"/>
        </w:rPr>
        <w:t>998-1005.</w:t>
      </w:r>
    </w:p>
    <w:p w14:paraId="69EDAD85" w14:textId="77777777" w:rsidR="00C41394" w:rsidRPr="00CD2448" w:rsidRDefault="00C41394" w:rsidP="00C41394">
      <w:pPr>
        <w:pStyle w:val="EndNoteBibliography"/>
        <w:rPr>
          <w:rFonts w:ascii="Arial" w:hAnsi="Arial" w:cs="Arial"/>
          <w:noProof/>
          <w:color w:val="000000" w:themeColor="text1"/>
          <w:sz w:val="22"/>
          <w:szCs w:val="22"/>
        </w:rPr>
      </w:pPr>
    </w:p>
    <w:p w14:paraId="7874C963"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25.</w:t>
      </w:r>
      <w:r w:rsidRPr="00CD2448">
        <w:rPr>
          <w:rFonts w:ascii="Arial" w:hAnsi="Arial" w:cs="Arial"/>
          <w:noProof/>
          <w:color w:val="000000" w:themeColor="text1"/>
          <w:sz w:val="22"/>
          <w:szCs w:val="22"/>
        </w:rPr>
        <w:tab/>
        <w:t>Mannava S, Whitney KE, Kennedy MI, King J, Dornan GJ, Klett K</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The influence of naproxen on biological factors in leukocyte-rich platelet-rich plasma: A prospective comparative study. </w:t>
      </w:r>
      <w:r w:rsidRPr="00CD2448">
        <w:rPr>
          <w:rFonts w:ascii="Arial" w:hAnsi="Arial" w:cs="Arial"/>
          <w:i/>
          <w:noProof/>
          <w:color w:val="000000" w:themeColor="text1"/>
          <w:sz w:val="22"/>
          <w:szCs w:val="22"/>
        </w:rPr>
        <w:t>Arthroscopy</w:t>
      </w:r>
      <w:r w:rsidRPr="00CD2448">
        <w:rPr>
          <w:rFonts w:ascii="Arial" w:hAnsi="Arial" w:cs="Arial"/>
          <w:noProof/>
          <w:color w:val="000000" w:themeColor="text1"/>
          <w:sz w:val="22"/>
          <w:szCs w:val="22"/>
        </w:rPr>
        <w:t xml:space="preserve"> 2019; </w:t>
      </w:r>
      <w:r w:rsidRPr="00CD2448">
        <w:rPr>
          <w:rFonts w:ascii="Arial" w:hAnsi="Arial" w:cs="Arial"/>
          <w:b/>
          <w:noProof/>
          <w:color w:val="000000" w:themeColor="text1"/>
          <w:sz w:val="22"/>
          <w:szCs w:val="22"/>
        </w:rPr>
        <w:t xml:space="preserve">35: </w:t>
      </w:r>
      <w:r w:rsidRPr="00CD2448">
        <w:rPr>
          <w:rFonts w:ascii="Arial" w:hAnsi="Arial" w:cs="Arial"/>
          <w:noProof/>
          <w:color w:val="000000" w:themeColor="text1"/>
          <w:sz w:val="22"/>
          <w:szCs w:val="22"/>
        </w:rPr>
        <w:t>201-210.</w:t>
      </w:r>
    </w:p>
    <w:p w14:paraId="58E573F9" w14:textId="77777777" w:rsidR="00C41394" w:rsidRPr="00CD2448" w:rsidRDefault="00C41394" w:rsidP="00C41394">
      <w:pPr>
        <w:pStyle w:val="EndNoteBibliography"/>
        <w:rPr>
          <w:rFonts w:ascii="Arial" w:hAnsi="Arial" w:cs="Arial"/>
          <w:noProof/>
          <w:color w:val="000000" w:themeColor="text1"/>
          <w:sz w:val="22"/>
          <w:szCs w:val="22"/>
        </w:rPr>
      </w:pPr>
    </w:p>
    <w:p w14:paraId="67A89A14"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26.</w:t>
      </w:r>
      <w:r w:rsidRPr="00CD2448">
        <w:rPr>
          <w:rFonts w:ascii="Arial" w:hAnsi="Arial" w:cs="Arial"/>
          <w:noProof/>
          <w:color w:val="000000" w:themeColor="text1"/>
          <w:sz w:val="22"/>
          <w:szCs w:val="22"/>
        </w:rPr>
        <w:tab/>
        <w:t>Simon LS, Weaver AL, Graham DY, Kivitz AJ, Lipsky PE, Hubbard RC</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Anti-inflammatory and upper gastrointestinal effects of celecoxib in rheumatoid arthritis: a randomized controlled trial. </w:t>
      </w:r>
      <w:r w:rsidRPr="00CD2448">
        <w:rPr>
          <w:rFonts w:ascii="Arial" w:hAnsi="Arial" w:cs="Arial"/>
          <w:i/>
          <w:noProof/>
          <w:color w:val="000000" w:themeColor="text1"/>
          <w:sz w:val="22"/>
          <w:szCs w:val="22"/>
        </w:rPr>
        <w:t>JAMA</w:t>
      </w:r>
      <w:r w:rsidRPr="00CD2448">
        <w:rPr>
          <w:rFonts w:ascii="Arial" w:hAnsi="Arial" w:cs="Arial"/>
          <w:noProof/>
          <w:color w:val="000000" w:themeColor="text1"/>
          <w:sz w:val="22"/>
          <w:szCs w:val="22"/>
        </w:rPr>
        <w:t xml:space="preserve"> 1999; </w:t>
      </w:r>
      <w:r w:rsidRPr="00CD2448">
        <w:rPr>
          <w:rFonts w:ascii="Arial" w:hAnsi="Arial" w:cs="Arial"/>
          <w:b/>
          <w:noProof/>
          <w:color w:val="000000" w:themeColor="text1"/>
          <w:sz w:val="22"/>
          <w:szCs w:val="22"/>
        </w:rPr>
        <w:t xml:space="preserve">282: </w:t>
      </w:r>
      <w:r w:rsidRPr="00CD2448">
        <w:rPr>
          <w:rFonts w:ascii="Arial" w:hAnsi="Arial" w:cs="Arial"/>
          <w:noProof/>
          <w:color w:val="000000" w:themeColor="text1"/>
          <w:sz w:val="22"/>
          <w:szCs w:val="22"/>
        </w:rPr>
        <w:t>1921-1928.</w:t>
      </w:r>
    </w:p>
    <w:p w14:paraId="11BBE734" w14:textId="77777777" w:rsidR="00C41394" w:rsidRPr="00CD2448" w:rsidRDefault="00C41394" w:rsidP="00C41394">
      <w:pPr>
        <w:pStyle w:val="EndNoteBibliography"/>
        <w:rPr>
          <w:rFonts w:ascii="Arial" w:hAnsi="Arial" w:cs="Arial"/>
          <w:noProof/>
          <w:color w:val="000000" w:themeColor="text1"/>
          <w:sz w:val="22"/>
          <w:szCs w:val="22"/>
        </w:rPr>
      </w:pPr>
    </w:p>
    <w:p w14:paraId="79C75EA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27.</w:t>
      </w:r>
      <w:r w:rsidRPr="00CD2448">
        <w:rPr>
          <w:rFonts w:ascii="Arial" w:hAnsi="Arial" w:cs="Arial"/>
          <w:noProof/>
          <w:color w:val="000000" w:themeColor="text1"/>
          <w:sz w:val="22"/>
          <w:szCs w:val="22"/>
        </w:rPr>
        <w:tab/>
        <w:t xml:space="preserve">Türck D, Roth W, Busch U. A review of the clinical pharmacokinetics of meloxicam. </w:t>
      </w:r>
      <w:r w:rsidRPr="00CD2448">
        <w:rPr>
          <w:rFonts w:ascii="Arial" w:hAnsi="Arial" w:cs="Arial"/>
          <w:i/>
          <w:noProof/>
          <w:color w:val="000000" w:themeColor="text1"/>
          <w:sz w:val="22"/>
          <w:szCs w:val="22"/>
        </w:rPr>
        <w:t>Br J Rheumatol</w:t>
      </w:r>
      <w:r w:rsidRPr="00CD2448">
        <w:rPr>
          <w:rFonts w:ascii="Arial" w:hAnsi="Arial" w:cs="Arial"/>
          <w:noProof/>
          <w:color w:val="000000" w:themeColor="text1"/>
          <w:sz w:val="22"/>
          <w:szCs w:val="22"/>
        </w:rPr>
        <w:t xml:space="preserve"> 1996; </w:t>
      </w:r>
      <w:r w:rsidRPr="00CD2448">
        <w:rPr>
          <w:rFonts w:ascii="Arial" w:hAnsi="Arial" w:cs="Arial"/>
          <w:b/>
          <w:noProof/>
          <w:color w:val="000000" w:themeColor="text1"/>
          <w:sz w:val="22"/>
          <w:szCs w:val="22"/>
        </w:rPr>
        <w:t xml:space="preserve">35 (Suppl 1): </w:t>
      </w:r>
      <w:r w:rsidRPr="00CD2448">
        <w:rPr>
          <w:rFonts w:ascii="Arial" w:hAnsi="Arial" w:cs="Arial"/>
          <w:noProof/>
          <w:color w:val="000000" w:themeColor="text1"/>
          <w:sz w:val="22"/>
          <w:szCs w:val="22"/>
        </w:rPr>
        <w:t>13-16.</w:t>
      </w:r>
    </w:p>
    <w:p w14:paraId="1CFC7E88" w14:textId="77777777" w:rsidR="00C41394" w:rsidRPr="00CD2448" w:rsidRDefault="00C41394" w:rsidP="00C41394">
      <w:pPr>
        <w:pStyle w:val="EndNoteBibliography"/>
        <w:rPr>
          <w:rFonts w:ascii="Arial" w:hAnsi="Arial" w:cs="Arial"/>
          <w:noProof/>
          <w:color w:val="000000" w:themeColor="text1"/>
          <w:sz w:val="22"/>
          <w:szCs w:val="22"/>
        </w:rPr>
      </w:pPr>
    </w:p>
    <w:p w14:paraId="0F6BD735"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28.</w:t>
      </w:r>
      <w:r w:rsidRPr="00CD2448">
        <w:rPr>
          <w:rFonts w:ascii="Arial" w:hAnsi="Arial" w:cs="Arial"/>
          <w:noProof/>
          <w:color w:val="000000" w:themeColor="text1"/>
          <w:sz w:val="22"/>
          <w:szCs w:val="22"/>
        </w:rPr>
        <w:tab/>
        <w:t>Dougados M, Simon P, Braun J, Burgos-Vargas R, Maksymowych WP, Sieper J</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ASAS recommendations for collecting, analysing and reporting NSAID intake in clinical trials/epidemiological studies in axial spondyloarthritis. </w:t>
      </w:r>
      <w:r w:rsidRPr="00CD2448">
        <w:rPr>
          <w:rFonts w:ascii="Arial" w:hAnsi="Arial" w:cs="Arial"/>
          <w:i/>
          <w:noProof/>
          <w:color w:val="000000" w:themeColor="text1"/>
          <w:sz w:val="22"/>
          <w:szCs w:val="22"/>
        </w:rPr>
        <w:t>Ann Rheum Dis</w:t>
      </w:r>
      <w:r w:rsidRPr="00CD2448">
        <w:rPr>
          <w:rFonts w:ascii="Arial" w:hAnsi="Arial" w:cs="Arial"/>
          <w:noProof/>
          <w:color w:val="000000" w:themeColor="text1"/>
          <w:sz w:val="22"/>
          <w:szCs w:val="22"/>
        </w:rPr>
        <w:t xml:space="preserve"> 2011; </w:t>
      </w:r>
      <w:r w:rsidRPr="00CD2448">
        <w:rPr>
          <w:rFonts w:ascii="Arial" w:hAnsi="Arial" w:cs="Arial"/>
          <w:b/>
          <w:noProof/>
          <w:color w:val="000000" w:themeColor="text1"/>
          <w:sz w:val="22"/>
          <w:szCs w:val="22"/>
        </w:rPr>
        <w:t xml:space="preserve">70: </w:t>
      </w:r>
      <w:r w:rsidRPr="00CD2448">
        <w:rPr>
          <w:rFonts w:ascii="Arial" w:hAnsi="Arial" w:cs="Arial"/>
          <w:noProof/>
          <w:color w:val="000000" w:themeColor="text1"/>
          <w:sz w:val="22"/>
          <w:szCs w:val="22"/>
        </w:rPr>
        <w:t>249-251.</w:t>
      </w:r>
    </w:p>
    <w:p w14:paraId="251692B8" w14:textId="77777777" w:rsidR="00C41394" w:rsidRPr="00CD2448" w:rsidRDefault="00C41394" w:rsidP="00C41394">
      <w:pPr>
        <w:pStyle w:val="EndNoteBibliography"/>
        <w:rPr>
          <w:rFonts w:ascii="Arial" w:hAnsi="Arial" w:cs="Arial"/>
          <w:noProof/>
          <w:color w:val="000000" w:themeColor="text1"/>
          <w:sz w:val="22"/>
          <w:szCs w:val="22"/>
        </w:rPr>
      </w:pPr>
    </w:p>
    <w:p w14:paraId="366364F3"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29.</w:t>
      </w:r>
      <w:r w:rsidRPr="00CD2448">
        <w:rPr>
          <w:rFonts w:ascii="Arial" w:hAnsi="Arial" w:cs="Arial"/>
          <w:noProof/>
          <w:color w:val="000000" w:themeColor="text1"/>
          <w:sz w:val="22"/>
          <w:szCs w:val="22"/>
        </w:rPr>
        <w:tab/>
        <w:t xml:space="preserve">Vrba J, Robinson SE. Signal processing in magnetoencephalography. </w:t>
      </w:r>
      <w:r w:rsidRPr="00CD2448">
        <w:rPr>
          <w:rFonts w:ascii="Arial" w:hAnsi="Arial" w:cs="Arial"/>
          <w:i/>
          <w:noProof/>
          <w:color w:val="000000" w:themeColor="text1"/>
          <w:sz w:val="22"/>
          <w:szCs w:val="22"/>
        </w:rPr>
        <w:t>Methods</w:t>
      </w:r>
      <w:r w:rsidRPr="00CD2448">
        <w:rPr>
          <w:rFonts w:ascii="Arial" w:hAnsi="Arial" w:cs="Arial"/>
          <w:noProof/>
          <w:color w:val="000000" w:themeColor="text1"/>
          <w:sz w:val="22"/>
          <w:szCs w:val="22"/>
        </w:rPr>
        <w:t xml:space="preserve"> 2021; </w:t>
      </w:r>
      <w:r w:rsidRPr="00CD2448">
        <w:rPr>
          <w:rFonts w:ascii="Arial" w:hAnsi="Arial" w:cs="Arial"/>
          <w:b/>
          <w:noProof/>
          <w:color w:val="000000" w:themeColor="text1"/>
          <w:sz w:val="22"/>
          <w:szCs w:val="22"/>
        </w:rPr>
        <w:t xml:space="preserve">25: </w:t>
      </w:r>
      <w:r w:rsidRPr="00CD2448">
        <w:rPr>
          <w:rFonts w:ascii="Arial" w:hAnsi="Arial" w:cs="Arial"/>
          <w:noProof/>
          <w:color w:val="000000" w:themeColor="text1"/>
          <w:sz w:val="22"/>
          <w:szCs w:val="22"/>
        </w:rPr>
        <w:t>249-271.</w:t>
      </w:r>
    </w:p>
    <w:p w14:paraId="7D3FE4D1" w14:textId="77777777" w:rsidR="00C41394" w:rsidRPr="00CD2448" w:rsidRDefault="00C41394" w:rsidP="00C41394">
      <w:pPr>
        <w:pStyle w:val="EndNoteBibliography"/>
        <w:rPr>
          <w:rFonts w:ascii="Arial" w:hAnsi="Arial" w:cs="Arial"/>
          <w:noProof/>
          <w:color w:val="000000" w:themeColor="text1"/>
          <w:sz w:val="22"/>
          <w:szCs w:val="22"/>
        </w:rPr>
      </w:pPr>
    </w:p>
    <w:p w14:paraId="1860F6E5"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30.</w:t>
      </w:r>
      <w:r w:rsidRPr="00CD2448">
        <w:rPr>
          <w:rFonts w:ascii="Arial" w:hAnsi="Arial" w:cs="Arial"/>
          <w:noProof/>
          <w:color w:val="000000" w:themeColor="text1"/>
          <w:sz w:val="22"/>
          <w:szCs w:val="22"/>
        </w:rPr>
        <w:tab/>
        <w:t>Schoergenhofer C, Schwameis M, Firbas C, Bartko J, Derhaschnig U, Mader RM</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Single, very low rituximab doses in healthy volunteers - a pilot and a randomized trial: implications for dosing and biosimilarity testing. </w:t>
      </w:r>
      <w:r w:rsidRPr="00CD2448">
        <w:rPr>
          <w:rFonts w:ascii="Arial" w:hAnsi="Arial" w:cs="Arial"/>
          <w:i/>
          <w:noProof/>
          <w:color w:val="000000" w:themeColor="text1"/>
          <w:sz w:val="22"/>
          <w:szCs w:val="22"/>
        </w:rPr>
        <w:t>Sci Rep</w:t>
      </w:r>
      <w:r w:rsidRPr="00CD2448">
        <w:rPr>
          <w:rFonts w:ascii="Arial" w:hAnsi="Arial" w:cs="Arial"/>
          <w:noProof/>
          <w:color w:val="000000" w:themeColor="text1"/>
          <w:sz w:val="22"/>
          <w:szCs w:val="22"/>
        </w:rPr>
        <w:t xml:space="preserve"> 2018; </w:t>
      </w:r>
      <w:r w:rsidRPr="00CD2448">
        <w:rPr>
          <w:rFonts w:ascii="Arial" w:hAnsi="Arial" w:cs="Arial"/>
          <w:b/>
          <w:noProof/>
          <w:color w:val="000000" w:themeColor="text1"/>
          <w:sz w:val="22"/>
          <w:szCs w:val="22"/>
        </w:rPr>
        <w:t xml:space="preserve">8: </w:t>
      </w:r>
      <w:r w:rsidRPr="00CD2448">
        <w:rPr>
          <w:rFonts w:ascii="Arial" w:hAnsi="Arial" w:cs="Arial"/>
          <w:noProof/>
          <w:color w:val="000000" w:themeColor="text1"/>
          <w:sz w:val="22"/>
          <w:szCs w:val="22"/>
        </w:rPr>
        <w:t>124.</w:t>
      </w:r>
    </w:p>
    <w:p w14:paraId="39EE07A8" w14:textId="77777777" w:rsidR="00C41394" w:rsidRPr="00CD2448" w:rsidRDefault="00C41394" w:rsidP="00C41394">
      <w:pPr>
        <w:pStyle w:val="EndNoteBibliography"/>
        <w:rPr>
          <w:rFonts w:ascii="Arial" w:hAnsi="Arial" w:cs="Arial"/>
          <w:noProof/>
          <w:color w:val="000000" w:themeColor="text1"/>
          <w:sz w:val="22"/>
          <w:szCs w:val="22"/>
        </w:rPr>
      </w:pPr>
    </w:p>
    <w:p w14:paraId="0A5BC76F"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31.</w:t>
      </w:r>
      <w:r w:rsidRPr="00CD2448">
        <w:rPr>
          <w:rFonts w:ascii="Arial" w:hAnsi="Arial" w:cs="Arial"/>
          <w:noProof/>
          <w:color w:val="000000" w:themeColor="text1"/>
          <w:sz w:val="22"/>
          <w:szCs w:val="22"/>
        </w:rPr>
        <w:tab/>
        <w:t xml:space="preserve">Szałach ŁP, Ciesielska-Figlon K, Daca A, Cubała WJ, Lisowska KA. The effect of ketamine on the immune system in patients with treatment-resistant depression. </w:t>
      </w:r>
      <w:r w:rsidRPr="00CD2448">
        <w:rPr>
          <w:rFonts w:ascii="Arial" w:hAnsi="Arial" w:cs="Arial"/>
          <w:i/>
          <w:noProof/>
          <w:color w:val="000000" w:themeColor="text1"/>
          <w:sz w:val="22"/>
          <w:szCs w:val="22"/>
        </w:rPr>
        <w:t>Int J Mol Sci</w:t>
      </w:r>
      <w:r w:rsidRPr="00CD2448">
        <w:rPr>
          <w:rFonts w:ascii="Arial" w:hAnsi="Arial" w:cs="Arial"/>
          <w:noProof/>
          <w:color w:val="000000" w:themeColor="text1"/>
          <w:sz w:val="22"/>
          <w:szCs w:val="22"/>
        </w:rPr>
        <w:t xml:space="preserve"> 2025; </w:t>
      </w:r>
      <w:r w:rsidRPr="00CD2448">
        <w:rPr>
          <w:rFonts w:ascii="Arial" w:hAnsi="Arial" w:cs="Arial"/>
          <w:b/>
          <w:noProof/>
          <w:color w:val="000000" w:themeColor="text1"/>
          <w:sz w:val="22"/>
          <w:szCs w:val="22"/>
        </w:rPr>
        <w:t xml:space="preserve">26: </w:t>
      </w:r>
      <w:r w:rsidRPr="00CD2448">
        <w:rPr>
          <w:rFonts w:ascii="Arial" w:hAnsi="Arial" w:cs="Arial"/>
          <w:noProof/>
          <w:color w:val="000000" w:themeColor="text1"/>
          <w:sz w:val="22"/>
          <w:szCs w:val="22"/>
        </w:rPr>
        <w:t>7500.</w:t>
      </w:r>
    </w:p>
    <w:p w14:paraId="2AAB3E52" w14:textId="77777777" w:rsidR="00C41394" w:rsidRPr="00CD2448" w:rsidRDefault="00C41394" w:rsidP="00C41394">
      <w:pPr>
        <w:pStyle w:val="EndNoteBibliography"/>
        <w:rPr>
          <w:rFonts w:ascii="Arial" w:hAnsi="Arial" w:cs="Arial"/>
          <w:noProof/>
          <w:color w:val="000000" w:themeColor="text1"/>
          <w:sz w:val="22"/>
          <w:szCs w:val="22"/>
        </w:rPr>
      </w:pPr>
    </w:p>
    <w:p w14:paraId="3A329963"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32.</w:t>
      </w:r>
      <w:r w:rsidRPr="00CD2448">
        <w:rPr>
          <w:rFonts w:ascii="Arial" w:hAnsi="Arial" w:cs="Arial"/>
          <w:noProof/>
          <w:color w:val="000000" w:themeColor="text1"/>
          <w:sz w:val="22"/>
          <w:szCs w:val="22"/>
        </w:rPr>
        <w:tab/>
        <w:t>Aqrawi LA, Ivanchenko M, Björk A, Sepúlveda JIR, Imgenberg-Kreuz J, Kvarnström M</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Diminished CXCR5 expression in peripheral blood of patients with Sjögren's syndrome may relate to both genotype and salivary gland homing. </w:t>
      </w:r>
      <w:r w:rsidRPr="00CD2448">
        <w:rPr>
          <w:rFonts w:ascii="Arial" w:hAnsi="Arial" w:cs="Arial"/>
          <w:i/>
          <w:noProof/>
          <w:color w:val="000000" w:themeColor="text1"/>
          <w:sz w:val="22"/>
          <w:szCs w:val="22"/>
        </w:rPr>
        <w:t>Clin Exp Immunol</w:t>
      </w:r>
      <w:r w:rsidRPr="00CD2448">
        <w:rPr>
          <w:rFonts w:ascii="Arial" w:hAnsi="Arial" w:cs="Arial"/>
          <w:noProof/>
          <w:color w:val="000000" w:themeColor="text1"/>
          <w:sz w:val="22"/>
          <w:szCs w:val="22"/>
        </w:rPr>
        <w:t xml:space="preserve"> 2018; </w:t>
      </w:r>
      <w:r w:rsidRPr="00CD2448">
        <w:rPr>
          <w:rFonts w:ascii="Arial" w:hAnsi="Arial" w:cs="Arial"/>
          <w:b/>
          <w:noProof/>
          <w:color w:val="000000" w:themeColor="text1"/>
          <w:sz w:val="22"/>
          <w:szCs w:val="22"/>
        </w:rPr>
        <w:t xml:space="preserve">192: </w:t>
      </w:r>
      <w:r w:rsidRPr="00CD2448">
        <w:rPr>
          <w:rFonts w:ascii="Arial" w:hAnsi="Arial" w:cs="Arial"/>
          <w:noProof/>
          <w:color w:val="000000" w:themeColor="text1"/>
          <w:sz w:val="22"/>
          <w:szCs w:val="22"/>
        </w:rPr>
        <w:t>259-270.</w:t>
      </w:r>
    </w:p>
    <w:p w14:paraId="41654138" w14:textId="77777777" w:rsidR="00C41394" w:rsidRPr="00CD2448" w:rsidRDefault="00C41394" w:rsidP="00C41394">
      <w:pPr>
        <w:pStyle w:val="EndNoteBibliography"/>
        <w:rPr>
          <w:rFonts w:ascii="Arial" w:hAnsi="Arial" w:cs="Arial"/>
          <w:noProof/>
          <w:color w:val="000000" w:themeColor="text1"/>
          <w:sz w:val="22"/>
          <w:szCs w:val="22"/>
        </w:rPr>
      </w:pPr>
    </w:p>
    <w:p w14:paraId="308AF69C"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lastRenderedPageBreak/>
        <w:t>33.</w:t>
      </w:r>
      <w:r w:rsidRPr="00CD2448">
        <w:rPr>
          <w:rFonts w:ascii="Arial" w:hAnsi="Arial" w:cs="Arial"/>
          <w:noProof/>
          <w:color w:val="000000" w:themeColor="text1"/>
          <w:sz w:val="22"/>
          <w:szCs w:val="22"/>
        </w:rPr>
        <w:tab/>
        <w:t>Yue C, Wang N, Zhai H, Yuan Z, Cui Y, Quan J</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Adenosine signalling drives antidepressant actions of ketamine and ECT. </w:t>
      </w:r>
      <w:r w:rsidRPr="00CD2448">
        <w:rPr>
          <w:rFonts w:ascii="Arial" w:hAnsi="Arial" w:cs="Arial"/>
          <w:i/>
          <w:noProof/>
          <w:color w:val="000000" w:themeColor="text1"/>
          <w:sz w:val="22"/>
          <w:szCs w:val="22"/>
        </w:rPr>
        <w:t>Nature</w:t>
      </w:r>
      <w:r w:rsidRPr="00CD2448">
        <w:rPr>
          <w:rFonts w:ascii="Arial" w:hAnsi="Arial" w:cs="Arial"/>
          <w:noProof/>
          <w:color w:val="000000" w:themeColor="text1"/>
          <w:sz w:val="22"/>
          <w:szCs w:val="22"/>
        </w:rPr>
        <w:t xml:space="preserve"> 2026; </w:t>
      </w:r>
      <w:r w:rsidRPr="00CD2448">
        <w:rPr>
          <w:rFonts w:ascii="Arial" w:hAnsi="Arial" w:cs="Arial"/>
          <w:b/>
          <w:noProof/>
          <w:color w:val="000000" w:themeColor="text1"/>
          <w:sz w:val="22"/>
          <w:szCs w:val="22"/>
        </w:rPr>
        <w:t xml:space="preserve">649: </w:t>
      </w:r>
      <w:r w:rsidRPr="00CD2448">
        <w:rPr>
          <w:rFonts w:ascii="Arial" w:hAnsi="Arial" w:cs="Arial"/>
          <w:noProof/>
          <w:color w:val="000000" w:themeColor="text1"/>
          <w:sz w:val="22"/>
          <w:szCs w:val="22"/>
        </w:rPr>
        <w:t>423-431.</w:t>
      </w:r>
    </w:p>
    <w:p w14:paraId="16AFEA7D" w14:textId="77777777" w:rsidR="00C41394" w:rsidRPr="00CD2448" w:rsidRDefault="00C41394" w:rsidP="00C41394">
      <w:pPr>
        <w:pStyle w:val="EndNoteBibliography"/>
        <w:rPr>
          <w:rFonts w:ascii="Arial" w:hAnsi="Arial" w:cs="Arial"/>
          <w:noProof/>
          <w:color w:val="000000" w:themeColor="text1"/>
          <w:sz w:val="22"/>
          <w:szCs w:val="22"/>
        </w:rPr>
      </w:pPr>
    </w:p>
    <w:p w14:paraId="0F6592DD"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34.</w:t>
      </w:r>
      <w:r w:rsidRPr="00CD2448">
        <w:rPr>
          <w:rFonts w:ascii="Arial" w:hAnsi="Arial" w:cs="Arial"/>
          <w:noProof/>
          <w:color w:val="000000" w:themeColor="text1"/>
          <w:sz w:val="22"/>
          <w:szCs w:val="22"/>
        </w:rPr>
        <w:tab/>
        <w:t>Akula N, Marenco S, Johnson K, Feng N, Zhu K, Schulmann A</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Deep transcriptome sequencing of subgenual anterior cingulate cortex reveals cross-diagnostic and diagnosis-specific RNA expression changes in major psychiatric disorders. </w:t>
      </w:r>
      <w:r w:rsidRPr="00CD2448">
        <w:rPr>
          <w:rFonts w:ascii="Arial" w:hAnsi="Arial" w:cs="Arial"/>
          <w:i/>
          <w:noProof/>
          <w:color w:val="000000" w:themeColor="text1"/>
          <w:sz w:val="22"/>
          <w:szCs w:val="22"/>
        </w:rPr>
        <w:t>Neuropsychopharmacology</w:t>
      </w:r>
      <w:r w:rsidRPr="00CD2448">
        <w:rPr>
          <w:rFonts w:ascii="Arial" w:hAnsi="Arial" w:cs="Arial"/>
          <w:noProof/>
          <w:color w:val="000000" w:themeColor="text1"/>
          <w:sz w:val="22"/>
          <w:szCs w:val="22"/>
        </w:rPr>
        <w:t xml:space="preserve"> 2021; </w:t>
      </w:r>
      <w:r w:rsidRPr="00CD2448">
        <w:rPr>
          <w:rFonts w:ascii="Arial" w:hAnsi="Arial" w:cs="Arial"/>
          <w:b/>
          <w:noProof/>
          <w:color w:val="000000" w:themeColor="text1"/>
          <w:sz w:val="22"/>
          <w:szCs w:val="22"/>
        </w:rPr>
        <w:t xml:space="preserve">46: </w:t>
      </w:r>
      <w:r w:rsidRPr="00CD2448">
        <w:rPr>
          <w:rFonts w:ascii="Arial" w:hAnsi="Arial" w:cs="Arial"/>
          <w:noProof/>
          <w:color w:val="000000" w:themeColor="text1"/>
          <w:sz w:val="22"/>
          <w:szCs w:val="22"/>
        </w:rPr>
        <w:t>1364-1372.</w:t>
      </w:r>
    </w:p>
    <w:p w14:paraId="4BC2DDF7" w14:textId="77777777" w:rsidR="00C41394" w:rsidRPr="00CD2448" w:rsidRDefault="00C41394" w:rsidP="00C41394">
      <w:pPr>
        <w:pStyle w:val="EndNoteBibliography"/>
        <w:rPr>
          <w:rFonts w:ascii="Arial" w:hAnsi="Arial" w:cs="Arial"/>
          <w:noProof/>
          <w:color w:val="000000" w:themeColor="text1"/>
          <w:sz w:val="22"/>
          <w:szCs w:val="22"/>
        </w:rPr>
      </w:pPr>
    </w:p>
    <w:p w14:paraId="3A155F7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35.</w:t>
      </w:r>
      <w:r w:rsidRPr="00CD2448">
        <w:rPr>
          <w:rFonts w:ascii="Arial" w:hAnsi="Arial" w:cs="Arial"/>
          <w:noProof/>
          <w:color w:val="000000" w:themeColor="text1"/>
          <w:sz w:val="22"/>
          <w:szCs w:val="22"/>
        </w:rPr>
        <w:tab/>
        <w:t>Simma N, Bose T, Kahlfuß S, Mankiewicz J, Lowinus T, Lühder F</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NMDA-receptor antagonists block B-cell function but foster IL-10 production in BCR/CD40-activated B cells. </w:t>
      </w:r>
      <w:r w:rsidRPr="00CD2448">
        <w:rPr>
          <w:rFonts w:ascii="Arial" w:hAnsi="Arial" w:cs="Arial"/>
          <w:i/>
          <w:noProof/>
          <w:color w:val="000000" w:themeColor="text1"/>
          <w:sz w:val="22"/>
          <w:szCs w:val="22"/>
        </w:rPr>
        <w:t>Cell Commun Signal</w:t>
      </w:r>
      <w:r w:rsidRPr="00CD2448">
        <w:rPr>
          <w:rFonts w:ascii="Arial" w:hAnsi="Arial" w:cs="Arial"/>
          <w:noProof/>
          <w:color w:val="000000" w:themeColor="text1"/>
          <w:sz w:val="22"/>
          <w:szCs w:val="22"/>
        </w:rPr>
        <w:t xml:space="preserve"> 2014; </w:t>
      </w:r>
      <w:r w:rsidRPr="00CD2448">
        <w:rPr>
          <w:rFonts w:ascii="Arial" w:hAnsi="Arial" w:cs="Arial"/>
          <w:b/>
          <w:noProof/>
          <w:color w:val="000000" w:themeColor="text1"/>
          <w:sz w:val="22"/>
          <w:szCs w:val="22"/>
        </w:rPr>
        <w:t>12</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75.</w:t>
      </w:r>
    </w:p>
    <w:p w14:paraId="6FB0CF2F" w14:textId="77777777" w:rsidR="00C41394" w:rsidRPr="00CD2448" w:rsidRDefault="00C41394" w:rsidP="00C41394">
      <w:pPr>
        <w:pStyle w:val="EndNoteBibliography"/>
        <w:rPr>
          <w:rFonts w:ascii="Arial" w:hAnsi="Arial" w:cs="Arial"/>
          <w:noProof/>
          <w:color w:val="000000" w:themeColor="text1"/>
          <w:sz w:val="22"/>
          <w:szCs w:val="22"/>
        </w:rPr>
      </w:pPr>
    </w:p>
    <w:p w14:paraId="28CD6C1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36.</w:t>
      </w:r>
      <w:r w:rsidRPr="00CD2448">
        <w:rPr>
          <w:rFonts w:ascii="Arial" w:hAnsi="Arial" w:cs="Arial"/>
          <w:noProof/>
          <w:color w:val="000000" w:themeColor="text1"/>
          <w:sz w:val="22"/>
          <w:szCs w:val="22"/>
        </w:rPr>
        <w:tab/>
        <w:t xml:space="preserve">Ashkar AA, Rosenthal KL. Interleukin-15 and natural killer and NKT cells play a critical role in innate protection against genital herpes simplex virus type 2 infection. </w:t>
      </w:r>
      <w:r w:rsidRPr="00CD2448">
        <w:rPr>
          <w:rFonts w:ascii="Arial" w:hAnsi="Arial" w:cs="Arial"/>
          <w:i/>
          <w:noProof/>
          <w:color w:val="000000" w:themeColor="text1"/>
          <w:sz w:val="22"/>
          <w:szCs w:val="22"/>
        </w:rPr>
        <w:t>J Virol</w:t>
      </w:r>
      <w:r w:rsidRPr="00CD2448">
        <w:rPr>
          <w:rFonts w:ascii="Arial" w:hAnsi="Arial" w:cs="Arial"/>
          <w:noProof/>
          <w:color w:val="000000" w:themeColor="text1"/>
          <w:sz w:val="22"/>
          <w:szCs w:val="22"/>
        </w:rPr>
        <w:t xml:space="preserve"> 2003; </w:t>
      </w:r>
      <w:r w:rsidRPr="00CD2448">
        <w:rPr>
          <w:rFonts w:ascii="Arial" w:hAnsi="Arial" w:cs="Arial"/>
          <w:b/>
          <w:noProof/>
          <w:color w:val="000000" w:themeColor="text1"/>
          <w:sz w:val="22"/>
          <w:szCs w:val="22"/>
        </w:rPr>
        <w:t>77</w:t>
      </w:r>
      <w:r w:rsidRPr="00CD2448">
        <w:rPr>
          <w:rFonts w:ascii="Arial" w:hAnsi="Arial" w:cs="Arial"/>
          <w:noProof/>
          <w:color w:val="000000" w:themeColor="text1"/>
          <w:sz w:val="22"/>
          <w:szCs w:val="22"/>
        </w:rPr>
        <w:t>(18)</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10168-10171.</w:t>
      </w:r>
    </w:p>
    <w:p w14:paraId="2E4B8235" w14:textId="77777777" w:rsidR="00C41394" w:rsidRPr="00CD2448" w:rsidRDefault="00C41394" w:rsidP="00C41394">
      <w:pPr>
        <w:pStyle w:val="EndNoteBibliography"/>
        <w:rPr>
          <w:rFonts w:ascii="Arial" w:hAnsi="Arial" w:cs="Arial"/>
          <w:noProof/>
          <w:color w:val="000000" w:themeColor="text1"/>
          <w:sz w:val="22"/>
          <w:szCs w:val="22"/>
        </w:rPr>
      </w:pPr>
    </w:p>
    <w:p w14:paraId="033B6557"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37.</w:t>
      </w:r>
      <w:r w:rsidRPr="00CD2448">
        <w:rPr>
          <w:rFonts w:ascii="Arial" w:hAnsi="Arial" w:cs="Arial"/>
          <w:noProof/>
          <w:color w:val="000000" w:themeColor="text1"/>
          <w:sz w:val="22"/>
          <w:szCs w:val="22"/>
        </w:rPr>
        <w:tab/>
        <w:t>Gordy LE, Bezbradica JS, Flyak AI, Spencer CT, Dunkle A, Sun J</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IL-15 regulates homeostasis and terminal maturation of NKT cells. </w:t>
      </w:r>
      <w:r w:rsidRPr="00CD2448">
        <w:rPr>
          <w:rFonts w:ascii="Arial" w:hAnsi="Arial" w:cs="Arial"/>
          <w:i/>
          <w:noProof/>
          <w:color w:val="000000" w:themeColor="text1"/>
          <w:sz w:val="22"/>
          <w:szCs w:val="22"/>
        </w:rPr>
        <w:t>J Immunol</w:t>
      </w:r>
      <w:r w:rsidRPr="00CD2448">
        <w:rPr>
          <w:rFonts w:ascii="Arial" w:hAnsi="Arial" w:cs="Arial"/>
          <w:noProof/>
          <w:color w:val="000000" w:themeColor="text1"/>
          <w:sz w:val="22"/>
          <w:szCs w:val="22"/>
        </w:rPr>
        <w:t xml:space="preserve"> 2011; </w:t>
      </w:r>
      <w:r w:rsidRPr="00CD2448">
        <w:rPr>
          <w:rFonts w:ascii="Arial" w:hAnsi="Arial" w:cs="Arial"/>
          <w:b/>
          <w:noProof/>
          <w:color w:val="000000" w:themeColor="text1"/>
          <w:sz w:val="22"/>
          <w:szCs w:val="22"/>
        </w:rPr>
        <w:t>187</w:t>
      </w:r>
      <w:r w:rsidRPr="00CD2448">
        <w:rPr>
          <w:rFonts w:ascii="Arial" w:hAnsi="Arial" w:cs="Arial"/>
          <w:noProof/>
          <w:color w:val="000000" w:themeColor="text1"/>
          <w:sz w:val="22"/>
          <w:szCs w:val="22"/>
        </w:rPr>
        <w:t>(12)</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6335-6345.</w:t>
      </w:r>
    </w:p>
    <w:p w14:paraId="04E43F36" w14:textId="77777777" w:rsidR="00C41394" w:rsidRPr="00CD2448" w:rsidRDefault="00C41394" w:rsidP="00C41394">
      <w:pPr>
        <w:pStyle w:val="EndNoteBibliography"/>
        <w:rPr>
          <w:rFonts w:ascii="Arial" w:hAnsi="Arial" w:cs="Arial"/>
          <w:noProof/>
          <w:color w:val="000000" w:themeColor="text1"/>
          <w:sz w:val="22"/>
          <w:szCs w:val="22"/>
        </w:rPr>
      </w:pPr>
    </w:p>
    <w:p w14:paraId="13A05080"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38.</w:t>
      </w:r>
      <w:r w:rsidRPr="00CD2448">
        <w:rPr>
          <w:rFonts w:ascii="Arial" w:hAnsi="Arial" w:cs="Arial"/>
          <w:noProof/>
          <w:color w:val="000000" w:themeColor="text1"/>
          <w:sz w:val="22"/>
          <w:szCs w:val="22"/>
        </w:rPr>
        <w:tab/>
        <w:t>Apert C, Galindo-Albarrán AO, Castan S, Detraves C, Michaud H, McJannett N</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IL-2 and IL-15 drive intrathymic development of distinct periphery-seeding CD4+Foxp3+ regulatory T lymphocytes. </w:t>
      </w:r>
      <w:r w:rsidRPr="00CD2448">
        <w:rPr>
          <w:rFonts w:ascii="Arial" w:hAnsi="Arial" w:cs="Arial"/>
          <w:i/>
          <w:noProof/>
          <w:color w:val="000000" w:themeColor="text1"/>
          <w:sz w:val="22"/>
          <w:szCs w:val="22"/>
        </w:rPr>
        <w:t>Front Immunol</w:t>
      </w:r>
      <w:r w:rsidRPr="00CD2448">
        <w:rPr>
          <w:rFonts w:ascii="Arial" w:hAnsi="Arial" w:cs="Arial"/>
          <w:noProof/>
          <w:color w:val="000000" w:themeColor="text1"/>
          <w:sz w:val="22"/>
          <w:szCs w:val="22"/>
        </w:rPr>
        <w:t xml:space="preserve"> 2022; </w:t>
      </w:r>
      <w:r w:rsidRPr="00CD2448">
        <w:rPr>
          <w:rFonts w:ascii="Arial" w:hAnsi="Arial" w:cs="Arial"/>
          <w:b/>
          <w:noProof/>
          <w:color w:val="000000" w:themeColor="text1"/>
          <w:sz w:val="22"/>
          <w:szCs w:val="22"/>
        </w:rPr>
        <w:t xml:space="preserve">13: </w:t>
      </w:r>
      <w:r w:rsidRPr="00CD2448">
        <w:rPr>
          <w:rFonts w:ascii="Arial" w:hAnsi="Arial" w:cs="Arial"/>
          <w:noProof/>
          <w:color w:val="000000" w:themeColor="text1"/>
          <w:sz w:val="22"/>
          <w:szCs w:val="22"/>
        </w:rPr>
        <w:t>965303.</w:t>
      </w:r>
    </w:p>
    <w:p w14:paraId="25A2EF6A" w14:textId="77777777" w:rsidR="00C41394" w:rsidRPr="00CD2448" w:rsidRDefault="00C41394" w:rsidP="00C41394">
      <w:pPr>
        <w:pStyle w:val="EndNoteBibliography"/>
        <w:rPr>
          <w:rFonts w:ascii="Arial" w:hAnsi="Arial" w:cs="Arial"/>
          <w:noProof/>
          <w:color w:val="000000" w:themeColor="text1"/>
          <w:sz w:val="22"/>
          <w:szCs w:val="22"/>
        </w:rPr>
      </w:pPr>
    </w:p>
    <w:p w14:paraId="6079FF03"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39.</w:t>
      </w:r>
      <w:r w:rsidRPr="00CD2448">
        <w:rPr>
          <w:rFonts w:ascii="Arial" w:hAnsi="Arial" w:cs="Arial"/>
          <w:noProof/>
          <w:color w:val="000000" w:themeColor="text1"/>
          <w:sz w:val="22"/>
          <w:szCs w:val="22"/>
        </w:rPr>
        <w:tab/>
        <w:t>Gene set analysis following differential expression using linear (mixed) modeling with dream.</w:t>
      </w:r>
    </w:p>
    <w:p w14:paraId="7C30B9EC" w14:textId="77777777" w:rsidR="00C41394" w:rsidRPr="00CD2448" w:rsidRDefault="00C41394" w:rsidP="00C41394">
      <w:pPr>
        <w:pStyle w:val="EndNoteBibliography"/>
        <w:rPr>
          <w:rFonts w:ascii="Arial" w:hAnsi="Arial" w:cs="Arial"/>
          <w:noProof/>
          <w:color w:val="000000" w:themeColor="text1"/>
          <w:sz w:val="22"/>
          <w:szCs w:val="22"/>
        </w:rPr>
      </w:pPr>
    </w:p>
    <w:p w14:paraId="6E25CA7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40.</w:t>
      </w:r>
      <w:r w:rsidRPr="00CD2448">
        <w:rPr>
          <w:rFonts w:ascii="Arial" w:hAnsi="Arial" w:cs="Arial"/>
          <w:noProof/>
          <w:color w:val="000000" w:themeColor="text1"/>
          <w:sz w:val="22"/>
          <w:szCs w:val="22"/>
        </w:rPr>
        <w:tab/>
        <w:t>Subramanian A, Tamayo P, Mootha VK, Mukherjee S, Ebert BL, Gillette MA</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Gene set enrichment analysis: A knowledge-based approach for interpreting genome-wide expression profiles. </w:t>
      </w:r>
      <w:r w:rsidRPr="00CD2448">
        <w:rPr>
          <w:rFonts w:ascii="Arial" w:hAnsi="Arial" w:cs="Arial"/>
          <w:i/>
          <w:noProof/>
          <w:color w:val="000000" w:themeColor="text1"/>
          <w:sz w:val="22"/>
          <w:szCs w:val="22"/>
        </w:rPr>
        <w:t>Proc Natl Acad Sci</w:t>
      </w:r>
      <w:r w:rsidRPr="00CD2448">
        <w:rPr>
          <w:rFonts w:ascii="Arial" w:hAnsi="Arial" w:cs="Arial"/>
          <w:noProof/>
          <w:color w:val="000000" w:themeColor="text1"/>
          <w:sz w:val="22"/>
          <w:szCs w:val="22"/>
        </w:rPr>
        <w:t xml:space="preserve"> 2005; </w:t>
      </w:r>
      <w:r w:rsidRPr="00CD2448">
        <w:rPr>
          <w:rFonts w:ascii="Arial" w:hAnsi="Arial" w:cs="Arial"/>
          <w:b/>
          <w:noProof/>
          <w:color w:val="000000" w:themeColor="text1"/>
          <w:sz w:val="22"/>
          <w:szCs w:val="22"/>
        </w:rPr>
        <w:t>102</w:t>
      </w:r>
      <w:r w:rsidRPr="00CD2448">
        <w:rPr>
          <w:rFonts w:ascii="Arial" w:hAnsi="Arial" w:cs="Arial"/>
          <w:noProof/>
          <w:color w:val="000000" w:themeColor="text1"/>
          <w:sz w:val="22"/>
          <w:szCs w:val="22"/>
        </w:rPr>
        <w:t>(43)</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15545-15550.</w:t>
      </w:r>
    </w:p>
    <w:p w14:paraId="18D7A9EA" w14:textId="77777777" w:rsidR="00C41394" w:rsidRPr="00CD2448" w:rsidRDefault="00C41394" w:rsidP="00C41394">
      <w:pPr>
        <w:pStyle w:val="EndNoteBibliography"/>
        <w:rPr>
          <w:rFonts w:ascii="Arial" w:hAnsi="Arial" w:cs="Arial"/>
          <w:noProof/>
          <w:color w:val="000000" w:themeColor="text1"/>
          <w:sz w:val="22"/>
          <w:szCs w:val="22"/>
        </w:rPr>
      </w:pPr>
    </w:p>
    <w:p w14:paraId="4B64CCE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41.</w:t>
      </w:r>
      <w:r w:rsidRPr="00CD2448">
        <w:rPr>
          <w:rFonts w:ascii="Arial" w:hAnsi="Arial" w:cs="Arial"/>
          <w:noProof/>
          <w:color w:val="000000" w:themeColor="text1"/>
          <w:sz w:val="22"/>
          <w:szCs w:val="22"/>
        </w:rPr>
        <w:tab/>
        <w:t>Aaron RV, Ravyts SG, Carnahan ND, Bhattiprolu K, Harte N, McCaulley CC</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Prevalence of depression and anxiety among adults with chronic pain: A systematic review and meta-analysis. </w:t>
      </w:r>
      <w:r w:rsidRPr="00CD2448">
        <w:rPr>
          <w:rFonts w:ascii="Arial" w:hAnsi="Arial" w:cs="Arial"/>
          <w:i/>
          <w:noProof/>
          <w:color w:val="000000" w:themeColor="text1"/>
          <w:sz w:val="22"/>
          <w:szCs w:val="22"/>
        </w:rPr>
        <w:t>JAMA Netw Open</w:t>
      </w:r>
      <w:r w:rsidRPr="00CD2448">
        <w:rPr>
          <w:rFonts w:ascii="Arial" w:hAnsi="Arial" w:cs="Arial"/>
          <w:noProof/>
          <w:color w:val="000000" w:themeColor="text1"/>
          <w:sz w:val="22"/>
          <w:szCs w:val="22"/>
        </w:rPr>
        <w:t xml:space="preserve"> 2025; </w:t>
      </w:r>
      <w:r w:rsidRPr="00CD2448">
        <w:rPr>
          <w:rFonts w:ascii="Arial" w:hAnsi="Arial" w:cs="Arial"/>
          <w:b/>
          <w:noProof/>
          <w:color w:val="000000" w:themeColor="text1"/>
          <w:sz w:val="22"/>
          <w:szCs w:val="22"/>
        </w:rPr>
        <w:t xml:space="preserve">8: </w:t>
      </w:r>
      <w:r w:rsidRPr="00CD2448">
        <w:rPr>
          <w:rFonts w:ascii="Arial" w:hAnsi="Arial" w:cs="Arial"/>
          <w:noProof/>
          <w:color w:val="000000" w:themeColor="text1"/>
          <w:sz w:val="22"/>
          <w:szCs w:val="22"/>
        </w:rPr>
        <w:t>e250268.</w:t>
      </w:r>
    </w:p>
    <w:p w14:paraId="6A5EF580" w14:textId="77777777" w:rsidR="00C41394" w:rsidRPr="00CD2448" w:rsidRDefault="00C41394" w:rsidP="00C41394">
      <w:pPr>
        <w:pStyle w:val="EndNoteBibliography"/>
        <w:rPr>
          <w:rFonts w:ascii="Arial" w:hAnsi="Arial" w:cs="Arial"/>
          <w:noProof/>
          <w:color w:val="000000" w:themeColor="text1"/>
          <w:sz w:val="22"/>
          <w:szCs w:val="22"/>
        </w:rPr>
      </w:pPr>
    </w:p>
    <w:p w14:paraId="24643D5D"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42.</w:t>
      </w:r>
      <w:r w:rsidRPr="00CD2448">
        <w:rPr>
          <w:rFonts w:ascii="Arial" w:hAnsi="Arial" w:cs="Arial"/>
          <w:noProof/>
          <w:color w:val="000000" w:themeColor="text1"/>
          <w:sz w:val="22"/>
          <w:szCs w:val="22"/>
        </w:rPr>
        <w:tab/>
        <w:t xml:space="preserve">Bair MJ, Robinson RL, Katon W, Kroenke K. Depression and pain comorbidity: A literature review. </w:t>
      </w:r>
      <w:r w:rsidRPr="00CD2448">
        <w:rPr>
          <w:rFonts w:ascii="Arial" w:hAnsi="Arial" w:cs="Arial"/>
          <w:i/>
          <w:noProof/>
          <w:color w:val="000000" w:themeColor="text1"/>
          <w:sz w:val="22"/>
          <w:szCs w:val="22"/>
        </w:rPr>
        <w:t>Arch Intern Med</w:t>
      </w:r>
      <w:r w:rsidRPr="00CD2448">
        <w:rPr>
          <w:rFonts w:ascii="Arial" w:hAnsi="Arial" w:cs="Arial"/>
          <w:noProof/>
          <w:color w:val="000000" w:themeColor="text1"/>
          <w:sz w:val="22"/>
          <w:szCs w:val="22"/>
        </w:rPr>
        <w:t xml:space="preserve"> 2003; </w:t>
      </w:r>
      <w:r w:rsidRPr="00CD2448">
        <w:rPr>
          <w:rFonts w:ascii="Arial" w:hAnsi="Arial" w:cs="Arial"/>
          <w:b/>
          <w:noProof/>
          <w:color w:val="000000" w:themeColor="text1"/>
          <w:sz w:val="22"/>
          <w:szCs w:val="22"/>
        </w:rPr>
        <w:t xml:space="preserve">163: </w:t>
      </w:r>
      <w:r w:rsidRPr="00CD2448">
        <w:rPr>
          <w:rFonts w:ascii="Arial" w:hAnsi="Arial" w:cs="Arial"/>
          <w:noProof/>
          <w:color w:val="000000" w:themeColor="text1"/>
          <w:sz w:val="22"/>
          <w:szCs w:val="22"/>
        </w:rPr>
        <w:t>2433-2445.</w:t>
      </w:r>
    </w:p>
    <w:p w14:paraId="7E9BF90B" w14:textId="77777777" w:rsidR="00C41394" w:rsidRPr="00CD2448" w:rsidRDefault="00C41394" w:rsidP="00C41394">
      <w:pPr>
        <w:pStyle w:val="EndNoteBibliography"/>
        <w:rPr>
          <w:rFonts w:ascii="Arial" w:hAnsi="Arial" w:cs="Arial"/>
          <w:noProof/>
          <w:color w:val="000000" w:themeColor="text1"/>
          <w:sz w:val="22"/>
          <w:szCs w:val="22"/>
        </w:rPr>
      </w:pPr>
    </w:p>
    <w:p w14:paraId="59382B51"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43.</w:t>
      </w:r>
      <w:r w:rsidRPr="00CD2448">
        <w:rPr>
          <w:rFonts w:ascii="Arial" w:hAnsi="Arial" w:cs="Arial"/>
          <w:noProof/>
          <w:color w:val="000000" w:themeColor="text1"/>
          <w:sz w:val="22"/>
          <w:szCs w:val="22"/>
        </w:rPr>
        <w:tab/>
        <w:t xml:space="preserve">Bessler H, Cohen-Terica D, Djaldetti M, Sirota P. The effect of ibuprofen on cytokine production by mononuclear cells from schizophrenic patients. </w:t>
      </w:r>
      <w:r w:rsidRPr="00CD2448">
        <w:rPr>
          <w:rFonts w:ascii="Arial" w:hAnsi="Arial" w:cs="Arial"/>
          <w:i/>
          <w:noProof/>
          <w:color w:val="000000" w:themeColor="text1"/>
          <w:sz w:val="22"/>
          <w:szCs w:val="22"/>
        </w:rPr>
        <w:t>Folia Biol (Praha)</w:t>
      </w:r>
      <w:r w:rsidRPr="00CD2448">
        <w:rPr>
          <w:rFonts w:ascii="Arial" w:hAnsi="Arial" w:cs="Arial"/>
          <w:noProof/>
          <w:color w:val="000000" w:themeColor="text1"/>
          <w:sz w:val="22"/>
          <w:szCs w:val="22"/>
        </w:rPr>
        <w:t xml:space="preserve"> 2017; </w:t>
      </w:r>
      <w:r w:rsidRPr="00CD2448">
        <w:rPr>
          <w:rFonts w:ascii="Arial" w:hAnsi="Arial" w:cs="Arial"/>
          <w:b/>
          <w:noProof/>
          <w:color w:val="000000" w:themeColor="text1"/>
          <w:sz w:val="22"/>
          <w:szCs w:val="22"/>
        </w:rPr>
        <w:t xml:space="preserve">63: </w:t>
      </w:r>
      <w:r w:rsidRPr="00CD2448">
        <w:rPr>
          <w:rFonts w:ascii="Arial" w:hAnsi="Arial" w:cs="Arial"/>
          <w:noProof/>
          <w:color w:val="000000" w:themeColor="text1"/>
          <w:sz w:val="22"/>
          <w:szCs w:val="22"/>
        </w:rPr>
        <w:t>13-19.</w:t>
      </w:r>
    </w:p>
    <w:p w14:paraId="4194B9C2" w14:textId="77777777" w:rsidR="00C41394" w:rsidRPr="00CD2448" w:rsidRDefault="00C41394" w:rsidP="00C41394">
      <w:pPr>
        <w:pStyle w:val="EndNoteBibliography"/>
        <w:rPr>
          <w:rFonts w:ascii="Arial" w:hAnsi="Arial" w:cs="Arial"/>
          <w:noProof/>
          <w:color w:val="000000" w:themeColor="text1"/>
          <w:sz w:val="22"/>
          <w:szCs w:val="22"/>
        </w:rPr>
      </w:pPr>
    </w:p>
    <w:p w14:paraId="436B35B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44.</w:t>
      </w:r>
      <w:r w:rsidRPr="00CD2448">
        <w:rPr>
          <w:rFonts w:ascii="Arial" w:hAnsi="Arial" w:cs="Arial"/>
          <w:noProof/>
          <w:color w:val="000000" w:themeColor="text1"/>
          <w:sz w:val="22"/>
          <w:szCs w:val="22"/>
        </w:rPr>
        <w:tab/>
        <w:t xml:space="preserve">Bessler H, Ziyada S, Bergman M, Punsky I, Sirota L. Indomethacin and ibuprofen effect on IL-1ra production by mononuclear cells of preterm newborns and adults. </w:t>
      </w:r>
      <w:r w:rsidRPr="00CD2448">
        <w:rPr>
          <w:rFonts w:ascii="Arial" w:hAnsi="Arial" w:cs="Arial"/>
          <w:i/>
          <w:noProof/>
          <w:color w:val="000000" w:themeColor="text1"/>
          <w:sz w:val="22"/>
          <w:szCs w:val="22"/>
        </w:rPr>
        <w:t>Biol Neonate</w:t>
      </w:r>
      <w:r w:rsidRPr="00CD2448">
        <w:rPr>
          <w:rFonts w:ascii="Arial" w:hAnsi="Arial" w:cs="Arial"/>
          <w:noProof/>
          <w:color w:val="000000" w:themeColor="text1"/>
          <w:sz w:val="22"/>
          <w:szCs w:val="22"/>
        </w:rPr>
        <w:t xml:space="preserve"> 2002; </w:t>
      </w:r>
      <w:r w:rsidRPr="00CD2448">
        <w:rPr>
          <w:rFonts w:ascii="Arial" w:hAnsi="Arial" w:cs="Arial"/>
          <w:b/>
          <w:noProof/>
          <w:color w:val="000000" w:themeColor="text1"/>
          <w:sz w:val="22"/>
          <w:szCs w:val="22"/>
        </w:rPr>
        <w:t xml:space="preserve">82: </w:t>
      </w:r>
      <w:r w:rsidRPr="00CD2448">
        <w:rPr>
          <w:rFonts w:ascii="Arial" w:hAnsi="Arial" w:cs="Arial"/>
          <w:noProof/>
          <w:color w:val="000000" w:themeColor="text1"/>
          <w:sz w:val="22"/>
          <w:szCs w:val="22"/>
        </w:rPr>
        <w:t>73-77.</w:t>
      </w:r>
    </w:p>
    <w:p w14:paraId="3CD6A27A" w14:textId="77777777" w:rsidR="00C41394" w:rsidRPr="00CD2448" w:rsidRDefault="00C41394" w:rsidP="00C41394">
      <w:pPr>
        <w:pStyle w:val="EndNoteBibliography"/>
        <w:rPr>
          <w:rFonts w:ascii="Arial" w:hAnsi="Arial" w:cs="Arial"/>
          <w:noProof/>
          <w:color w:val="000000" w:themeColor="text1"/>
          <w:sz w:val="22"/>
          <w:szCs w:val="22"/>
        </w:rPr>
      </w:pPr>
    </w:p>
    <w:p w14:paraId="2D11D39F"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45.</w:t>
      </w:r>
      <w:r w:rsidRPr="00CD2448">
        <w:rPr>
          <w:rFonts w:ascii="Arial" w:hAnsi="Arial" w:cs="Arial"/>
          <w:noProof/>
          <w:color w:val="000000" w:themeColor="text1"/>
          <w:sz w:val="22"/>
          <w:szCs w:val="22"/>
        </w:rPr>
        <w:tab/>
        <w:t xml:space="preserve">Cizza G, Primma S, Csako G. Depression as a risk factor for osteoporosis. </w:t>
      </w:r>
      <w:r w:rsidRPr="00CD2448">
        <w:rPr>
          <w:rFonts w:ascii="Arial" w:hAnsi="Arial" w:cs="Arial"/>
          <w:i/>
          <w:noProof/>
          <w:color w:val="000000" w:themeColor="text1"/>
          <w:sz w:val="22"/>
          <w:szCs w:val="22"/>
        </w:rPr>
        <w:t>Trends Endocrinol Metab</w:t>
      </w:r>
      <w:r w:rsidRPr="00CD2448">
        <w:rPr>
          <w:rFonts w:ascii="Arial" w:hAnsi="Arial" w:cs="Arial"/>
          <w:noProof/>
          <w:color w:val="000000" w:themeColor="text1"/>
          <w:sz w:val="22"/>
          <w:szCs w:val="22"/>
        </w:rPr>
        <w:t xml:space="preserve"> 2009; </w:t>
      </w:r>
      <w:r w:rsidRPr="00CD2448">
        <w:rPr>
          <w:rFonts w:ascii="Arial" w:hAnsi="Arial" w:cs="Arial"/>
          <w:b/>
          <w:noProof/>
          <w:color w:val="000000" w:themeColor="text1"/>
          <w:sz w:val="22"/>
          <w:szCs w:val="22"/>
        </w:rPr>
        <w:t>20</w:t>
      </w:r>
      <w:r w:rsidRPr="00CD2448">
        <w:rPr>
          <w:rFonts w:ascii="Arial" w:hAnsi="Arial" w:cs="Arial"/>
          <w:noProof/>
          <w:color w:val="000000" w:themeColor="text1"/>
          <w:sz w:val="22"/>
          <w:szCs w:val="22"/>
        </w:rPr>
        <w:t>(8)</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367-373.</w:t>
      </w:r>
    </w:p>
    <w:p w14:paraId="60D39629" w14:textId="77777777" w:rsidR="00C41394" w:rsidRPr="00CD2448" w:rsidRDefault="00C41394" w:rsidP="00C41394">
      <w:pPr>
        <w:pStyle w:val="EndNoteBibliography"/>
        <w:rPr>
          <w:rFonts w:ascii="Arial" w:hAnsi="Arial" w:cs="Arial"/>
          <w:noProof/>
          <w:color w:val="000000" w:themeColor="text1"/>
          <w:sz w:val="22"/>
          <w:szCs w:val="22"/>
        </w:rPr>
      </w:pPr>
    </w:p>
    <w:p w14:paraId="32E1BBA2"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46.</w:t>
      </w:r>
      <w:r w:rsidRPr="00CD2448">
        <w:rPr>
          <w:rFonts w:ascii="Arial" w:hAnsi="Arial" w:cs="Arial"/>
          <w:noProof/>
          <w:color w:val="000000" w:themeColor="text1"/>
          <w:sz w:val="22"/>
          <w:szCs w:val="22"/>
        </w:rPr>
        <w:tab/>
        <w:t xml:space="preserve">Wu Q, Magnus JH, Liu J, Bencaz AF, Hentz JG. Depression and low bone mineral density: a meta-analysis of epidemiologic studies. </w:t>
      </w:r>
      <w:r w:rsidRPr="00CD2448">
        <w:rPr>
          <w:rFonts w:ascii="Arial" w:hAnsi="Arial" w:cs="Arial"/>
          <w:i/>
          <w:noProof/>
          <w:color w:val="000000" w:themeColor="text1"/>
          <w:sz w:val="22"/>
          <w:szCs w:val="22"/>
        </w:rPr>
        <w:t>Osteoporos Int</w:t>
      </w:r>
      <w:r w:rsidRPr="00CD2448">
        <w:rPr>
          <w:rFonts w:ascii="Arial" w:hAnsi="Arial" w:cs="Arial"/>
          <w:noProof/>
          <w:color w:val="000000" w:themeColor="text1"/>
          <w:sz w:val="22"/>
          <w:szCs w:val="22"/>
        </w:rPr>
        <w:t xml:space="preserve"> 2009; </w:t>
      </w:r>
      <w:r w:rsidRPr="00CD2448">
        <w:rPr>
          <w:rFonts w:ascii="Arial" w:hAnsi="Arial" w:cs="Arial"/>
          <w:b/>
          <w:noProof/>
          <w:color w:val="000000" w:themeColor="text1"/>
          <w:sz w:val="22"/>
          <w:szCs w:val="22"/>
        </w:rPr>
        <w:t>20</w:t>
      </w:r>
      <w:r w:rsidRPr="00CD2448">
        <w:rPr>
          <w:rFonts w:ascii="Arial" w:hAnsi="Arial" w:cs="Arial"/>
          <w:noProof/>
          <w:color w:val="000000" w:themeColor="text1"/>
          <w:sz w:val="22"/>
          <w:szCs w:val="22"/>
        </w:rPr>
        <w:t>(8)</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1309-1320.</w:t>
      </w:r>
    </w:p>
    <w:p w14:paraId="182D9C4E" w14:textId="77777777" w:rsidR="00C41394" w:rsidRPr="00CD2448" w:rsidRDefault="00C41394" w:rsidP="00C41394">
      <w:pPr>
        <w:pStyle w:val="EndNoteBibliography"/>
        <w:rPr>
          <w:rFonts w:ascii="Arial" w:hAnsi="Arial" w:cs="Arial"/>
          <w:noProof/>
          <w:color w:val="000000" w:themeColor="text1"/>
          <w:sz w:val="22"/>
          <w:szCs w:val="22"/>
        </w:rPr>
      </w:pPr>
    </w:p>
    <w:p w14:paraId="428899C2"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47.</w:t>
      </w:r>
      <w:r w:rsidRPr="00CD2448">
        <w:rPr>
          <w:rFonts w:ascii="Arial" w:hAnsi="Arial" w:cs="Arial"/>
          <w:noProof/>
          <w:color w:val="000000" w:themeColor="text1"/>
          <w:sz w:val="22"/>
          <w:szCs w:val="22"/>
        </w:rPr>
        <w:tab/>
        <w:t>Kadriu B, Gold PW, Luckenbaugh DA, Lener MS, Ballard ED, Niciu MJ</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Acute ketamine administration corrects abnormal inflammatory bone markers in major depressive disorder. </w:t>
      </w:r>
      <w:r w:rsidRPr="00CD2448">
        <w:rPr>
          <w:rFonts w:ascii="Arial" w:hAnsi="Arial" w:cs="Arial"/>
          <w:i/>
          <w:noProof/>
          <w:color w:val="000000" w:themeColor="text1"/>
          <w:sz w:val="22"/>
          <w:szCs w:val="22"/>
        </w:rPr>
        <w:t>Mol Psychiatry</w:t>
      </w:r>
      <w:r w:rsidRPr="00CD2448">
        <w:rPr>
          <w:rFonts w:ascii="Arial" w:hAnsi="Arial" w:cs="Arial"/>
          <w:noProof/>
          <w:color w:val="000000" w:themeColor="text1"/>
          <w:sz w:val="22"/>
          <w:szCs w:val="22"/>
        </w:rPr>
        <w:t xml:space="preserve"> 2018; </w:t>
      </w:r>
      <w:r w:rsidRPr="00CD2448">
        <w:rPr>
          <w:rFonts w:ascii="Arial" w:hAnsi="Arial" w:cs="Arial"/>
          <w:b/>
          <w:noProof/>
          <w:color w:val="000000" w:themeColor="text1"/>
          <w:sz w:val="22"/>
          <w:szCs w:val="22"/>
        </w:rPr>
        <w:t>23</w:t>
      </w:r>
      <w:r w:rsidRPr="00CD2448">
        <w:rPr>
          <w:rFonts w:ascii="Arial" w:hAnsi="Arial" w:cs="Arial"/>
          <w:noProof/>
          <w:color w:val="000000" w:themeColor="text1"/>
          <w:sz w:val="22"/>
          <w:szCs w:val="22"/>
        </w:rPr>
        <w:t>(7)</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1626-1631.</w:t>
      </w:r>
    </w:p>
    <w:p w14:paraId="6D54CBD5" w14:textId="77777777" w:rsidR="00C41394" w:rsidRPr="00CD2448" w:rsidRDefault="00C41394" w:rsidP="00C41394">
      <w:pPr>
        <w:pStyle w:val="EndNoteBibliography"/>
        <w:rPr>
          <w:rFonts w:ascii="Arial" w:hAnsi="Arial" w:cs="Arial"/>
          <w:noProof/>
          <w:color w:val="000000" w:themeColor="text1"/>
          <w:sz w:val="22"/>
          <w:szCs w:val="22"/>
        </w:rPr>
      </w:pPr>
    </w:p>
    <w:p w14:paraId="360D0E6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48.</w:t>
      </w:r>
      <w:r w:rsidRPr="00CD2448">
        <w:rPr>
          <w:rFonts w:ascii="Arial" w:hAnsi="Arial" w:cs="Arial"/>
          <w:noProof/>
          <w:color w:val="000000" w:themeColor="text1"/>
          <w:sz w:val="22"/>
          <w:szCs w:val="22"/>
        </w:rPr>
        <w:tab/>
        <w:t xml:space="preserve">Quinn LS, Anderson BG, Strait-Bodey L, Stroud AM, Argilés JM. Oversecretion of interleukin-15 from skeletal muscle reduces adiposity. </w:t>
      </w:r>
      <w:r w:rsidRPr="00CD2448">
        <w:rPr>
          <w:rFonts w:ascii="Arial" w:hAnsi="Arial" w:cs="Arial"/>
          <w:i/>
          <w:noProof/>
          <w:color w:val="000000" w:themeColor="text1"/>
          <w:sz w:val="22"/>
          <w:szCs w:val="22"/>
        </w:rPr>
        <w:t>Am J Physiol Endocrinol Metab</w:t>
      </w:r>
      <w:r w:rsidRPr="00CD2448">
        <w:rPr>
          <w:rFonts w:ascii="Arial" w:hAnsi="Arial" w:cs="Arial"/>
          <w:noProof/>
          <w:color w:val="000000" w:themeColor="text1"/>
          <w:sz w:val="22"/>
          <w:szCs w:val="22"/>
        </w:rPr>
        <w:t xml:space="preserve"> 2009; </w:t>
      </w:r>
      <w:r w:rsidRPr="00CD2448">
        <w:rPr>
          <w:rFonts w:ascii="Arial" w:hAnsi="Arial" w:cs="Arial"/>
          <w:b/>
          <w:noProof/>
          <w:color w:val="000000" w:themeColor="text1"/>
          <w:sz w:val="22"/>
          <w:szCs w:val="22"/>
        </w:rPr>
        <w:t>296</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E191-E202.</w:t>
      </w:r>
    </w:p>
    <w:p w14:paraId="244C1A6C" w14:textId="77777777" w:rsidR="00C41394" w:rsidRPr="00CD2448" w:rsidRDefault="00C41394" w:rsidP="00C41394">
      <w:pPr>
        <w:pStyle w:val="EndNoteBibliography"/>
        <w:rPr>
          <w:rFonts w:ascii="Arial" w:hAnsi="Arial" w:cs="Arial"/>
          <w:noProof/>
          <w:color w:val="000000" w:themeColor="text1"/>
          <w:sz w:val="22"/>
          <w:szCs w:val="22"/>
        </w:rPr>
      </w:pPr>
    </w:p>
    <w:p w14:paraId="5449CE99"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lastRenderedPageBreak/>
        <w:t>49.</w:t>
      </w:r>
      <w:r w:rsidRPr="00CD2448">
        <w:rPr>
          <w:rFonts w:ascii="Arial" w:hAnsi="Arial" w:cs="Arial"/>
          <w:noProof/>
          <w:color w:val="000000" w:themeColor="text1"/>
          <w:sz w:val="22"/>
          <w:szCs w:val="22"/>
        </w:rPr>
        <w:tab/>
        <w:t>He Y, Wu X, Khan RS, Kastin AJ, Cornelissen-Guillaume GG, Hsuchou H</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IL-15 receptor deletion results in circadian changes of locomotor and metabolic activity. </w:t>
      </w:r>
      <w:r w:rsidRPr="00CD2448">
        <w:rPr>
          <w:rFonts w:ascii="Arial" w:hAnsi="Arial" w:cs="Arial"/>
          <w:i/>
          <w:noProof/>
          <w:color w:val="000000" w:themeColor="text1"/>
          <w:sz w:val="22"/>
          <w:szCs w:val="22"/>
        </w:rPr>
        <w:t>Journal of molecular neuroscience: MN</w:t>
      </w:r>
      <w:r w:rsidRPr="00CD2448">
        <w:rPr>
          <w:rFonts w:ascii="Arial" w:hAnsi="Arial" w:cs="Arial"/>
          <w:noProof/>
          <w:color w:val="000000" w:themeColor="text1"/>
          <w:sz w:val="22"/>
          <w:szCs w:val="22"/>
        </w:rPr>
        <w:t xml:space="preserve"> 2010; </w:t>
      </w:r>
      <w:r w:rsidRPr="00CD2448">
        <w:rPr>
          <w:rFonts w:ascii="Arial" w:hAnsi="Arial" w:cs="Arial"/>
          <w:b/>
          <w:noProof/>
          <w:color w:val="000000" w:themeColor="text1"/>
          <w:sz w:val="22"/>
          <w:szCs w:val="22"/>
        </w:rPr>
        <w:t>41</w:t>
      </w:r>
      <w:r w:rsidRPr="00CD2448">
        <w:rPr>
          <w:rFonts w:ascii="Arial" w:hAnsi="Arial" w:cs="Arial"/>
          <w:noProof/>
          <w:color w:val="000000" w:themeColor="text1"/>
          <w:sz w:val="22"/>
          <w:szCs w:val="22"/>
        </w:rPr>
        <w:t>(2)</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315-321.</w:t>
      </w:r>
    </w:p>
    <w:p w14:paraId="23DD07D7" w14:textId="77777777" w:rsidR="00C41394" w:rsidRPr="00CD2448" w:rsidRDefault="00C41394" w:rsidP="00C41394">
      <w:pPr>
        <w:pStyle w:val="EndNoteBibliography"/>
        <w:rPr>
          <w:rFonts w:ascii="Arial" w:hAnsi="Arial" w:cs="Arial"/>
          <w:noProof/>
          <w:color w:val="000000" w:themeColor="text1"/>
          <w:sz w:val="22"/>
          <w:szCs w:val="22"/>
        </w:rPr>
      </w:pPr>
    </w:p>
    <w:p w14:paraId="1AEFBDC7"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50.</w:t>
      </w:r>
      <w:r w:rsidRPr="00CD2448">
        <w:rPr>
          <w:rFonts w:ascii="Arial" w:hAnsi="Arial" w:cs="Arial"/>
          <w:noProof/>
          <w:color w:val="000000" w:themeColor="text1"/>
          <w:sz w:val="22"/>
          <w:szCs w:val="22"/>
        </w:rPr>
        <w:tab/>
        <w:t xml:space="preserve">Chan O, Sherwin RS. Hypothalamic regulation of glucose-stimulated insulin secretion. </w:t>
      </w:r>
      <w:r w:rsidRPr="00CD2448">
        <w:rPr>
          <w:rFonts w:ascii="Arial" w:hAnsi="Arial" w:cs="Arial"/>
          <w:i/>
          <w:noProof/>
          <w:color w:val="000000" w:themeColor="text1"/>
          <w:sz w:val="22"/>
          <w:szCs w:val="22"/>
        </w:rPr>
        <w:t>Diabetes</w:t>
      </w:r>
      <w:r w:rsidRPr="00CD2448">
        <w:rPr>
          <w:rFonts w:ascii="Arial" w:hAnsi="Arial" w:cs="Arial"/>
          <w:noProof/>
          <w:color w:val="000000" w:themeColor="text1"/>
          <w:sz w:val="22"/>
          <w:szCs w:val="22"/>
        </w:rPr>
        <w:t xml:space="preserve"> 2012; </w:t>
      </w:r>
      <w:r w:rsidRPr="00CD2448">
        <w:rPr>
          <w:rFonts w:ascii="Arial" w:hAnsi="Arial" w:cs="Arial"/>
          <w:b/>
          <w:noProof/>
          <w:color w:val="000000" w:themeColor="text1"/>
          <w:sz w:val="22"/>
          <w:szCs w:val="22"/>
        </w:rPr>
        <w:t>61</w:t>
      </w:r>
      <w:r w:rsidRPr="00CD2448">
        <w:rPr>
          <w:rFonts w:ascii="Arial" w:hAnsi="Arial" w:cs="Arial"/>
          <w:noProof/>
          <w:color w:val="000000" w:themeColor="text1"/>
          <w:sz w:val="22"/>
          <w:szCs w:val="22"/>
        </w:rPr>
        <w:t>(3)</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564-565.</w:t>
      </w:r>
    </w:p>
    <w:p w14:paraId="71612A43" w14:textId="77777777" w:rsidR="00C41394" w:rsidRPr="00CD2448" w:rsidRDefault="00C41394" w:rsidP="00C41394">
      <w:pPr>
        <w:pStyle w:val="EndNoteBibliography"/>
        <w:rPr>
          <w:rFonts w:ascii="Arial" w:hAnsi="Arial" w:cs="Arial"/>
          <w:noProof/>
          <w:color w:val="000000" w:themeColor="text1"/>
          <w:sz w:val="22"/>
          <w:szCs w:val="22"/>
        </w:rPr>
      </w:pPr>
    </w:p>
    <w:p w14:paraId="787863C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51.</w:t>
      </w:r>
      <w:r w:rsidRPr="00CD2448">
        <w:rPr>
          <w:rFonts w:ascii="Arial" w:hAnsi="Arial" w:cs="Arial"/>
          <w:noProof/>
          <w:color w:val="000000" w:themeColor="text1"/>
          <w:sz w:val="22"/>
          <w:szCs w:val="22"/>
        </w:rPr>
        <w:tab/>
        <w:t xml:space="preserve">Quinn LS, Strait-Bodey L, Anderson BG, Argilés JM, Havel PJ. Interleukin-15 stimulates adiponectin secretion by 3T3-L1 adipocytes: evidence for a skeletal muscle-to-fat signaling pathway. </w:t>
      </w:r>
      <w:r w:rsidRPr="00CD2448">
        <w:rPr>
          <w:rFonts w:ascii="Arial" w:hAnsi="Arial" w:cs="Arial"/>
          <w:i/>
          <w:noProof/>
          <w:color w:val="000000" w:themeColor="text1"/>
          <w:sz w:val="22"/>
          <w:szCs w:val="22"/>
        </w:rPr>
        <w:t>Cell Biol Int</w:t>
      </w:r>
      <w:r w:rsidRPr="00CD2448">
        <w:rPr>
          <w:rFonts w:ascii="Arial" w:hAnsi="Arial" w:cs="Arial"/>
          <w:noProof/>
          <w:color w:val="000000" w:themeColor="text1"/>
          <w:sz w:val="22"/>
          <w:szCs w:val="22"/>
        </w:rPr>
        <w:t xml:space="preserve"> 2005; </w:t>
      </w:r>
      <w:r w:rsidRPr="00CD2448">
        <w:rPr>
          <w:rFonts w:ascii="Arial" w:hAnsi="Arial" w:cs="Arial"/>
          <w:b/>
          <w:noProof/>
          <w:color w:val="000000" w:themeColor="text1"/>
          <w:sz w:val="22"/>
          <w:szCs w:val="22"/>
        </w:rPr>
        <w:t>29</w:t>
      </w:r>
      <w:r w:rsidRPr="00CD2448">
        <w:rPr>
          <w:rFonts w:ascii="Arial" w:hAnsi="Arial" w:cs="Arial"/>
          <w:noProof/>
          <w:color w:val="000000" w:themeColor="text1"/>
          <w:sz w:val="22"/>
          <w:szCs w:val="22"/>
        </w:rPr>
        <w:t>(6)</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449-457.</w:t>
      </w:r>
    </w:p>
    <w:p w14:paraId="24CB14AF" w14:textId="77777777" w:rsidR="00C41394" w:rsidRPr="00CD2448" w:rsidRDefault="00C41394" w:rsidP="00C41394">
      <w:pPr>
        <w:pStyle w:val="EndNoteBibliography"/>
        <w:rPr>
          <w:rFonts w:ascii="Arial" w:hAnsi="Arial" w:cs="Arial"/>
          <w:noProof/>
          <w:color w:val="000000" w:themeColor="text1"/>
          <w:sz w:val="22"/>
          <w:szCs w:val="22"/>
        </w:rPr>
      </w:pPr>
    </w:p>
    <w:p w14:paraId="78713F14"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52.</w:t>
      </w:r>
      <w:r w:rsidRPr="00CD2448">
        <w:rPr>
          <w:rFonts w:ascii="Arial" w:hAnsi="Arial" w:cs="Arial"/>
          <w:noProof/>
          <w:color w:val="000000" w:themeColor="text1"/>
          <w:sz w:val="22"/>
          <w:szCs w:val="22"/>
        </w:rPr>
        <w:tab/>
        <w:t>Machado-Vieira R, Gold PW, Luckenbaugh DA, Ballard ED, Richards EM, Henter ID</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The role of adipokines in the rapid antidepressant effects of ketamine. </w:t>
      </w:r>
      <w:r w:rsidRPr="00CD2448">
        <w:rPr>
          <w:rFonts w:ascii="Arial" w:hAnsi="Arial" w:cs="Arial"/>
          <w:i/>
          <w:noProof/>
          <w:color w:val="000000" w:themeColor="text1"/>
          <w:sz w:val="22"/>
          <w:szCs w:val="22"/>
        </w:rPr>
        <w:t>Mol Psychiatry</w:t>
      </w:r>
      <w:r w:rsidRPr="00CD2448">
        <w:rPr>
          <w:rFonts w:ascii="Arial" w:hAnsi="Arial" w:cs="Arial"/>
          <w:noProof/>
          <w:color w:val="000000" w:themeColor="text1"/>
          <w:sz w:val="22"/>
          <w:szCs w:val="22"/>
        </w:rPr>
        <w:t xml:space="preserve"> 2017; </w:t>
      </w:r>
      <w:r w:rsidRPr="00CD2448">
        <w:rPr>
          <w:rFonts w:ascii="Arial" w:hAnsi="Arial" w:cs="Arial"/>
          <w:b/>
          <w:noProof/>
          <w:color w:val="000000" w:themeColor="text1"/>
          <w:sz w:val="22"/>
          <w:szCs w:val="22"/>
        </w:rPr>
        <w:t>22</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127-133.</w:t>
      </w:r>
    </w:p>
    <w:p w14:paraId="7D1EF3C3" w14:textId="77777777" w:rsidR="00C41394" w:rsidRPr="00CD2448" w:rsidRDefault="00C41394" w:rsidP="00C41394">
      <w:pPr>
        <w:pStyle w:val="EndNoteBibliography"/>
        <w:rPr>
          <w:rFonts w:ascii="Arial" w:hAnsi="Arial" w:cs="Arial"/>
          <w:noProof/>
          <w:color w:val="000000" w:themeColor="text1"/>
          <w:sz w:val="22"/>
          <w:szCs w:val="22"/>
        </w:rPr>
      </w:pPr>
    </w:p>
    <w:p w14:paraId="1F7B2F98"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53.</w:t>
      </w:r>
      <w:r w:rsidRPr="00CD2448">
        <w:rPr>
          <w:rFonts w:ascii="Arial" w:hAnsi="Arial" w:cs="Arial"/>
          <w:noProof/>
          <w:color w:val="000000" w:themeColor="text1"/>
          <w:sz w:val="22"/>
          <w:szCs w:val="22"/>
        </w:rPr>
        <w:tab/>
        <w:t xml:space="preserve">Badolato R, Ponzi AN, Millesimo M, Notarangelo LD, Musso T. Interleukin-15 (IL-15) induces IL-8 and monocyte chemotactic protein 1 production in human monocytes. </w:t>
      </w:r>
      <w:r w:rsidRPr="00CD2448">
        <w:rPr>
          <w:rFonts w:ascii="Arial" w:hAnsi="Arial" w:cs="Arial"/>
          <w:i/>
          <w:noProof/>
          <w:color w:val="000000" w:themeColor="text1"/>
          <w:sz w:val="22"/>
          <w:szCs w:val="22"/>
        </w:rPr>
        <w:t>Blood</w:t>
      </w:r>
      <w:r w:rsidRPr="00CD2448">
        <w:rPr>
          <w:rFonts w:ascii="Arial" w:hAnsi="Arial" w:cs="Arial"/>
          <w:noProof/>
          <w:color w:val="000000" w:themeColor="text1"/>
          <w:sz w:val="22"/>
          <w:szCs w:val="22"/>
        </w:rPr>
        <w:t xml:space="preserve"> 1997; </w:t>
      </w:r>
      <w:r w:rsidRPr="00CD2448">
        <w:rPr>
          <w:rFonts w:ascii="Arial" w:hAnsi="Arial" w:cs="Arial"/>
          <w:b/>
          <w:noProof/>
          <w:color w:val="000000" w:themeColor="text1"/>
          <w:sz w:val="22"/>
          <w:szCs w:val="22"/>
        </w:rPr>
        <w:t>90</w:t>
      </w:r>
      <w:r w:rsidRPr="00CD2448">
        <w:rPr>
          <w:rFonts w:ascii="Arial" w:hAnsi="Arial" w:cs="Arial"/>
          <w:noProof/>
          <w:color w:val="000000" w:themeColor="text1"/>
          <w:sz w:val="22"/>
          <w:szCs w:val="22"/>
        </w:rPr>
        <w:t>(7)</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2804-2809.</w:t>
      </w:r>
    </w:p>
    <w:p w14:paraId="7A855E4D" w14:textId="77777777" w:rsidR="00C41394" w:rsidRPr="00CD2448" w:rsidRDefault="00C41394" w:rsidP="00C41394">
      <w:pPr>
        <w:pStyle w:val="EndNoteBibliography"/>
        <w:rPr>
          <w:rFonts w:ascii="Arial" w:hAnsi="Arial" w:cs="Arial"/>
          <w:noProof/>
          <w:color w:val="000000" w:themeColor="text1"/>
          <w:sz w:val="22"/>
          <w:szCs w:val="22"/>
        </w:rPr>
      </w:pPr>
    </w:p>
    <w:p w14:paraId="668A9CB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54.</w:t>
      </w:r>
      <w:r w:rsidRPr="00CD2448">
        <w:rPr>
          <w:rFonts w:ascii="Arial" w:hAnsi="Arial" w:cs="Arial"/>
          <w:noProof/>
          <w:color w:val="000000" w:themeColor="text1"/>
          <w:sz w:val="22"/>
          <w:szCs w:val="22"/>
        </w:rPr>
        <w:tab/>
        <w:t>Kim K, Doi A, Wen B, Ng K, Zhao R, Cahan P</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Epigenetic memory in induced pluripotent stem cells. </w:t>
      </w:r>
      <w:r w:rsidRPr="00CD2448">
        <w:rPr>
          <w:rFonts w:ascii="Arial" w:hAnsi="Arial" w:cs="Arial"/>
          <w:i/>
          <w:noProof/>
          <w:color w:val="000000" w:themeColor="text1"/>
          <w:sz w:val="22"/>
          <w:szCs w:val="22"/>
        </w:rPr>
        <w:t>Nature</w:t>
      </w:r>
      <w:r w:rsidRPr="00CD2448">
        <w:rPr>
          <w:rFonts w:ascii="Arial" w:hAnsi="Arial" w:cs="Arial"/>
          <w:noProof/>
          <w:color w:val="000000" w:themeColor="text1"/>
          <w:sz w:val="22"/>
          <w:szCs w:val="22"/>
        </w:rPr>
        <w:t xml:space="preserve"> 2010; </w:t>
      </w:r>
      <w:r w:rsidRPr="00CD2448">
        <w:rPr>
          <w:rFonts w:ascii="Arial" w:hAnsi="Arial" w:cs="Arial"/>
          <w:b/>
          <w:noProof/>
          <w:color w:val="000000" w:themeColor="text1"/>
          <w:sz w:val="22"/>
          <w:szCs w:val="22"/>
        </w:rPr>
        <w:t xml:space="preserve">467: </w:t>
      </w:r>
      <w:r w:rsidRPr="00CD2448">
        <w:rPr>
          <w:rFonts w:ascii="Arial" w:hAnsi="Arial" w:cs="Arial"/>
          <w:noProof/>
          <w:color w:val="000000" w:themeColor="text1"/>
          <w:sz w:val="22"/>
          <w:szCs w:val="22"/>
        </w:rPr>
        <w:t>285-290.</w:t>
      </w:r>
    </w:p>
    <w:p w14:paraId="5BCF82BE" w14:textId="77777777" w:rsidR="00C41394" w:rsidRPr="00CD2448" w:rsidRDefault="00C41394" w:rsidP="00C41394">
      <w:pPr>
        <w:pStyle w:val="EndNoteBibliography"/>
        <w:rPr>
          <w:rFonts w:ascii="Arial" w:hAnsi="Arial" w:cs="Arial"/>
          <w:noProof/>
          <w:color w:val="000000" w:themeColor="text1"/>
          <w:sz w:val="22"/>
          <w:szCs w:val="22"/>
        </w:rPr>
      </w:pPr>
    </w:p>
    <w:p w14:paraId="7137723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55.</w:t>
      </w:r>
      <w:r w:rsidRPr="00CD2448">
        <w:rPr>
          <w:rFonts w:ascii="Arial" w:hAnsi="Arial" w:cs="Arial"/>
          <w:noProof/>
          <w:color w:val="000000" w:themeColor="text1"/>
          <w:sz w:val="22"/>
          <w:szCs w:val="22"/>
        </w:rPr>
        <w:tab/>
        <w:t>Kyttälä A, Moraghebi R, Valensisi C, Kettunen J, Andrus C, Pasumarthy KK</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Genetic variability overrides the impact of parental cell type and determines iPSC differentiation potential. </w:t>
      </w:r>
      <w:r w:rsidRPr="00CD2448">
        <w:rPr>
          <w:rFonts w:ascii="Arial" w:hAnsi="Arial" w:cs="Arial"/>
          <w:i/>
          <w:noProof/>
          <w:color w:val="000000" w:themeColor="text1"/>
          <w:sz w:val="22"/>
          <w:szCs w:val="22"/>
        </w:rPr>
        <w:t>Stem Cell Reports</w:t>
      </w:r>
      <w:r w:rsidRPr="00CD2448">
        <w:rPr>
          <w:rFonts w:ascii="Arial" w:hAnsi="Arial" w:cs="Arial"/>
          <w:noProof/>
          <w:color w:val="000000" w:themeColor="text1"/>
          <w:sz w:val="22"/>
          <w:szCs w:val="22"/>
        </w:rPr>
        <w:t xml:space="preserve"> 2016; </w:t>
      </w:r>
      <w:r w:rsidRPr="00CD2448">
        <w:rPr>
          <w:rFonts w:ascii="Arial" w:hAnsi="Arial" w:cs="Arial"/>
          <w:b/>
          <w:noProof/>
          <w:color w:val="000000" w:themeColor="text1"/>
          <w:sz w:val="22"/>
          <w:szCs w:val="22"/>
        </w:rPr>
        <w:t>6</w:t>
      </w:r>
      <w:r w:rsidRPr="00CD2448">
        <w:rPr>
          <w:rFonts w:ascii="Arial" w:hAnsi="Arial" w:cs="Arial"/>
          <w:noProof/>
          <w:color w:val="000000" w:themeColor="text1"/>
          <w:sz w:val="22"/>
          <w:szCs w:val="22"/>
        </w:rPr>
        <w:t>(2)</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200-212.</w:t>
      </w:r>
    </w:p>
    <w:p w14:paraId="229CB8FF" w14:textId="77777777" w:rsidR="00C41394" w:rsidRPr="00CD2448" w:rsidRDefault="00C41394" w:rsidP="00C41394">
      <w:pPr>
        <w:pStyle w:val="EndNoteBibliography"/>
        <w:rPr>
          <w:rFonts w:ascii="Arial" w:hAnsi="Arial" w:cs="Arial"/>
          <w:noProof/>
          <w:color w:val="000000" w:themeColor="text1"/>
          <w:sz w:val="22"/>
          <w:szCs w:val="22"/>
        </w:rPr>
      </w:pPr>
    </w:p>
    <w:p w14:paraId="0BF2B4B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56.</w:t>
      </w:r>
      <w:r w:rsidRPr="00CD2448">
        <w:rPr>
          <w:rFonts w:ascii="Arial" w:hAnsi="Arial" w:cs="Arial"/>
          <w:noProof/>
          <w:color w:val="000000" w:themeColor="text1"/>
          <w:sz w:val="22"/>
          <w:szCs w:val="22"/>
        </w:rPr>
        <w:tab/>
        <w:t>Thomas SM, Kagan C, Pavlovic B, Burnett J, Patterson K, Pritchard JK</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Reprogramming LCLs to iPSCs results in recovery of donor-specific gene expression signature. </w:t>
      </w:r>
      <w:r w:rsidRPr="00CD2448">
        <w:rPr>
          <w:rFonts w:ascii="Arial" w:hAnsi="Arial" w:cs="Arial"/>
          <w:i/>
          <w:noProof/>
          <w:color w:val="000000" w:themeColor="text1"/>
          <w:sz w:val="22"/>
          <w:szCs w:val="22"/>
        </w:rPr>
        <w:t xml:space="preserve">PLoS Genet </w:t>
      </w:r>
      <w:r w:rsidRPr="00CD2448">
        <w:rPr>
          <w:rFonts w:ascii="Arial" w:hAnsi="Arial" w:cs="Arial"/>
          <w:noProof/>
          <w:color w:val="000000" w:themeColor="text1"/>
          <w:sz w:val="22"/>
          <w:szCs w:val="22"/>
        </w:rPr>
        <w:t xml:space="preserve">2015; </w:t>
      </w:r>
      <w:r w:rsidRPr="00CD2448">
        <w:rPr>
          <w:rFonts w:ascii="Arial" w:hAnsi="Arial" w:cs="Arial"/>
          <w:b/>
          <w:noProof/>
          <w:color w:val="000000" w:themeColor="text1"/>
          <w:sz w:val="22"/>
          <w:szCs w:val="22"/>
        </w:rPr>
        <w:t>11</w:t>
      </w:r>
      <w:r w:rsidRPr="00CD2448">
        <w:rPr>
          <w:rFonts w:ascii="Arial" w:hAnsi="Arial" w:cs="Arial"/>
          <w:noProof/>
          <w:color w:val="000000" w:themeColor="text1"/>
          <w:sz w:val="22"/>
          <w:szCs w:val="22"/>
        </w:rPr>
        <w:t>(5)</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e1005216.</w:t>
      </w:r>
    </w:p>
    <w:p w14:paraId="735AE14C" w14:textId="77777777" w:rsidR="00C41394" w:rsidRPr="00CD2448" w:rsidRDefault="00C41394" w:rsidP="00C41394">
      <w:pPr>
        <w:pStyle w:val="EndNoteBibliography"/>
        <w:rPr>
          <w:rFonts w:ascii="Arial" w:hAnsi="Arial" w:cs="Arial"/>
          <w:noProof/>
          <w:color w:val="000000" w:themeColor="text1"/>
          <w:sz w:val="22"/>
          <w:szCs w:val="22"/>
        </w:rPr>
      </w:pPr>
    </w:p>
    <w:p w14:paraId="191AF55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57.</w:t>
      </w:r>
      <w:r w:rsidRPr="00CD2448">
        <w:rPr>
          <w:rFonts w:ascii="Arial" w:hAnsi="Arial" w:cs="Arial"/>
          <w:noProof/>
          <w:color w:val="000000" w:themeColor="text1"/>
          <w:sz w:val="22"/>
          <w:szCs w:val="22"/>
        </w:rPr>
        <w:tab/>
        <w:t xml:space="preserve">Scesa G, Adami R, Bottai D. iPSC preparation and epigenetic memory: Does the tissue origin matter? </w:t>
      </w:r>
      <w:r w:rsidRPr="00CD2448">
        <w:rPr>
          <w:rFonts w:ascii="Arial" w:hAnsi="Arial" w:cs="Arial"/>
          <w:i/>
          <w:noProof/>
          <w:color w:val="000000" w:themeColor="text1"/>
          <w:sz w:val="22"/>
          <w:szCs w:val="22"/>
        </w:rPr>
        <w:t>Cells</w:t>
      </w:r>
      <w:r w:rsidRPr="00CD2448">
        <w:rPr>
          <w:rFonts w:ascii="Arial" w:hAnsi="Arial" w:cs="Arial"/>
          <w:noProof/>
          <w:color w:val="000000" w:themeColor="text1"/>
          <w:sz w:val="22"/>
          <w:szCs w:val="22"/>
        </w:rPr>
        <w:t xml:space="preserve"> 2021; </w:t>
      </w:r>
      <w:r w:rsidRPr="00CD2448">
        <w:rPr>
          <w:rFonts w:ascii="Arial" w:hAnsi="Arial" w:cs="Arial"/>
          <w:b/>
          <w:noProof/>
          <w:color w:val="000000" w:themeColor="text1"/>
          <w:sz w:val="22"/>
          <w:szCs w:val="22"/>
        </w:rPr>
        <w:t xml:space="preserve">10: </w:t>
      </w:r>
      <w:r w:rsidRPr="00CD2448">
        <w:rPr>
          <w:rFonts w:ascii="Arial" w:hAnsi="Arial" w:cs="Arial"/>
          <w:noProof/>
          <w:color w:val="000000" w:themeColor="text1"/>
          <w:sz w:val="22"/>
          <w:szCs w:val="22"/>
        </w:rPr>
        <w:t>1470.</w:t>
      </w:r>
    </w:p>
    <w:p w14:paraId="569E8F57" w14:textId="77777777" w:rsidR="00C41394" w:rsidRPr="00CD2448" w:rsidRDefault="00C41394" w:rsidP="00C41394">
      <w:pPr>
        <w:pStyle w:val="EndNoteBibliography"/>
        <w:rPr>
          <w:rFonts w:ascii="Arial" w:hAnsi="Arial" w:cs="Arial"/>
          <w:noProof/>
          <w:color w:val="000000" w:themeColor="text1"/>
          <w:sz w:val="22"/>
          <w:szCs w:val="22"/>
        </w:rPr>
      </w:pPr>
    </w:p>
    <w:p w14:paraId="0BF92ECF"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58.</w:t>
      </w:r>
      <w:r w:rsidRPr="00CD2448">
        <w:rPr>
          <w:rFonts w:ascii="Arial" w:hAnsi="Arial" w:cs="Arial"/>
          <w:noProof/>
          <w:color w:val="000000" w:themeColor="text1"/>
          <w:sz w:val="22"/>
          <w:szCs w:val="22"/>
        </w:rPr>
        <w:tab/>
        <w:t>Cathomas F, Bevilacqua L, Ramakrishnan A, Kronman H, Costi S, Schneider M</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Whole blood transcriptional signatures associated with rapid antidepressant response to ketamine in patients with treatment resistant depression. </w:t>
      </w:r>
      <w:r w:rsidRPr="00CD2448">
        <w:rPr>
          <w:rFonts w:ascii="Arial" w:hAnsi="Arial" w:cs="Arial"/>
          <w:i/>
          <w:noProof/>
          <w:color w:val="000000" w:themeColor="text1"/>
          <w:sz w:val="22"/>
          <w:szCs w:val="22"/>
        </w:rPr>
        <w:t>Transl Psychiatry</w:t>
      </w:r>
      <w:r w:rsidRPr="00CD2448">
        <w:rPr>
          <w:rFonts w:ascii="Arial" w:hAnsi="Arial" w:cs="Arial"/>
          <w:noProof/>
          <w:color w:val="000000" w:themeColor="text1"/>
          <w:sz w:val="22"/>
          <w:szCs w:val="22"/>
        </w:rPr>
        <w:t xml:space="preserve"> 2022; </w:t>
      </w:r>
      <w:r w:rsidRPr="00CD2448">
        <w:rPr>
          <w:rFonts w:ascii="Arial" w:hAnsi="Arial" w:cs="Arial"/>
          <w:b/>
          <w:noProof/>
          <w:color w:val="000000" w:themeColor="text1"/>
          <w:sz w:val="22"/>
          <w:szCs w:val="22"/>
        </w:rPr>
        <w:t xml:space="preserve">12: </w:t>
      </w:r>
      <w:r w:rsidRPr="00CD2448">
        <w:rPr>
          <w:rFonts w:ascii="Arial" w:hAnsi="Arial" w:cs="Arial"/>
          <w:noProof/>
          <w:color w:val="000000" w:themeColor="text1"/>
          <w:sz w:val="22"/>
          <w:szCs w:val="22"/>
        </w:rPr>
        <w:t>12.</w:t>
      </w:r>
    </w:p>
    <w:p w14:paraId="28132797" w14:textId="77777777" w:rsidR="00C41394" w:rsidRPr="00CD2448" w:rsidRDefault="00C41394" w:rsidP="00C41394">
      <w:pPr>
        <w:pStyle w:val="EndNoteBibliography"/>
        <w:rPr>
          <w:rFonts w:ascii="Arial" w:hAnsi="Arial" w:cs="Arial"/>
          <w:noProof/>
          <w:color w:val="000000" w:themeColor="text1"/>
          <w:sz w:val="22"/>
          <w:szCs w:val="22"/>
        </w:rPr>
      </w:pPr>
    </w:p>
    <w:p w14:paraId="78BF65D6"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59.</w:t>
      </w:r>
      <w:r w:rsidRPr="00CD2448">
        <w:rPr>
          <w:rFonts w:ascii="Arial" w:hAnsi="Arial" w:cs="Arial"/>
          <w:noProof/>
          <w:color w:val="000000" w:themeColor="text1"/>
          <w:sz w:val="22"/>
          <w:szCs w:val="22"/>
        </w:rPr>
        <w:tab/>
        <w:t xml:space="preserve">Coyle CM, Laws KR. The use of ketamine as an antidepressant: a systematic review and meta-analysis. </w:t>
      </w:r>
      <w:r w:rsidRPr="00CD2448">
        <w:rPr>
          <w:rFonts w:ascii="Arial" w:hAnsi="Arial" w:cs="Arial"/>
          <w:i/>
          <w:noProof/>
          <w:color w:val="000000" w:themeColor="text1"/>
          <w:sz w:val="22"/>
          <w:szCs w:val="22"/>
        </w:rPr>
        <w:t>Hum Psychopharmacol</w:t>
      </w:r>
      <w:r w:rsidRPr="00CD2448">
        <w:rPr>
          <w:rFonts w:ascii="Arial" w:hAnsi="Arial" w:cs="Arial"/>
          <w:noProof/>
          <w:color w:val="000000" w:themeColor="text1"/>
          <w:sz w:val="22"/>
          <w:szCs w:val="22"/>
        </w:rPr>
        <w:t xml:space="preserve"> 2015; </w:t>
      </w:r>
      <w:r w:rsidRPr="00CD2448">
        <w:rPr>
          <w:rFonts w:ascii="Arial" w:hAnsi="Arial" w:cs="Arial"/>
          <w:b/>
          <w:noProof/>
          <w:color w:val="000000" w:themeColor="text1"/>
          <w:sz w:val="22"/>
          <w:szCs w:val="22"/>
        </w:rPr>
        <w:t>30</w:t>
      </w:r>
      <w:r w:rsidRPr="00CD2448">
        <w:rPr>
          <w:rFonts w:ascii="Arial" w:hAnsi="Arial" w:cs="Arial"/>
          <w:noProof/>
          <w:color w:val="000000" w:themeColor="text1"/>
          <w:sz w:val="22"/>
          <w:szCs w:val="22"/>
        </w:rPr>
        <w:t>(3)</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152-163.</w:t>
      </w:r>
    </w:p>
    <w:p w14:paraId="1F35EEF6" w14:textId="77777777" w:rsidR="00C41394" w:rsidRPr="00CD2448" w:rsidRDefault="00C41394" w:rsidP="00C41394">
      <w:pPr>
        <w:pStyle w:val="EndNoteBibliography"/>
        <w:rPr>
          <w:rFonts w:ascii="Arial" w:hAnsi="Arial" w:cs="Arial"/>
          <w:noProof/>
          <w:color w:val="000000" w:themeColor="text1"/>
          <w:sz w:val="22"/>
          <w:szCs w:val="22"/>
        </w:rPr>
      </w:pPr>
    </w:p>
    <w:p w14:paraId="16358D40"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60.</w:t>
      </w:r>
      <w:r w:rsidRPr="00CD2448">
        <w:rPr>
          <w:rFonts w:ascii="Arial" w:hAnsi="Arial" w:cs="Arial"/>
          <w:noProof/>
          <w:color w:val="000000" w:themeColor="text1"/>
          <w:sz w:val="22"/>
          <w:szCs w:val="22"/>
        </w:rPr>
        <w:tab/>
        <w:t>Sheerin D, Lakay F, Esmail H, Kinnear C, Sansom B, Glanzmann B</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Identification and control for the effects of bioinformatic globin depletion on human RNA-seq differential expression analysis. </w:t>
      </w:r>
      <w:r w:rsidRPr="00CD2448">
        <w:rPr>
          <w:rFonts w:ascii="Arial" w:hAnsi="Arial" w:cs="Arial"/>
          <w:i/>
          <w:noProof/>
          <w:color w:val="000000" w:themeColor="text1"/>
          <w:sz w:val="22"/>
          <w:szCs w:val="22"/>
        </w:rPr>
        <w:t>Sci Rep</w:t>
      </w:r>
      <w:r w:rsidRPr="00CD2448">
        <w:rPr>
          <w:rFonts w:ascii="Arial" w:hAnsi="Arial" w:cs="Arial"/>
          <w:noProof/>
          <w:color w:val="000000" w:themeColor="text1"/>
          <w:sz w:val="22"/>
          <w:szCs w:val="22"/>
        </w:rPr>
        <w:t xml:space="preserve"> 2023; </w:t>
      </w:r>
      <w:r w:rsidRPr="00CD2448">
        <w:rPr>
          <w:rFonts w:ascii="Arial" w:hAnsi="Arial" w:cs="Arial"/>
          <w:b/>
          <w:noProof/>
          <w:color w:val="000000" w:themeColor="text1"/>
          <w:sz w:val="22"/>
          <w:szCs w:val="22"/>
        </w:rPr>
        <w:t>13</w:t>
      </w:r>
      <w:r w:rsidRPr="00CD2448">
        <w:rPr>
          <w:rFonts w:ascii="Arial" w:hAnsi="Arial" w:cs="Arial"/>
          <w:noProof/>
          <w:color w:val="000000" w:themeColor="text1"/>
          <w:sz w:val="22"/>
          <w:szCs w:val="22"/>
        </w:rPr>
        <w:t>(1)</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1859.</w:t>
      </w:r>
    </w:p>
    <w:p w14:paraId="7175B94B" w14:textId="77777777" w:rsidR="00C41394" w:rsidRPr="00CD2448" w:rsidRDefault="00C41394" w:rsidP="00C41394">
      <w:pPr>
        <w:pStyle w:val="EndNoteBibliography"/>
        <w:rPr>
          <w:rFonts w:ascii="Arial" w:hAnsi="Arial" w:cs="Arial"/>
          <w:noProof/>
          <w:color w:val="000000" w:themeColor="text1"/>
          <w:sz w:val="22"/>
          <w:szCs w:val="22"/>
        </w:rPr>
      </w:pPr>
    </w:p>
    <w:p w14:paraId="7909127E"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61.</w:t>
      </w:r>
      <w:r w:rsidRPr="00CD2448">
        <w:rPr>
          <w:rFonts w:ascii="Arial" w:hAnsi="Arial" w:cs="Arial"/>
          <w:noProof/>
          <w:color w:val="000000" w:themeColor="text1"/>
          <w:sz w:val="22"/>
          <w:szCs w:val="22"/>
        </w:rPr>
        <w:tab/>
        <w:t>Shin H, Shannon CP, Fishbane N, Ruan J, Zhou M, Balshaw R</w:t>
      </w:r>
      <w:r w:rsidRPr="00CD2448">
        <w:rPr>
          <w:rFonts w:ascii="Arial" w:hAnsi="Arial" w:cs="Arial"/>
          <w:i/>
          <w:noProof/>
          <w:color w:val="000000" w:themeColor="text1"/>
          <w:sz w:val="22"/>
          <w:szCs w:val="22"/>
        </w:rPr>
        <w:t xml:space="preserve"> et al.</w:t>
      </w:r>
      <w:r w:rsidRPr="00CD2448">
        <w:rPr>
          <w:rFonts w:ascii="Arial" w:hAnsi="Arial" w:cs="Arial"/>
          <w:noProof/>
          <w:color w:val="000000" w:themeColor="text1"/>
          <w:sz w:val="22"/>
          <w:szCs w:val="22"/>
        </w:rPr>
        <w:t xml:space="preserve"> Variation in RNA-Seq transcriptome profiles of peripheral whole blood from healthy individuals with and without globin depletion. </w:t>
      </w:r>
      <w:r w:rsidRPr="00CD2448">
        <w:rPr>
          <w:rFonts w:ascii="Arial" w:hAnsi="Arial" w:cs="Arial"/>
          <w:i/>
          <w:noProof/>
          <w:color w:val="000000" w:themeColor="text1"/>
          <w:sz w:val="22"/>
          <w:szCs w:val="22"/>
        </w:rPr>
        <w:t xml:space="preserve">PLoS One </w:t>
      </w:r>
      <w:r w:rsidRPr="00CD2448">
        <w:rPr>
          <w:rFonts w:ascii="Arial" w:hAnsi="Arial" w:cs="Arial"/>
          <w:noProof/>
          <w:color w:val="000000" w:themeColor="text1"/>
          <w:sz w:val="22"/>
          <w:szCs w:val="22"/>
        </w:rPr>
        <w:t xml:space="preserve">2014; </w:t>
      </w:r>
      <w:r w:rsidRPr="00CD2448">
        <w:rPr>
          <w:rFonts w:ascii="Arial" w:hAnsi="Arial" w:cs="Arial"/>
          <w:b/>
          <w:noProof/>
          <w:color w:val="000000" w:themeColor="text1"/>
          <w:sz w:val="22"/>
          <w:szCs w:val="22"/>
        </w:rPr>
        <w:t>9</w:t>
      </w:r>
      <w:r w:rsidRPr="00CD2448">
        <w:rPr>
          <w:rFonts w:ascii="Arial" w:hAnsi="Arial" w:cs="Arial"/>
          <w:noProof/>
          <w:color w:val="000000" w:themeColor="text1"/>
          <w:sz w:val="22"/>
          <w:szCs w:val="22"/>
        </w:rPr>
        <w:t>(3)</w:t>
      </w:r>
      <w:r w:rsidRPr="00CD2448">
        <w:rPr>
          <w:rFonts w:ascii="Arial" w:hAnsi="Arial" w:cs="Arial"/>
          <w:b/>
          <w:noProof/>
          <w:color w:val="000000" w:themeColor="text1"/>
          <w:sz w:val="22"/>
          <w:szCs w:val="22"/>
        </w:rPr>
        <w:t xml:space="preserve">: </w:t>
      </w:r>
      <w:r w:rsidRPr="00CD2448">
        <w:rPr>
          <w:rFonts w:ascii="Arial" w:hAnsi="Arial" w:cs="Arial"/>
          <w:noProof/>
          <w:color w:val="000000" w:themeColor="text1"/>
          <w:sz w:val="22"/>
          <w:szCs w:val="22"/>
        </w:rPr>
        <w:t>e91041.</w:t>
      </w:r>
    </w:p>
    <w:p w14:paraId="57AD7D8D" w14:textId="77777777" w:rsidR="00C41394" w:rsidRPr="00CD2448" w:rsidRDefault="00C41394" w:rsidP="00C41394">
      <w:pPr>
        <w:pStyle w:val="EndNoteBibliography"/>
        <w:rPr>
          <w:rFonts w:ascii="Arial" w:hAnsi="Arial" w:cs="Arial"/>
          <w:noProof/>
          <w:color w:val="000000" w:themeColor="text1"/>
          <w:sz w:val="22"/>
          <w:szCs w:val="22"/>
        </w:rPr>
      </w:pPr>
    </w:p>
    <w:p w14:paraId="42E8C12A" w14:textId="77777777" w:rsidR="00C41394" w:rsidRPr="00CD2448" w:rsidRDefault="00C41394" w:rsidP="00C41394">
      <w:pPr>
        <w:pStyle w:val="EndNoteBibliography"/>
        <w:ind w:left="720" w:hanging="720"/>
        <w:rPr>
          <w:rFonts w:ascii="Arial" w:hAnsi="Arial" w:cs="Arial"/>
          <w:noProof/>
          <w:color w:val="000000" w:themeColor="text1"/>
          <w:sz w:val="22"/>
          <w:szCs w:val="22"/>
        </w:rPr>
      </w:pPr>
      <w:r w:rsidRPr="00CD2448">
        <w:rPr>
          <w:rFonts w:ascii="Arial" w:hAnsi="Arial" w:cs="Arial"/>
          <w:noProof/>
          <w:color w:val="000000" w:themeColor="text1"/>
          <w:sz w:val="22"/>
          <w:szCs w:val="22"/>
        </w:rPr>
        <w:t>62.</w:t>
      </w:r>
      <w:r w:rsidRPr="00CD2448">
        <w:rPr>
          <w:rFonts w:ascii="Arial" w:hAnsi="Arial" w:cs="Arial"/>
          <w:noProof/>
          <w:color w:val="000000" w:themeColor="text1"/>
          <w:sz w:val="22"/>
          <w:szCs w:val="22"/>
        </w:rPr>
        <w:tab/>
        <w:t xml:space="preserve">Johnston JN, Kadriu B, Allen J, Gilbert JR, Henter ID, Zarate CAJ. Ketamine and serotonergic psychedelics: An update on the mechanisms and biosignatures underlying rapid-acting antidepressant treatment. </w:t>
      </w:r>
      <w:r w:rsidRPr="00CD2448">
        <w:rPr>
          <w:rFonts w:ascii="Arial" w:hAnsi="Arial" w:cs="Arial"/>
          <w:i/>
          <w:noProof/>
          <w:color w:val="000000" w:themeColor="text1"/>
          <w:sz w:val="22"/>
          <w:szCs w:val="22"/>
        </w:rPr>
        <w:t>Neuropharmacology</w:t>
      </w:r>
      <w:r w:rsidRPr="00CD2448">
        <w:rPr>
          <w:rFonts w:ascii="Arial" w:hAnsi="Arial" w:cs="Arial"/>
          <w:noProof/>
          <w:color w:val="000000" w:themeColor="text1"/>
          <w:sz w:val="22"/>
          <w:szCs w:val="22"/>
        </w:rPr>
        <w:t xml:space="preserve"> 2023; </w:t>
      </w:r>
      <w:r w:rsidRPr="00CD2448">
        <w:rPr>
          <w:rFonts w:ascii="Arial" w:hAnsi="Arial" w:cs="Arial"/>
          <w:b/>
          <w:noProof/>
          <w:color w:val="000000" w:themeColor="text1"/>
          <w:sz w:val="22"/>
          <w:szCs w:val="22"/>
        </w:rPr>
        <w:t xml:space="preserve">226: </w:t>
      </w:r>
      <w:r w:rsidRPr="00CD2448">
        <w:rPr>
          <w:rFonts w:ascii="Arial" w:hAnsi="Arial" w:cs="Arial"/>
          <w:noProof/>
          <w:color w:val="000000" w:themeColor="text1"/>
          <w:sz w:val="22"/>
          <w:szCs w:val="22"/>
        </w:rPr>
        <w:t>109422.</w:t>
      </w:r>
    </w:p>
    <w:p w14:paraId="25F933AE" w14:textId="77777777" w:rsidR="00C41394" w:rsidRPr="00CD2448" w:rsidRDefault="00C41394" w:rsidP="00C41394">
      <w:pPr>
        <w:pStyle w:val="EndNoteBibliography"/>
        <w:rPr>
          <w:noProof/>
          <w:color w:val="000000" w:themeColor="text1"/>
        </w:rPr>
      </w:pPr>
    </w:p>
    <w:p w14:paraId="4131CF9E" w14:textId="76473CEC" w:rsidR="00534AD9" w:rsidRPr="00CD2448" w:rsidRDefault="00534AD9" w:rsidP="00534AD9">
      <w:pPr>
        <w:ind w:firstLine="720"/>
        <w:jc w:val="both"/>
        <w:rPr>
          <w:rFonts w:ascii="Arial" w:eastAsia="Aptos" w:hAnsi="Arial" w:cs="Arial"/>
          <w:color w:val="000000" w:themeColor="text1"/>
          <w:sz w:val="22"/>
          <w:szCs w:val="22"/>
        </w:rPr>
      </w:pPr>
      <w:r w:rsidRPr="00CD2448">
        <w:rPr>
          <w:rFonts w:ascii="Arial" w:hAnsi="Arial" w:cs="Arial"/>
          <w:b/>
          <w:bCs/>
          <w:color w:val="000000" w:themeColor="text1"/>
          <w:sz w:val="22"/>
          <w:szCs w:val="22"/>
        </w:rPr>
        <w:fldChar w:fldCharType="end"/>
      </w:r>
    </w:p>
    <w:p w14:paraId="62C4A0F1" w14:textId="77777777" w:rsidR="00534AD9" w:rsidRPr="00CD2448" w:rsidRDefault="00534AD9" w:rsidP="007F3F8E">
      <w:pPr>
        <w:spacing w:line="480" w:lineRule="auto"/>
        <w:jc w:val="both"/>
        <w:rPr>
          <w:rFonts w:ascii="Arial" w:hAnsi="Arial" w:cs="Arial"/>
          <w:b/>
          <w:bCs/>
          <w:color w:val="000000" w:themeColor="text1"/>
          <w:sz w:val="22"/>
          <w:szCs w:val="22"/>
        </w:rPr>
      </w:pPr>
    </w:p>
    <w:sectPr w:rsidR="00534AD9" w:rsidRPr="00CD2448" w:rsidSect="009B7017">
      <w:footerReference w:type="even" r:id="rId22"/>
      <w:footerReference w:type="default" r:id="rId2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8FB746" w14:textId="77777777" w:rsidR="00DC07F7" w:rsidRDefault="00DC07F7" w:rsidP="00EE62E6">
      <w:r>
        <w:separator/>
      </w:r>
    </w:p>
  </w:endnote>
  <w:endnote w:type="continuationSeparator" w:id="0">
    <w:p w14:paraId="5012A772" w14:textId="77777777" w:rsidR="00DC07F7" w:rsidRDefault="00DC07F7" w:rsidP="00EE62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53455952"/>
      <w:docPartObj>
        <w:docPartGallery w:val="Page Numbers (Bottom of Page)"/>
        <w:docPartUnique/>
      </w:docPartObj>
    </w:sdtPr>
    <w:sdtEndPr>
      <w:rPr>
        <w:rStyle w:val="PageNumber"/>
      </w:rPr>
    </w:sdtEndPr>
    <w:sdtContent>
      <w:p w14:paraId="05372DB9" w14:textId="773977D8" w:rsidR="00EE62E6" w:rsidRDefault="00EE62E6" w:rsidP="004745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54757A">
          <w:rPr>
            <w:rStyle w:val="PageNumber"/>
            <w:noProof/>
          </w:rPr>
          <w:t>1</w:t>
        </w:r>
        <w:r>
          <w:rPr>
            <w:rStyle w:val="PageNumber"/>
          </w:rPr>
          <w:fldChar w:fldCharType="end"/>
        </w:r>
      </w:p>
    </w:sdtContent>
  </w:sdt>
  <w:p w14:paraId="3305EBE3" w14:textId="77777777" w:rsidR="00EE62E6" w:rsidRDefault="00EE62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83334485"/>
      <w:docPartObj>
        <w:docPartGallery w:val="Page Numbers (Bottom of Page)"/>
        <w:docPartUnique/>
      </w:docPartObj>
    </w:sdtPr>
    <w:sdtEndPr>
      <w:rPr>
        <w:rStyle w:val="PageNumber"/>
      </w:rPr>
    </w:sdtEndPr>
    <w:sdtContent>
      <w:p w14:paraId="7BA6C6CC" w14:textId="7D0076CB" w:rsidR="00EE62E6" w:rsidRDefault="00EE62E6" w:rsidP="0047456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20</w:t>
        </w:r>
        <w:r>
          <w:rPr>
            <w:rStyle w:val="PageNumber"/>
          </w:rPr>
          <w:fldChar w:fldCharType="end"/>
        </w:r>
      </w:p>
    </w:sdtContent>
  </w:sdt>
  <w:p w14:paraId="10B144BD" w14:textId="77777777" w:rsidR="00EE62E6" w:rsidRDefault="00EE62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407B9B" w14:textId="77777777" w:rsidR="00DC07F7" w:rsidRDefault="00DC07F7" w:rsidP="00EE62E6">
      <w:r>
        <w:separator/>
      </w:r>
    </w:p>
  </w:footnote>
  <w:footnote w:type="continuationSeparator" w:id="0">
    <w:p w14:paraId="6D78C747" w14:textId="77777777" w:rsidR="00DC07F7" w:rsidRDefault="00DC07F7" w:rsidP="00EE62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Molecular Psychiatr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zsadpavbdaf27ef9zmxw006vzddp0epfpxa&quot;&gt;Jones-iPSC for Mol Psych&lt;record-ids&gt;&lt;item&gt;14&lt;/item&gt;&lt;item&gt;22&lt;/item&gt;&lt;item&gt;24&lt;/item&gt;&lt;item&gt;25&lt;/item&gt;&lt;item&gt;26&lt;/item&gt;&lt;item&gt;27&lt;/item&gt;&lt;item&gt;30&lt;/item&gt;&lt;item&gt;31&lt;/item&gt;&lt;item&gt;32&lt;/item&gt;&lt;item&gt;33&lt;/item&gt;&lt;item&gt;34&lt;/item&gt;&lt;item&gt;35&lt;/item&gt;&lt;item&gt;36&lt;/item&gt;&lt;item&gt;37&lt;/item&gt;&lt;item&gt;40&lt;/item&gt;&lt;item&gt;43&lt;/item&gt;&lt;item&gt;44&lt;/item&gt;&lt;item&gt;45&lt;/item&gt;&lt;item&gt;46&lt;/item&gt;&lt;item&gt;47&lt;/item&gt;&lt;item&gt;48&lt;/item&gt;&lt;item&gt;64&lt;/item&gt;&lt;item&gt;79&lt;/item&gt;&lt;item&gt;80&lt;/item&gt;&lt;item&gt;81&lt;/item&gt;&lt;item&gt;82&lt;/item&gt;&lt;item&gt;83&lt;/item&gt;&lt;item&gt;84&lt;/item&gt;&lt;item&gt;85&lt;/item&gt;&lt;item&gt;86&lt;/item&gt;&lt;item&gt;93&lt;/item&gt;&lt;item&gt;94&lt;/item&gt;&lt;item&gt;95&lt;/item&gt;&lt;item&gt;96&lt;/item&gt;&lt;item&gt;97&lt;/item&gt;&lt;item&gt;98&lt;/item&gt;&lt;item&gt;100&lt;/item&gt;&lt;item&gt;101&lt;/item&gt;&lt;item&gt;102&lt;/item&gt;&lt;item&gt;103&lt;/item&gt;&lt;item&gt;104&lt;/item&gt;&lt;item&gt;105&lt;/item&gt;&lt;item&gt;106&lt;/item&gt;&lt;item&gt;107&lt;/item&gt;&lt;item&gt;108&lt;/item&gt;&lt;item&gt;109&lt;/item&gt;&lt;item&gt;117&lt;/item&gt;&lt;item&gt;118&lt;/item&gt;&lt;item&gt;119&lt;/item&gt;&lt;item&gt;151&lt;/item&gt;&lt;item&gt;152&lt;/item&gt;&lt;item&gt;156&lt;/item&gt;&lt;item&gt;157&lt;/item&gt;&lt;item&gt;159&lt;/item&gt;&lt;item&gt;160&lt;/item&gt;&lt;item&gt;161&lt;/item&gt;&lt;item&gt;162&lt;/item&gt;&lt;item&gt;163&lt;/item&gt;&lt;item&gt;164&lt;/item&gt;&lt;item&gt;165&lt;/item&gt;&lt;item&gt;166&lt;/item&gt;&lt;item&gt;167&lt;/item&gt;&lt;/record-ids&gt;&lt;/item&gt;&lt;/Libraries&gt;"/>
    <w:docVar w:name="EN.UseJSCitationFormat" w:val="False"/>
  </w:docVars>
  <w:rsids>
    <w:rsidRoot w:val="009973D7"/>
    <w:rsid w:val="00004C62"/>
    <w:rsid w:val="0000792D"/>
    <w:rsid w:val="00027C62"/>
    <w:rsid w:val="00032FA9"/>
    <w:rsid w:val="00036594"/>
    <w:rsid w:val="00040381"/>
    <w:rsid w:val="00040F39"/>
    <w:rsid w:val="00043A59"/>
    <w:rsid w:val="00054007"/>
    <w:rsid w:val="00054D68"/>
    <w:rsid w:val="00057D98"/>
    <w:rsid w:val="00060450"/>
    <w:rsid w:val="00062A9A"/>
    <w:rsid w:val="00064520"/>
    <w:rsid w:val="00072FF5"/>
    <w:rsid w:val="00077AED"/>
    <w:rsid w:val="00085808"/>
    <w:rsid w:val="0008695D"/>
    <w:rsid w:val="00086E84"/>
    <w:rsid w:val="00092A20"/>
    <w:rsid w:val="0009558B"/>
    <w:rsid w:val="00097CF3"/>
    <w:rsid w:val="000A055E"/>
    <w:rsid w:val="000A5536"/>
    <w:rsid w:val="000B073D"/>
    <w:rsid w:val="000B2660"/>
    <w:rsid w:val="000B410E"/>
    <w:rsid w:val="000C046C"/>
    <w:rsid w:val="000D0561"/>
    <w:rsid w:val="000D20E3"/>
    <w:rsid w:val="000D2698"/>
    <w:rsid w:val="000D3C96"/>
    <w:rsid w:val="000D49E4"/>
    <w:rsid w:val="00100F33"/>
    <w:rsid w:val="00106A55"/>
    <w:rsid w:val="00107BB6"/>
    <w:rsid w:val="00110315"/>
    <w:rsid w:val="00113D17"/>
    <w:rsid w:val="001156FB"/>
    <w:rsid w:val="0011620B"/>
    <w:rsid w:val="00116B2A"/>
    <w:rsid w:val="00122C17"/>
    <w:rsid w:val="001235E1"/>
    <w:rsid w:val="001256C5"/>
    <w:rsid w:val="00132538"/>
    <w:rsid w:val="001351E9"/>
    <w:rsid w:val="0015191B"/>
    <w:rsid w:val="001560BD"/>
    <w:rsid w:val="00156459"/>
    <w:rsid w:val="0015717A"/>
    <w:rsid w:val="00173856"/>
    <w:rsid w:val="00180522"/>
    <w:rsid w:val="00182BEE"/>
    <w:rsid w:val="00182C3A"/>
    <w:rsid w:val="00184570"/>
    <w:rsid w:val="0019091D"/>
    <w:rsid w:val="0019148A"/>
    <w:rsid w:val="00192637"/>
    <w:rsid w:val="0019620D"/>
    <w:rsid w:val="001A0252"/>
    <w:rsid w:val="001A2BB2"/>
    <w:rsid w:val="001B4263"/>
    <w:rsid w:val="001C1AF3"/>
    <w:rsid w:val="001C4835"/>
    <w:rsid w:val="001C59E0"/>
    <w:rsid w:val="001D0E01"/>
    <w:rsid w:val="001D3E86"/>
    <w:rsid w:val="001E0266"/>
    <w:rsid w:val="001E0ED5"/>
    <w:rsid w:val="001E19D1"/>
    <w:rsid w:val="001E2F0E"/>
    <w:rsid w:val="001E37E7"/>
    <w:rsid w:val="001E3979"/>
    <w:rsid w:val="001E4C64"/>
    <w:rsid w:val="001E650E"/>
    <w:rsid w:val="001F13EF"/>
    <w:rsid w:val="001F2913"/>
    <w:rsid w:val="00202235"/>
    <w:rsid w:val="00202E43"/>
    <w:rsid w:val="00203671"/>
    <w:rsid w:val="00205A28"/>
    <w:rsid w:val="00206BFC"/>
    <w:rsid w:val="00207BA7"/>
    <w:rsid w:val="00214D26"/>
    <w:rsid w:val="00215E43"/>
    <w:rsid w:val="00220895"/>
    <w:rsid w:val="00222749"/>
    <w:rsid w:val="00222F9F"/>
    <w:rsid w:val="002231A2"/>
    <w:rsid w:val="0022320E"/>
    <w:rsid w:val="002243A9"/>
    <w:rsid w:val="002278B8"/>
    <w:rsid w:val="00231014"/>
    <w:rsid w:val="0023129A"/>
    <w:rsid w:val="0023257C"/>
    <w:rsid w:val="002359D2"/>
    <w:rsid w:val="00235E2B"/>
    <w:rsid w:val="0023693C"/>
    <w:rsid w:val="00241E80"/>
    <w:rsid w:val="00242F28"/>
    <w:rsid w:val="002468B7"/>
    <w:rsid w:val="002478D9"/>
    <w:rsid w:val="00247959"/>
    <w:rsid w:val="00253C4E"/>
    <w:rsid w:val="0025506E"/>
    <w:rsid w:val="00266C65"/>
    <w:rsid w:val="00277B51"/>
    <w:rsid w:val="00280027"/>
    <w:rsid w:val="00280B19"/>
    <w:rsid w:val="0028189E"/>
    <w:rsid w:val="00281B63"/>
    <w:rsid w:val="00281D1C"/>
    <w:rsid w:val="002821A5"/>
    <w:rsid w:val="002843C7"/>
    <w:rsid w:val="00285306"/>
    <w:rsid w:val="00287C70"/>
    <w:rsid w:val="00287EBB"/>
    <w:rsid w:val="00290EA6"/>
    <w:rsid w:val="00293C65"/>
    <w:rsid w:val="00294B19"/>
    <w:rsid w:val="002952A5"/>
    <w:rsid w:val="00297C66"/>
    <w:rsid w:val="002A08AC"/>
    <w:rsid w:val="002A32DE"/>
    <w:rsid w:val="002A4C98"/>
    <w:rsid w:val="002B3DB1"/>
    <w:rsid w:val="002B547E"/>
    <w:rsid w:val="002B68E2"/>
    <w:rsid w:val="002C0D42"/>
    <w:rsid w:val="002C5033"/>
    <w:rsid w:val="002C748F"/>
    <w:rsid w:val="002D1688"/>
    <w:rsid w:val="002D4477"/>
    <w:rsid w:val="002D69D0"/>
    <w:rsid w:val="002E21F1"/>
    <w:rsid w:val="002E3392"/>
    <w:rsid w:val="002E7738"/>
    <w:rsid w:val="002F4FCE"/>
    <w:rsid w:val="003002D4"/>
    <w:rsid w:val="00300395"/>
    <w:rsid w:val="003003C9"/>
    <w:rsid w:val="00301648"/>
    <w:rsid w:val="00301877"/>
    <w:rsid w:val="00302DB1"/>
    <w:rsid w:val="00304B4F"/>
    <w:rsid w:val="00304BD4"/>
    <w:rsid w:val="00306440"/>
    <w:rsid w:val="0030731F"/>
    <w:rsid w:val="00317D45"/>
    <w:rsid w:val="00323A0D"/>
    <w:rsid w:val="003268A1"/>
    <w:rsid w:val="00327E42"/>
    <w:rsid w:val="00335867"/>
    <w:rsid w:val="00335E52"/>
    <w:rsid w:val="00336790"/>
    <w:rsid w:val="003433DD"/>
    <w:rsid w:val="003465C1"/>
    <w:rsid w:val="00346C22"/>
    <w:rsid w:val="003535FE"/>
    <w:rsid w:val="0035412C"/>
    <w:rsid w:val="003565C1"/>
    <w:rsid w:val="0035753A"/>
    <w:rsid w:val="003579E9"/>
    <w:rsid w:val="0036420C"/>
    <w:rsid w:val="0036430E"/>
    <w:rsid w:val="00364BB9"/>
    <w:rsid w:val="0036544E"/>
    <w:rsid w:val="00365B5A"/>
    <w:rsid w:val="00367B22"/>
    <w:rsid w:val="003724A3"/>
    <w:rsid w:val="0037390A"/>
    <w:rsid w:val="00375557"/>
    <w:rsid w:val="00383147"/>
    <w:rsid w:val="00387054"/>
    <w:rsid w:val="00390CAD"/>
    <w:rsid w:val="003918F3"/>
    <w:rsid w:val="003C5161"/>
    <w:rsid w:val="003C551F"/>
    <w:rsid w:val="003D10FC"/>
    <w:rsid w:val="003D2119"/>
    <w:rsid w:val="003D655D"/>
    <w:rsid w:val="003E5CDC"/>
    <w:rsid w:val="003E6D57"/>
    <w:rsid w:val="003E7128"/>
    <w:rsid w:val="003E76A5"/>
    <w:rsid w:val="003F3B8B"/>
    <w:rsid w:val="003F3FB7"/>
    <w:rsid w:val="003F5AE0"/>
    <w:rsid w:val="003F6446"/>
    <w:rsid w:val="003F6B91"/>
    <w:rsid w:val="00400021"/>
    <w:rsid w:val="00401467"/>
    <w:rsid w:val="00405C5D"/>
    <w:rsid w:val="0041102A"/>
    <w:rsid w:val="00415257"/>
    <w:rsid w:val="0041548B"/>
    <w:rsid w:val="004157E1"/>
    <w:rsid w:val="00417A7F"/>
    <w:rsid w:val="004221ED"/>
    <w:rsid w:val="00422C83"/>
    <w:rsid w:val="00422CFD"/>
    <w:rsid w:val="004244BC"/>
    <w:rsid w:val="00424A83"/>
    <w:rsid w:val="00424C7E"/>
    <w:rsid w:val="004263C4"/>
    <w:rsid w:val="00442D08"/>
    <w:rsid w:val="004539B2"/>
    <w:rsid w:val="00456B4D"/>
    <w:rsid w:val="0046072B"/>
    <w:rsid w:val="0047063E"/>
    <w:rsid w:val="00472D86"/>
    <w:rsid w:val="00477EE0"/>
    <w:rsid w:val="004806EE"/>
    <w:rsid w:val="004841CA"/>
    <w:rsid w:val="00484475"/>
    <w:rsid w:val="00486451"/>
    <w:rsid w:val="00493C4B"/>
    <w:rsid w:val="00495792"/>
    <w:rsid w:val="004962C9"/>
    <w:rsid w:val="004A16D4"/>
    <w:rsid w:val="004A1701"/>
    <w:rsid w:val="004A24E3"/>
    <w:rsid w:val="004A30F5"/>
    <w:rsid w:val="004A765B"/>
    <w:rsid w:val="004B4809"/>
    <w:rsid w:val="004B577A"/>
    <w:rsid w:val="004C0CC8"/>
    <w:rsid w:val="004C3FA1"/>
    <w:rsid w:val="004C651C"/>
    <w:rsid w:val="004D4121"/>
    <w:rsid w:val="004D51E3"/>
    <w:rsid w:val="004D6141"/>
    <w:rsid w:val="004D6685"/>
    <w:rsid w:val="004E16E8"/>
    <w:rsid w:val="004F00BF"/>
    <w:rsid w:val="004F5453"/>
    <w:rsid w:val="004F64CE"/>
    <w:rsid w:val="004F7EC0"/>
    <w:rsid w:val="005017E7"/>
    <w:rsid w:val="00502411"/>
    <w:rsid w:val="00502528"/>
    <w:rsid w:val="00502717"/>
    <w:rsid w:val="00507D15"/>
    <w:rsid w:val="005104A0"/>
    <w:rsid w:val="005110D5"/>
    <w:rsid w:val="005169E0"/>
    <w:rsid w:val="00523F5D"/>
    <w:rsid w:val="00527769"/>
    <w:rsid w:val="00527FED"/>
    <w:rsid w:val="00534935"/>
    <w:rsid w:val="00534AD9"/>
    <w:rsid w:val="00535E31"/>
    <w:rsid w:val="0053700B"/>
    <w:rsid w:val="00537DB8"/>
    <w:rsid w:val="00543D96"/>
    <w:rsid w:val="00544A74"/>
    <w:rsid w:val="005456A3"/>
    <w:rsid w:val="005470AF"/>
    <w:rsid w:val="0054757A"/>
    <w:rsid w:val="00550105"/>
    <w:rsid w:val="00550344"/>
    <w:rsid w:val="0055285B"/>
    <w:rsid w:val="00552B2A"/>
    <w:rsid w:val="005537AB"/>
    <w:rsid w:val="00553F0F"/>
    <w:rsid w:val="0055538D"/>
    <w:rsid w:val="00557002"/>
    <w:rsid w:val="00557315"/>
    <w:rsid w:val="005723C8"/>
    <w:rsid w:val="005736DF"/>
    <w:rsid w:val="005736F6"/>
    <w:rsid w:val="0057538E"/>
    <w:rsid w:val="00576732"/>
    <w:rsid w:val="00584473"/>
    <w:rsid w:val="00590DE9"/>
    <w:rsid w:val="00590E8C"/>
    <w:rsid w:val="00593357"/>
    <w:rsid w:val="005A173B"/>
    <w:rsid w:val="005A6845"/>
    <w:rsid w:val="005B2507"/>
    <w:rsid w:val="005B3FF3"/>
    <w:rsid w:val="005C27C6"/>
    <w:rsid w:val="005D0930"/>
    <w:rsid w:val="005D1E52"/>
    <w:rsid w:val="005D73DF"/>
    <w:rsid w:val="005E2F96"/>
    <w:rsid w:val="005E38B4"/>
    <w:rsid w:val="005E399D"/>
    <w:rsid w:val="005E61C2"/>
    <w:rsid w:val="005E6EB8"/>
    <w:rsid w:val="005F76AE"/>
    <w:rsid w:val="00600333"/>
    <w:rsid w:val="00604DAF"/>
    <w:rsid w:val="006115DD"/>
    <w:rsid w:val="00611811"/>
    <w:rsid w:val="0061656E"/>
    <w:rsid w:val="006238F7"/>
    <w:rsid w:val="00624226"/>
    <w:rsid w:val="0062628B"/>
    <w:rsid w:val="00627C15"/>
    <w:rsid w:val="006350BA"/>
    <w:rsid w:val="00635906"/>
    <w:rsid w:val="00635A88"/>
    <w:rsid w:val="006374B9"/>
    <w:rsid w:val="0063764E"/>
    <w:rsid w:val="00641909"/>
    <w:rsid w:val="00646CBA"/>
    <w:rsid w:val="00652904"/>
    <w:rsid w:val="00655544"/>
    <w:rsid w:val="0065567A"/>
    <w:rsid w:val="0065790B"/>
    <w:rsid w:val="00660ACD"/>
    <w:rsid w:val="00662AFC"/>
    <w:rsid w:val="0066466D"/>
    <w:rsid w:val="00670E62"/>
    <w:rsid w:val="006725B1"/>
    <w:rsid w:val="006730C8"/>
    <w:rsid w:val="00674B38"/>
    <w:rsid w:val="00676495"/>
    <w:rsid w:val="00677F85"/>
    <w:rsid w:val="006805E9"/>
    <w:rsid w:val="00681A7F"/>
    <w:rsid w:val="00681FFA"/>
    <w:rsid w:val="00682D26"/>
    <w:rsid w:val="0068345B"/>
    <w:rsid w:val="00690DA1"/>
    <w:rsid w:val="006914AE"/>
    <w:rsid w:val="00691AC6"/>
    <w:rsid w:val="006962DF"/>
    <w:rsid w:val="006A5ACC"/>
    <w:rsid w:val="006A6D34"/>
    <w:rsid w:val="006C0687"/>
    <w:rsid w:val="006C531D"/>
    <w:rsid w:val="006C53D1"/>
    <w:rsid w:val="006C5512"/>
    <w:rsid w:val="006D050B"/>
    <w:rsid w:val="006D2264"/>
    <w:rsid w:val="006D4801"/>
    <w:rsid w:val="006D57F0"/>
    <w:rsid w:val="006D680B"/>
    <w:rsid w:val="006D72EF"/>
    <w:rsid w:val="006E0A9A"/>
    <w:rsid w:val="006E0B79"/>
    <w:rsid w:val="006E0D85"/>
    <w:rsid w:val="006E191A"/>
    <w:rsid w:val="006E2356"/>
    <w:rsid w:val="006E308F"/>
    <w:rsid w:val="006E6397"/>
    <w:rsid w:val="006E757D"/>
    <w:rsid w:val="006E7919"/>
    <w:rsid w:val="006F2136"/>
    <w:rsid w:val="006F37D9"/>
    <w:rsid w:val="006F41DF"/>
    <w:rsid w:val="006F6564"/>
    <w:rsid w:val="006F74DF"/>
    <w:rsid w:val="006F7A63"/>
    <w:rsid w:val="006F7C8B"/>
    <w:rsid w:val="00700BFD"/>
    <w:rsid w:val="00702C9C"/>
    <w:rsid w:val="00704BC7"/>
    <w:rsid w:val="00704E40"/>
    <w:rsid w:val="0070687A"/>
    <w:rsid w:val="00711C95"/>
    <w:rsid w:val="00712FCA"/>
    <w:rsid w:val="0071569F"/>
    <w:rsid w:val="007159F1"/>
    <w:rsid w:val="0072084E"/>
    <w:rsid w:val="007326C0"/>
    <w:rsid w:val="0073520C"/>
    <w:rsid w:val="007365DB"/>
    <w:rsid w:val="00744224"/>
    <w:rsid w:val="007447F1"/>
    <w:rsid w:val="007460AD"/>
    <w:rsid w:val="00750A4D"/>
    <w:rsid w:val="007517C5"/>
    <w:rsid w:val="00752462"/>
    <w:rsid w:val="007524D6"/>
    <w:rsid w:val="00755DBB"/>
    <w:rsid w:val="00761E1A"/>
    <w:rsid w:val="00763927"/>
    <w:rsid w:val="00772C66"/>
    <w:rsid w:val="00776C71"/>
    <w:rsid w:val="007873AC"/>
    <w:rsid w:val="007938D6"/>
    <w:rsid w:val="00796190"/>
    <w:rsid w:val="00796665"/>
    <w:rsid w:val="00797039"/>
    <w:rsid w:val="0079776D"/>
    <w:rsid w:val="007A2C5E"/>
    <w:rsid w:val="007A641F"/>
    <w:rsid w:val="007A7EB8"/>
    <w:rsid w:val="007B172D"/>
    <w:rsid w:val="007B39CF"/>
    <w:rsid w:val="007C4DA0"/>
    <w:rsid w:val="007C6603"/>
    <w:rsid w:val="007D1C42"/>
    <w:rsid w:val="007D4A8F"/>
    <w:rsid w:val="007D4EEE"/>
    <w:rsid w:val="007D55D5"/>
    <w:rsid w:val="007D6292"/>
    <w:rsid w:val="007D7430"/>
    <w:rsid w:val="007D78CA"/>
    <w:rsid w:val="007E0B27"/>
    <w:rsid w:val="007E1278"/>
    <w:rsid w:val="007E1E79"/>
    <w:rsid w:val="007F07C4"/>
    <w:rsid w:val="007F09E2"/>
    <w:rsid w:val="007F0F5A"/>
    <w:rsid w:val="007F3A68"/>
    <w:rsid w:val="007F3DEF"/>
    <w:rsid w:val="007F3F4B"/>
    <w:rsid w:val="007F3F8E"/>
    <w:rsid w:val="007F75F5"/>
    <w:rsid w:val="007F76E1"/>
    <w:rsid w:val="008005DA"/>
    <w:rsid w:val="0080519C"/>
    <w:rsid w:val="00807BBF"/>
    <w:rsid w:val="008115F6"/>
    <w:rsid w:val="008146BE"/>
    <w:rsid w:val="00814839"/>
    <w:rsid w:val="008163FE"/>
    <w:rsid w:val="00816BFA"/>
    <w:rsid w:val="00821925"/>
    <w:rsid w:val="00823815"/>
    <w:rsid w:val="00824793"/>
    <w:rsid w:val="00824B56"/>
    <w:rsid w:val="00834143"/>
    <w:rsid w:val="00837318"/>
    <w:rsid w:val="008414F4"/>
    <w:rsid w:val="0084371B"/>
    <w:rsid w:val="008459D6"/>
    <w:rsid w:val="00845C0E"/>
    <w:rsid w:val="00847523"/>
    <w:rsid w:val="0085052C"/>
    <w:rsid w:val="00851850"/>
    <w:rsid w:val="00853881"/>
    <w:rsid w:val="0085429F"/>
    <w:rsid w:val="008610C8"/>
    <w:rsid w:val="00861EEA"/>
    <w:rsid w:val="00867D1E"/>
    <w:rsid w:val="00867DC6"/>
    <w:rsid w:val="00867E16"/>
    <w:rsid w:val="00867F37"/>
    <w:rsid w:val="00872476"/>
    <w:rsid w:val="00873431"/>
    <w:rsid w:val="00873523"/>
    <w:rsid w:val="0087572D"/>
    <w:rsid w:val="00877CE7"/>
    <w:rsid w:val="008802FD"/>
    <w:rsid w:val="00880F36"/>
    <w:rsid w:val="008A295F"/>
    <w:rsid w:val="008A32EA"/>
    <w:rsid w:val="008B56B3"/>
    <w:rsid w:val="008B74B0"/>
    <w:rsid w:val="008B7557"/>
    <w:rsid w:val="008C0E35"/>
    <w:rsid w:val="008C2CA4"/>
    <w:rsid w:val="008C4513"/>
    <w:rsid w:val="008C5F38"/>
    <w:rsid w:val="008C6F07"/>
    <w:rsid w:val="008C7683"/>
    <w:rsid w:val="008C792B"/>
    <w:rsid w:val="008D0B4D"/>
    <w:rsid w:val="008D51F2"/>
    <w:rsid w:val="008D7CEB"/>
    <w:rsid w:val="008E0E13"/>
    <w:rsid w:val="008E155D"/>
    <w:rsid w:val="008E2E82"/>
    <w:rsid w:val="008E5A8B"/>
    <w:rsid w:val="008E631C"/>
    <w:rsid w:val="008F079D"/>
    <w:rsid w:val="008F0D04"/>
    <w:rsid w:val="008F2114"/>
    <w:rsid w:val="008F24E4"/>
    <w:rsid w:val="008F4063"/>
    <w:rsid w:val="008F4B64"/>
    <w:rsid w:val="008F661F"/>
    <w:rsid w:val="008F6CE9"/>
    <w:rsid w:val="00900AC0"/>
    <w:rsid w:val="009104AC"/>
    <w:rsid w:val="00911077"/>
    <w:rsid w:val="00913449"/>
    <w:rsid w:val="00913DE9"/>
    <w:rsid w:val="00915366"/>
    <w:rsid w:val="00915B79"/>
    <w:rsid w:val="0091600F"/>
    <w:rsid w:val="00920DF4"/>
    <w:rsid w:val="009212D3"/>
    <w:rsid w:val="00924EBA"/>
    <w:rsid w:val="00927A2E"/>
    <w:rsid w:val="00930EF6"/>
    <w:rsid w:val="009324B8"/>
    <w:rsid w:val="009351E8"/>
    <w:rsid w:val="00935DF7"/>
    <w:rsid w:val="00937864"/>
    <w:rsid w:val="009414B4"/>
    <w:rsid w:val="00945CFD"/>
    <w:rsid w:val="00953074"/>
    <w:rsid w:val="00954545"/>
    <w:rsid w:val="00956B4F"/>
    <w:rsid w:val="00960BD0"/>
    <w:rsid w:val="00964BE4"/>
    <w:rsid w:val="009657F2"/>
    <w:rsid w:val="00971F96"/>
    <w:rsid w:val="009734AA"/>
    <w:rsid w:val="00977EEC"/>
    <w:rsid w:val="0098594A"/>
    <w:rsid w:val="009876E0"/>
    <w:rsid w:val="00987E09"/>
    <w:rsid w:val="00991685"/>
    <w:rsid w:val="00992914"/>
    <w:rsid w:val="00994090"/>
    <w:rsid w:val="00995EC4"/>
    <w:rsid w:val="00996BFF"/>
    <w:rsid w:val="00996CBC"/>
    <w:rsid w:val="009973D7"/>
    <w:rsid w:val="00997408"/>
    <w:rsid w:val="009A15CA"/>
    <w:rsid w:val="009A341C"/>
    <w:rsid w:val="009A4EB6"/>
    <w:rsid w:val="009A63F6"/>
    <w:rsid w:val="009A772E"/>
    <w:rsid w:val="009B52D5"/>
    <w:rsid w:val="009B6781"/>
    <w:rsid w:val="009B6857"/>
    <w:rsid w:val="009B6C13"/>
    <w:rsid w:val="009B7017"/>
    <w:rsid w:val="009C00CB"/>
    <w:rsid w:val="009C4817"/>
    <w:rsid w:val="009C6910"/>
    <w:rsid w:val="009D1C74"/>
    <w:rsid w:val="009D251D"/>
    <w:rsid w:val="009D374D"/>
    <w:rsid w:val="009D4E8E"/>
    <w:rsid w:val="009D56D5"/>
    <w:rsid w:val="009D7ECE"/>
    <w:rsid w:val="009E1C9E"/>
    <w:rsid w:val="009E58B0"/>
    <w:rsid w:val="009E74AE"/>
    <w:rsid w:val="009F2535"/>
    <w:rsid w:val="009F37E7"/>
    <w:rsid w:val="009F4D27"/>
    <w:rsid w:val="009F545C"/>
    <w:rsid w:val="009F5944"/>
    <w:rsid w:val="009F5D6D"/>
    <w:rsid w:val="009F639A"/>
    <w:rsid w:val="00A03E8C"/>
    <w:rsid w:val="00A05810"/>
    <w:rsid w:val="00A16677"/>
    <w:rsid w:val="00A31E74"/>
    <w:rsid w:val="00A32A9D"/>
    <w:rsid w:val="00A3398B"/>
    <w:rsid w:val="00A33A5A"/>
    <w:rsid w:val="00A343E8"/>
    <w:rsid w:val="00A40188"/>
    <w:rsid w:val="00A42254"/>
    <w:rsid w:val="00A442DC"/>
    <w:rsid w:val="00A45FBB"/>
    <w:rsid w:val="00A460EF"/>
    <w:rsid w:val="00A51932"/>
    <w:rsid w:val="00A51F11"/>
    <w:rsid w:val="00A52450"/>
    <w:rsid w:val="00A52EFC"/>
    <w:rsid w:val="00A53CDC"/>
    <w:rsid w:val="00A601F9"/>
    <w:rsid w:val="00A60B93"/>
    <w:rsid w:val="00A65820"/>
    <w:rsid w:val="00A67259"/>
    <w:rsid w:val="00A70232"/>
    <w:rsid w:val="00A72B56"/>
    <w:rsid w:val="00A73818"/>
    <w:rsid w:val="00A8056B"/>
    <w:rsid w:val="00A80ED2"/>
    <w:rsid w:val="00A8155E"/>
    <w:rsid w:val="00A81E51"/>
    <w:rsid w:val="00A830EB"/>
    <w:rsid w:val="00A84F45"/>
    <w:rsid w:val="00A87FDC"/>
    <w:rsid w:val="00A900F6"/>
    <w:rsid w:val="00A91C87"/>
    <w:rsid w:val="00A970DE"/>
    <w:rsid w:val="00AA0A21"/>
    <w:rsid w:val="00AB0473"/>
    <w:rsid w:val="00AB156B"/>
    <w:rsid w:val="00AB38DA"/>
    <w:rsid w:val="00AB4096"/>
    <w:rsid w:val="00AB6530"/>
    <w:rsid w:val="00AC2B69"/>
    <w:rsid w:val="00AC4284"/>
    <w:rsid w:val="00AC767B"/>
    <w:rsid w:val="00AD0EB4"/>
    <w:rsid w:val="00AD308D"/>
    <w:rsid w:val="00AD786C"/>
    <w:rsid w:val="00AE2164"/>
    <w:rsid w:val="00AF1007"/>
    <w:rsid w:val="00AF1768"/>
    <w:rsid w:val="00AF2A51"/>
    <w:rsid w:val="00AF4268"/>
    <w:rsid w:val="00AF50F7"/>
    <w:rsid w:val="00AF53DB"/>
    <w:rsid w:val="00AF6F87"/>
    <w:rsid w:val="00B01062"/>
    <w:rsid w:val="00B0336F"/>
    <w:rsid w:val="00B05045"/>
    <w:rsid w:val="00B10189"/>
    <w:rsid w:val="00B153AD"/>
    <w:rsid w:val="00B20F75"/>
    <w:rsid w:val="00B23784"/>
    <w:rsid w:val="00B25C81"/>
    <w:rsid w:val="00B2746F"/>
    <w:rsid w:val="00B33ABC"/>
    <w:rsid w:val="00B368FB"/>
    <w:rsid w:val="00B4019C"/>
    <w:rsid w:val="00B42D21"/>
    <w:rsid w:val="00B446CB"/>
    <w:rsid w:val="00B459A4"/>
    <w:rsid w:val="00B53F86"/>
    <w:rsid w:val="00B54022"/>
    <w:rsid w:val="00B5545C"/>
    <w:rsid w:val="00B565CA"/>
    <w:rsid w:val="00B62704"/>
    <w:rsid w:val="00B64738"/>
    <w:rsid w:val="00B6500C"/>
    <w:rsid w:val="00B66392"/>
    <w:rsid w:val="00B72045"/>
    <w:rsid w:val="00B72A88"/>
    <w:rsid w:val="00B83542"/>
    <w:rsid w:val="00B83B90"/>
    <w:rsid w:val="00B8699B"/>
    <w:rsid w:val="00B876F3"/>
    <w:rsid w:val="00B90269"/>
    <w:rsid w:val="00B97179"/>
    <w:rsid w:val="00BA3321"/>
    <w:rsid w:val="00BA450D"/>
    <w:rsid w:val="00BA4E46"/>
    <w:rsid w:val="00BA739B"/>
    <w:rsid w:val="00BB072C"/>
    <w:rsid w:val="00BB313B"/>
    <w:rsid w:val="00BB6178"/>
    <w:rsid w:val="00BB792D"/>
    <w:rsid w:val="00BC447E"/>
    <w:rsid w:val="00BC4A4B"/>
    <w:rsid w:val="00BC5615"/>
    <w:rsid w:val="00BD365B"/>
    <w:rsid w:val="00BD7C29"/>
    <w:rsid w:val="00BE134A"/>
    <w:rsid w:val="00BE162D"/>
    <w:rsid w:val="00BF1CD4"/>
    <w:rsid w:val="00BF234F"/>
    <w:rsid w:val="00BF40D9"/>
    <w:rsid w:val="00BF51DD"/>
    <w:rsid w:val="00BF66BA"/>
    <w:rsid w:val="00C0002F"/>
    <w:rsid w:val="00C06C66"/>
    <w:rsid w:val="00C07076"/>
    <w:rsid w:val="00C07E3E"/>
    <w:rsid w:val="00C174C0"/>
    <w:rsid w:val="00C20F9F"/>
    <w:rsid w:val="00C20FC1"/>
    <w:rsid w:val="00C26E36"/>
    <w:rsid w:val="00C278E7"/>
    <w:rsid w:val="00C30729"/>
    <w:rsid w:val="00C33890"/>
    <w:rsid w:val="00C34898"/>
    <w:rsid w:val="00C37D26"/>
    <w:rsid w:val="00C41394"/>
    <w:rsid w:val="00C41F16"/>
    <w:rsid w:val="00C42DC2"/>
    <w:rsid w:val="00C45947"/>
    <w:rsid w:val="00C521EB"/>
    <w:rsid w:val="00C535F9"/>
    <w:rsid w:val="00C618FA"/>
    <w:rsid w:val="00C65318"/>
    <w:rsid w:val="00C6586C"/>
    <w:rsid w:val="00C73FD6"/>
    <w:rsid w:val="00C74207"/>
    <w:rsid w:val="00C770C0"/>
    <w:rsid w:val="00C80ABB"/>
    <w:rsid w:val="00C84B4F"/>
    <w:rsid w:val="00C86554"/>
    <w:rsid w:val="00C93CBD"/>
    <w:rsid w:val="00CA276C"/>
    <w:rsid w:val="00CA3FD3"/>
    <w:rsid w:val="00CB17F3"/>
    <w:rsid w:val="00CB36ED"/>
    <w:rsid w:val="00CB55CB"/>
    <w:rsid w:val="00CB6213"/>
    <w:rsid w:val="00CB7573"/>
    <w:rsid w:val="00CC1105"/>
    <w:rsid w:val="00CC26E0"/>
    <w:rsid w:val="00CC4D0A"/>
    <w:rsid w:val="00CD2448"/>
    <w:rsid w:val="00CD7FC0"/>
    <w:rsid w:val="00CE1F6C"/>
    <w:rsid w:val="00CE4247"/>
    <w:rsid w:val="00CE5CE8"/>
    <w:rsid w:val="00CE67FE"/>
    <w:rsid w:val="00CF1C59"/>
    <w:rsid w:val="00CF3539"/>
    <w:rsid w:val="00D03530"/>
    <w:rsid w:val="00D06EF9"/>
    <w:rsid w:val="00D16A9D"/>
    <w:rsid w:val="00D17733"/>
    <w:rsid w:val="00D22270"/>
    <w:rsid w:val="00D25A8F"/>
    <w:rsid w:val="00D33B46"/>
    <w:rsid w:val="00D40AB2"/>
    <w:rsid w:val="00D412F7"/>
    <w:rsid w:val="00D423FF"/>
    <w:rsid w:val="00D4264E"/>
    <w:rsid w:val="00D44FF5"/>
    <w:rsid w:val="00D51DDF"/>
    <w:rsid w:val="00D56268"/>
    <w:rsid w:val="00D60D47"/>
    <w:rsid w:val="00D62CBA"/>
    <w:rsid w:val="00D65E92"/>
    <w:rsid w:val="00D77F29"/>
    <w:rsid w:val="00D82012"/>
    <w:rsid w:val="00D8720F"/>
    <w:rsid w:val="00D923F5"/>
    <w:rsid w:val="00DA110D"/>
    <w:rsid w:val="00DA2788"/>
    <w:rsid w:val="00DA553E"/>
    <w:rsid w:val="00DB1722"/>
    <w:rsid w:val="00DC07F7"/>
    <w:rsid w:val="00DC0E32"/>
    <w:rsid w:val="00DC1B41"/>
    <w:rsid w:val="00DC57AF"/>
    <w:rsid w:val="00DC74CD"/>
    <w:rsid w:val="00DC7876"/>
    <w:rsid w:val="00DD0F4E"/>
    <w:rsid w:val="00DD1830"/>
    <w:rsid w:val="00DD354A"/>
    <w:rsid w:val="00DE1010"/>
    <w:rsid w:val="00DE27A9"/>
    <w:rsid w:val="00DF16BD"/>
    <w:rsid w:val="00DF7921"/>
    <w:rsid w:val="00E022A4"/>
    <w:rsid w:val="00E02F46"/>
    <w:rsid w:val="00E05CEF"/>
    <w:rsid w:val="00E078D8"/>
    <w:rsid w:val="00E10BEB"/>
    <w:rsid w:val="00E130D4"/>
    <w:rsid w:val="00E21709"/>
    <w:rsid w:val="00E21CEB"/>
    <w:rsid w:val="00E23741"/>
    <w:rsid w:val="00E249A0"/>
    <w:rsid w:val="00E30B63"/>
    <w:rsid w:val="00E30CB4"/>
    <w:rsid w:val="00E3144B"/>
    <w:rsid w:val="00E31F34"/>
    <w:rsid w:val="00E370C3"/>
    <w:rsid w:val="00E37428"/>
    <w:rsid w:val="00E40763"/>
    <w:rsid w:val="00E40B13"/>
    <w:rsid w:val="00E417B5"/>
    <w:rsid w:val="00E44BBB"/>
    <w:rsid w:val="00E44EB9"/>
    <w:rsid w:val="00E4678C"/>
    <w:rsid w:val="00E473EA"/>
    <w:rsid w:val="00E5147C"/>
    <w:rsid w:val="00E51D3B"/>
    <w:rsid w:val="00E531B7"/>
    <w:rsid w:val="00E54FC6"/>
    <w:rsid w:val="00E557CF"/>
    <w:rsid w:val="00E57FCE"/>
    <w:rsid w:val="00E62724"/>
    <w:rsid w:val="00E62E59"/>
    <w:rsid w:val="00E630B8"/>
    <w:rsid w:val="00E72E40"/>
    <w:rsid w:val="00E754AB"/>
    <w:rsid w:val="00E77D85"/>
    <w:rsid w:val="00E805DD"/>
    <w:rsid w:val="00E8348A"/>
    <w:rsid w:val="00E837CC"/>
    <w:rsid w:val="00E84E84"/>
    <w:rsid w:val="00E87701"/>
    <w:rsid w:val="00E90A2A"/>
    <w:rsid w:val="00E90CD6"/>
    <w:rsid w:val="00E91770"/>
    <w:rsid w:val="00E92837"/>
    <w:rsid w:val="00E9360C"/>
    <w:rsid w:val="00E95115"/>
    <w:rsid w:val="00EA2F53"/>
    <w:rsid w:val="00EA49AD"/>
    <w:rsid w:val="00EA50AA"/>
    <w:rsid w:val="00EA54D3"/>
    <w:rsid w:val="00EA5ACD"/>
    <w:rsid w:val="00EA5B5B"/>
    <w:rsid w:val="00EA6EEB"/>
    <w:rsid w:val="00EB19C6"/>
    <w:rsid w:val="00EB3443"/>
    <w:rsid w:val="00EB499E"/>
    <w:rsid w:val="00EB58C0"/>
    <w:rsid w:val="00EB7729"/>
    <w:rsid w:val="00EC1872"/>
    <w:rsid w:val="00EC2204"/>
    <w:rsid w:val="00EC3417"/>
    <w:rsid w:val="00EC3CB3"/>
    <w:rsid w:val="00EC59B8"/>
    <w:rsid w:val="00EC6094"/>
    <w:rsid w:val="00ED0BEE"/>
    <w:rsid w:val="00ED5808"/>
    <w:rsid w:val="00ED62C9"/>
    <w:rsid w:val="00EE0423"/>
    <w:rsid w:val="00EE0741"/>
    <w:rsid w:val="00EE2BB6"/>
    <w:rsid w:val="00EE4AFD"/>
    <w:rsid w:val="00EE62E6"/>
    <w:rsid w:val="00EE6C51"/>
    <w:rsid w:val="00EF17A5"/>
    <w:rsid w:val="00EF3617"/>
    <w:rsid w:val="00EF60B2"/>
    <w:rsid w:val="00F0030B"/>
    <w:rsid w:val="00F00CFE"/>
    <w:rsid w:val="00F05D6C"/>
    <w:rsid w:val="00F12A42"/>
    <w:rsid w:val="00F12C47"/>
    <w:rsid w:val="00F20668"/>
    <w:rsid w:val="00F20AE0"/>
    <w:rsid w:val="00F23A0C"/>
    <w:rsid w:val="00F24E82"/>
    <w:rsid w:val="00F32756"/>
    <w:rsid w:val="00F40807"/>
    <w:rsid w:val="00F41628"/>
    <w:rsid w:val="00F445CA"/>
    <w:rsid w:val="00F63099"/>
    <w:rsid w:val="00F643A2"/>
    <w:rsid w:val="00F66280"/>
    <w:rsid w:val="00F75856"/>
    <w:rsid w:val="00F84119"/>
    <w:rsid w:val="00F87D21"/>
    <w:rsid w:val="00F97EA1"/>
    <w:rsid w:val="00FA0884"/>
    <w:rsid w:val="00FA42F8"/>
    <w:rsid w:val="00FA7C9F"/>
    <w:rsid w:val="00FB2339"/>
    <w:rsid w:val="00FB38C5"/>
    <w:rsid w:val="00FC006A"/>
    <w:rsid w:val="00FC1050"/>
    <w:rsid w:val="00FC3339"/>
    <w:rsid w:val="00FC403C"/>
    <w:rsid w:val="00FC451F"/>
    <w:rsid w:val="00FC5AA5"/>
    <w:rsid w:val="00FC5B15"/>
    <w:rsid w:val="00FD0E16"/>
    <w:rsid w:val="00FD398D"/>
    <w:rsid w:val="00FD3D65"/>
    <w:rsid w:val="00FE0517"/>
    <w:rsid w:val="00FE1B5B"/>
    <w:rsid w:val="00FE4A86"/>
    <w:rsid w:val="00FE4F32"/>
    <w:rsid w:val="00FE7FB6"/>
    <w:rsid w:val="00FF2B31"/>
    <w:rsid w:val="00FF36DA"/>
    <w:rsid w:val="00FF36FA"/>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2F1B36"/>
  <w15:chartTrackingRefBased/>
  <w15:docId w15:val="{FF75ED98-CB43-7642-A654-85E547204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7D85"/>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9973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973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973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973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973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973D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973D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973D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973D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73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973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973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973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973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973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973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973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973D7"/>
    <w:rPr>
      <w:rFonts w:eastAsiaTheme="majorEastAsia" w:cstheme="majorBidi"/>
      <w:color w:val="272727" w:themeColor="text1" w:themeTint="D8"/>
    </w:rPr>
  </w:style>
  <w:style w:type="paragraph" w:styleId="Title">
    <w:name w:val="Title"/>
    <w:basedOn w:val="Normal"/>
    <w:next w:val="Normal"/>
    <w:link w:val="TitleChar"/>
    <w:uiPriority w:val="10"/>
    <w:qFormat/>
    <w:rsid w:val="009973D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973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973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973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973D7"/>
    <w:pPr>
      <w:spacing w:before="160"/>
      <w:jc w:val="center"/>
    </w:pPr>
    <w:rPr>
      <w:i/>
      <w:iCs/>
      <w:color w:val="404040" w:themeColor="text1" w:themeTint="BF"/>
    </w:rPr>
  </w:style>
  <w:style w:type="character" w:customStyle="1" w:styleId="QuoteChar">
    <w:name w:val="Quote Char"/>
    <w:basedOn w:val="DefaultParagraphFont"/>
    <w:link w:val="Quote"/>
    <w:uiPriority w:val="29"/>
    <w:rsid w:val="009973D7"/>
    <w:rPr>
      <w:i/>
      <w:iCs/>
      <w:color w:val="404040" w:themeColor="text1" w:themeTint="BF"/>
    </w:rPr>
  </w:style>
  <w:style w:type="paragraph" w:styleId="ListParagraph">
    <w:name w:val="List Paragraph"/>
    <w:basedOn w:val="Normal"/>
    <w:uiPriority w:val="34"/>
    <w:qFormat/>
    <w:rsid w:val="009973D7"/>
    <w:pPr>
      <w:ind w:left="720"/>
      <w:contextualSpacing/>
    </w:pPr>
  </w:style>
  <w:style w:type="character" w:styleId="IntenseEmphasis">
    <w:name w:val="Intense Emphasis"/>
    <w:basedOn w:val="DefaultParagraphFont"/>
    <w:uiPriority w:val="21"/>
    <w:qFormat/>
    <w:rsid w:val="009973D7"/>
    <w:rPr>
      <w:i/>
      <w:iCs/>
      <w:color w:val="0F4761" w:themeColor="accent1" w:themeShade="BF"/>
    </w:rPr>
  </w:style>
  <w:style w:type="paragraph" w:styleId="IntenseQuote">
    <w:name w:val="Intense Quote"/>
    <w:basedOn w:val="Normal"/>
    <w:next w:val="Normal"/>
    <w:link w:val="IntenseQuoteChar"/>
    <w:uiPriority w:val="30"/>
    <w:qFormat/>
    <w:rsid w:val="009973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973D7"/>
    <w:rPr>
      <w:i/>
      <w:iCs/>
      <w:color w:val="0F4761" w:themeColor="accent1" w:themeShade="BF"/>
    </w:rPr>
  </w:style>
  <w:style w:type="character" w:styleId="IntenseReference">
    <w:name w:val="Intense Reference"/>
    <w:basedOn w:val="DefaultParagraphFont"/>
    <w:uiPriority w:val="32"/>
    <w:qFormat/>
    <w:rsid w:val="009973D7"/>
    <w:rPr>
      <w:b/>
      <w:bCs/>
      <w:smallCaps/>
      <w:color w:val="0F4761" w:themeColor="accent1" w:themeShade="BF"/>
      <w:spacing w:val="5"/>
    </w:rPr>
  </w:style>
  <w:style w:type="character" w:styleId="Hyperlink">
    <w:name w:val="Hyperlink"/>
    <w:basedOn w:val="DefaultParagraphFont"/>
    <w:uiPriority w:val="99"/>
    <w:unhideWhenUsed/>
    <w:rsid w:val="009973D7"/>
    <w:rPr>
      <w:color w:val="467886"/>
      <w:u w:val="single"/>
    </w:rPr>
  </w:style>
  <w:style w:type="character" w:styleId="UnresolvedMention">
    <w:name w:val="Unresolved Mention"/>
    <w:basedOn w:val="DefaultParagraphFont"/>
    <w:uiPriority w:val="99"/>
    <w:semiHidden/>
    <w:unhideWhenUsed/>
    <w:rsid w:val="009973D7"/>
    <w:rPr>
      <w:color w:val="605E5C"/>
      <w:shd w:val="clear" w:color="auto" w:fill="E1DFDD"/>
    </w:rPr>
  </w:style>
  <w:style w:type="character" w:styleId="CommentReference">
    <w:name w:val="annotation reference"/>
    <w:basedOn w:val="DefaultParagraphFont"/>
    <w:uiPriority w:val="99"/>
    <w:semiHidden/>
    <w:unhideWhenUsed/>
    <w:rsid w:val="009973D7"/>
    <w:rPr>
      <w:sz w:val="16"/>
      <w:szCs w:val="16"/>
    </w:rPr>
  </w:style>
  <w:style w:type="paragraph" w:styleId="CommentText">
    <w:name w:val="annotation text"/>
    <w:basedOn w:val="Normal"/>
    <w:link w:val="CommentTextChar"/>
    <w:uiPriority w:val="99"/>
    <w:unhideWhenUsed/>
    <w:rsid w:val="009973D7"/>
    <w:rPr>
      <w:sz w:val="20"/>
      <w:szCs w:val="20"/>
    </w:rPr>
  </w:style>
  <w:style w:type="character" w:customStyle="1" w:styleId="CommentTextChar">
    <w:name w:val="Comment Text Char"/>
    <w:basedOn w:val="DefaultParagraphFont"/>
    <w:link w:val="CommentText"/>
    <w:uiPriority w:val="99"/>
    <w:rsid w:val="009973D7"/>
    <w:rPr>
      <w:sz w:val="20"/>
      <w:szCs w:val="20"/>
    </w:rPr>
  </w:style>
  <w:style w:type="paragraph" w:styleId="CommentSubject">
    <w:name w:val="annotation subject"/>
    <w:basedOn w:val="CommentText"/>
    <w:next w:val="CommentText"/>
    <w:link w:val="CommentSubjectChar"/>
    <w:uiPriority w:val="99"/>
    <w:semiHidden/>
    <w:unhideWhenUsed/>
    <w:rsid w:val="009973D7"/>
    <w:rPr>
      <w:b/>
      <w:bCs/>
    </w:rPr>
  </w:style>
  <w:style w:type="character" w:customStyle="1" w:styleId="CommentSubjectChar">
    <w:name w:val="Comment Subject Char"/>
    <w:basedOn w:val="CommentTextChar"/>
    <w:link w:val="CommentSubject"/>
    <w:uiPriority w:val="99"/>
    <w:semiHidden/>
    <w:rsid w:val="009973D7"/>
    <w:rPr>
      <w:b/>
      <w:bCs/>
      <w:sz w:val="20"/>
      <w:szCs w:val="20"/>
    </w:rPr>
  </w:style>
  <w:style w:type="table" w:styleId="TableGrid">
    <w:name w:val="Table Grid"/>
    <w:basedOn w:val="TableNormal"/>
    <w:uiPriority w:val="39"/>
    <w:rsid w:val="004D51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EF60B2"/>
    <w:rPr>
      <w:b/>
      <w:bCs/>
    </w:rPr>
  </w:style>
  <w:style w:type="character" w:styleId="Emphasis">
    <w:name w:val="Emphasis"/>
    <w:basedOn w:val="DefaultParagraphFont"/>
    <w:uiPriority w:val="20"/>
    <w:qFormat/>
    <w:rsid w:val="00EF60B2"/>
    <w:rPr>
      <w:i/>
      <w:iCs/>
    </w:rPr>
  </w:style>
  <w:style w:type="table" w:styleId="GridTable1Light">
    <w:name w:val="Grid Table 1 Light"/>
    <w:basedOn w:val="TableNormal"/>
    <w:uiPriority w:val="46"/>
    <w:rsid w:val="005D093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5D093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054D68"/>
    <w:rPr>
      <w:color w:val="800080"/>
      <w:u w:val="single"/>
    </w:rPr>
  </w:style>
  <w:style w:type="paragraph" w:customStyle="1" w:styleId="msonormal0">
    <w:name w:val="msonormal"/>
    <w:basedOn w:val="Normal"/>
    <w:rsid w:val="00054D68"/>
    <w:pPr>
      <w:spacing w:before="100" w:beforeAutospacing="1" w:after="100" w:afterAutospacing="1"/>
    </w:pPr>
  </w:style>
  <w:style w:type="paragraph" w:customStyle="1" w:styleId="xl63">
    <w:name w:val="xl63"/>
    <w:basedOn w:val="Normal"/>
    <w:rsid w:val="00054D68"/>
    <w:pPr>
      <w:spacing w:before="100" w:beforeAutospacing="1" w:after="100" w:afterAutospacing="1"/>
      <w:jc w:val="center"/>
    </w:pPr>
    <w:rPr>
      <w:b/>
      <w:bCs/>
    </w:rPr>
  </w:style>
  <w:style w:type="paragraph" w:styleId="Bibliography">
    <w:name w:val="Bibliography"/>
    <w:basedOn w:val="Normal"/>
    <w:next w:val="Normal"/>
    <w:uiPriority w:val="37"/>
    <w:unhideWhenUsed/>
    <w:rsid w:val="009B7017"/>
    <w:pPr>
      <w:tabs>
        <w:tab w:val="left" w:pos="380"/>
      </w:tabs>
      <w:spacing w:line="480" w:lineRule="auto"/>
      <w:ind w:left="720" w:hanging="720"/>
    </w:pPr>
  </w:style>
  <w:style w:type="paragraph" w:styleId="NormalWeb">
    <w:name w:val="Normal (Web)"/>
    <w:basedOn w:val="Normal"/>
    <w:uiPriority w:val="99"/>
    <w:unhideWhenUsed/>
    <w:rsid w:val="006E0A9A"/>
    <w:pPr>
      <w:spacing w:before="100" w:beforeAutospacing="1" w:after="100" w:afterAutospacing="1"/>
    </w:pPr>
  </w:style>
  <w:style w:type="paragraph" w:customStyle="1" w:styleId="EndNoteBibliographyTitle">
    <w:name w:val="EndNote Bibliography Title"/>
    <w:basedOn w:val="Normal"/>
    <w:link w:val="EndNoteBibliographyTitleChar"/>
    <w:rsid w:val="00712FCA"/>
    <w:pPr>
      <w:jc w:val="center"/>
    </w:pPr>
  </w:style>
  <w:style w:type="character" w:customStyle="1" w:styleId="EndNoteBibliographyTitleChar">
    <w:name w:val="EndNote Bibliography Title Char"/>
    <w:basedOn w:val="DefaultParagraphFont"/>
    <w:link w:val="EndNoteBibliographyTitle"/>
    <w:rsid w:val="00712FCA"/>
    <w:rPr>
      <w:rFonts w:ascii="Times New Roman" w:eastAsia="Times New Roman" w:hAnsi="Times New Roman" w:cs="Times New Roman"/>
      <w:kern w:val="0"/>
      <w14:ligatures w14:val="none"/>
    </w:rPr>
  </w:style>
  <w:style w:type="paragraph" w:customStyle="1" w:styleId="EndNoteBibliography">
    <w:name w:val="EndNote Bibliography"/>
    <w:basedOn w:val="Normal"/>
    <w:link w:val="EndNoteBibliographyChar"/>
    <w:rsid w:val="00712FCA"/>
  </w:style>
  <w:style w:type="character" w:customStyle="1" w:styleId="EndNoteBibliographyChar">
    <w:name w:val="EndNote Bibliography Char"/>
    <w:basedOn w:val="DefaultParagraphFont"/>
    <w:link w:val="EndNoteBibliography"/>
    <w:rsid w:val="00712FCA"/>
    <w:rPr>
      <w:rFonts w:ascii="Times New Roman" w:eastAsia="Times New Roman" w:hAnsi="Times New Roman" w:cs="Times New Roman"/>
      <w:kern w:val="0"/>
      <w14:ligatures w14:val="none"/>
    </w:rPr>
  </w:style>
  <w:style w:type="character" w:styleId="PlaceholderText">
    <w:name w:val="Placeholder Text"/>
    <w:basedOn w:val="DefaultParagraphFont"/>
    <w:uiPriority w:val="99"/>
    <w:semiHidden/>
    <w:rsid w:val="00712FCA"/>
    <w:rPr>
      <w:color w:val="666666"/>
    </w:rPr>
  </w:style>
  <w:style w:type="paragraph" w:styleId="Revision">
    <w:name w:val="Revision"/>
    <w:hidden/>
    <w:uiPriority w:val="99"/>
    <w:semiHidden/>
    <w:rsid w:val="007524D6"/>
    <w:pPr>
      <w:spacing w:after="0" w:line="240" w:lineRule="auto"/>
    </w:pPr>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EE62E6"/>
    <w:pPr>
      <w:tabs>
        <w:tab w:val="center" w:pos="4680"/>
        <w:tab w:val="right" w:pos="9360"/>
      </w:tabs>
    </w:pPr>
  </w:style>
  <w:style w:type="character" w:customStyle="1" w:styleId="FooterChar">
    <w:name w:val="Footer Char"/>
    <w:basedOn w:val="DefaultParagraphFont"/>
    <w:link w:val="Footer"/>
    <w:uiPriority w:val="99"/>
    <w:rsid w:val="00EE62E6"/>
    <w:rPr>
      <w:rFonts w:ascii="Times New Roman" w:eastAsia="Times New Roman" w:hAnsi="Times New Roman" w:cs="Times New Roman"/>
      <w:kern w:val="0"/>
      <w14:ligatures w14:val="none"/>
    </w:rPr>
  </w:style>
  <w:style w:type="character" w:styleId="PageNumber">
    <w:name w:val="page number"/>
    <w:basedOn w:val="DefaultParagraphFont"/>
    <w:uiPriority w:val="99"/>
    <w:semiHidden/>
    <w:unhideWhenUsed/>
    <w:rsid w:val="00EE62E6"/>
  </w:style>
  <w:style w:type="table" w:styleId="GridTable1Light-Accent1">
    <w:name w:val="Grid Table 1 Light Accent 1"/>
    <w:basedOn w:val="TableNormal"/>
    <w:uiPriority w:val="46"/>
    <w:rsid w:val="008610C8"/>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character" w:customStyle="1" w:styleId="stratlabel">
    <w:name w:val="stratlabel"/>
    <w:basedOn w:val="DefaultParagraphFont"/>
    <w:rsid w:val="00A51F11"/>
  </w:style>
  <w:style w:type="character" w:customStyle="1" w:styleId="stratn">
    <w:name w:val="stratn"/>
    <w:basedOn w:val="DefaultParagraphFont"/>
    <w:rsid w:val="00A51F11"/>
  </w:style>
  <w:style w:type="character" w:customStyle="1" w:styleId="varlabel">
    <w:name w:val="varlabel"/>
    <w:basedOn w:val="DefaultParagraphFont"/>
    <w:rsid w:val="00A51F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332798">
      <w:bodyDiv w:val="1"/>
      <w:marLeft w:val="0"/>
      <w:marRight w:val="0"/>
      <w:marTop w:val="0"/>
      <w:marBottom w:val="0"/>
      <w:divBdr>
        <w:top w:val="none" w:sz="0" w:space="0" w:color="auto"/>
        <w:left w:val="none" w:sz="0" w:space="0" w:color="auto"/>
        <w:bottom w:val="none" w:sz="0" w:space="0" w:color="auto"/>
        <w:right w:val="none" w:sz="0" w:space="0" w:color="auto"/>
      </w:divBdr>
    </w:div>
    <w:div w:id="1508708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phealth.ucsf.edu/app/xcell" TargetMode="External"/><Relationship Id="rId13" Type="http://schemas.openxmlformats.org/officeDocument/2006/relationships/image" Target="media/image4.png"/><Relationship Id="rId18" Type="http://schemas.openxmlformats.org/officeDocument/2006/relationships/image" Target="media/image9.emf"/><Relationship Id="rId3" Type="http://schemas.openxmlformats.org/officeDocument/2006/relationships/settings" Target="settings.xml"/><Relationship Id="rId21" Type="http://schemas.openxmlformats.org/officeDocument/2006/relationships/hyperlink" Target="https://www.bioinformatics.babraham.ac.uk/projects/fastqc/" TargetMode="External"/><Relationship Id="rId7" Type="http://schemas.openxmlformats.org/officeDocument/2006/relationships/hyperlink" Target="https://cdn.clinicaltrials.gov/large-docs/99/NCT00088699/Prot_SAP_000.pdf" TargetMode="External"/><Relationship Id="rId12" Type="http://schemas.openxmlformats.org/officeDocument/2006/relationships/image" Target="media/image3.png"/><Relationship Id="rId17" Type="http://schemas.openxmlformats.org/officeDocument/2006/relationships/image" Target="media/image8.em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doi:10.18112/openneuro.ds005917.v1.0.1" TargetMode="External"/><Relationship Id="rId14" Type="http://schemas.openxmlformats.org/officeDocument/2006/relationships/image" Target="media/image5.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98D2E9-8693-D748-AE7C-E71FD483A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34</Pages>
  <Words>25894</Words>
  <Characters>147600</Characters>
  <Application>Microsoft Office Word</Application>
  <DocSecurity>0</DocSecurity>
  <Lines>1230</Lines>
  <Paragraphs>346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Gregory (NIH/NIMH) [E]</dc:creator>
  <cp:keywords/>
  <dc:description/>
  <cp:lastModifiedBy>Jones,Gregory H</cp:lastModifiedBy>
  <cp:revision>16</cp:revision>
  <cp:lastPrinted>2026-03-11T14:26:00Z</cp:lastPrinted>
  <dcterms:created xsi:type="dcterms:W3CDTF">2026-06-17T20:29:00Z</dcterms:created>
  <dcterms:modified xsi:type="dcterms:W3CDTF">2026-06-19T14:19:00Z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id="YUNyPmxQ"/&gt;&lt;style id="http://www.zotero.org/styles/zotero-to-endnote-title" locale="en-US" hasBibliography="1" bibliographyStyleHasBeenSet="1"/&gt;&lt;prefs&gt;&lt;pref name="fieldType" value="Field"/&gt;&lt;/pref</vt:lpwstr>
  </property>
  <property fmtid="{D5CDD505-2E9C-101B-9397-08002B2CF9AE}" pid="3" name="ZOTERO_PREF_2">
    <vt:lpwstr>s&gt;&lt;/data&gt;</vt:lpwstr>
  </property>
</Properties>
</file>