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C4E24" w14:textId="2F85E550" w:rsidR="344D0502" w:rsidRPr="00B43EF8" w:rsidRDefault="298467C0" w:rsidP="344D0502">
      <w:pPr>
        <w:spacing w:after="0"/>
      </w:pPr>
      <w:r>
        <w:rPr>
          <w:noProof/>
        </w:rPr>
        <w:drawing>
          <wp:inline distT="0" distB="0" distL="0" distR="0" wp14:anchorId="29857E02" wp14:editId="2F1A01EC">
            <wp:extent cx="5943600" cy="4629150"/>
            <wp:effectExtent l="0" t="0" r="0" b="0"/>
            <wp:docPr id="6098756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756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A47F3" w14:textId="4FF91764" w:rsidR="547C883D" w:rsidRDefault="00D20279" w:rsidP="004855F1">
      <w:pPr>
        <w:spacing w:after="0"/>
        <w:jc w:val="both"/>
        <w:rPr>
          <w:rFonts w:ascii="Aptos" w:eastAsia="Aptos" w:hAnsi="Aptos" w:cs="Aptos"/>
          <w:sz w:val="20"/>
          <w:szCs w:val="20"/>
        </w:rPr>
      </w:pPr>
      <w:r>
        <w:rPr>
          <w:rFonts w:ascii="Aptos" w:eastAsia="Aptos" w:hAnsi="Aptos" w:cs="Aptos"/>
          <w:b/>
          <w:bCs/>
          <w:sz w:val="20"/>
          <w:szCs w:val="20"/>
        </w:rPr>
        <w:t xml:space="preserve">Supplementary </w:t>
      </w:r>
      <w:r w:rsidR="547C883D" w:rsidRPr="344D0502">
        <w:rPr>
          <w:rFonts w:ascii="Aptos" w:eastAsia="Aptos" w:hAnsi="Aptos" w:cs="Aptos"/>
          <w:b/>
          <w:bCs/>
          <w:sz w:val="20"/>
          <w:szCs w:val="20"/>
        </w:rPr>
        <w:t xml:space="preserve">Figure </w:t>
      </w:r>
      <w:r w:rsidR="009A66AE">
        <w:rPr>
          <w:rFonts w:ascii="Aptos" w:eastAsia="Aptos" w:hAnsi="Aptos" w:cs="Aptos"/>
          <w:b/>
          <w:bCs/>
          <w:sz w:val="20"/>
          <w:szCs w:val="20"/>
        </w:rPr>
        <w:t>2</w:t>
      </w:r>
      <w:r w:rsidR="547C883D" w:rsidRPr="344D0502">
        <w:rPr>
          <w:rFonts w:ascii="Aptos" w:eastAsia="Aptos" w:hAnsi="Aptos" w:cs="Aptos"/>
          <w:b/>
          <w:bCs/>
          <w:sz w:val="20"/>
          <w:szCs w:val="20"/>
        </w:rPr>
        <w:t>.</w:t>
      </w:r>
      <w:r w:rsidR="547C883D" w:rsidRPr="344D0502">
        <w:rPr>
          <w:rFonts w:ascii="Aptos" w:eastAsia="Aptos" w:hAnsi="Aptos" w:cs="Aptos"/>
          <w:sz w:val="20"/>
          <w:szCs w:val="20"/>
        </w:rPr>
        <w:t xml:space="preserve"> (a) Representative 2D J-resolved 1 H MRS data recorded </w:t>
      </w:r>
      <w:r w:rsidR="62F66E16" w:rsidRPr="344D0502">
        <w:rPr>
          <w:rFonts w:ascii="Aptos" w:eastAsia="Aptos" w:hAnsi="Aptos" w:cs="Aptos"/>
          <w:sz w:val="20"/>
          <w:szCs w:val="20"/>
        </w:rPr>
        <w:t xml:space="preserve">in vivo </w:t>
      </w:r>
      <w:r w:rsidR="547C883D" w:rsidRPr="344D0502">
        <w:rPr>
          <w:rFonts w:ascii="Aptos" w:eastAsia="Aptos" w:hAnsi="Aptos" w:cs="Aptos"/>
          <w:sz w:val="20"/>
          <w:szCs w:val="20"/>
        </w:rPr>
        <w:t>from</w:t>
      </w:r>
      <w:r w:rsidR="2F430325" w:rsidRPr="344D0502">
        <w:rPr>
          <w:rFonts w:ascii="Aptos" w:eastAsia="Aptos" w:hAnsi="Aptos" w:cs="Aptos"/>
          <w:sz w:val="20"/>
          <w:szCs w:val="20"/>
        </w:rPr>
        <w:t xml:space="preserve"> the </w:t>
      </w:r>
      <w:proofErr w:type="spellStart"/>
      <w:r w:rsidR="2F430325" w:rsidRPr="344D0502">
        <w:rPr>
          <w:rFonts w:ascii="Aptos" w:eastAsia="Aptos" w:hAnsi="Aptos" w:cs="Aptos"/>
          <w:sz w:val="20"/>
          <w:szCs w:val="20"/>
        </w:rPr>
        <w:t>mPFC</w:t>
      </w:r>
      <w:proofErr w:type="spellEnd"/>
      <w:r w:rsidR="2F430325" w:rsidRPr="344D0502">
        <w:rPr>
          <w:rFonts w:ascii="Aptos" w:eastAsia="Aptos" w:hAnsi="Aptos" w:cs="Aptos"/>
          <w:sz w:val="20"/>
          <w:szCs w:val="20"/>
        </w:rPr>
        <w:t xml:space="preserve"> of</w:t>
      </w:r>
      <w:r w:rsidR="547C883D" w:rsidRPr="344D0502">
        <w:rPr>
          <w:rFonts w:ascii="Aptos" w:eastAsia="Aptos" w:hAnsi="Aptos" w:cs="Aptos"/>
          <w:sz w:val="20"/>
          <w:szCs w:val="20"/>
        </w:rPr>
        <w:t xml:space="preserve"> a single healthy control </w:t>
      </w:r>
      <w:r w:rsidR="005E1628">
        <w:rPr>
          <w:rFonts w:ascii="Aptos" w:eastAsia="Aptos" w:hAnsi="Aptos" w:cs="Aptos"/>
          <w:sz w:val="20"/>
          <w:szCs w:val="20"/>
        </w:rPr>
        <w:t>participant</w:t>
      </w:r>
      <w:r w:rsidR="547C883D" w:rsidRPr="344D0502">
        <w:rPr>
          <w:rFonts w:ascii="Aptos" w:eastAsia="Aptos" w:hAnsi="Aptos" w:cs="Aptos"/>
          <w:sz w:val="20"/>
          <w:szCs w:val="20"/>
        </w:rPr>
        <w:t xml:space="preserve">. The expanded spectral region (chemical shift: 1.0 – 4.1 ppm, J: ±32.5 Hz) is shown for visualization purposes. (b) The 2D spectral fit as generated using the </w:t>
      </w:r>
      <w:proofErr w:type="spellStart"/>
      <w:r w:rsidR="547C883D" w:rsidRPr="344D0502">
        <w:rPr>
          <w:rFonts w:ascii="Aptos" w:eastAsia="Aptos" w:hAnsi="Aptos" w:cs="Aptos"/>
          <w:sz w:val="20"/>
          <w:szCs w:val="20"/>
        </w:rPr>
        <w:t>ProFit</w:t>
      </w:r>
      <w:proofErr w:type="spellEnd"/>
      <w:r w:rsidR="547C883D" w:rsidRPr="344D0502">
        <w:rPr>
          <w:rFonts w:ascii="Aptos" w:eastAsia="Aptos" w:hAnsi="Aptos" w:cs="Aptos"/>
          <w:sz w:val="20"/>
          <w:szCs w:val="20"/>
        </w:rPr>
        <w:t xml:space="preserve"> software. The </w:t>
      </w:r>
      <w:proofErr w:type="spellStart"/>
      <w:r w:rsidR="547C883D" w:rsidRPr="344D0502">
        <w:rPr>
          <w:rFonts w:ascii="Aptos" w:eastAsia="Aptos" w:hAnsi="Aptos" w:cs="Aptos"/>
          <w:sz w:val="20"/>
          <w:szCs w:val="20"/>
        </w:rPr>
        <w:t>colorbars</w:t>
      </w:r>
      <w:proofErr w:type="spellEnd"/>
      <w:r w:rsidR="547C883D" w:rsidRPr="344D0502">
        <w:rPr>
          <w:rFonts w:ascii="Aptos" w:eastAsia="Aptos" w:hAnsi="Aptos" w:cs="Aptos"/>
          <w:sz w:val="20"/>
          <w:szCs w:val="20"/>
        </w:rPr>
        <w:t xml:space="preserve"> presented in (a) and (b) display the colormap used and indicate the mapping of contour data values into the colormap. </w:t>
      </w:r>
      <w:r w:rsidR="00C2326D" w:rsidRPr="00C2326D">
        <w:rPr>
          <w:rFonts w:ascii="Aptos" w:eastAsia="Aptos" w:hAnsi="Aptos" w:cs="Aptos"/>
          <w:sz w:val="20"/>
          <w:szCs w:val="20"/>
        </w:rPr>
        <w:t>(c) The individual 2D spectral fits for GABA, glutamine, glutamate, and glycine, along with </w:t>
      </w:r>
      <w:r w:rsidR="00C2326D" w:rsidRPr="00C2326D">
        <w:rPr>
          <w:rFonts w:ascii="Aptos" w:eastAsia="Aptos" w:hAnsi="Aptos" w:cs="Aptos"/>
          <w:i/>
          <w:iCs/>
          <w:sz w:val="20"/>
          <w:szCs w:val="20"/>
        </w:rPr>
        <w:t>myo</w:t>
      </w:r>
      <w:r w:rsidR="00C2326D" w:rsidRPr="00C2326D">
        <w:rPr>
          <w:rFonts w:ascii="Aptos" w:eastAsia="Aptos" w:hAnsi="Aptos" w:cs="Aptos"/>
          <w:sz w:val="20"/>
          <w:szCs w:val="20"/>
        </w:rPr>
        <w:t xml:space="preserve">-inositol, creatine and NAA (included as they represent the dominant overlapping signals pertinent to the target metabolites) directly extracted from </w:t>
      </w:r>
      <w:proofErr w:type="spellStart"/>
      <w:r w:rsidR="00C2326D" w:rsidRPr="00C2326D">
        <w:rPr>
          <w:rFonts w:ascii="Aptos" w:eastAsia="Aptos" w:hAnsi="Aptos" w:cs="Aptos"/>
          <w:sz w:val="20"/>
          <w:szCs w:val="20"/>
        </w:rPr>
        <w:t>ProFit</w:t>
      </w:r>
      <w:proofErr w:type="spellEnd"/>
      <w:r w:rsidR="00C2326D" w:rsidRPr="00C2326D">
        <w:rPr>
          <w:rFonts w:ascii="Aptos" w:eastAsia="Aptos" w:hAnsi="Aptos" w:cs="Aptos"/>
          <w:sz w:val="20"/>
          <w:szCs w:val="20"/>
        </w:rPr>
        <w:t xml:space="preserve"> spectral fitting.</w:t>
      </w:r>
      <w:r w:rsidR="00C2326D">
        <w:rPr>
          <w:rFonts w:ascii="Aptos" w:eastAsia="Aptos" w:hAnsi="Aptos" w:cs="Aptos"/>
          <w:sz w:val="20"/>
          <w:szCs w:val="20"/>
        </w:rPr>
        <w:t xml:space="preserve"> </w:t>
      </w:r>
      <w:r w:rsidR="547C883D" w:rsidRPr="344D0502">
        <w:rPr>
          <w:rFonts w:ascii="Aptos" w:eastAsia="Aptos" w:hAnsi="Aptos" w:cs="Aptos"/>
          <w:sz w:val="20"/>
          <w:szCs w:val="20"/>
        </w:rPr>
        <w:t xml:space="preserve">The color key is provided to aid identification of each of the metabolites presented. Identical 2D contouring was used to present all data shown for the 2D plots in (a) - (c). The single row extracted from </w:t>
      </w:r>
      <w:r w:rsidR="547C883D" w:rsidRPr="344D0502">
        <w:rPr>
          <w:rFonts w:ascii="Aptos" w:eastAsia="Aptos" w:hAnsi="Aptos" w:cs="Aptos"/>
          <w:i/>
          <w:iCs/>
          <w:sz w:val="20"/>
          <w:szCs w:val="20"/>
        </w:rPr>
        <w:t xml:space="preserve">J = </w:t>
      </w:r>
      <w:r w:rsidR="547C883D" w:rsidRPr="344D0502">
        <w:rPr>
          <w:rFonts w:ascii="Aptos" w:eastAsia="Aptos" w:hAnsi="Aptos" w:cs="Aptos"/>
          <w:sz w:val="20"/>
          <w:szCs w:val="20"/>
        </w:rPr>
        <w:t>0 Hz of plot (c) is presented in plot (d) and is presented using the same color coding shown in plot (c).</w:t>
      </w:r>
      <w:r w:rsidR="18DAE60D" w:rsidRPr="344D0502">
        <w:rPr>
          <w:rFonts w:ascii="Aptos" w:eastAsia="Aptos" w:hAnsi="Aptos" w:cs="Aptos"/>
          <w:sz w:val="20"/>
          <w:szCs w:val="20"/>
        </w:rPr>
        <w:t xml:space="preserve"> </w:t>
      </w:r>
    </w:p>
    <w:p w14:paraId="387BD68E" w14:textId="0147EB5C" w:rsidR="344D0502" w:rsidRDefault="344D0502" w:rsidP="344D0502">
      <w:pPr>
        <w:spacing w:after="0"/>
        <w:rPr>
          <w:rFonts w:ascii="Aptos" w:eastAsia="Aptos" w:hAnsi="Aptos" w:cs="Aptos"/>
          <w:sz w:val="20"/>
          <w:szCs w:val="20"/>
        </w:rPr>
      </w:pPr>
    </w:p>
    <w:p w14:paraId="6D1789A9" w14:textId="3AE1A6E1" w:rsidR="344D0502" w:rsidRDefault="344D0502" w:rsidP="344D0502"/>
    <w:p w14:paraId="3D557AF0" w14:textId="39915FE3" w:rsidR="344D0502" w:rsidRDefault="344D0502" w:rsidP="344D0502"/>
    <w:p w14:paraId="2BA3D3DA" w14:textId="4C60571B" w:rsidR="344D0502" w:rsidRDefault="344D0502" w:rsidP="344D0502"/>
    <w:p w14:paraId="131E88E8" w14:textId="35C3B6EA" w:rsidR="344D0502" w:rsidRDefault="344D0502" w:rsidP="344D0502"/>
    <w:p w14:paraId="25333951" w14:textId="1D6247DE" w:rsidR="344D0502" w:rsidRDefault="344D0502" w:rsidP="344D0502"/>
    <w:p w14:paraId="7F561D60" w14:textId="360425EF" w:rsidR="344D0502" w:rsidRDefault="5B1F76ED" w:rsidP="344D0502">
      <w:pPr>
        <w:spacing w:after="0"/>
        <w:rPr>
          <w:rFonts w:ascii="Aptos" w:eastAsia="Aptos" w:hAnsi="Aptos" w:cs="Aptos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D22E893" wp14:editId="2CC920E4">
            <wp:extent cx="5943600" cy="4629150"/>
            <wp:effectExtent l="0" t="0" r="0" b="0"/>
            <wp:docPr id="71325540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5540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633FD" w14:textId="6E799C30" w:rsidR="547C883D" w:rsidRDefault="00D20279" w:rsidP="00B43EF8">
      <w:pPr>
        <w:spacing w:after="0"/>
        <w:jc w:val="both"/>
        <w:rPr>
          <w:rFonts w:ascii="Aptos" w:eastAsia="Aptos" w:hAnsi="Aptos" w:cs="Aptos"/>
          <w:sz w:val="20"/>
          <w:szCs w:val="20"/>
        </w:rPr>
      </w:pPr>
      <w:r>
        <w:rPr>
          <w:rFonts w:ascii="Aptos" w:eastAsia="Aptos" w:hAnsi="Aptos" w:cs="Aptos"/>
          <w:b/>
          <w:bCs/>
          <w:sz w:val="20"/>
          <w:szCs w:val="20"/>
        </w:rPr>
        <w:t xml:space="preserve">Supplementary </w:t>
      </w:r>
      <w:r w:rsidR="547C883D" w:rsidRPr="344D0502">
        <w:rPr>
          <w:rFonts w:ascii="Aptos" w:eastAsia="Aptos" w:hAnsi="Aptos" w:cs="Aptos"/>
          <w:b/>
          <w:bCs/>
          <w:sz w:val="20"/>
          <w:szCs w:val="20"/>
        </w:rPr>
        <w:t xml:space="preserve">Figure </w:t>
      </w:r>
      <w:r w:rsidR="009A66AE">
        <w:rPr>
          <w:rFonts w:ascii="Aptos" w:eastAsia="Aptos" w:hAnsi="Aptos" w:cs="Aptos"/>
          <w:b/>
          <w:bCs/>
          <w:sz w:val="20"/>
          <w:szCs w:val="20"/>
        </w:rPr>
        <w:t>3</w:t>
      </w:r>
      <w:r w:rsidR="547C883D" w:rsidRPr="344D0502">
        <w:rPr>
          <w:rFonts w:ascii="Aptos" w:eastAsia="Aptos" w:hAnsi="Aptos" w:cs="Aptos"/>
          <w:b/>
          <w:bCs/>
          <w:sz w:val="20"/>
          <w:szCs w:val="20"/>
        </w:rPr>
        <w:t>.</w:t>
      </w:r>
      <w:r w:rsidR="547C883D" w:rsidRPr="344D0502">
        <w:rPr>
          <w:rFonts w:ascii="Aptos" w:eastAsia="Aptos" w:hAnsi="Aptos" w:cs="Aptos"/>
          <w:sz w:val="20"/>
          <w:szCs w:val="20"/>
        </w:rPr>
        <w:t xml:space="preserve"> </w:t>
      </w:r>
      <w:r w:rsidR="4D051296" w:rsidRPr="344D0502">
        <w:rPr>
          <w:rFonts w:ascii="Aptos" w:eastAsia="Aptos" w:hAnsi="Aptos" w:cs="Aptos"/>
          <w:sz w:val="20"/>
          <w:szCs w:val="20"/>
        </w:rPr>
        <w:t xml:space="preserve">(a) Representative 2D J-resolved 1 H MRS data recorded in vivo from the </w:t>
      </w:r>
      <w:r w:rsidR="5ACD0163" w:rsidRPr="344D0502">
        <w:rPr>
          <w:rFonts w:ascii="Aptos" w:eastAsia="Aptos" w:hAnsi="Aptos" w:cs="Aptos"/>
          <w:sz w:val="20"/>
          <w:szCs w:val="20"/>
        </w:rPr>
        <w:t xml:space="preserve">DLPFC </w:t>
      </w:r>
      <w:r w:rsidR="4D051296" w:rsidRPr="344D0502">
        <w:rPr>
          <w:rFonts w:ascii="Aptos" w:eastAsia="Aptos" w:hAnsi="Aptos" w:cs="Aptos"/>
          <w:sz w:val="20"/>
          <w:szCs w:val="20"/>
        </w:rPr>
        <w:t xml:space="preserve">of a single healthy control </w:t>
      </w:r>
      <w:r w:rsidR="00B43EF8">
        <w:rPr>
          <w:rFonts w:ascii="Aptos" w:eastAsia="Aptos" w:hAnsi="Aptos" w:cs="Aptos"/>
          <w:sz w:val="20"/>
          <w:szCs w:val="20"/>
        </w:rPr>
        <w:t>participant</w:t>
      </w:r>
      <w:r w:rsidR="4D051296" w:rsidRPr="344D0502">
        <w:rPr>
          <w:rFonts w:ascii="Aptos" w:eastAsia="Aptos" w:hAnsi="Aptos" w:cs="Aptos"/>
          <w:sz w:val="20"/>
          <w:szCs w:val="20"/>
        </w:rPr>
        <w:t xml:space="preserve">. The expanded spectral region (chemical shift: 1.0 – 4.1 ppm, J: ±32.5 Hz) is shown for visualization purposes. (b) The 2D spectral fit as generated using the </w:t>
      </w:r>
      <w:proofErr w:type="spellStart"/>
      <w:r w:rsidR="4D051296" w:rsidRPr="344D0502">
        <w:rPr>
          <w:rFonts w:ascii="Aptos" w:eastAsia="Aptos" w:hAnsi="Aptos" w:cs="Aptos"/>
          <w:sz w:val="20"/>
          <w:szCs w:val="20"/>
        </w:rPr>
        <w:t>ProFit</w:t>
      </w:r>
      <w:proofErr w:type="spellEnd"/>
      <w:r w:rsidR="4D051296" w:rsidRPr="344D0502">
        <w:rPr>
          <w:rFonts w:ascii="Aptos" w:eastAsia="Aptos" w:hAnsi="Aptos" w:cs="Aptos"/>
          <w:sz w:val="20"/>
          <w:szCs w:val="20"/>
        </w:rPr>
        <w:t xml:space="preserve"> software. The </w:t>
      </w:r>
      <w:proofErr w:type="spellStart"/>
      <w:r w:rsidR="4D051296" w:rsidRPr="344D0502">
        <w:rPr>
          <w:rFonts w:ascii="Aptos" w:eastAsia="Aptos" w:hAnsi="Aptos" w:cs="Aptos"/>
          <w:sz w:val="20"/>
          <w:szCs w:val="20"/>
        </w:rPr>
        <w:t>colorbars</w:t>
      </w:r>
      <w:proofErr w:type="spellEnd"/>
      <w:r w:rsidR="4D051296" w:rsidRPr="344D0502">
        <w:rPr>
          <w:rFonts w:ascii="Aptos" w:eastAsia="Aptos" w:hAnsi="Aptos" w:cs="Aptos"/>
          <w:sz w:val="20"/>
          <w:szCs w:val="20"/>
        </w:rPr>
        <w:t xml:space="preserve"> presented in (a) and (b) display the colormap used and indicate the mapping of contour data values into the colormap. </w:t>
      </w:r>
      <w:r w:rsidR="004855F1" w:rsidRPr="004855F1">
        <w:rPr>
          <w:rFonts w:ascii="Aptos" w:eastAsia="Aptos" w:hAnsi="Aptos" w:cs="Aptos"/>
          <w:sz w:val="20"/>
          <w:szCs w:val="20"/>
        </w:rPr>
        <w:t>(c) The individual 2D spectral fits for GABA, glutamine, glutamate, and glycine, along with </w:t>
      </w:r>
      <w:r w:rsidR="004855F1" w:rsidRPr="004855F1">
        <w:rPr>
          <w:rFonts w:ascii="Aptos" w:eastAsia="Aptos" w:hAnsi="Aptos" w:cs="Aptos"/>
          <w:i/>
          <w:iCs/>
          <w:sz w:val="20"/>
          <w:szCs w:val="20"/>
        </w:rPr>
        <w:t>myo</w:t>
      </w:r>
      <w:r w:rsidR="004855F1" w:rsidRPr="004855F1">
        <w:rPr>
          <w:rFonts w:ascii="Aptos" w:eastAsia="Aptos" w:hAnsi="Aptos" w:cs="Aptos"/>
          <w:sz w:val="20"/>
          <w:szCs w:val="20"/>
        </w:rPr>
        <w:t xml:space="preserve">-inositol, creatine and NAA (included as they represent the dominant overlapping signals pertinent to the target metabolites) directly extracted from </w:t>
      </w:r>
      <w:proofErr w:type="spellStart"/>
      <w:r w:rsidR="004855F1" w:rsidRPr="004855F1">
        <w:rPr>
          <w:rFonts w:ascii="Aptos" w:eastAsia="Aptos" w:hAnsi="Aptos" w:cs="Aptos"/>
          <w:sz w:val="20"/>
          <w:szCs w:val="20"/>
        </w:rPr>
        <w:t>ProFit</w:t>
      </w:r>
      <w:proofErr w:type="spellEnd"/>
      <w:r w:rsidR="004855F1" w:rsidRPr="004855F1">
        <w:rPr>
          <w:rFonts w:ascii="Aptos" w:eastAsia="Aptos" w:hAnsi="Aptos" w:cs="Aptos"/>
          <w:sz w:val="20"/>
          <w:szCs w:val="20"/>
        </w:rPr>
        <w:t xml:space="preserve"> spectral fitting.</w:t>
      </w:r>
      <w:r w:rsidR="004855F1">
        <w:rPr>
          <w:rFonts w:ascii="Aptos" w:eastAsia="Aptos" w:hAnsi="Aptos" w:cs="Aptos"/>
          <w:sz w:val="20"/>
          <w:szCs w:val="20"/>
        </w:rPr>
        <w:t xml:space="preserve"> </w:t>
      </w:r>
      <w:r w:rsidR="4D051296" w:rsidRPr="344D0502">
        <w:rPr>
          <w:rFonts w:ascii="Aptos" w:eastAsia="Aptos" w:hAnsi="Aptos" w:cs="Aptos"/>
          <w:sz w:val="20"/>
          <w:szCs w:val="20"/>
        </w:rPr>
        <w:t xml:space="preserve">The color key is provided to aid identification of each of the metabolites presented. Identical 2D contouring was used to present all data shown for the 2D plots in (a) - (c). The single row extracted from </w:t>
      </w:r>
      <w:r w:rsidR="4D051296" w:rsidRPr="344D0502">
        <w:rPr>
          <w:rFonts w:ascii="Aptos" w:eastAsia="Aptos" w:hAnsi="Aptos" w:cs="Aptos"/>
          <w:i/>
          <w:iCs/>
          <w:sz w:val="20"/>
          <w:szCs w:val="20"/>
        </w:rPr>
        <w:t xml:space="preserve">J = </w:t>
      </w:r>
      <w:r w:rsidR="4D051296" w:rsidRPr="344D0502">
        <w:rPr>
          <w:rFonts w:ascii="Aptos" w:eastAsia="Aptos" w:hAnsi="Aptos" w:cs="Aptos"/>
          <w:sz w:val="20"/>
          <w:szCs w:val="20"/>
        </w:rPr>
        <w:t>0 Hz of plot (c) is presented in plot (d) and is presented using the same color coding shown in plot (c).</w:t>
      </w:r>
    </w:p>
    <w:p w14:paraId="454D2D9B" w14:textId="1132525E" w:rsidR="344D0502" w:rsidRDefault="344D0502" w:rsidP="344D0502">
      <w:pPr>
        <w:spacing w:after="0"/>
        <w:rPr>
          <w:rFonts w:ascii="Aptos" w:eastAsia="Aptos" w:hAnsi="Aptos" w:cs="Aptos"/>
          <w:sz w:val="20"/>
          <w:szCs w:val="20"/>
        </w:rPr>
      </w:pPr>
    </w:p>
    <w:p w14:paraId="111F2CBA" w14:textId="026D0DB7" w:rsidR="344D0502" w:rsidRDefault="344D0502" w:rsidP="344D0502"/>
    <w:p w14:paraId="1CBD7E65" w14:textId="77777777" w:rsidR="00D32475" w:rsidRDefault="00D32475" w:rsidP="344D0502"/>
    <w:p w14:paraId="10293F21" w14:textId="77777777" w:rsidR="00D32475" w:rsidRDefault="00D32475" w:rsidP="344D0502"/>
    <w:p w14:paraId="372409C9" w14:textId="77777777" w:rsidR="00D32475" w:rsidRDefault="00D32475" w:rsidP="344D0502"/>
    <w:p w14:paraId="2AD386F3" w14:textId="5ABCADC5" w:rsidR="344D0502" w:rsidRDefault="344D0502" w:rsidP="344D0502"/>
    <w:sectPr w:rsidR="344D0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691C0A"/>
    <w:rsid w:val="00096139"/>
    <w:rsid w:val="00253AE2"/>
    <w:rsid w:val="004855F1"/>
    <w:rsid w:val="005E1628"/>
    <w:rsid w:val="00846FB0"/>
    <w:rsid w:val="00857363"/>
    <w:rsid w:val="009A66AE"/>
    <w:rsid w:val="00AD66D0"/>
    <w:rsid w:val="00B30630"/>
    <w:rsid w:val="00B34368"/>
    <w:rsid w:val="00B43EF8"/>
    <w:rsid w:val="00C2326D"/>
    <w:rsid w:val="00D20279"/>
    <w:rsid w:val="00D32475"/>
    <w:rsid w:val="011EB1EC"/>
    <w:rsid w:val="014297A3"/>
    <w:rsid w:val="03433C1D"/>
    <w:rsid w:val="0390749E"/>
    <w:rsid w:val="06F19B3E"/>
    <w:rsid w:val="094E6469"/>
    <w:rsid w:val="0A053C6D"/>
    <w:rsid w:val="0BC5E5E5"/>
    <w:rsid w:val="0D349E2A"/>
    <w:rsid w:val="130BA562"/>
    <w:rsid w:val="13ECA40E"/>
    <w:rsid w:val="14897EB5"/>
    <w:rsid w:val="16BB72B2"/>
    <w:rsid w:val="1855EB49"/>
    <w:rsid w:val="18DAE60D"/>
    <w:rsid w:val="18F2D226"/>
    <w:rsid w:val="1902F43C"/>
    <w:rsid w:val="1B8DF585"/>
    <w:rsid w:val="1C0CBA69"/>
    <w:rsid w:val="1FA81C01"/>
    <w:rsid w:val="215F67BB"/>
    <w:rsid w:val="24428CB5"/>
    <w:rsid w:val="254AC31F"/>
    <w:rsid w:val="298467C0"/>
    <w:rsid w:val="2A3CC4EE"/>
    <w:rsid w:val="2ABF477C"/>
    <w:rsid w:val="2CE24F28"/>
    <w:rsid w:val="2D3DF840"/>
    <w:rsid w:val="2D9DA89C"/>
    <w:rsid w:val="2F430325"/>
    <w:rsid w:val="325EEA3D"/>
    <w:rsid w:val="32AE6B9B"/>
    <w:rsid w:val="33F88B77"/>
    <w:rsid w:val="344D0502"/>
    <w:rsid w:val="349A4FC8"/>
    <w:rsid w:val="3594C944"/>
    <w:rsid w:val="3A0792B1"/>
    <w:rsid w:val="3EB28FF6"/>
    <w:rsid w:val="3F5D0AE8"/>
    <w:rsid w:val="432F4D18"/>
    <w:rsid w:val="444908B9"/>
    <w:rsid w:val="482C25DC"/>
    <w:rsid w:val="4D051296"/>
    <w:rsid w:val="5015E12F"/>
    <w:rsid w:val="515EB4F8"/>
    <w:rsid w:val="51E85F91"/>
    <w:rsid w:val="547C883D"/>
    <w:rsid w:val="5634EB9E"/>
    <w:rsid w:val="57AE942E"/>
    <w:rsid w:val="59EBA183"/>
    <w:rsid w:val="5ACD0163"/>
    <w:rsid w:val="5B1F76ED"/>
    <w:rsid w:val="5C87087B"/>
    <w:rsid w:val="60A58459"/>
    <w:rsid w:val="62F66E16"/>
    <w:rsid w:val="63B3F316"/>
    <w:rsid w:val="650802A8"/>
    <w:rsid w:val="659105FE"/>
    <w:rsid w:val="6786888F"/>
    <w:rsid w:val="68B76EF7"/>
    <w:rsid w:val="6D62B8EE"/>
    <w:rsid w:val="707CEF1E"/>
    <w:rsid w:val="72CAFA5B"/>
    <w:rsid w:val="750D69C4"/>
    <w:rsid w:val="765FAB4D"/>
    <w:rsid w:val="78691C0A"/>
    <w:rsid w:val="7D583A6D"/>
    <w:rsid w:val="7D8D9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91C0A"/>
  <w15:chartTrackingRefBased/>
  <w15:docId w15:val="{2C9BFCEB-65FA-4CBD-A369-B610BB16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Prescot</dc:creator>
  <cp:keywords/>
  <dc:description/>
  <cp:lastModifiedBy>Jim Prisciandaro</cp:lastModifiedBy>
  <cp:revision>11</cp:revision>
  <dcterms:created xsi:type="dcterms:W3CDTF">2025-11-13T21:09:00Z</dcterms:created>
  <dcterms:modified xsi:type="dcterms:W3CDTF">2026-02-07T19:50:00Z</dcterms:modified>
</cp:coreProperties>
</file>