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BEE90" w14:textId="3B82CB65" w:rsidR="00E76926" w:rsidRPr="00F17FC9" w:rsidRDefault="005E7183" w:rsidP="0046390B">
      <w:pPr>
        <w:rPr>
          <w:rFonts w:ascii="Times New Roman" w:eastAsia="Apto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23C1B4F0" wp14:editId="1F8E13CD">
            <wp:extent cx="5943600" cy="2959735"/>
            <wp:effectExtent l="0" t="0" r="0" b="0"/>
            <wp:docPr id="10565405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40506" name="Picture 10565405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6926" w:rsidRPr="00F17FC9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 xml:space="preserve">Supplemental Fig 1. AIE-induced loss of PAP-synaptic proximity in adulthood replicated in 3D astrocyte reconstruction method. a. </w:t>
      </w:r>
      <w:r w:rsidR="006A39DA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Representative images of control astrocyte surface rendering (Lck-GFP, green) and PSD-95(magenta) </w:t>
      </w:r>
      <w:r w:rsidR="00A662E8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top left image, top right: astrocyte surface rendering (Lck-GFP, green) with PSD-95 (magenta) within 0.5 µm of the astrocyte and PSD-97 not colocalized </w:t>
      </w:r>
      <w:r w:rsidR="00B658C5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(red)</w:t>
      </w:r>
      <w:r w:rsidR="00A662E8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658C5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bottom left image: PSD-95 (magenta) within 0.5 µm of the astrocyte surface rendering (Lck-GFP, green): </w:t>
      </w:r>
      <w:r w:rsidR="00A662E8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bottom right image is isolated PSD-95 (magenta) that is colocalized with the astrocyte of interest. </w:t>
      </w:r>
      <w:r w:rsidR="006A39DA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Scale bar= 10 µm.</w:t>
      </w:r>
      <w:r w:rsidR="006A39DA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76926" w:rsidRPr="00F17FC9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 xml:space="preserve">b. </w:t>
      </w:r>
      <w:r w:rsidR="00B658C5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>Quantification of puncta/astrocyte volume (puncta/µm</w:t>
      </w:r>
      <w:r w:rsidR="00B658C5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B658C5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). </w:t>
      </w:r>
      <w:r w:rsidR="00AE78E2" w:rsidRPr="00F17FC9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 xml:space="preserve">c. </w:t>
      </w:r>
      <w:r w:rsidR="00AE78E2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>Quantification of astrocyte volume (µm</w:t>
      </w:r>
      <w:r w:rsidR="00AE78E2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AE78E2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>). (</w:t>
      </w:r>
      <w:r w:rsidR="00B658C5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Data </w:t>
      </w:r>
      <w:r w:rsidR="00E76926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are presented as violin plots and include the distribution of individual data points. </w:t>
      </w:r>
      <w:r w:rsidR="00B658C5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Analysis: unpaired t-test, n = 6-10 astrocytes/animal, 6-8 x 80 µm image stacks/slide, 2 slices/animal, 4 animals/treatment group. </w:t>
      </w:r>
    </w:p>
    <w:p w14:paraId="09817438" w14:textId="1FB54FC7" w:rsidR="0046390B" w:rsidRPr="00F17FC9" w:rsidRDefault="005E7183" w:rsidP="0046390B">
      <w:pPr>
        <w:rPr>
          <w:rFonts w:ascii="Times New Roman" w:eastAsia="Apto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09C248BB" wp14:editId="638C7C6B">
            <wp:extent cx="5943600" cy="2098040"/>
            <wp:effectExtent l="0" t="0" r="0" b="0"/>
            <wp:docPr id="610730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73073" name="Picture 610730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390B" w:rsidRPr="00F17FC9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 xml:space="preserve">Supplemental Fig </w:t>
      </w:r>
      <w:r w:rsidR="00E76926" w:rsidRPr="00F17FC9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>2</w:t>
      </w:r>
      <w:r w:rsidR="0046390B" w:rsidRPr="00F17FC9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 xml:space="preserve">. AIE-induced loss of PAP-synaptic proximity in adulthood is not due to a loss of excitatory synapses. a. </w:t>
      </w:r>
      <w:r w:rsidR="0046390B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>Representative images of dHipp pre-synaptic bassoon (green), post-synaptic PSD95 (magenta), and colocalized bassoon-PSD95 (white; white arrows) under H</w:t>
      </w:r>
      <w:r w:rsidR="0046390B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46390B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O and AIE conditions, during abstinence (PND 72). Scale bars = 2 µm. </w:t>
      </w:r>
      <w:r w:rsidR="0046390B" w:rsidRPr="00F17FC9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 xml:space="preserve">b-d. </w:t>
      </w:r>
      <w:r w:rsidR="0046390B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>Quantification of pre-synaptic bassoon, post-synaptic PSD95,</w:t>
      </w:r>
      <w:r w:rsidR="00CF396D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 and co-localization</w:t>
      </w:r>
      <w:r w:rsidR="0046390B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. Data are presented as violin plots and include the distribution of individual data points. Analysis: unpaired t-tests. All data are </w:t>
      </w:r>
      <w:r w:rsidR="0046390B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lastRenderedPageBreak/>
        <w:t xml:space="preserve">presented as average puncta count/image. n=3 x 15 µm image stacks/slide, 2 slices/animal, 6 animals/treatment group. </w:t>
      </w:r>
    </w:p>
    <w:p w14:paraId="46543CB8" w14:textId="1BCBA002" w:rsidR="0046390B" w:rsidRPr="00F17FC9" w:rsidRDefault="005E7183" w:rsidP="0046390B">
      <w:pPr>
        <w:rPr>
          <w:rFonts w:ascii="Times New Roman" w:eastAsia="Apto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6DC61CE7" wp14:editId="6888CF7A">
            <wp:extent cx="5943600" cy="3095625"/>
            <wp:effectExtent l="0" t="0" r="0" b="3175"/>
            <wp:docPr id="17787373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737367" name="Picture 177873736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390B" w:rsidRPr="00F17FC9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 xml:space="preserve">Supplemental Fig </w:t>
      </w:r>
      <w:r w:rsidR="00E76926" w:rsidRPr="00F17FC9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>3</w:t>
      </w:r>
      <w:r w:rsidR="0046390B" w:rsidRPr="00F17FC9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 xml:space="preserve">. AIE-induced loss of PAP-synaptic proximity in adulthood is not due to a loss of PAPs, but AIE does increase VGLUT1 expression. a. </w:t>
      </w:r>
      <w:r w:rsidR="0046390B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>Representative images of dHipp PAP marker Ezrin (red) and VGLUT1 (blue) pre-synaptic excitatory vesicular marker under H</w:t>
      </w:r>
      <w:r w:rsidR="0046390B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46390B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O and AIE conditions, following abstinence (PND 72). Scale bars = 2 µm. </w:t>
      </w:r>
      <w:r w:rsidR="0046390B" w:rsidRPr="00F17FC9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</w:rPr>
        <w:t xml:space="preserve">b-c. </w:t>
      </w:r>
      <w:r w:rsidR="0046390B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Quantification of </w:t>
      </w:r>
      <w:r w:rsidR="005878C9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VGLUT1 and </w:t>
      </w:r>
      <w:r w:rsidR="0046390B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Ezrin </w:t>
      </w:r>
      <w:r w:rsidR="005878C9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>puncta</w:t>
      </w:r>
      <w:r w:rsidR="0046390B" w:rsidRPr="00F17FC9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. Data are presented as violin plots and include the distribution of individual data points. Analysis: unpaired t-tests. All data are presented as average puncta count/image. n=3 x 15 µm image stacks/slide, 2 slices/animal, 6 animals/treatment group. </w:t>
      </w:r>
    </w:p>
    <w:p w14:paraId="28AA3769" w14:textId="52502AED" w:rsidR="0046390B" w:rsidRPr="00F17FC9" w:rsidRDefault="005E7183" w:rsidP="004639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688BB5F7" wp14:editId="5AA78AE8">
            <wp:extent cx="5943600" cy="2219570"/>
            <wp:effectExtent l="0" t="0" r="0" b="3175"/>
            <wp:docPr id="18549320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932066" name="Picture 185493206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9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Supplemental Fig </w:t>
      </w:r>
      <w:r w:rsidR="00E76926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Impaired astrocyte responsivity to neuronal stimulation is not due to the internalization of glutamatergic receptors. a.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 images of astrocyte surface rendering (Lck-GFP, green) and internalized mGluR2/3 (magenta), and mGluR5 (cyan) in the dHipp following AIE in adulthood. Scale bar= 5, 20 µm.</w:t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272D6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E272D6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Quantification </w:t>
      </w:r>
      <w:r w:rsidR="00C33B28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7819CE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glutamate transporter and receptor expression after AIE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Data are presented as violin plots representing the 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distribution of individual data points. Analysis: unpaired t-tests, n = 6-10 astrocytes/animal, 6-8 x 80 µm image stacks/slide, 2 slices/animal, 6 animals/treatment group. </w:t>
      </w:r>
    </w:p>
    <w:p w14:paraId="51D913FD" w14:textId="5C693CED" w:rsidR="00C24D3B" w:rsidRPr="00F17FC9" w:rsidRDefault="005E7183" w:rsidP="004639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4C5345F6" wp14:editId="2E49A765">
            <wp:extent cx="5943600" cy="1741805"/>
            <wp:effectExtent l="0" t="0" r="0" b="0"/>
            <wp:docPr id="10351025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102585" name="Picture 10351025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4D3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Supplemental Fig 5. Astrocyte-specific GCaMP6f and iGluSnFr Summary. </w:t>
      </w:r>
      <w:proofErr w:type="gramStart"/>
      <w:r w:rsidR="00C24D3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a,</w:t>
      </w:r>
      <w:proofErr w:type="gramEnd"/>
      <w:r w:rsidR="00C24D3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b.</w:t>
      </w:r>
      <w:r w:rsidR="00C24D3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Table representing the ΔF/F values</w:t>
      </w:r>
      <w:r w:rsidR="00BB1266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(z-score)</w:t>
      </w:r>
      <w:r w:rsidR="00C24D3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obtained from the astrocyte-specific GCaMP6f and iGluSnFr in response to neuronal stimulation in Schaffer Collaterals of CA1 dHipp. </w:t>
      </w:r>
      <w:r w:rsidR="00C24D3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c.</w:t>
      </w:r>
      <w:r w:rsidR="000E2104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E2104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C24D3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oding performed on the</w:t>
      </w:r>
      <w:r w:rsidR="00C24D3B" w:rsidRPr="00F17FC9">
        <w:rPr>
          <w:color w:val="000000" w:themeColor="text1"/>
        </w:rPr>
        <w:t xml:space="preserve"> </w:t>
      </w:r>
      <w:r w:rsidR="00C24D3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raw fluorescence that was normalized to account for </w:t>
      </w:r>
      <w:r w:rsidR="000E2104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photo</w:t>
      </w:r>
      <w:r w:rsidR="00C24D3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bleaching by calculating the ΔF/F (z-score) and </w:t>
      </w:r>
      <w:r w:rsidR="000E2104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00C24D3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determine changes in fluorescent intensity.</w:t>
      </w:r>
    </w:p>
    <w:p w14:paraId="463369C1" w14:textId="3F3F1055" w:rsidR="00F17FC9" w:rsidRDefault="00F17FC9" w:rsidP="004639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B548FF" w14:textId="4EE09C62" w:rsidR="009E6CEE" w:rsidRDefault="005E7183" w:rsidP="004639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19DC2F00" wp14:editId="778E6F1D">
            <wp:extent cx="3200400" cy="2438400"/>
            <wp:effectExtent l="0" t="0" r="0" b="0"/>
            <wp:docPr id="15539606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960637" name="Picture 155396063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D2F5E" w14:textId="1FE19272" w:rsidR="008550C9" w:rsidRPr="00F17FC9" w:rsidRDefault="008550C9" w:rsidP="004639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Supplemental Fig </w:t>
      </w:r>
      <w:r w:rsidR="00C24D3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</w:t>
      </w:r>
      <w:r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AIE did not alter expression of Kir 4.1 in the hippocampus. a. </w:t>
      </w:r>
      <w:r w:rsidR="00203188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AIE-induced changes in Kir 4.1 expression. </w:t>
      </w:r>
      <w:r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Representative images of Western blot probing for Kir4.1 in </w:t>
      </w:r>
      <w:r w:rsidR="000E2104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synaptosome isolated </w:t>
      </w:r>
      <w:r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lysates prepared from Hipp tissue</w:t>
      </w:r>
      <w:r w:rsidR="00673BFC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No AIE-induced changes in Kir 4.1 expression. Analysis: unpaired t-tests, n=5 animals/treatment group.</w:t>
      </w:r>
    </w:p>
    <w:p w14:paraId="251C8572" w14:textId="631E12F2" w:rsidR="0046390B" w:rsidRPr="00F17FC9" w:rsidRDefault="005E7183" w:rsidP="0046390B">
      <w:pPr>
        <w:rPr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9C5C892" wp14:editId="7C7A369F">
            <wp:extent cx="5943600" cy="3467100"/>
            <wp:effectExtent l="0" t="0" r="0" b="0"/>
            <wp:docPr id="15281851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185158" name="Picture 152818515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Supplemental Fig </w:t>
      </w:r>
      <w:r w:rsidR="00C24D3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CNO produces no off-target behavioral effects in the contextual fear acquisition, open field, or light-dark</w:t>
      </w:r>
      <w:r w:rsidR="001D140D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tasks</w:t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O+hM3Dq+SAL, H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O+LCK.GFAP+CNO and H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O+LCK.GFAP+SAL groups were assessed to ensure that there were no viral or CNO off-target effects. </w:t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a. 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Representative images of DeepLabCut output of labeled body parts on the x-y axis in the operant chamber during CFC.</w:t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b. </w:t>
      </w:r>
      <w:r w:rsidR="001D140D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Quantification of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freezing behavior on CFC Day 1 (</w:t>
      </w:r>
      <w:r w:rsidR="001D140D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i.e. 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acquisition). </w:t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c.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 traces of open field behavioral locomotor activity</w:t>
      </w:r>
      <w:r w:rsidR="001D140D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d.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140D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Quantification of o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 field measurements </w:t>
      </w:r>
      <w:r w:rsidR="00EA5B91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to assess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locomotor activity across treatment groups . </w:t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e.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Light-dark box apparatus. </w:t>
      </w:r>
      <w:r w:rsidR="00EA5B91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5B91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Quantification of </w:t>
      </w:r>
      <w:r w:rsidR="001D08A5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time spent in each chamber of the l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ight-dark box </w:t>
      </w:r>
      <w:r w:rsidR="001D08A5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as an assessment of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anxiety-like behavior. Analysis: One-way ANOVA, Tukey’s multiple comparisons. n = 6 animals/treatment group.</w:t>
      </w:r>
    </w:p>
    <w:p w14:paraId="52383922" w14:textId="75BF6A09" w:rsidR="0046390B" w:rsidRPr="00F17FC9" w:rsidRDefault="005E7183" w:rsidP="004639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B53E25D" wp14:editId="1F0E23A5">
            <wp:extent cx="5943600" cy="3108325"/>
            <wp:effectExtent l="0" t="0" r="0" b="3175"/>
            <wp:docPr id="12727685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768594" name="Picture 127276859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Supplemental Fig </w:t>
      </w:r>
      <w:r w:rsidR="00C24D3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AIE induces a subtype-specific increase in adenosine receptor and transporter expression on the astrocyte membrane. a.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 images of astrocyte surface rendering (Lck-GFP, green), A2AR (magenta), and A1R (cyan) in the dHipp following AIE and 26-day forced abstinence period in membrane-bound and internalized. Scale bar= 5, 20 µm.</w:t>
      </w:r>
      <w:r w:rsidR="0046390B" w:rsidRPr="00F17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c-f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A7DF7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Internalized and Membrane-bound q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uantification of A2A and ENT2 on the membrane of the astrocyte. (</w:t>
      </w:r>
      <w:r w:rsidR="0046390B" w:rsidRPr="00F17F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=</w:t>
      </w:r>
      <w:r w:rsidR="0046390B" w:rsidRPr="00F17FC9">
        <w:rPr>
          <w:rFonts w:ascii="Times New Roman" w:hAnsi="Times New Roman" w:cs="Times New Roman"/>
          <w:color w:val="000000" w:themeColor="text1"/>
          <w:sz w:val="24"/>
          <w:szCs w:val="24"/>
        </w:rPr>
        <w:t>. Data are presented as violin plots representing the distribution of individual data points. Analysis: unpaired t-tests, n = 6-10 astrocytes/animal, 6-8 x 80 µm image stacks/slide, 2 slices/animal, 6 animals/treatment group.</w:t>
      </w:r>
    </w:p>
    <w:p w14:paraId="41062E7D" w14:textId="77777777" w:rsidR="008E2F1C" w:rsidRDefault="008E2F1C" w:rsidP="0046390B">
      <w:pPr>
        <w:rPr>
          <w:rFonts w:ascii="Times New Roman" w:hAnsi="Times New Roman" w:cs="Times New Roman"/>
          <w:sz w:val="24"/>
          <w:szCs w:val="24"/>
        </w:rPr>
      </w:pPr>
    </w:p>
    <w:p w14:paraId="2B828E14" w14:textId="77777777" w:rsidR="00473A74" w:rsidRPr="005B38DB" w:rsidRDefault="00473A74"/>
    <w:sectPr w:rsidR="00473A74" w:rsidRPr="005B3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0B"/>
    <w:rsid w:val="0001089E"/>
    <w:rsid w:val="00020098"/>
    <w:rsid w:val="0003025C"/>
    <w:rsid w:val="000406FF"/>
    <w:rsid w:val="000628C3"/>
    <w:rsid w:val="00062969"/>
    <w:rsid w:val="00073CF4"/>
    <w:rsid w:val="00083FC0"/>
    <w:rsid w:val="0008445E"/>
    <w:rsid w:val="000A44D0"/>
    <w:rsid w:val="000A59C2"/>
    <w:rsid w:val="000A5E72"/>
    <w:rsid w:val="000B0191"/>
    <w:rsid w:val="000B1E63"/>
    <w:rsid w:val="000B4CFB"/>
    <w:rsid w:val="000C2AAE"/>
    <w:rsid w:val="000C7644"/>
    <w:rsid w:val="000D6CF7"/>
    <w:rsid w:val="000E2104"/>
    <w:rsid w:val="000E7278"/>
    <w:rsid w:val="000F3E3A"/>
    <w:rsid w:val="00100F8C"/>
    <w:rsid w:val="00101E4C"/>
    <w:rsid w:val="0011108C"/>
    <w:rsid w:val="00116E94"/>
    <w:rsid w:val="00130640"/>
    <w:rsid w:val="0013413D"/>
    <w:rsid w:val="0014149D"/>
    <w:rsid w:val="00150D3E"/>
    <w:rsid w:val="001734C6"/>
    <w:rsid w:val="001B42C1"/>
    <w:rsid w:val="001B7FF2"/>
    <w:rsid w:val="001C328F"/>
    <w:rsid w:val="001C5E18"/>
    <w:rsid w:val="001D08A5"/>
    <w:rsid w:val="001D140D"/>
    <w:rsid w:val="001D38BE"/>
    <w:rsid w:val="001E7141"/>
    <w:rsid w:val="001F4CE4"/>
    <w:rsid w:val="00200198"/>
    <w:rsid w:val="00203188"/>
    <w:rsid w:val="00207B66"/>
    <w:rsid w:val="0021507A"/>
    <w:rsid w:val="00215D65"/>
    <w:rsid w:val="00234B9A"/>
    <w:rsid w:val="00246DDB"/>
    <w:rsid w:val="0025044D"/>
    <w:rsid w:val="00264F26"/>
    <w:rsid w:val="00270366"/>
    <w:rsid w:val="0027142B"/>
    <w:rsid w:val="0028036B"/>
    <w:rsid w:val="002913E4"/>
    <w:rsid w:val="00294332"/>
    <w:rsid w:val="00295E90"/>
    <w:rsid w:val="002A00C8"/>
    <w:rsid w:val="002B0FF0"/>
    <w:rsid w:val="002E776C"/>
    <w:rsid w:val="00305D1D"/>
    <w:rsid w:val="003133F8"/>
    <w:rsid w:val="00343F31"/>
    <w:rsid w:val="00345252"/>
    <w:rsid w:val="0035315F"/>
    <w:rsid w:val="0035734F"/>
    <w:rsid w:val="00361314"/>
    <w:rsid w:val="00370390"/>
    <w:rsid w:val="00370F57"/>
    <w:rsid w:val="003731B3"/>
    <w:rsid w:val="0038367E"/>
    <w:rsid w:val="0039246B"/>
    <w:rsid w:val="003A3081"/>
    <w:rsid w:val="003B170F"/>
    <w:rsid w:val="003B3B9D"/>
    <w:rsid w:val="003C532A"/>
    <w:rsid w:val="003D0951"/>
    <w:rsid w:val="003E2662"/>
    <w:rsid w:val="00415F26"/>
    <w:rsid w:val="00420F9E"/>
    <w:rsid w:val="00440AD0"/>
    <w:rsid w:val="00442028"/>
    <w:rsid w:val="004441DB"/>
    <w:rsid w:val="00445BB4"/>
    <w:rsid w:val="004542DA"/>
    <w:rsid w:val="00454C9B"/>
    <w:rsid w:val="0046390B"/>
    <w:rsid w:val="00465B94"/>
    <w:rsid w:val="00467B25"/>
    <w:rsid w:val="00473A74"/>
    <w:rsid w:val="004908B8"/>
    <w:rsid w:val="00495C9C"/>
    <w:rsid w:val="004B308E"/>
    <w:rsid w:val="004C2E80"/>
    <w:rsid w:val="004C51C9"/>
    <w:rsid w:val="004F0693"/>
    <w:rsid w:val="004F0843"/>
    <w:rsid w:val="004F289C"/>
    <w:rsid w:val="004F3130"/>
    <w:rsid w:val="004F4649"/>
    <w:rsid w:val="00512BA1"/>
    <w:rsid w:val="00514AFF"/>
    <w:rsid w:val="00515685"/>
    <w:rsid w:val="00517164"/>
    <w:rsid w:val="00521C2F"/>
    <w:rsid w:val="00523AEC"/>
    <w:rsid w:val="005275C0"/>
    <w:rsid w:val="00545495"/>
    <w:rsid w:val="00550C93"/>
    <w:rsid w:val="0057277F"/>
    <w:rsid w:val="005775F4"/>
    <w:rsid w:val="00581608"/>
    <w:rsid w:val="0058354E"/>
    <w:rsid w:val="005878C9"/>
    <w:rsid w:val="00590132"/>
    <w:rsid w:val="0059295F"/>
    <w:rsid w:val="005977C9"/>
    <w:rsid w:val="005B38DB"/>
    <w:rsid w:val="005D7EC1"/>
    <w:rsid w:val="005E2F2D"/>
    <w:rsid w:val="005E340B"/>
    <w:rsid w:val="005E50E2"/>
    <w:rsid w:val="005E7183"/>
    <w:rsid w:val="005F3E10"/>
    <w:rsid w:val="005F43B2"/>
    <w:rsid w:val="00606FCB"/>
    <w:rsid w:val="00621637"/>
    <w:rsid w:val="00622D3D"/>
    <w:rsid w:val="00632B16"/>
    <w:rsid w:val="006407C5"/>
    <w:rsid w:val="006409F7"/>
    <w:rsid w:val="00641C69"/>
    <w:rsid w:val="00647CEE"/>
    <w:rsid w:val="006513A0"/>
    <w:rsid w:val="00651984"/>
    <w:rsid w:val="006529F8"/>
    <w:rsid w:val="006621FF"/>
    <w:rsid w:val="00673BFC"/>
    <w:rsid w:val="00673EDA"/>
    <w:rsid w:val="00687F66"/>
    <w:rsid w:val="006A39DA"/>
    <w:rsid w:val="006A5823"/>
    <w:rsid w:val="006B5636"/>
    <w:rsid w:val="006C4418"/>
    <w:rsid w:val="006D4403"/>
    <w:rsid w:val="006D6345"/>
    <w:rsid w:val="006D64A7"/>
    <w:rsid w:val="006E1D89"/>
    <w:rsid w:val="006E3BDF"/>
    <w:rsid w:val="00705199"/>
    <w:rsid w:val="00712172"/>
    <w:rsid w:val="00712E09"/>
    <w:rsid w:val="007131CB"/>
    <w:rsid w:val="00730F71"/>
    <w:rsid w:val="007321A3"/>
    <w:rsid w:val="00733A46"/>
    <w:rsid w:val="00750AED"/>
    <w:rsid w:val="0075396D"/>
    <w:rsid w:val="00757B3E"/>
    <w:rsid w:val="007664A5"/>
    <w:rsid w:val="0076651E"/>
    <w:rsid w:val="007819CE"/>
    <w:rsid w:val="007875A9"/>
    <w:rsid w:val="00791B5A"/>
    <w:rsid w:val="007924CE"/>
    <w:rsid w:val="007A4B54"/>
    <w:rsid w:val="007A7DF7"/>
    <w:rsid w:val="007B2632"/>
    <w:rsid w:val="007B5BDE"/>
    <w:rsid w:val="007C1CB4"/>
    <w:rsid w:val="007C28FC"/>
    <w:rsid w:val="007C4CF6"/>
    <w:rsid w:val="007D0FC8"/>
    <w:rsid w:val="007D2AC8"/>
    <w:rsid w:val="007D68E4"/>
    <w:rsid w:val="007E1582"/>
    <w:rsid w:val="007E20D9"/>
    <w:rsid w:val="007E49E2"/>
    <w:rsid w:val="007E74E8"/>
    <w:rsid w:val="007F307C"/>
    <w:rsid w:val="007F4834"/>
    <w:rsid w:val="008016C5"/>
    <w:rsid w:val="00817250"/>
    <w:rsid w:val="00831E65"/>
    <w:rsid w:val="00844DA7"/>
    <w:rsid w:val="00846110"/>
    <w:rsid w:val="008504A7"/>
    <w:rsid w:val="008550C9"/>
    <w:rsid w:val="00855B3D"/>
    <w:rsid w:val="00861274"/>
    <w:rsid w:val="0086241A"/>
    <w:rsid w:val="00863A56"/>
    <w:rsid w:val="008717E2"/>
    <w:rsid w:val="0088081F"/>
    <w:rsid w:val="00884237"/>
    <w:rsid w:val="00884F28"/>
    <w:rsid w:val="008A428F"/>
    <w:rsid w:val="008A4AED"/>
    <w:rsid w:val="008A7D05"/>
    <w:rsid w:val="008B7D53"/>
    <w:rsid w:val="008C15BA"/>
    <w:rsid w:val="008C2E1A"/>
    <w:rsid w:val="008C7DC6"/>
    <w:rsid w:val="008E2F1C"/>
    <w:rsid w:val="008E58A6"/>
    <w:rsid w:val="008E67B5"/>
    <w:rsid w:val="008E68D3"/>
    <w:rsid w:val="008F1FCE"/>
    <w:rsid w:val="009035AA"/>
    <w:rsid w:val="00906F4D"/>
    <w:rsid w:val="00915A50"/>
    <w:rsid w:val="009200A9"/>
    <w:rsid w:val="009224EB"/>
    <w:rsid w:val="00934528"/>
    <w:rsid w:val="009378AE"/>
    <w:rsid w:val="00952CF8"/>
    <w:rsid w:val="009610C4"/>
    <w:rsid w:val="00963BBB"/>
    <w:rsid w:val="00967DE9"/>
    <w:rsid w:val="0097494C"/>
    <w:rsid w:val="00982E6B"/>
    <w:rsid w:val="009936BB"/>
    <w:rsid w:val="0099547C"/>
    <w:rsid w:val="009A12D5"/>
    <w:rsid w:val="009A2642"/>
    <w:rsid w:val="009B58B8"/>
    <w:rsid w:val="009C4144"/>
    <w:rsid w:val="009C72F1"/>
    <w:rsid w:val="009D12C5"/>
    <w:rsid w:val="009E2CF4"/>
    <w:rsid w:val="009E6CEE"/>
    <w:rsid w:val="009E71E3"/>
    <w:rsid w:val="009F2FA2"/>
    <w:rsid w:val="009F381A"/>
    <w:rsid w:val="009F6F89"/>
    <w:rsid w:val="00A02AEF"/>
    <w:rsid w:val="00A0366B"/>
    <w:rsid w:val="00A12311"/>
    <w:rsid w:val="00A26AB1"/>
    <w:rsid w:val="00A434B6"/>
    <w:rsid w:val="00A575E5"/>
    <w:rsid w:val="00A662E8"/>
    <w:rsid w:val="00A66B45"/>
    <w:rsid w:val="00A81268"/>
    <w:rsid w:val="00A860C2"/>
    <w:rsid w:val="00A86999"/>
    <w:rsid w:val="00A93B5E"/>
    <w:rsid w:val="00A965DB"/>
    <w:rsid w:val="00A970AE"/>
    <w:rsid w:val="00AA4E78"/>
    <w:rsid w:val="00AA63A6"/>
    <w:rsid w:val="00AB1D2E"/>
    <w:rsid w:val="00AB3107"/>
    <w:rsid w:val="00AB3413"/>
    <w:rsid w:val="00AB4CCC"/>
    <w:rsid w:val="00AE68AB"/>
    <w:rsid w:val="00AE78E2"/>
    <w:rsid w:val="00AF4F1A"/>
    <w:rsid w:val="00B21886"/>
    <w:rsid w:val="00B32171"/>
    <w:rsid w:val="00B47986"/>
    <w:rsid w:val="00B549F1"/>
    <w:rsid w:val="00B658C5"/>
    <w:rsid w:val="00B70070"/>
    <w:rsid w:val="00B7445D"/>
    <w:rsid w:val="00B75BF7"/>
    <w:rsid w:val="00B85659"/>
    <w:rsid w:val="00B91DEF"/>
    <w:rsid w:val="00BA655F"/>
    <w:rsid w:val="00BA71DF"/>
    <w:rsid w:val="00BB1266"/>
    <w:rsid w:val="00BB189D"/>
    <w:rsid w:val="00BB2794"/>
    <w:rsid w:val="00BB2BFD"/>
    <w:rsid w:val="00BB3897"/>
    <w:rsid w:val="00BB498E"/>
    <w:rsid w:val="00BC080E"/>
    <w:rsid w:val="00BD02C3"/>
    <w:rsid w:val="00BD0D21"/>
    <w:rsid w:val="00BD2C74"/>
    <w:rsid w:val="00BE1050"/>
    <w:rsid w:val="00BE35FE"/>
    <w:rsid w:val="00BF0FD4"/>
    <w:rsid w:val="00BF418A"/>
    <w:rsid w:val="00BF5966"/>
    <w:rsid w:val="00C04E80"/>
    <w:rsid w:val="00C07B0F"/>
    <w:rsid w:val="00C07E2E"/>
    <w:rsid w:val="00C151B5"/>
    <w:rsid w:val="00C24D3B"/>
    <w:rsid w:val="00C27BAE"/>
    <w:rsid w:val="00C33B28"/>
    <w:rsid w:val="00C365A3"/>
    <w:rsid w:val="00C37C5B"/>
    <w:rsid w:val="00C607DD"/>
    <w:rsid w:val="00C66768"/>
    <w:rsid w:val="00C70AE1"/>
    <w:rsid w:val="00C7114D"/>
    <w:rsid w:val="00C71F5E"/>
    <w:rsid w:val="00C75F81"/>
    <w:rsid w:val="00C77262"/>
    <w:rsid w:val="00C81BC8"/>
    <w:rsid w:val="00C86797"/>
    <w:rsid w:val="00C900D3"/>
    <w:rsid w:val="00C91532"/>
    <w:rsid w:val="00CB088E"/>
    <w:rsid w:val="00CB32F2"/>
    <w:rsid w:val="00CB70DC"/>
    <w:rsid w:val="00CD6B44"/>
    <w:rsid w:val="00CD727B"/>
    <w:rsid w:val="00CE0016"/>
    <w:rsid w:val="00CE0BF5"/>
    <w:rsid w:val="00CF0E17"/>
    <w:rsid w:val="00CF396D"/>
    <w:rsid w:val="00CF4202"/>
    <w:rsid w:val="00CF748B"/>
    <w:rsid w:val="00CF778C"/>
    <w:rsid w:val="00D04288"/>
    <w:rsid w:val="00D04C12"/>
    <w:rsid w:val="00D06D3F"/>
    <w:rsid w:val="00D150A8"/>
    <w:rsid w:val="00D17B47"/>
    <w:rsid w:val="00D21182"/>
    <w:rsid w:val="00D22CC3"/>
    <w:rsid w:val="00D23689"/>
    <w:rsid w:val="00D23792"/>
    <w:rsid w:val="00D25A14"/>
    <w:rsid w:val="00D314DD"/>
    <w:rsid w:val="00D3296F"/>
    <w:rsid w:val="00D4602C"/>
    <w:rsid w:val="00D50790"/>
    <w:rsid w:val="00D57579"/>
    <w:rsid w:val="00D60400"/>
    <w:rsid w:val="00D661F0"/>
    <w:rsid w:val="00D67A1E"/>
    <w:rsid w:val="00D71C38"/>
    <w:rsid w:val="00D76885"/>
    <w:rsid w:val="00D8393C"/>
    <w:rsid w:val="00D84382"/>
    <w:rsid w:val="00D91552"/>
    <w:rsid w:val="00D95423"/>
    <w:rsid w:val="00DB2762"/>
    <w:rsid w:val="00DC0422"/>
    <w:rsid w:val="00DC3AB3"/>
    <w:rsid w:val="00DD33C6"/>
    <w:rsid w:val="00DD7599"/>
    <w:rsid w:val="00DD7975"/>
    <w:rsid w:val="00DE501E"/>
    <w:rsid w:val="00E11C11"/>
    <w:rsid w:val="00E15457"/>
    <w:rsid w:val="00E16CCF"/>
    <w:rsid w:val="00E2282F"/>
    <w:rsid w:val="00E272D6"/>
    <w:rsid w:val="00E35B09"/>
    <w:rsid w:val="00E36AB5"/>
    <w:rsid w:val="00E37308"/>
    <w:rsid w:val="00E51C77"/>
    <w:rsid w:val="00E55910"/>
    <w:rsid w:val="00E71618"/>
    <w:rsid w:val="00E76926"/>
    <w:rsid w:val="00E7692F"/>
    <w:rsid w:val="00E83026"/>
    <w:rsid w:val="00E8559B"/>
    <w:rsid w:val="00E92DA7"/>
    <w:rsid w:val="00E95CCF"/>
    <w:rsid w:val="00E9638D"/>
    <w:rsid w:val="00E975D5"/>
    <w:rsid w:val="00EA5241"/>
    <w:rsid w:val="00EA5B91"/>
    <w:rsid w:val="00EA683F"/>
    <w:rsid w:val="00EB38CB"/>
    <w:rsid w:val="00EB40CF"/>
    <w:rsid w:val="00EC0706"/>
    <w:rsid w:val="00EC6300"/>
    <w:rsid w:val="00ED1707"/>
    <w:rsid w:val="00EE0BBE"/>
    <w:rsid w:val="00EE55B6"/>
    <w:rsid w:val="00EF1581"/>
    <w:rsid w:val="00EF6BF2"/>
    <w:rsid w:val="00F038A7"/>
    <w:rsid w:val="00F063CD"/>
    <w:rsid w:val="00F161D2"/>
    <w:rsid w:val="00F17FC9"/>
    <w:rsid w:val="00F21171"/>
    <w:rsid w:val="00F249D8"/>
    <w:rsid w:val="00F27253"/>
    <w:rsid w:val="00F42B0B"/>
    <w:rsid w:val="00F51515"/>
    <w:rsid w:val="00F52EDD"/>
    <w:rsid w:val="00F70DDF"/>
    <w:rsid w:val="00F73F3A"/>
    <w:rsid w:val="00F801F6"/>
    <w:rsid w:val="00F94F97"/>
    <w:rsid w:val="00FA639E"/>
    <w:rsid w:val="00FD007E"/>
    <w:rsid w:val="00FE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144FA"/>
  <w15:chartTrackingRefBased/>
  <w15:docId w15:val="{46FCAAB0-420F-884A-B5A7-DA325BBC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90B"/>
    <w:pPr>
      <w:spacing w:after="1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9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9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9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9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9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9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9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9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9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9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9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90B"/>
    <w:pPr>
      <w:spacing w:before="160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639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90B"/>
    <w:pPr>
      <w:spacing w:after="0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639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9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9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90B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639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39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390B"/>
    <w:rPr>
      <w:sz w:val="20"/>
      <w:szCs w:val="20"/>
    </w:rPr>
  </w:style>
  <w:style w:type="character" w:customStyle="1" w:styleId="mord">
    <w:name w:val="mord"/>
    <w:basedOn w:val="DefaultParagraphFont"/>
    <w:rsid w:val="0046390B"/>
  </w:style>
  <w:style w:type="character" w:customStyle="1" w:styleId="mrel">
    <w:name w:val="mrel"/>
    <w:basedOn w:val="DefaultParagraphFont"/>
    <w:rsid w:val="0046390B"/>
  </w:style>
  <w:style w:type="character" w:customStyle="1" w:styleId="mpunct">
    <w:name w:val="mpunct"/>
    <w:basedOn w:val="DefaultParagraphFont"/>
    <w:rsid w:val="0046390B"/>
  </w:style>
  <w:style w:type="character" w:customStyle="1" w:styleId="mclose">
    <w:name w:val="mclose"/>
    <w:basedOn w:val="DefaultParagraphFont"/>
    <w:rsid w:val="0046390B"/>
  </w:style>
  <w:style w:type="paragraph" w:styleId="Revision">
    <w:name w:val="Revision"/>
    <w:hidden/>
    <w:uiPriority w:val="99"/>
    <w:semiHidden/>
    <w:rsid w:val="00CF0E17"/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8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747</Words>
  <Characters>4495</Characters>
  <Application>Microsoft Office Word</Application>
  <DocSecurity>0</DocSecurity>
  <Lines>70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Coulter</dc:creator>
  <cp:keywords/>
  <dc:description/>
  <cp:lastModifiedBy>Olivia Coulter</cp:lastModifiedBy>
  <cp:revision>29</cp:revision>
  <dcterms:created xsi:type="dcterms:W3CDTF">2026-05-10T23:24:00Z</dcterms:created>
  <dcterms:modified xsi:type="dcterms:W3CDTF">2026-07-25T15:36:00Z</dcterms:modified>
</cp:coreProperties>
</file>