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A62" w:rsidRDefault="00915A62" w:rsidP="009E35BA">
      <w:pPr>
        <w:spacing w:line="480" w:lineRule="auto"/>
        <w:rPr>
          <w:rFonts w:cstheme="minorHAnsi"/>
          <w:b/>
        </w:rPr>
      </w:pPr>
      <w:r>
        <w:rPr>
          <w:rFonts w:cstheme="minorHAnsi"/>
          <w:b/>
        </w:rPr>
        <w:t>SUPPLEMENTARY MATERIALS AND METHODS</w:t>
      </w:r>
    </w:p>
    <w:p w:rsidR="009E35BA" w:rsidRPr="0090141B" w:rsidRDefault="009E35BA" w:rsidP="009E35BA">
      <w:pPr>
        <w:spacing w:line="480" w:lineRule="auto"/>
        <w:rPr>
          <w:rFonts w:cstheme="minorHAnsi"/>
          <w:b/>
        </w:rPr>
      </w:pPr>
      <w:r w:rsidRPr="0090141B">
        <w:rPr>
          <w:rFonts w:cstheme="minorHAnsi"/>
          <w:b/>
        </w:rPr>
        <w:t>Compounds</w:t>
      </w:r>
    </w:p>
    <w:p w:rsidR="009E35BA" w:rsidRPr="0090141B" w:rsidRDefault="009E35BA" w:rsidP="009E35BA">
      <w:pPr>
        <w:spacing w:line="480" w:lineRule="auto"/>
        <w:rPr>
          <w:rFonts w:cstheme="minorHAnsi"/>
        </w:rPr>
      </w:pPr>
      <w:r w:rsidRPr="0090141B">
        <w:rPr>
          <w:rFonts w:cstheme="minorHAnsi"/>
        </w:rPr>
        <w:t>BPN14770</w:t>
      </w:r>
      <w:r w:rsidRPr="0090141B">
        <w:rPr>
          <w:rFonts w:cstheme="minorHAnsi"/>
          <w:color w:val="000000"/>
        </w:rPr>
        <w:t xml:space="preserve"> was synthesized as described.</w:t>
      </w:r>
      <w:r w:rsidRPr="0090141B">
        <w:rPr>
          <w:rFonts w:cstheme="minorHAnsi"/>
          <w:color w:val="000000"/>
        </w:rPr>
        <w:fldChar w:fldCharType="begin" w:fldLock="1"/>
      </w:r>
      <w:r w:rsidRPr="0090141B">
        <w:rPr>
          <w:rFonts w:cstheme="minorHAnsi"/>
          <w:color w:val="000000"/>
        </w:rPr>
        <w:instrText>ADDIN CSL_CITATION { "citationItems" : [ { "id" : "ITEM-1", "itemData" : { "DOI" : "10.1007/978-3-642-17969-3_7", "ISSN" : "0171-2004", "PMID" : "21695640", "abstract" : "Phosphodiesterase 4 (PDE4) inhibitors have shown benefit in human clinical trials but dosing is limited by tolerability, particularly because of emesis. Novel cocrystal structures of PDE4 catalytic units with their regulatory domains together with bound inhibitors have revealed three different PDE4 conformers that can be exploited in the design of novel therapeutic agents. The first is an open conformer, which has been employed in the traditional approach to the design of competitive PDE4 inhibitors. The second is an asymmetric dimer in which a UCR2 regulatory helix from one monomer is placed in a closed conformation over the opposite active site in the PDE4 dimer (trans-capping). Only one active site can be closed by an inhibitor at a time with the consequence that compounds exploiting this conformer only partially inhibit PDE4 enzymatic activity while retaining potency in cellular and in vivo models. By placing an intrinsic ceiling on the magnitude of PDE4 inhibition, such compounds may better maintain spatial and temporal patterning of signaling in cAMP microdomains with consequent improved tolerability. The third is a symmetric PDE4 conformer in which helices from the C-terminal portion of the catalytic unit cap both active sites (cis-capping). We propose that dual-gating of PDE4 activity may be further fine tuned by accessory proteins that recognize open or closed conformers of PDE4 regulatory helices.", "author" : [ { "dropping-particle" : "", "family" : "Gurney", "given" : "Mark E", "non-dropping-particle" : "", "parse-names" : false, "suffix" : "" }, { "dropping-particle" : "", "family" : "Burgin", "given" : "Alex B", "non-dropping-particle" : "", "parse-names" : false, "suffix" : "" }, { "dropping-particle" : "", "family" : "Magnusson", "given" : "Olafur T", "non-dropping-particle" : "", "parse-names" : false, "suffix" : "" }, { "dropping-particle" : "", "family" : "Stewart", "given" : "Lance J", "non-dropping-particle" : "", "parse-names" : false, "suffix" : "" } ], "container-title" : "Handbook of experimental pharmacology", "id" : "ITEM-1", "issue" : "204", "issued" : { "date-parts" : [ [ "2011" ] ] }, "page" : "167-92", "title" : "Small molecule allosteric modulators of phosphodiesterase 4.", "type" : "article-journal" }, "uris" : [ "http://www.mendeley.com/documents/?uuid=6bb1a9de-9e69-3462-bd1c-59cc54025473" ] } ], "mendeley" : { "formattedCitation" : "&lt;sup&gt;58&lt;/sup&gt;", "plainTextFormattedCitation" : "58", "previouslyFormattedCitation" : "&lt;sup&gt;56&lt;/sup&gt;" }, "properties" : { "noteIndex" : 0 }, "schema" : "https://github.com/citation-style-language/schema/raw/master/csl-citation.json" }</w:instrText>
      </w:r>
      <w:r w:rsidRPr="0090141B">
        <w:rPr>
          <w:rFonts w:cstheme="minorHAnsi"/>
          <w:color w:val="000000"/>
        </w:rPr>
        <w:fldChar w:fldCharType="separate"/>
      </w:r>
      <w:r w:rsidRPr="0090141B">
        <w:rPr>
          <w:rFonts w:cstheme="minorHAnsi"/>
          <w:noProof/>
          <w:color w:val="000000"/>
          <w:vertAlign w:val="superscript"/>
        </w:rPr>
        <w:t>58</w:t>
      </w:r>
      <w:r w:rsidRPr="0090141B">
        <w:rPr>
          <w:rFonts w:cstheme="minorHAnsi"/>
          <w:color w:val="000000"/>
        </w:rPr>
        <w:fldChar w:fldCharType="end"/>
      </w:r>
      <w:r w:rsidRPr="0090141B">
        <w:rPr>
          <w:rFonts w:cstheme="minorHAnsi"/>
          <w:color w:val="000000"/>
        </w:rPr>
        <w:t xml:space="preserve">  </w:t>
      </w:r>
      <w:proofErr w:type="spellStart"/>
      <w:r w:rsidRPr="0090141B">
        <w:rPr>
          <w:rFonts w:cstheme="minorHAnsi"/>
          <w:color w:val="000000"/>
        </w:rPr>
        <w:t>Rolipram</w:t>
      </w:r>
      <w:proofErr w:type="spellEnd"/>
      <w:r w:rsidRPr="0090141B">
        <w:rPr>
          <w:rFonts w:cstheme="minorHAnsi"/>
          <w:color w:val="000000"/>
        </w:rPr>
        <w:t xml:space="preserve"> was purchased from Enzo Life Sciences (Farmingdale, NY).  H-89 and scopolamine were purchased from Sigma-Aldrich (St. Louis, MO).  [</w:t>
      </w:r>
      <w:r w:rsidRPr="0090141B">
        <w:rPr>
          <w:rFonts w:cstheme="minorHAnsi"/>
          <w:color w:val="000000"/>
          <w:vertAlign w:val="superscript"/>
        </w:rPr>
        <w:t>3</w:t>
      </w:r>
      <w:r w:rsidRPr="0090141B">
        <w:rPr>
          <w:rFonts w:cstheme="minorHAnsi"/>
          <w:color w:val="000000"/>
        </w:rPr>
        <w:t>H]-</w:t>
      </w:r>
      <w:proofErr w:type="spellStart"/>
      <w:r w:rsidRPr="0090141B">
        <w:rPr>
          <w:rFonts w:cstheme="minorHAnsi"/>
          <w:color w:val="000000"/>
        </w:rPr>
        <w:t>rolipram</w:t>
      </w:r>
      <w:proofErr w:type="spellEnd"/>
      <w:r w:rsidRPr="0090141B">
        <w:rPr>
          <w:rFonts w:cstheme="minorHAnsi"/>
          <w:color w:val="000000"/>
        </w:rPr>
        <w:t xml:space="preserve"> was purchased from PerkinElmer (Waltham, MA). </w:t>
      </w:r>
    </w:p>
    <w:p w:rsidR="009E35BA" w:rsidRPr="0090141B" w:rsidRDefault="009E35BA" w:rsidP="009E35BA">
      <w:pPr>
        <w:spacing w:line="480" w:lineRule="auto"/>
        <w:rPr>
          <w:rFonts w:cstheme="minorHAnsi"/>
          <w:b/>
        </w:rPr>
      </w:pPr>
      <w:r w:rsidRPr="0090141B">
        <w:rPr>
          <w:rFonts w:cstheme="minorHAnsi"/>
          <w:b/>
        </w:rPr>
        <w:t>Enzymes</w:t>
      </w:r>
    </w:p>
    <w:p w:rsidR="009E35BA" w:rsidRPr="0090141B" w:rsidRDefault="009E35BA" w:rsidP="009E35BA">
      <w:pPr>
        <w:pStyle w:val="NoSpacing"/>
        <w:spacing w:line="480" w:lineRule="auto"/>
        <w:rPr>
          <w:rFonts w:asciiTheme="minorHAnsi" w:hAnsiTheme="minorHAnsi" w:cstheme="minorHAnsi"/>
        </w:rPr>
      </w:pPr>
      <w:r w:rsidRPr="0090141B">
        <w:rPr>
          <w:rFonts w:asciiTheme="minorHAnsi" w:hAnsiTheme="minorHAnsi" w:cstheme="minorHAnsi"/>
        </w:rPr>
        <w:t xml:space="preserve">PDE4D residue numbering is based on the reference PDE4D7 isoform, </w:t>
      </w:r>
      <w:r w:rsidRPr="0090141B">
        <w:t>NCBI Reference Sequence: NP_001159371.1</w:t>
      </w:r>
      <w:r w:rsidRPr="0090141B">
        <w:rPr>
          <w:rFonts w:asciiTheme="minorHAnsi" w:hAnsiTheme="minorHAnsi" w:cstheme="minorHAnsi"/>
        </w:rPr>
        <w:t>.  Methods used to generate synthetic genes for human and mouse PDE4 subtypes and isoforms were as described in Burgin et al.</w:t>
      </w:r>
      <w:r w:rsidRPr="0090141B">
        <w:rPr>
          <w:rFonts w:asciiTheme="minorHAnsi" w:hAnsiTheme="minorHAnsi" w:cstheme="minorHAnsi"/>
        </w:rPr>
        <w:fldChar w:fldCharType="begin"/>
      </w:r>
      <w:r w:rsidRPr="0090141B">
        <w:rPr>
          <w:rFonts w:asciiTheme="minorHAnsi" w:hAnsiTheme="minorHAnsi" w:cstheme="minorHAnsi"/>
        </w:rPr>
        <w:instrText xml:space="preserve"> ADDIN EN.CITE &lt;EndNote&gt;&lt;Cite&gt;&lt;Author&gt;Burgin&lt;/Author&gt;&lt;Year&gt;2010&lt;/Year&gt;&lt;RecNum&gt;164&lt;/RecNum&gt;&lt;DisplayText&gt;&lt;style face="superscript"&gt;19&lt;/style&gt;&lt;/DisplayText&gt;&lt;record&gt;&lt;rec-number&gt;164&lt;/rec-number&gt;&lt;foreign-keys&gt;&lt;key app="EN" db-id="0xvs2v0ty0eed8ewzpdxdx5oz9frssp5tz2z" timestamp="0"&gt;164&lt;/key&gt;&lt;/foreign-keys&gt;&lt;ref-type name="Journal Article"&gt;17&lt;/ref-type&gt;&lt;contributors&gt;&lt;authors&gt;&lt;author&gt;Burgin, A. B.&lt;/author&gt;&lt;author&gt;Magnusson, O. T. &lt;/author&gt;&lt;author&gt;Singh, J.&lt;/author&gt;&lt;author&gt;Bjornsson, J. M.&lt;/author&gt;&lt;author&gt;Thorsteinsdottir, M.&lt;/author&gt;&lt;author&gt;Hrafnsdottir, S.&lt;/author&gt;&lt;author&gt;Hagen, T.&lt;/author&gt;&lt;author&gt;Witte, P.&lt;/author&gt;&lt;author&gt;Staker, B. L.&lt;/author&gt;&lt;author&gt;Kiselyov, A. S.&lt;/author&gt;&lt;author&gt;Stewart, L. J.&lt;/author&gt;&lt;author&gt;Gurney, M. E.&lt;/author&gt;&lt;/authors&gt;&lt;/contributors&gt;&lt;titles&gt;&lt;title&gt;Design of Phosphodiesterase Type 4D (PDE4D) Allosteric Modulators for Cognition with Improved Safety&lt;/title&gt;&lt;secondary-title&gt;Nature Biotechnology&lt;/secondary-title&gt;&lt;/titles&gt;&lt;periodical&gt;&lt;full-title&gt;Nature Biotechnology&lt;/full-title&gt;&lt;/periodical&gt;&lt;pages&gt;63-70&lt;/pages&gt;&lt;volume&gt;28&lt;/volume&gt;&lt;number&gt;1&lt;/number&gt;&lt;dates&gt;&lt;year&gt;2010&lt;/year&gt;&lt;/dates&gt;&lt;urls&gt;&lt;/urls&gt;&lt;/record&gt;&lt;/Cite&gt;&lt;/EndNote&gt;</w:instrText>
      </w:r>
      <w:r w:rsidRPr="0090141B">
        <w:rPr>
          <w:rFonts w:asciiTheme="minorHAnsi" w:hAnsiTheme="minorHAnsi" w:cstheme="minorHAnsi"/>
        </w:rPr>
        <w:fldChar w:fldCharType="separate"/>
      </w:r>
      <w:r w:rsidRPr="0090141B">
        <w:rPr>
          <w:rFonts w:asciiTheme="minorHAnsi" w:hAnsiTheme="minorHAnsi" w:cstheme="minorHAnsi"/>
          <w:noProof/>
          <w:vertAlign w:val="superscript"/>
        </w:rPr>
        <w:t>19</w:t>
      </w:r>
      <w:r w:rsidRPr="0090141B">
        <w:rPr>
          <w:rFonts w:asciiTheme="minorHAnsi" w:hAnsiTheme="minorHAnsi" w:cstheme="minorHAnsi"/>
        </w:rPr>
        <w:fldChar w:fldCharType="end"/>
      </w:r>
      <w:r w:rsidRPr="0090141B">
        <w:rPr>
          <w:rFonts w:asciiTheme="minorHAnsi" w:hAnsiTheme="minorHAnsi" w:cstheme="minorHAnsi"/>
        </w:rPr>
        <w:t xml:space="preserve">  Synthetic genes were engineered with carboxyl- or amino-terminal </w:t>
      </w:r>
      <w:proofErr w:type="spellStart"/>
      <w:r w:rsidRPr="0090141B">
        <w:rPr>
          <w:rFonts w:asciiTheme="minorHAnsi" w:hAnsiTheme="minorHAnsi" w:cstheme="minorHAnsi"/>
        </w:rPr>
        <w:t>hexahistidine</w:t>
      </w:r>
      <w:proofErr w:type="spellEnd"/>
      <w:r w:rsidRPr="0090141B">
        <w:rPr>
          <w:rFonts w:asciiTheme="minorHAnsi" w:hAnsiTheme="minorHAnsi" w:cstheme="minorHAnsi"/>
        </w:rPr>
        <w:t xml:space="preserve"> tags for </w:t>
      </w:r>
      <w:proofErr w:type="spellStart"/>
      <w:r w:rsidRPr="0090141B">
        <w:rPr>
          <w:rFonts w:asciiTheme="minorHAnsi" w:hAnsiTheme="minorHAnsi" w:cstheme="minorHAnsi"/>
        </w:rPr>
        <w:t>Baculovirus</w:t>
      </w:r>
      <w:proofErr w:type="spellEnd"/>
      <w:r w:rsidRPr="0090141B">
        <w:rPr>
          <w:rFonts w:asciiTheme="minorHAnsi" w:hAnsiTheme="minorHAnsi" w:cstheme="minorHAnsi"/>
        </w:rPr>
        <w:t xml:space="preserve">-infected insect cell expression and purification.  Large scale preparations of infected Sf9 insect cells were grown in ESF921 medium (Expression Systems, Davis, </w:t>
      </w:r>
      <w:proofErr w:type="gramStart"/>
      <w:r w:rsidRPr="0090141B">
        <w:rPr>
          <w:rFonts w:asciiTheme="minorHAnsi" w:hAnsiTheme="minorHAnsi" w:cstheme="minorHAnsi"/>
        </w:rPr>
        <w:t>CA</w:t>
      </w:r>
      <w:proofErr w:type="gramEnd"/>
      <w:r w:rsidRPr="0090141B">
        <w:rPr>
          <w:rFonts w:asciiTheme="minorHAnsi" w:hAnsiTheme="minorHAnsi" w:cstheme="minorHAnsi"/>
        </w:rPr>
        <w:t>). Approximately 2.5 × 10e</w:t>
      </w:r>
      <w:r w:rsidRPr="0090141B">
        <w:rPr>
          <w:rFonts w:asciiTheme="minorHAnsi" w:hAnsiTheme="minorHAnsi" w:cstheme="minorHAnsi"/>
          <w:vertAlign w:val="superscript"/>
        </w:rPr>
        <w:t>6</w:t>
      </w:r>
      <w:r w:rsidRPr="0090141B">
        <w:rPr>
          <w:rFonts w:asciiTheme="minorHAnsi" w:hAnsiTheme="minorHAnsi" w:cstheme="minorHAnsi"/>
        </w:rPr>
        <w:t xml:space="preserve"> Sf9 cells per ml were infected with 5-10% final virus and harvested 40-72 </w:t>
      </w:r>
      <w:proofErr w:type="spellStart"/>
      <w:r w:rsidRPr="0090141B">
        <w:rPr>
          <w:rFonts w:asciiTheme="minorHAnsi" w:hAnsiTheme="minorHAnsi" w:cstheme="minorHAnsi"/>
        </w:rPr>
        <w:t>hrs</w:t>
      </w:r>
      <w:proofErr w:type="spellEnd"/>
      <w:r w:rsidRPr="0090141B">
        <w:rPr>
          <w:rFonts w:asciiTheme="minorHAnsi" w:hAnsiTheme="minorHAnsi" w:cstheme="minorHAnsi"/>
        </w:rPr>
        <w:t xml:space="preserve"> post-infection.  Cells were centrifuged to collect cell paste which was frozen drop-wise into liquid nitrogen and stored at -80°C.  Frozen cell paste of the PDE4D proteins was </w:t>
      </w:r>
      <w:proofErr w:type="spellStart"/>
      <w:r w:rsidRPr="0090141B">
        <w:rPr>
          <w:rFonts w:asciiTheme="minorHAnsi" w:hAnsiTheme="minorHAnsi" w:cstheme="minorHAnsi"/>
        </w:rPr>
        <w:t>resuspended</w:t>
      </w:r>
      <w:proofErr w:type="spellEnd"/>
      <w:r w:rsidRPr="0090141B">
        <w:rPr>
          <w:rFonts w:asciiTheme="minorHAnsi" w:hAnsiTheme="minorHAnsi" w:cstheme="minorHAnsi"/>
        </w:rPr>
        <w:t xml:space="preserve"> and lysed </w:t>
      </w:r>
      <w:proofErr w:type="spellStart"/>
      <w:r w:rsidRPr="0090141B">
        <w:rPr>
          <w:rFonts w:asciiTheme="minorHAnsi" w:hAnsiTheme="minorHAnsi" w:cstheme="minorHAnsi"/>
        </w:rPr>
        <w:t>hypotonically</w:t>
      </w:r>
      <w:proofErr w:type="spellEnd"/>
      <w:r w:rsidRPr="0090141B">
        <w:rPr>
          <w:rFonts w:asciiTheme="minorHAnsi" w:hAnsiTheme="minorHAnsi" w:cstheme="minorHAnsi"/>
        </w:rPr>
        <w:t xml:space="preserve"> in 20mM </w:t>
      </w:r>
      <w:proofErr w:type="spellStart"/>
      <w:proofErr w:type="gramStart"/>
      <w:r w:rsidRPr="0090141B">
        <w:rPr>
          <w:rFonts w:asciiTheme="minorHAnsi" w:hAnsiTheme="minorHAnsi" w:cstheme="minorHAnsi"/>
        </w:rPr>
        <w:t>tris</w:t>
      </w:r>
      <w:proofErr w:type="spellEnd"/>
      <w:r w:rsidRPr="0090141B">
        <w:rPr>
          <w:rFonts w:asciiTheme="minorHAnsi" w:hAnsiTheme="minorHAnsi" w:cstheme="minorHAnsi"/>
        </w:rPr>
        <w:t>(</w:t>
      </w:r>
      <w:proofErr w:type="spellStart"/>
      <w:proofErr w:type="gramEnd"/>
      <w:r w:rsidRPr="0090141B">
        <w:rPr>
          <w:rFonts w:asciiTheme="minorHAnsi" w:hAnsiTheme="minorHAnsi" w:cstheme="minorHAnsi"/>
        </w:rPr>
        <w:t>hydroxymethyl</w:t>
      </w:r>
      <w:proofErr w:type="spellEnd"/>
      <w:r w:rsidRPr="0090141B">
        <w:rPr>
          <w:rFonts w:asciiTheme="minorHAnsi" w:hAnsiTheme="minorHAnsi" w:cstheme="minorHAnsi"/>
        </w:rPr>
        <w:t>)</w:t>
      </w:r>
      <w:proofErr w:type="spellStart"/>
      <w:r w:rsidRPr="0090141B">
        <w:rPr>
          <w:rFonts w:asciiTheme="minorHAnsi" w:hAnsiTheme="minorHAnsi" w:cstheme="minorHAnsi"/>
        </w:rPr>
        <w:t>aminomethane</w:t>
      </w:r>
      <w:proofErr w:type="spellEnd"/>
      <w:r w:rsidRPr="0090141B">
        <w:rPr>
          <w:rFonts w:asciiTheme="minorHAnsi" w:hAnsiTheme="minorHAnsi" w:cstheme="minorHAnsi"/>
        </w:rPr>
        <w:t xml:space="preserve"> (</w:t>
      </w:r>
      <w:proofErr w:type="spellStart"/>
      <w:r w:rsidRPr="0090141B">
        <w:rPr>
          <w:rFonts w:asciiTheme="minorHAnsi" w:hAnsiTheme="minorHAnsi" w:cstheme="minorHAnsi"/>
        </w:rPr>
        <w:t>Tris</w:t>
      </w:r>
      <w:proofErr w:type="spellEnd"/>
      <w:r w:rsidRPr="0090141B">
        <w:rPr>
          <w:rFonts w:asciiTheme="minorHAnsi" w:hAnsiTheme="minorHAnsi" w:cstheme="minorHAnsi"/>
        </w:rPr>
        <w:t xml:space="preserve">) pH 8.0 containing one complete protease inhibitor tablet for </w:t>
      </w:r>
      <w:r w:rsidR="001314A1" w:rsidRPr="0090141B">
        <w:rPr>
          <w:rFonts w:asciiTheme="minorHAnsi" w:hAnsiTheme="minorHAnsi" w:cstheme="minorHAnsi"/>
        </w:rPr>
        <w:t>1</w:t>
      </w:r>
      <w:r w:rsidRPr="0090141B">
        <w:rPr>
          <w:rFonts w:asciiTheme="minorHAnsi" w:hAnsiTheme="minorHAnsi" w:cstheme="minorHAnsi"/>
        </w:rPr>
        <w:t xml:space="preserve"> </w:t>
      </w:r>
      <w:proofErr w:type="spellStart"/>
      <w:r w:rsidRPr="0090141B">
        <w:rPr>
          <w:rFonts w:asciiTheme="minorHAnsi" w:hAnsiTheme="minorHAnsi" w:cstheme="minorHAnsi"/>
        </w:rPr>
        <w:t>hr</w:t>
      </w:r>
      <w:proofErr w:type="spellEnd"/>
      <w:r w:rsidRPr="0090141B">
        <w:rPr>
          <w:rFonts w:asciiTheme="minorHAnsi" w:hAnsiTheme="minorHAnsi" w:cstheme="minorHAnsi"/>
        </w:rPr>
        <w:t xml:space="preserve"> at 4°C.  The lysate was clarifi</w:t>
      </w:r>
      <w:r w:rsidR="001314A1" w:rsidRPr="0090141B">
        <w:rPr>
          <w:rFonts w:asciiTheme="minorHAnsi" w:hAnsiTheme="minorHAnsi" w:cstheme="minorHAnsi"/>
        </w:rPr>
        <w:t>ed by centrifugation at 42,000</w:t>
      </w:r>
      <w:r w:rsidRPr="0090141B">
        <w:rPr>
          <w:rFonts w:asciiTheme="minorHAnsi" w:hAnsiTheme="minorHAnsi" w:cstheme="minorHAnsi"/>
        </w:rPr>
        <w:t xml:space="preserve"> rpm for 45 minutes at 4°C.  Sodium chloride (</w:t>
      </w:r>
      <w:proofErr w:type="spellStart"/>
      <w:r w:rsidRPr="0090141B">
        <w:rPr>
          <w:rFonts w:asciiTheme="minorHAnsi" w:hAnsiTheme="minorHAnsi" w:cstheme="minorHAnsi"/>
        </w:rPr>
        <w:t>NaCl</w:t>
      </w:r>
      <w:proofErr w:type="spellEnd"/>
      <w:r w:rsidRPr="0090141B">
        <w:rPr>
          <w:rFonts w:asciiTheme="minorHAnsi" w:hAnsiTheme="minorHAnsi" w:cstheme="minorHAnsi"/>
        </w:rPr>
        <w:t xml:space="preserve">) was added to the clarified lysate to obtain a final concentration of 0.5M.  Clarified lysate was first purified by immobilized metal affinity chromatography with a </w:t>
      </w:r>
      <w:proofErr w:type="spellStart"/>
      <w:r w:rsidRPr="0090141B">
        <w:rPr>
          <w:rFonts w:asciiTheme="minorHAnsi" w:hAnsiTheme="minorHAnsi" w:cstheme="minorHAnsi"/>
        </w:rPr>
        <w:t>HiTrap</w:t>
      </w:r>
      <w:proofErr w:type="spellEnd"/>
      <w:r w:rsidRPr="0090141B">
        <w:rPr>
          <w:rFonts w:asciiTheme="minorHAnsi" w:hAnsiTheme="minorHAnsi" w:cstheme="minorHAnsi"/>
        </w:rPr>
        <w:t xml:space="preserve">™ Chelating HP column and an AKTA FPLC system.  The protein was eluted over a gradient with 20mM </w:t>
      </w:r>
      <w:proofErr w:type="spellStart"/>
      <w:r w:rsidRPr="0090141B">
        <w:rPr>
          <w:rFonts w:asciiTheme="minorHAnsi" w:hAnsiTheme="minorHAnsi" w:cstheme="minorHAnsi"/>
        </w:rPr>
        <w:t>Tris</w:t>
      </w:r>
      <w:proofErr w:type="spellEnd"/>
      <w:r w:rsidRPr="0090141B">
        <w:rPr>
          <w:rFonts w:asciiTheme="minorHAnsi" w:hAnsiTheme="minorHAnsi" w:cstheme="minorHAnsi"/>
        </w:rPr>
        <w:t xml:space="preserve"> pH 8.0, 0.5M </w:t>
      </w:r>
      <w:proofErr w:type="spellStart"/>
      <w:r w:rsidRPr="0090141B">
        <w:rPr>
          <w:rFonts w:asciiTheme="minorHAnsi" w:hAnsiTheme="minorHAnsi" w:cstheme="minorHAnsi"/>
        </w:rPr>
        <w:t>NaCl</w:t>
      </w:r>
      <w:proofErr w:type="spellEnd"/>
      <w:r w:rsidRPr="0090141B">
        <w:rPr>
          <w:rFonts w:asciiTheme="minorHAnsi" w:hAnsiTheme="minorHAnsi" w:cstheme="minorHAnsi"/>
        </w:rPr>
        <w:t xml:space="preserve"> and 0.5M imidazole and the eluted fractions were analyzed via SDS-PAGE prior to pooling.  PDE4 proteins were dialyzed into the final buffer containing 20mM </w:t>
      </w:r>
      <w:proofErr w:type="spellStart"/>
      <w:r w:rsidRPr="0090141B">
        <w:rPr>
          <w:rFonts w:asciiTheme="minorHAnsi" w:hAnsiTheme="minorHAnsi" w:cstheme="minorHAnsi"/>
        </w:rPr>
        <w:t>Tris</w:t>
      </w:r>
      <w:proofErr w:type="spellEnd"/>
      <w:r w:rsidRPr="0090141B">
        <w:rPr>
          <w:rFonts w:asciiTheme="minorHAnsi" w:hAnsiTheme="minorHAnsi" w:cstheme="minorHAnsi"/>
        </w:rPr>
        <w:t xml:space="preserve"> at pH 8.0, 0.1M </w:t>
      </w:r>
      <w:proofErr w:type="spellStart"/>
      <w:r w:rsidRPr="0090141B">
        <w:rPr>
          <w:rFonts w:asciiTheme="minorHAnsi" w:hAnsiTheme="minorHAnsi" w:cstheme="minorHAnsi"/>
        </w:rPr>
        <w:t>NaCl</w:t>
      </w:r>
      <w:proofErr w:type="spellEnd"/>
      <w:r w:rsidRPr="0090141B">
        <w:rPr>
          <w:rFonts w:asciiTheme="minorHAnsi" w:hAnsiTheme="minorHAnsi" w:cstheme="minorHAnsi"/>
        </w:rPr>
        <w:t>, 0.1mM MgCl</w:t>
      </w:r>
      <w:r w:rsidRPr="0090141B">
        <w:rPr>
          <w:rFonts w:asciiTheme="minorHAnsi" w:hAnsiTheme="minorHAnsi" w:cstheme="minorHAnsi"/>
          <w:vertAlign w:val="subscript"/>
        </w:rPr>
        <w:t>2</w:t>
      </w:r>
      <w:r w:rsidRPr="0090141B">
        <w:rPr>
          <w:rFonts w:asciiTheme="minorHAnsi" w:hAnsiTheme="minorHAnsi" w:cstheme="minorHAnsi"/>
        </w:rPr>
        <w:t>, 0.1mM ZnCl</w:t>
      </w:r>
      <w:r w:rsidRPr="0090141B">
        <w:rPr>
          <w:rFonts w:asciiTheme="minorHAnsi" w:hAnsiTheme="minorHAnsi" w:cstheme="minorHAnsi"/>
          <w:vertAlign w:val="subscript"/>
        </w:rPr>
        <w:t>2</w:t>
      </w:r>
      <w:r w:rsidRPr="0090141B">
        <w:rPr>
          <w:rFonts w:asciiTheme="minorHAnsi" w:hAnsiTheme="minorHAnsi" w:cstheme="minorHAnsi"/>
        </w:rPr>
        <w:t xml:space="preserve">, and 2mM </w:t>
      </w:r>
      <w:proofErr w:type="spellStart"/>
      <w:r w:rsidRPr="0090141B">
        <w:rPr>
          <w:rFonts w:asciiTheme="minorHAnsi" w:hAnsiTheme="minorHAnsi" w:cstheme="minorHAnsi"/>
        </w:rPr>
        <w:t>dithiothreitol</w:t>
      </w:r>
      <w:proofErr w:type="spellEnd"/>
      <w:r w:rsidRPr="0090141B">
        <w:rPr>
          <w:rFonts w:asciiTheme="minorHAnsi" w:hAnsiTheme="minorHAnsi" w:cstheme="minorHAnsi"/>
        </w:rPr>
        <w:t xml:space="preserve"> (DTT) and then flash frozen with liquid nitrogen in aliquots of 0.5 ml at 0.1mg/ml as measured by A</w:t>
      </w:r>
      <w:r w:rsidRPr="0090141B">
        <w:rPr>
          <w:rFonts w:asciiTheme="minorHAnsi" w:hAnsiTheme="minorHAnsi" w:cstheme="minorHAnsi"/>
          <w:vertAlign w:val="subscript"/>
        </w:rPr>
        <w:t>280</w:t>
      </w:r>
      <w:r w:rsidRPr="0090141B">
        <w:rPr>
          <w:rFonts w:asciiTheme="minorHAnsi" w:hAnsiTheme="minorHAnsi" w:cstheme="minorHAnsi"/>
        </w:rPr>
        <w:t xml:space="preserve">.  All proteins were stored at -80°C.   Purity was </w:t>
      </w:r>
      <w:r w:rsidRPr="0090141B">
        <w:rPr>
          <w:rFonts w:asciiTheme="minorHAnsi" w:hAnsiTheme="minorHAnsi" w:cstheme="minorHAnsi"/>
        </w:rPr>
        <w:lastRenderedPageBreak/>
        <w:t>assessed by SDS-polyacrylamide gel electrophoresis. The purity of PDE4D7 enzymes was similar and in the range of 60-70% with the major contaminant the truncated catalytic domain lacking UCR1 and UCR2.  Contamination by the truncated catalytic domain does not affect measurement of IC</w:t>
      </w:r>
      <w:r w:rsidRPr="0090141B">
        <w:rPr>
          <w:rFonts w:asciiTheme="minorHAnsi" w:hAnsiTheme="minorHAnsi" w:cstheme="minorHAnsi"/>
          <w:vertAlign w:val="subscript"/>
        </w:rPr>
        <w:t>50</w:t>
      </w:r>
      <w:r w:rsidRPr="0090141B">
        <w:rPr>
          <w:rFonts w:asciiTheme="minorHAnsi" w:hAnsiTheme="minorHAnsi" w:cstheme="minorHAnsi"/>
        </w:rPr>
        <w:t xml:space="preserve"> for PDE4 allosteric inhibitors.  Vendors were Beryllium Discovery Corp (Bainbridge Island, WA) and </w:t>
      </w:r>
      <w:proofErr w:type="spellStart"/>
      <w:r w:rsidRPr="0090141B">
        <w:rPr>
          <w:rFonts w:asciiTheme="minorHAnsi" w:hAnsiTheme="minorHAnsi" w:cstheme="minorHAnsi"/>
        </w:rPr>
        <w:t>Proteos</w:t>
      </w:r>
      <w:proofErr w:type="spellEnd"/>
      <w:r w:rsidRPr="0090141B">
        <w:rPr>
          <w:rFonts w:asciiTheme="minorHAnsi" w:hAnsiTheme="minorHAnsi" w:cstheme="minorHAnsi"/>
        </w:rPr>
        <w:t xml:space="preserve"> Inc. (Kalamazoo, MI).</w:t>
      </w:r>
    </w:p>
    <w:p w:rsidR="009E35BA" w:rsidRPr="0090141B" w:rsidRDefault="009E35BA" w:rsidP="009E35BA">
      <w:pPr>
        <w:spacing w:line="480" w:lineRule="auto"/>
        <w:rPr>
          <w:rFonts w:cstheme="minorHAnsi"/>
          <w:b/>
        </w:rPr>
      </w:pPr>
      <w:r w:rsidRPr="0090141B">
        <w:rPr>
          <w:rFonts w:cstheme="minorHAnsi"/>
          <w:b/>
        </w:rPr>
        <w:t>Animals</w:t>
      </w:r>
    </w:p>
    <w:p w:rsidR="009E35BA" w:rsidRPr="0090141B" w:rsidRDefault="009E35BA" w:rsidP="009E35BA">
      <w:pPr>
        <w:autoSpaceDE w:val="0"/>
        <w:autoSpaceDN w:val="0"/>
        <w:adjustRightInd w:val="0"/>
        <w:spacing w:after="0" w:line="480" w:lineRule="auto"/>
        <w:rPr>
          <w:rFonts w:cstheme="minorHAnsi"/>
        </w:rPr>
      </w:pPr>
      <w:r w:rsidRPr="0090141B">
        <w:rPr>
          <w:rFonts w:cstheme="minorHAnsi"/>
        </w:rPr>
        <w:t xml:space="preserve">C57BL/6 mice homozygous for the humanized PDE4D gene were generated by </w:t>
      </w:r>
      <w:proofErr w:type="spellStart"/>
      <w:r w:rsidRPr="0090141B">
        <w:rPr>
          <w:rFonts w:cstheme="minorHAnsi"/>
        </w:rPr>
        <w:t>inGenious</w:t>
      </w:r>
      <w:proofErr w:type="spellEnd"/>
      <w:r w:rsidRPr="0090141B">
        <w:rPr>
          <w:rFonts w:cstheme="minorHAnsi"/>
        </w:rPr>
        <w:t xml:space="preserve"> Targeting Laboratory (Ronkonko</w:t>
      </w:r>
      <w:r w:rsidR="0090141B">
        <w:rPr>
          <w:rFonts w:cstheme="minorHAnsi"/>
        </w:rPr>
        <w:t>ma, NY).  The mouse PDE4D gene w</w:t>
      </w:r>
      <w:r w:rsidRPr="0090141B">
        <w:rPr>
          <w:rFonts w:cstheme="minorHAnsi"/>
        </w:rPr>
        <w:t xml:space="preserve">as humanized by knocking the tyrosine257 to phenylalanine mutation into exon 7 of the mouse gene in C57BL/6 embryonic stem cells using a targeting vector that allowed for positive/negative selection using a </w:t>
      </w:r>
      <w:proofErr w:type="spellStart"/>
      <w:r w:rsidRPr="0090141B">
        <w:rPr>
          <w:rFonts w:cstheme="minorHAnsi"/>
        </w:rPr>
        <w:t>Pgk</w:t>
      </w:r>
      <w:proofErr w:type="spellEnd"/>
      <w:r w:rsidRPr="0090141B">
        <w:rPr>
          <w:rFonts w:cstheme="minorHAnsi"/>
        </w:rPr>
        <w:t xml:space="preserve">/Neo cassette.  Vector sequences were excised using </w:t>
      </w:r>
      <w:proofErr w:type="spellStart"/>
      <w:r w:rsidRPr="0090141B">
        <w:rPr>
          <w:rFonts w:cstheme="minorHAnsi"/>
        </w:rPr>
        <w:t>Flp</w:t>
      </w:r>
      <w:proofErr w:type="spellEnd"/>
      <w:r w:rsidRPr="0090141B">
        <w:rPr>
          <w:rFonts w:cstheme="minorHAnsi"/>
        </w:rPr>
        <w:t xml:space="preserve"> recombinase, the resultant embryonic stem cells were used for blastocyst injection, and ultimately mice containing the humanized PDE4D gene were bred to homozygosity.  As a control, littermate C57BL/6 mice that did not contain the humanized PDE4D gene were bred through brother-sister crosses.  Wild-type littermates and humanized PDE4D mice at 8-10 weeks old were used for all behavioral experiments.  Mice were kept in a temperature-controlled room under standard laboratory conditions, with a 12 h light/12 h dark cycle, and with free access to food and water.  All behavioral tests were performed during 9:30 am–16:30 pm and in accordance with the “NIH Guide for the Care and Use of Laboratory Animals” (revised 2011) and were approved by the Institutional Animal Care and Use Committee of the University at Buffalo.  </w:t>
      </w:r>
    </w:p>
    <w:p w:rsidR="009E35BA" w:rsidRPr="0090141B" w:rsidRDefault="009E35BA" w:rsidP="009E35BA">
      <w:pPr>
        <w:spacing w:line="480" w:lineRule="auto"/>
        <w:rPr>
          <w:rFonts w:cstheme="minorHAnsi"/>
          <w:b/>
        </w:rPr>
      </w:pPr>
      <w:r w:rsidRPr="0090141B">
        <w:rPr>
          <w:rFonts w:cstheme="minorHAnsi"/>
          <w:b/>
        </w:rPr>
        <w:t>PDE4 Biochemical Assays</w:t>
      </w:r>
    </w:p>
    <w:p w:rsidR="009E35BA" w:rsidRPr="0090141B" w:rsidRDefault="009E35BA" w:rsidP="009E35BA">
      <w:pPr>
        <w:spacing w:line="480" w:lineRule="auto"/>
        <w:rPr>
          <w:rFonts w:cstheme="minorHAnsi"/>
        </w:rPr>
      </w:pPr>
      <w:r w:rsidRPr="0090141B">
        <w:rPr>
          <w:rFonts w:cstheme="minorHAnsi"/>
        </w:rPr>
        <w:t xml:space="preserve">Kinetic assay of </w:t>
      </w:r>
      <w:proofErr w:type="spellStart"/>
      <w:r w:rsidRPr="0090141B">
        <w:rPr>
          <w:rFonts w:cstheme="minorHAnsi"/>
        </w:rPr>
        <w:t>cAMP</w:t>
      </w:r>
      <w:proofErr w:type="spellEnd"/>
      <w:r w:rsidRPr="0090141B">
        <w:rPr>
          <w:rFonts w:cstheme="minorHAnsi"/>
        </w:rPr>
        <w:t xml:space="preserve"> hydrolysis by purified PDE4 enzymes is measured by coupling the formation of the PDE4 reaction product 5′-adenosine monophosphate (AMP) to the oxidation of reduced nicotinamide adenine dinucleotide (NADH).  This is accomplished with three co</w:t>
      </w:r>
      <w:r w:rsidR="001B3439" w:rsidRPr="0090141B">
        <w:rPr>
          <w:rFonts w:cstheme="minorHAnsi"/>
        </w:rPr>
        <w:t xml:space="preserve">upling enzymes (yeast </w:t>
      </w:r>
      <w:proofErr w:type="spellStart"/>
      <w:r w:rsidR="001B3439" w:rsidRPr="0090141B">
        <w:rPr>
          <w:rFonts w:cstheme="minorHAnsi"/>
        </w:rPr>
        <w:t>myokinase</w:t>
      </w:r>
      <w:proofErr w:type="spellEnd"/>
      <w:r w:rsidR="001B3439" w:rsidRPr="0090141B">
        <w:rPr>
          <w:rFonts w:cstheme="minorHAnsi"/>
        </w:rPr>
        <w:t>, pyruvate kinase</w:t>
      </w:r>
      <w:r w:rsidRPr="0090141B">
        <w:rPr>
          <w:rFonts w:cstheme="minorHAnsi"/>
        </w:rPr>
        <w:t>, and lactate dehydrogenase), and allows fluorescent determination of reaction rates.</w:t>
      </w:r>
      <w:r w:rsidRPr="0090141B">
        <w:rPr>
          <w:rFonts w:cstheme="minorHAnsi"/>
        </w:rPr>
        <w:fldChar w:fldCharType="begin"/>
      </w:r>
      <w:r w:rsidRPr="0090141B">
        <w:rPr>
          <w:rFonts w:cstheme="minorHAnsi"/>
        </w:rPr>
        <w:instrText xml:space="preserve"> ADDIN EN.CITE &lt;EndNote&gt;&lt;Cite&gt;&lt;Author&gt;Burgin&lt;/Author&gt;&lt;Year&gt;2010&lt;/Year&gt;&lt;RecNum&gt;164&lt;/RecNum&gt;&lt;DisplayText&gt;&lt;style face="superscript"&gt;19&lt;/style&gt;&lt;/DisplayText&gt;&lt;record&gt;&lt;rec-number&gt;164&lt;/rec-number&gt;&lt;foreign-keys&gt;&lt;key app="EN" db-id="0xvs2v0ty0eed8ewzpdxdx5oz9frssp5tz2z" timestamp="0"&gt;164&lt;/key&gt;&lt;/foreign-keys&gt;&lt;ref-type name="Journal Article"&gt;17&lt;/ref-type&gt;&lt;contributors&gt;&lt;authors&gt;&lt;author&gt;Burgin, A. B.&lt;/author&gt;&lt;author&gt;Magnusson, O. T. &lt;/author&gt;&lt;author&gt;Singh, J.&lt;/author&gt;&lt;author&gt;Bjornsson, J. M.&lt;/author&gt;&lt;author&gt;Thorsteinsdottir, M.&lt;/author&gt;&lt;author&gt;Hrafnsdottir, S.&lt;/author&gt;&lt;author&gt;Hagen, T.&lt;/author&gt;&lt;author&gt;Witte, P.&lt;/author&gt;&lt;author&gt;Staker, B. L.&lt;/author&gt;&lt;author&gt;Kiselyov, A. S.&lt;/author&gt;&lt;author&gt;Stewart, L. J.&lt;/author&gt;&lt;author&gt;Gurney, M. E.&lt;/author&gt;&lt;/authors&gt;&lt;/contributors&gt;&lt;titles&gt;&lt;title&gt;Design of Phosphodiesterase Type 4D (PDE4D) Allosteric Modulators for Cognition with Improved Safety&lt;/title&gt;&lt;secondary-title&gt;Nature Biotechnology&lt;/secondary-title&gt;&lt;/titles&gt;&lt;periodical&gt;&lt;full-title&gt;Nature Biotechnology&lt;/full-title&gt;&lt;/periodical&gt;&lt;pages&gt;63-70&lt;/pages&gt;&lt;volume&gt;28&lt;/volume&gt;&lt;number&gt;1&lt;/number&gt;&lt;dates&gt;&lt;year&gt;2010&lt;/year&gt;&lt;/dates&gt;&lt;urls&gt;&lt;/urls&gt;&lt;/record&gt;&lt;/Cite&gt;&lt;/EndNote&gt;</w:instrText>
      </w:r>
      <w:r w:rsidRPr="0090141B">
        <w:rPr>
          <w:rFonts w:cstheme="minorHAnsi"/>
        </w:rPr>
        <w:fldChar w:fldCharType="separate"/>
      </w:r>
      <w:r w:rsidRPr="0090141B">
        <w:rPr>
          <w:rFonts w:cstheme="minorHAnsi"/>
          <w:noProof/>
          <w:vertAlign w:val="superscript"/>
        </w:rPr>
        <w:t>19</w:t>
      </w:r>
      <w:r w:rsidRPr="0090141B">
        <w:rPr>
          <w:rFonts w:cstheme="minorHAnsi"/>
        </w:rPr>
        <w:fldChar w:fldCharType="end"/>
      </w:r>
      <w:r w:rsidRPr="0090141B">
        <w:rPr>
          <w:rFonts w:cstheme="minorHAnsi"/>
        </w:rPr>
        <w:t xml:space="preserve">  </w:t>
      </w:r>
      <w:r w:rsidRPr="0090141B">
        <w:rPr>
          <w:rFonts w:cstheme="minorHAnsi"/>
        </w:rPr>
        <w:lastRenderedPageBreak/>
        <w:t xml:space="preserve">Assays were performed in 96-well plates in a total volume of 200 </w:t>
      </w:r>
      <w:proofErr w:type="spellStart"/>
      <w:r w:rsidRPr="0090141B">
        <w:rPr>
          <w:rFonts w:cstheme="minorHAnsi"/>
        </w:rPr>
        <w:t>μl</w:t>
      </w:r>
      <w:proofErr w:type="spellEnd"/>
      <w:r w:rsidRPr="0090141B">
        <w:rPr>
          <w:rFonts w:cstheme="minorHAnsi"/>
        </w:rPr>
        <w:t xml:space="preserve">/well. Compounds were dissolved in </w:t>
      </w:r>
      <w:proofErr w:type="spellStart"/>
      <w:r w:rsidRPr="0090141B">
        <w:rPr>
          <w:rFonts w:cstheme="minorHAnsi"/>
        </w:rPr>
        <w:t>dimethylsulfoxide</w:t>
      </w:r>
      <w:proofErr w:type="spellEnd"/>
      <w:r w:rsidRPr="0090141B">
        <w:rPr>
          <w:rFonts w:cstheme="minorHAnsi"/>
        </w:rPr>
        <w:t xml:space="preserve"> (DMSO) and added to plates in a volume of 10 </w:t>
      </w:r>
      <w:proofErr w:type="spellStart"/>
      <w:r w:rsidRPr="0090141B">
        <w:rPr>
          <w:rFonts w:cstheme="minorHAnsi"/>
        </w:rPr>
        <w:t>μl</w:t>
      </w:r>
      <w:proofErr w:type="spellEnd"/>
      <w:r w:rsidRPr="0090141B">
        <w:rPr>
          <w:rFonts w:cstheme="minorHAnsi"/>
        </w:rPr>
        <w:t xml:space="preserve"> followed by addition of 165 </w:t>
      </w:r>
      <w:proofErr w:type="spellStart"/>
      <w:r w:rsidRPr="0090141B">
        <w:rPr>
          <w:rFonts w:cstheme="minorHAnsi"/>
        </w:rPr>
        <w:t>μl</w:t>
      </w:r>
      <w:proofErr w:type="spellEnd"/>
      <w:r w:rsidRPr="0090141B">
        <w:rPr>
          <w:rFonts w:cstheme="minorHAnsi"/>
        </w:rPr>
        <w:t xml:space="preserve"> of assay mix.  Plates were pre-incubated at 25 °C for 10 min.  The enzyme reaction was initiated by the addition of 25 </w:t>
      </w:r>
      <w:proofErr w:type="spellStart"/>
      <w:r w:rsidRPr="0090141B">
        <w:rPr>
          <w:rFonts w:cstheme="minorHAnsi"/>
        </w:rPr>
        <w:t>μl</w:t>
      </w:r>
      <w:proofErr w:type="spellEnd"/>
      <w:r w:rsidRPr="0090141B">
        <w:rPr>
          <w:rFonts w:cstheme="minorHAnsi"/>
        </w:rPr>
        <w:t xml:space="preserve"> of </w:t>
      </w:r>
      <w:proofErr w:type="spellStart"/>
      <w:r w:rsidRPr="0090141B">
        <w:rPr>
          <w:rFonts w:cstheme="minorHAnsi"/>
        </w:rPr>
        <w:t>cAMP</w:t>
      </w:r>
      <w:proofErr w:type="spellEnd"/>
      <w:r w:rsidRPr="0090141B">
        <w:rPr>
          <w:rFonts w:cstheme="minorHAnsi"/>
        </w:rPr>
        <w:t xml:space="preserve"> followed by thorough mixing. Reaction rates were measured by monitoring the decrease in fluorescence using excitation at 355 nm and emission at 460 nm for a period of 10 min in a fluorescence plate reader.  Initial rates (slopes) were determined from linear portions of the progress curves.  Final concentrations of assay components were as follows: 50 </w:t>
      </w:r>
      <w:proofErr w:type="spellStart"/>
      <w:r w:rsidRPr="0090141B">
        <w:rPr>
          <w:rFonts w:cstheme="minorHAnsi"/>
        </w:rPr>
        <w:t>mM</w:t>
      </w:r>
      <w:proofErr w:type="spellEnd"/>
      <w:r w:rsidRPr="0090141B">
        <w:rPr>
          <w:rFonts w:cstheme="minorHAnsi"/>
        </w:rPr>
        <w:t xml:space="preserve"> </w:t>
      </w:r>
      <w:proofErr w:type="spellStart"/>
      <w:r w:rsidRPr="0090141B">
        <w:rPr>
          <w:rFonts w:cstheme="minorHAnsi"/>
        </w:rPr>
        <w:t>Tris</w:t>
      </w:r>
      <w:proofErr w:type="spellEnd"/>
      <w:r w:rsidRPr="0090141B">
        <w:rPr>
          <w:rFonts w:cstheme="minorHAnsi"/>
        </w:rPr>
        <w:t xml:space="preserve">, pH 8, 10 </w:t>
      </w:r>
      <w:proofErr w:type="spellStart"/>
      <w:r w:rsidRPr="0090141B">
        <w:rPr>
          <w:rFonts w:cstheme="minorHAnsi"/>
        </w:rPr>
        <w:t>mM</w:t>
      </w:r>
      <w:proofErr w:type="spellEnd"/>
      <w:r w:rsidRPr="0090141B">
        <w:rPr>
          <w:rFonts w:cstheme="minorHAnsi"/>
        </w:rPr>
        <w:t xml:space="preserve"> MgCl</w:t>
      </w:r>
      <w:r w:rsidRPr="0090141B">
        <w:rPr>
          <w:rFonts w:cstheme="minorHAnsi"/>
          <w:vertAlign w:val="subscript"/>
        </w:rPr>
        <w:t>2</w:t>
      </w:r>
      <w:r w:rsidRPr="0090141B">
        <w:rPr>
          <w:rFonts w:cstheme="minorHAnsi"/>
        </w:rPr>
        <w:t xml:space="preserve">, 50 </w:t>
      </w:r>
      <w:proofErr w:type="spellStart"/>
      <w:r w:rsidRPr="0090141B">
        <w:rPr>
          <w:rFonts w:cstheme="minorHAnsi"/>
        </w:rPr>
        <w:t>mM</w:t>
      </w:r>
      <w:proofErr w:type="spellEnd"/>
      <w:r w:rsidRPr="0090141B">
        <w:rPr>
          <w:rFonts w:cstheme="minorHAnsi"/>
        </w:rPr>
        <w:t xml:space="preserve"> </w:t>
      </w:r>
      <w:proofErr w:type="spellStart"/>
      <w:r w:rsidRPr="0090141B">
        <w:rPr>
          <w:rFonts w:cstheme="minorHAnsi"/>
        </w:rPr>
        <w:t>KCl</w:t>
      </w:r>
      <w:proofErr w:type="spellEnd"/>
      <w:r w:rsidRPr="0090141B">
        <w:rPr>
          <w:rFonts w:cstheme="minorHAnsi"/>
        </w:rPr>
        <w:t xml:space="preserve">, 2% DMSO, 5 </w:t>
      </w:r>
      <w:proofErr w:type="spellStart"/>
      <w:r w:rsidRPr="0090141B">
        <w:rPr>
          <w:rFonts w:cstheme="minorHAnsi"/>
        </w:rPr>
        <w:t>mM</w:t>
      </w:r>
      <w:proofErr w:type="spellEnd"/>
      <w:r w:rsidRPr="0090141B">
        <w:rPr>
          <w:rFonts w:cstheme="minorHAnsi"/>
        </w:rPr>
        <w:t xml:space="preserve"> </w:t>
      </w:r>
      <w:proofErr w:type="spellStart"/>
      <w:r w:rsidRPr="0090141B">
        <w:rPr>
          <w:rFonts w:cstheme="minorHAnsi"/>
        </w:rPr>
        <w:t>tris</w:t>
      </w:r>
      <w:proofErr w:type="spellEnd"/>
      <w:r w:rsidRPr="0090141B">
        <w:rPr>
          <w:rFonts w:cstheme="minorHAnsi"/>
        </w:rPr>
        <w:t xml:space="preserve">(2-carboxyethyl)phosphine (TCEP), 0.4 </w:t>
      </w:r>
      <w:proofErr w:type="spellStart"/>
      <w:r w:rsidRPr="0090141B">
        <w:rPr>
          <w:rFonts w:cstheme="minorHAnsi"/>
        </w:rPr>
        <w:t>mM</w:t>
      </w:r>
      <w:proofErr w:type="spellEnd"/>
      <w:r w:rsidRPr="0090141B">
        <w:rPr>
          <w:rFonts w:cstheme="minorHAnsi"/>
        </w:rPr>
        <w:t xml:space="preserve"> </w:t>
      </w:r>
      <w:proofErr w:type="spellStart"/>
      <w:r w:rsidRPr="0090141B">
        <w:rPr>
          <w:rFonts w:cstheme="minorHAnsi"/>
        </w:rPr>
        <w:t>phosphenolpyruvate</w:t>
      </w:r>
      <w:proofErr w:type="spellEnd"/>
      <w:r w:rsidRPr="0090141B">
        <w:rPr>
          <w:rFonts w:cstheme="minorHAnsi"/>
        </w:rPr>
        <w:t xml:space="preserve"> (PEP), 0.01 </w:t>
      </w:r>
      <w:proofErr w:type="spellStart"/>
      <w:r w:rsidRPr="0090141B">
        <w:rPr>
          <w:rFonts w:cstheme="minorHAnsi"/>
        </w:rPr>
        <w:t>mM</w:t>
      </w:r>
      <w:proofErr w:type="spellEnd"/>
      <w:r w:rsidRPr="0090141B">
        <w:rPr>
          <w:rFonts w:cstheme="minorHAnsi"/>
        </w:rPr>
        <w:t xml:space="preserve"> NADH, 0.04 </w:t>
      </w:r>
      <w:proofErr w:type="spellStart"/>
      <w:r w:rsidRPr="0090141B">
        <w:rPr>
          <w:rFonts w:cstheme="minorHAnsi"/>
        </w:rPr>
        <w:t>mM</w:t>
      </w:r>
      <w:proofErr w:type="spellEnd"/>
      <w:r w:rsidRPr="0090141B">
        <w:rPr>
          <w:rFonts w:cstheme="minorHAnsi"/>
        </w:rPr>
        <w:t xml:space="preserve"> adenosine triphosphate (ATP), 0.004 </w:t>
      </w:r>
      <w:proofErr w:type="spellStart"/>
      <w:r w:rsidRPr="0090141B">
        <w:rPr>
          <w:rFonts w:cstheme="minorHAnsi"/>
        </w:rPr>
        <w:t>mM</w:t>
      </w:r>
      <w:proofErr w:type="spellEnd"/>
      <w:r w:rsidRPr="0090141B">
        <w:rPr>
          <w:rFonts w:cstheme="minorHAnsi"/>
        </w:rPr>
        <w:t xml:space="preserve"> </w:t>
      </w:r>
      <w:proofErr w:type="spellStart"/>
      <w:r w:rsidRPr="0090141B">
        <w:rPr>
          <w:rFonts w:cstheme="minorHAnsi"/>
        </w:rPr>
        <w:t>cAMP</w:t>
      </w:r>
      <w:proofErr w:type="spellEnd"/>
      <w:r w:rsidRPr="0090141B">
        <w:rPr>
          <w:rFonts w:cstheme="minorHAnsi"/>
        </w:rPr>
        <w:t xml:space="preserve">, 7.5 units </w:t>
      </w:r>
      <w:proofErr w:type="spellStart"/>
      <w:r w:rsidRPr="0090141B">
        <w:rPr>
          <w:rFonts w:cstheme="minorHAnsi"/>
        </w:rPr>
        <w:t>myokinase</w:t>
      </w:r>
      <w:proofErr w:type="spellEnd"/>
      <w:r w:rsidRPr="0090141B">
        <w:rPr>
          <w:rFonts w:cstheme="minorHAnsi"/>
        </w:rPr>
        <w:t xml:space="preserve"> from yeast, 1.6 units pyruvate kinase, 2 units lactate dehydrogenase, and ~0.5-4 </w:t>
      </w:r>
      <w:proofErr w:type="spellStart"/>
      <w:r w:rsidRPr="0090141B">
        <w:rPr>
          <w:rFonts w:cstheme="minorHAnsi"/>
        </w:rPr>
        <w:t>nM</w:t>
      </w:r>
      <w:proofErr w:type="spellEnd"/>
      <w:r w:rsidRPr="0090141B">
        <w:rPr>
          <w:rFonts w:cstheme="minorHAnsi"/>
        </w:rPr>
        <w:t xml:space="preserve"> PDE4.  The concentration of purified PDE4 in the assay was adjusted to yield an initial rate of approximately -0.6 RFU/sec.  To measure inhibition of PDE4 enzymes by test compounds, data were percent normalized relative to controls (negative controls: 12 wells per 96 well assay plate with no added </w:t>
      </w:r>
      <w:proofErr w:type="spellStart"/>
      <w:r w:rsidRPr="0090141B">
        <w:rPr>
          <w:rFonts w:cstheme="minorHAnsi"/>
        </w:rPr>
        <w:t>cAMP</w:t>
      </w:r>
      <w:proofErr w:type="spellEnd"/>
      <w:r w:rsidRPr="0090141B">
        <w:rPr>
          <w:rFonts w:cstheme="minorHAnsi"/>
        </w:rPr>
        <w:t xml:space="preserve">; positive controls: 12 wells with </w:t>
      </w:r>
      <w:proofErr w:type="spellStart"/>
      <w:r w:rsidRPr="0090141B">
        <w:rPr>
          <w:rFonts w:cstheme="minorHAnsi"/>
        </w:rPr>
        <w:t>cAMP</w:t>
      </w:r>
      <w:proofErr w:type="spellEnd"/>
      <w:r w:rsidRPr="0090141B">
        <w:rPr>
          <w:rFonts w:cstheme="minorHAnsi"/>
        </w:rPr>
        <w:t xml:space="preserve"> but no inhibitor) and are presented as percent inhibition.  Z’ quality factors were &gt; 0.5 for the assay plates.  An Inhibitory Concentration 50% (IC</w:t>
      </w:r>
      <w:r w:rsidRPr="0090141B">
        <w:rPr>
          <w:rFonts w:cstheme="minorHAnsi"/>
          <w:vertAlign w:val="subscript"/>
        </w:rPr>
        <w:t>50</w:t>
      </w:r>
      <w:r w:rsidRPr="0090141B">
        <w:rPr>
          <w:rFonts w:cstheme="minorHAnsi"/>
        </w:rPr>
        <w:t xml:space="preserve">) values were calculated by fitting a sigmoidal dose response curve with </w:t>
      </w:r>
      <w:proofErr w:type="spellStart"/>
      <w:r w:rsidRPr="0090141B">
        <w:rPr>
          <w:rFonts w:cstheme="minorHAnsi"/>
        </w:rPr>
        <w:t>I</w:t>
      </w:r>
      <w:r w:rsidRPr="0090141B">
        <w:rPr>
          <w:rFonts w:cstheme="minorHAnsi"/>
          <w:vertAlign w:val="subscript"/>
        </w:rPr>
        <w:t>min</w:t>
      </w:r>
      <w:proofErr w:type="spellEnd"/>
      <w:r w:rsidRPr="0090141B">
        <w:rPr>
          <w:rFonts w:cstheme="minorHAnsi"/>
        </w:rPr>
        <w:t xml:space="preserve"> = 0% inhibition and </w:t>
      </w:r>
      <w:proofErr w:type="gramStart"/>
      <w:r w:rsidRPr="0090141B">
        <w:rPr>
          <w:rFonts w:cstheme="minorHAnsi"/>
        </w:rPr>
        <w:t>I</w:t>
      </w:r>
      <w:r w:rsidRPr="0090141B">
        <w:rPr>
          <w:rFonts w:cstheme="minorHAnsi"/>
          <w:vertAlign w:val="subscript"/>
        </w:rPr>
        <w:t>max</w:t>
      </w:r>
      <w:proofErr w:type="gramEnd"/>
      <w:r w:rsidRPr="0090141B">
        <w:rPr>
          <w:rFonts w:cstheme="minorHAnsi"/>
        </w:rPr>
        <w:t xml:space="preserve"> as a fitted parameter, and reported as mean ± S.E.M.  </w:t>
      </w:r>
    </w:p>
    <w:p w:rsidR="009E35BA" w:rsidRPr="0090141B" w:rsidRDefault="009E35BA" w:rsidP="009E35BA">
      <w:pPr>
        <w:spacing w:line="480" w:lineRule="auto"/>
        <w:rPr>
          <w:rFonts w:cstheme="minorHAnsi"/>
          <w:b/>
        </w:rPr>
      </w:pPr>
      <w:r w:rsidRPr="0090141B">
        <w:rPr>
          <w:rFonts w:cstheme="minorHAnsi"/>
          <w:b/>
        </w:rPr>
        <w:t>Protein Structure Determination by X-ray Crystallography</w:t>
      </w:r>
    </w:p>
    <w:p w:rsidR="009E35BA" w:rsidRPr="0090141B" w:rsidRDefault="009E35BA" w:rsidP="009E35BA">
      <w:pPr>
        <w:spacing w:line="480" w:lineRule="auto"/>
      </w:pPr>
      <w:r w:rsidRPr="0090141B">
        <w:t xml:space="preserve">Co-crystals of PDE4D with BPN5004 were grown by sitting drop vapor diffusion at 289K using 0.4 µl of 5.0 mg/ml protein (in 10mM 4-(2-hydroxyethyl)-1-piperazineethanesulfonic acid (HEPES), pH7.5, 100mM </w:t>
      </w:r>
      <w:proofErr w:type="spellStart"/>
      <w:r w:rsidRPr="0090141B">
        <w:t>NaCl</w:t>
      </w:r>
      <w:proofErr w:type="spellEnd"/>
      <w:r w:rsidRPr="0090141B">
        <w:t xml:space="preserve">, 1mM </w:t>
      </w:r>
      <w:proofErr w:type="spellStart"/>
      <w:r w:rsidRPr="0090141B">
        <w:t>dithiothreitol</w:t>
      </w:r>
      <w:proofErr w:type="spellEnd"/>
      <w:r w:rsidRPr="0090141B">
        <w:t xml:space="preserve"> (DTT), 0.1mM zinc chloride, 0.1mM magnesium chloride) in the presence of 0.5 </w:t>
      </w:r>
      <w:proofErr w:type="spellStart"/>
      <w:r w:rsidRPr="0090141B">
        <w:t>mM</w:t>
      </w:r>
      <w:proofErr w:type="spellEnd"/>
      <w:r w:rsidRPr="0090141B">
        <w:t xml:space="preserve"> BPN-5004 (DMSO) and combined with 0.4 µl of crystallization buffer containing 8.75% w/v PEG 1,000, 6.25% w/v PEG 3,350, 6.25% v/v 2-methyl-2,4-pentanediol (MPD), 15mM sodium nitrate, 15mM disodium hydrogen phosphate, 15mM ammonium sulfate, 50mM 3-(N-</w:t>
      </w:r>
      <w:proofErr w:type="spellStart"/>
      <w:r w:rsidRPr="0090141B">
        <w:lastRenderedPageBreak/>
        <w:t>morpholino</w:t>
      </w:r>
      <w:proofErr w:type="spellEnd"/>
      <w:r w:rsidRPr="0090141B">
        <w:t>)</w:t>
      </w:r>
      <w:proofErr w:type="spellStart"/>
      <w:r w:rsidRPr="0090141B">
        <w:t>propanesulfonic</w:t>
      </w:r>
      <w:proofErr w:type="spellEnd"/>
      <w:r w:rsidRPr="0090141B">
        <w:t xml:space="preserve"> acid (MOPS), 50mM HEPES, pH7.5, 20% v/v ethanol, 50mM phosphate-citrate, pH4.2.   Crystals grown were directly flash frozen for data collection. A 1.70Ǻ dataset of a co-crystal of human PDE4D-UCR2 (CID7620) and compound BPN-5004 was collected at the Advanced Photon Source synchrotron, Beamline 21-ID-F (LS-CAT) with a </w:t>
      </w:r>
      <w:proofErr w:type="spellStart"/>
      <w:r w:rsidRPr="0090141B">
        <w:t>Marmosaic</w:t>
      </w:r>
      <w:proofErr w:type="spellEnd"/>
      <w:r w:rsidRPr="0090141B">
        <w:t xml:space="preserve"> 225 CCD detector. Diffraction data were reduced and scaled with XDS/XSCALE </w:t>
      </w:r>
      <w:r w:rsidRPr="0090141B">
        <w:fldChar w:fldCharType="begin" w:fldLock="1"/>
      </w:r>
      <w:r w:rsidRPr="0090141B">
        <w:instrText>ADDIN CSL_CITATION { "citationItems" : [ { "id" : "ITEM-1", "itemData" : { "author" : [ { "dropping-particle" : "", "family" : "Newman J, Egan D, Walter TS, Meged R, Berry I, Ben Jelloul M, Sussman JL, Stuart DI", "given" : "Perrakis A.", "non-dropping-particle" : "", "parse-names" : false, "suffix" : "" } ], "container-title" : "Acta Crystallogr D Biol Crystallogr", "id" : "ITEM-1", "issued" : { "date-parts" : [ [ "2005" ] ] }, "page" : "1426-1431", "title" : "Towards rationalization of crystallization screening for small- to medium-sized academic laboratories: the PACT/JCSG+ strategy", "type" : "article-journal", "volume" : "61" }, "uris" : [ "http://www.mendeley.com/documents/?uuid=074205b2-96f3-4f2c-9c3e-c9a5a699c13f" ] } ], "mendeley" : { "formattedCitation" : "&lt;sup&gt;59&lt;/sup&gt;", "plainTextFormattedCitation" : "59", "previouslyFormattedCitation" : "&lt;sup&gt;57&lt;/sup&gt;" }, "properties" : { "noteIndex" : 0 }, "schema" : "https://github.com/citation-style-language/schema/raw/master/csl-citation.json" }</w:instrText>
      </w:r>
      <w:r w:rsidRPr="0090141B">
        <w:fldChar w:fldCharType="separate"/>
      </w:r>
      <w:r w:rsidRPr="0090141B">
        <w:rPr>
          <w:noProof/>
          <w:vertAlign w:val="superscript"/>
        </w:rPr>
        <w:t>59</w:t>
      </w:r>
      <w:r w:rsidRPr="0090141B">
        <w:fldChar w:fldCharType="end"/>
      </w:r>
      <w:r w:rsidRPr="0090141B">
        <w:t xml:space="preserve">. The structure of PDE4D-UCR2 bound to BPN5004 was solved by rigid body refinement using pre-existing structures of PDE4D catalytic domain. The structure was refined using iterative cycles of TLS and restrained refinement with REFMAC5 </w:t>
      </w:r>
      <w:r w:rsidRPr="0090141B">
        <w:fldChar w:fldCharType="begin" w:fldLock="1"/>
      </w:r>
      <w:r w:rsidRPr="0090141B">
        <w:instrText>ADDIN CSL_CITATION { "citationItems" : [ { "id" : "ITEM-1", "itemData" : { "author" : [ { "dropping-particle" : "", "family" : "Kabsch", "given" : "W. XDS.", "non-dropping-particle" : "", "parse-names" : false, "suffix" : "" } ], "container-title" : "Acta Crystallogr D Biol Crystallogr", "id" : "ITEM-1", "issued" : { "date-parts" : [ [ "2010" ] ] }, "page" : "125-132", "title" : "XDS", "type" : "article-journal", "volume" : "66" }, "uris" : [ "http://www.mendeley.com/documents/?uuid=205e4aea-ec47-4081-9ec5-313a5ce492cb" ] } ], "mendeley" : { "formattedCitation" : "&lt;sup&gt;60&lt;/sup&gt;", "plainTextFormattedCitation" : "60", "previouslyFormattedCitation" : "&lt;sup&gt;58&lt;/sup&gt;" }, "properties" : { "noteIndex" : 0 }, "schema" : "https://github.com/citation-style-language/schema/raw/master/csl-citation.json" }</w:instrText>
      </w:r>
      <w:r w:rsidRPr="0090141B">
        <w:fldChar w:fldCharType="separate"/>
      </w:r>
      <w:r w:rsidRPr="0090141B">
        <w:rPr>
          <w:noProof/>
          <w:vertAlign w:val="superscript"/>
        </w:rPr>
        <w:t>60</w:t>
      </w:r>
      <w:r w:rsidRPr="0090141B">
        <w:fldChar w:fldCharType="end"/>
      </w:r>
      <w:r w:rsidRPr="0090141B">
        <w:t xml:space="preserve">, part of the CCP4 program suite </w:t>
      </w:r>
      <w:r w:rsidRPr="0090141B">
        <w:fldChar w:fldCharType="begin" w:fldLock="1"/>
      </w:r>
      <w:r w:rsidRPr="0090141B">
        <w:instrText>ADDIN CSL_CITATION { "citationItems" : [ { "id" : "ITEM-1", "itemData" : { "author" : [ { "dropping-particle" : "", "family" : "Murshudov", "given" : "G.N.", "non-dropping-particle" : "", "parse-names" : false, "suffix" : "" } ], "container-title" : "Acta Crystallogr D Biol Crystallogr", "id" : "ITEM-1", "issued" : { "date-parts" : [ [ "2011" ] ] }, "page" : "235-242", "title" : "REFMAC5 for the refinement of macromolecular crystal structures", "type" : "article-journal", "volume" : "67" }, "uris" : [ "http://www.mendeley.com/documents/?uuid=3ebd8240-ec76-418d-9fc3-af81c1d165e3", "http://www.mendeley.com/documents/?uuid=83114853-9a55-4b7d-b410-ffa2c2305185" ] } ], "mendeley" : { "formattedCitation" : "&lt;sup&gt;61&lt;/sup&gt;", "plainTextFormattedCitation" : "61", "previouslyFormattedCitation" : "&lt;sup&gt;59&lt;/sup&gt;" }, "properties" : { "noteIndex" : 0 }, "schema" : "https://github.com/citation-style-language/schema/raw/master/csl-citation.json" }</w:instrText>
      </w:r>
      <w:r w:rsidRPr="0090141B">
        <w:fldChar w:fldCharType="separate"/>
      </w:r>
      <w:r w:rsidRPr="0090141B">
        <w:rPr>
          <w:noProof/>
          <w:vertAlign w:val="superscript"/>
        </w:rPr>
        <w:t>61</w:t>
      </w:r>
      <w:r w:rsidRPr="0090141B">
        <w:fldChar w:fldCharType="end"/>
      </w:r>
      <w:r w:rsidRPr="0090141B">
        <w:t xml:space="preserve">, and model-building using the Crystallographic Object-Oriented Toolkit (COOT) </w:t>
      </w:r>
      <w:r w:rsidRPr="0090141B">
        <w:fldChar w:fldCharType="begin"/>
      </w:r>
      <w:r w:rsidRPr="0090141B">
        <w:instrText xml:space="preserve"> ADDIN EN.CITE &lt;EndNote&gt;&lt;Cite&gt;&lt;Author&gt;Emsley&lt;/Author&gt;&lt;RecNum&gt;5&lt;/RecNum&gt;&lt;DisplayText&gt;&lt;style face="superscript"&gt;38&lt;/style&gt;&lt;/DisplayText&gt;&lt;record&gt;&lt;rec-number&gt;5&lt;/rec-number&gt;&lt;foreign-keys&gt;&lt;key app="EN" db-id="d0929aezsrrzziezzx0xzpepfvpr9pxfzxx9" timestamp="1366602753"&gt;5&lt;/key&gt;&lt;/foreign-keys&gt;&lt;ref-type name="Journal Article"&gt;17&lt;/ref-type&gt;&lt;contributors&gt;&lt;authors&gt;&lt;author&gt;Emsley, P.&lt;/author&gt;&lt;author&gt;Lohkamp, B.&lt;/author&gt;&lt;author&gt;Scott, W. G.&lt;/author&gt;&lt;author&gt;Cowtan, K.&lt;/author&gt;&lt;/authors&gt;&lt;/contributors&gt;&lt;auth-address&gt;Department of Biochemistry, University of Oxford, South Parks Road, Oxford OX1 3QU, England. paul.emsley@bioch.ox.ac.uk&lt;/auth-address&gt;&lt;titles&gt;&lt;title&gt;Features and development of Coot&lt;/title&gt;&lt;secondary-title&gt;Acta Crystallogr D Biol Crystallogr&lt;/secondary-title&gt;&lt;/titles&gt;&lt;periodical&gt;&lt;full-title&gt;Acta Crystallogr D Biol Crystallogr&lt;/full-title&gt;&lt;/periodical&gt;&lt;pages&gt;486-501&lt;/pages&gt;&lt;volume&gt;66&lt;/volume&gt;&lt;number&gt;Pt 4&lt;/number&gt;&lt;edition&gt;2010/04/13&lt;/edition&gt;&lt;keywords&gt;&lt;keyword&gt;Crystallography, X-Ray/*methods&lt;/keyword&gt;&lt;keyword&gt;DNA/analysis/chemistry&lt;/keyword&gt;&lt;keyword&gt;Models, Molecular&lt;/keyword&gt;&lt;keyword&gt;Nucleic Acid Conformation&lt;/keyword&gt;&lt;keyword&gt;Protein Structure, Tertiary&lt;/keyword&gt;&lt;keyword&gt;Proteins/analysis/chemistry&lt;/keyword&gt;&lt;keyword&gt;RNA/analysis/chemistry&lt;/keyword&gt;&lt;keyword&gt;*Software Design&lt;/keyword&gt;&lt;/keywords&gt;&lt;dates&gt;&lt;pub-dates&gt;&lt;date&gt;Apr&lt;/date&gt;&lt;/pub-dates&gt;&lt;/dates&gt;&lt;isbn&gt;1399-0047 (Electronic)&amp;#xD;0907-4449 (Linking)&lt;/isbn&gt;&lt;accession-num&gt;20383002&lt;/accession-num&gt;&lt;urls&gt;&lt;related-urls&gt;&lt;url&gt;http://www.ncbi.nlm.nih.gov/entrez/query.fcgi?cmd=Retrieve&amp;amp;db=PubMed&amp;amp;dopt=Citation&amp;amp;list_uids=20383002&lt;/url&gt;&lt;/related-urls&gt;&lt;/urls&gt;&lt;electronic-resource-num&gt;S0907444910007493 [pii]&amp;#xD;10.1107/S0907444910007493&lt;/electronic-resource-num&gt;&lt;language&gt;eng&lt;/language&gt;&lt;/record&gt;&lt;/Cite&gt;&lt;/EndNote&gt;</w:instrText>
      </w:r>
      <w:r w:rsidRPr="0090141B">
        <w:fldChar w:fldCharType="separate"/>
      </w:r>
      <w:r w:rsidRPr="0090141B">
        <w:rPr>
          <w:noProof/>
          <w:vertAlign w:val="superscript"/>
        </w:rPr>
        <w:t>38</w:t>
      </w:r>
      <w:r w:rsidRPr="0090141B">
        <w:fldChar w:fldCharType="end"/>
      </w:r>
      <w:r w:rsidRPr="0090141B">
        <w:t>.  The structure was peer-reviewed internally and validated using Molprobity</w:t>
      </w:r>
      <w:r w:rsidRPr="0090141B">
        <w:fldChar w:fldCharType="begin"/>
      </w:r>
      <w:r w:rsidRPr="0090141B">
        <w:instrText xml:space="preserve"> ADDIN EN.CITE &lt;EndNote&gt;&lt;Cite&gt;&lt;Author&gt;Chen&lt;/Author&gt;&lt;RecNum&gt;4&lt;/RecNum&gt;&lt;DisplayText&gt;&lt;style face="superscript"&gt;39&lt;/style&gt;&lt;/DisplayText&gt;&lt;record&gt;&lt;rec-number&gt;4&lt;/rec-number&gt;&lt;foreign-keys&gt;&lt;key app="EN" db-id="d0929aezsrrzziezzx0xzpepfvpr9pxfzxx9" timestamp="1366602753"&gt;4&lt;/key&gt;&lt;/foreign-keys&gt;&lt;ref-type name="Journal Article"&gt;17&lt;/ref-type&gt;&lt;contributors&gt;&lt;authors&gt;&lt;author&gt;Chen, V. B.&lt;/author&gt;&lt;author&gt;Arendall, W. B., 3rd&lt;/author&gt;&lt;author&gt;Headd, J. J.&lt;/author&gt;&lt;author&gt;Keedy, D. A.&lt;/author&gt;&lt;author&gt;Immormino, R. M.&lt;/author&gt;&lt;author&gt;Kapral, G. J.&lt;/author&gt;&lt;author&gt;Murray, L. W.&lt;/author&gt;&lt;author&gt;Richardson, J. S.&lt;/author&gt;&lt;author&gt;Richardson, D. C.&lt;/author&gt;&lt;/authors&gt;&lt;/contributors&gt;&lt;auth-address&gt;Department of Biochemistry, Duke University, Durham, NC 27710, USA.&lt;/auth-address&gt;&lt;titles&gt;&lt;title&gt;MolProbity: all-atom structure validation for macromolecular crystallography&lt;/title&gt;&lt;secondary-title&gt;Acta Crystallogr D Biol Crystallogr&lt;/secondary-title&gt;&lt;/titles&gt;&lt;periodical&gt;&lt;full-title&gt;Acta Crystallogr D Biol Crystallogr&lt;/full-title&gt;&lt;/periodical&gt;&lt;pages&gt;12-21&lt;/pages&gt;&lt;volume&gt;66&lt;/volume&gt;&lt;number&gt;Pt 1&lt;/number&gt;&lt;edition&gt;2010/01/09&lt;/edition&gt;&lt;keywords&gt;&lt;keyword&gt;Automatic Data Processing&lt;/keyword&gt;&lt;keyword&gt;Automation, Laboratory&lt;/keyword&gt;&lt;keyword&gt;Crystallization&lt;/keyword&gt;&lt;keyword&gt;Crystallography, X-Ray/instrumentation/*methods&lt;/keyword&gt;&lt;keyword&gt;Nucleic Acids/*chemistry&lt;/keyword&gt;&lt;keyword&gt;Proteins/*chemistry&lt;/keyword&gt;&lt;keyword&gt;Quality Control&lt;/keyword&gt;&lt;keyword&gt;Reproducibility of Results&lt;/keyword&gt;&lt;keyword&gt;Research Design&lt;/keyword&gt;&lt;keyword&gt;*Software&lt;/keyword&gt;&lt;/keywords&gt;&lt;dates&gt;&lt;pub-dates&gt;&lt;date&gt;Jan&lt;/date&gt;&lt;/pub-dates&gt;&lt;/dates&gt;&lt;isbn&gt;1399-0047 (Electronic)&amp;#xD;0907-4449 (Linking)&lt;/isbn&gt;&lt;accession-num&gt;20057044&lt;/accession-num&gt;&lt;urls&gt;&lt;related-urls&gt;&lt;url&gt;http://www.ncbi.nlm.nih.gov/entrez/query.fcgi?cmd=Retrieve&amp;amp;db=PubMed&amp;amp;dopt=Citation&amp;amp;list_uids=20057044&lt;/url&gt;&lt;/related-urls&gt;&lt;/urls&gt;&lt;electronic-resource-num&gt;S0907444909042073 [pii]&amp;#xD;10.1107/S0907444909042073&lt;/electronic-resource-num&gt;&lt;language&gt;eng&lt;/language&gt;&lt;/record&gt;&lt;/Cite&gt;&lt;/EndNote&gt;</w:instrText>
      </w:r>
      <w:r w:rsidRPr="0090141B">
        <w:fldChar w:fldCharType="separate"/>
      </w:r>
      <w:r w:rsidRPr="0090141B">
        <w:rPr>
          <w:noProof/>
          <w:vertAlign w:val="superscript"/>
        </w:rPr>
        <w:t>39</w:t>
      </w:r>
      <w:r w:rsidRPr="0090141B">
        <w:fldChar w:fldCharType="end"/>
      </w:r>
      <w:r w:rsidRPr="0090141B">
        <w:t xml:space="preserve"> prior to deposition in the Protein Data Bank (PDB: 6BOJ) </w:t>
      </w:r>
      <w:r w:rsidRPr="0090141B">
        <w:fldChar w:fldCharType="begin" w:fldLock="1"/>
      </w:r>
      <w:r w:rsidRPr="0090141B">
        <w:instrText>ADDIN CSL_CITATION { "citationItems" : [ { "id" : "ITEM-1", "itemData" : { "author" : [ { "dropping-particle" : "", "family" : "Berman, H., Henrick, K. &amp; Nakamura", "given" : "H.", "non-dropping-particle" : "", "parse-names" : false, "suffix" : "" } ], "container-title" : "Nat Struct Biol", "id" : "ITEM-1", "issued" : { "date-parts" : [ [ "2003" ] ] }, "page" : "980", "title" : "Announcing the worldwide Protein Data Bank", "type" : "article-journal", "volume" : "10" }, "uris" : [ "http://www.mendeley.com/documents/?uuid=58e5e535-54f4-4dd9-8b34-26e41bcf2d1b" ] }, { "id" : "ITEM-2", "itemData" : { "author" : [ { "dropping-particle" : "", "family" : "Berman, HM, Westbrook, J, Feng, Z, Gilliland, G, Bhat, TN, Weissig, H, Shindyalov, IN, Bourne", "given" : "PE", "non-dropping-particle" : "", "parse-names" : false, "suffix" : "" } ], "container-title" : "Nucleic Acids Res", "id" : "ITEM-2", "issued" : { "date-parts" : [ [ "2000" ] ] }, "page" : "235-242", "title" : "The Protein Data Bank", "type" : "article-journal", "volume" : "28" }, "uris" : [ "http://www.mendeley.com/documents/?uuid=3f3f53ed-d410-420d-b084-4c65cac96225" ] } ], "mendeley" : { "formattedCitation" : "&lt;sup&gt;62,63&lt;/sup&gt;", "plainTextFormattedCitation" : "62,63", "previouslyFormattedCitation" : "&lt;sup&gt;60,61&lt;/sup&gt;" }, "properties" : { "noteIndex" : 0 }, "schema" : "https://github.com/citation-style-language/schema/raw/master/csl-citation.json" }</w:instrText>
      </w:r>
      <w:r w:rsidRPr="0090141B">
        <w:fldChar w:fldCharType="separate"/>
      </w:r>
      <w:r w:rsidRPr="0090141B">
        <w:rPr>
          <w:noProof/>
          <w:vertAlign w:val="superscript"/>
        </w:rPr>
        <w:t>62,63</w:t>
      </w:r>
      <w:r w:rsidRPr="0090141B">
        <w:fldChar w:fldCharType="end"/>
      </w:r>
      <w:r w:rsidRPr="0090141B">
        <w:t xml:space="preserve">. </w:t>
      </w:r>
    </w:p>
    <w:p w:rsidR="009E35BA" w:rsidRPr="0090141B" w:rsidRDefault="009E35BA" w:rsidP="009E35BA">
      <w:pPr>
        <w:spacing w:line="480" w:lineRule="auto"/>
        <w:rPr>
          <w:rFonts w:cstheme="minorHAnsi"/>
          <w:b/>
        </w:rPr>
      </w:pPr>
      <w:r w:rsidRPr="0090141B">
        <w:rPr>
          <w:rFonts w:cstheme="minorHAnsi"/>
          <w:b/>
        </w:rPr>
        <w:t>[</w:t>
      </w:r>
      <w:r w:rsidRPr="0090141B">
        <w:rPr>
          <w:rFonts w:cstheme="minorHAnsi"/>
          <w:b/>
          <w:vertAlign w:val="superscript"/>
        </w:rPr>
        <w:t>3</w:t>
      </w:r>
      <w:r w:rsidRPr="0090141B">
        <w:rPr>
          <w:rFonts w:cstheme="minorHAnsi"/>
          <w:b/>
        </w:rPr>
        <w:t>H]-</w:t>
      </w:r>
      <w:proofErr w:type="spellStart"/>
      <w:r w:rsidRPr="0090141B">
        <w:rPr>
          <w:rFonts w:cstheme="minorHAnsi"/>
          <w:b/>
        </w:rPr>
        <w:t>Rolipram</w:t>
      </w:r>
      <w:proofErr w:type="spellEnd"/>
      <w:r w:rsidRPr="0090141B">
        <w:rPr>
          <w:rFonts w:cstheme="minorHAnsi"/>
          <w:b/>
        </w:rPr>
        <w:t xml:space="preserve"> </w:t>
      </w:r>
      <w:proofErr w:type="spellStart"/>
      <w:r w:rsidRPr="0090141B">
        <w:rPr>
          <w:rFonts w:cstheme="minorHAnsi"/>
          <w:b/>
        </w:rPr>
        <w:t>radioligand</w:t>
      </w:r>
      <w:proofErr w:type="spellEnd"/>
      <w:r w:rsidRPr="0090141B">
        <w:rPr>
          <w:rFonts w:cstheme="minorHAnsi"/>
          <w:b/>
        </w:rPr>
        <w:t xml:space="preserve"> binding</w:t>
      </w:r>
    </w:p>
    <w:p w:rsidR="009E35BA" w:rsidRPr="0090141B" w:rsidRDefault="009E35BA" w:rsidP="009E35BA">
      <w:pPr>
        <w:spacing w:line="480" w:lineRule="auto"/>
        <w:rPr>
          <w:rFonts w:cstheme="minorHAnsi"/>
        </w:rPr>
      </w:pPr>
      <w:r w:rsidRPr="0090141B">
        <w:rPr>
          <w:rFonts w:cstheme="minorHAnsi"/>
        </w:rPr>
        <w:t xml:space="preserve">Mice were killed by decapitation, and the brains were immediately dissected on ice and homogenized in binding buffer (50 </w:t>
      </w:r>
      <w:proofErr w:type="spellStart"/>
      <w:r w:rsidRPr="0090141B">
        <w:rPr>
          <w:rFonts w:cstheme="minorHAnsi"/>
        </w:rPr>
        <w:t>mM</w:t>
      </w:r>
      <w:proofErr w:type="spellEnd"/>
      <w:r w:rsidRPr="0090141B">
        <w:rPr>
          <w:rFonts w:cstheme="minorHAnsi"/>
        </w:rPr>
        <w:t xml:space="preserve"> </w:t>
      </w:r>
      <w:proofErr w:type="spellStart"/>
      <w:r w:rsidRPr="0090141B">
        <w:rPr>
          <w:rFonts w:cstheme="minorHAnsi"/>
        </w:rPr>
        <w:t>Tris-HCl</w:t>
      </w:r>
      <w:proofErr w:type="spellEnd"/>
      <w:r w:rsidRPr="0090141B">
        <w:rPr>
          <w:rFonts w:cstheme="minorHAnsi"/>
        </w:rPr>
        <w:t xml:space="preserve">, 5 </w:t>
      </w:r>
      <w:proofErr w:type="spellStart"/>
      <w:r w:rsidRPr="0090141B">
        <w:rPr>
          <w:rFonts w:cstheme="minorHAnsi"/>
        </w:rPr>
        <w:t>mM</w:t>
      </w:r>
      <w:proofErr w:type="spellEnd"/>
      <w:r w:rsidRPr="0090141B">
        <w:rPr>
          <w:rFonts w:cstheme="minorHAnsi"/>
        </w:rPr>
        <w:t xml:space="preserve"> MgCl</w:t>
      </w:r>
      <w:r w:rsidRPr="0090141B">
        <w:rPr>
          <w:rFonts w:cstheme="minorHAnsi"/>
          <w:vertAlign w:val="subscript"/>
        </w:rPr>
        <w:t>2</w:t>
      </w:r>
      <w:r w:rsidRPr="0090141B">
        <w:rPr>
          <w:rFonts w:cstheme="minorHAnsi"/>
        </w:rPr>
        <w:t xml:space="preserve">, pH 7.5) using a </w:t>
      </w:r>
      <w:proofErr w:type="spellStart"/>
      <w:r w:rsidRPr="0090141B">
        <w:rPr>
          <w:rFonts w:cstheme="minorHAnsi"/>
        </w:rPr>
        <w:t>Polytron</w:t>
      </w:r>
      <w:proofErr w:type="spellEnd"/>
      <w:r w:rsidRPr="0090141B">
        <w:rPr>
          <w:rFonts w:cstheme="minorHAnsi"/>
        </w:rPr>
        <w:t xml:space="preserve"> homogenizer (Brinkman Instruments, Westbury, NY).  The membrane fraction of the homogenate was obtained by centrifugation at 15,000 g for 15 min, and resuspension of the pellet in the binding buffer</w:t>
      </w:r>
      <w:r w:rsidRPr="0090141B">
        <w:rPr>
          <w:rFonts w:cstheme="minorHAnsi"/>
        </w:rPr>
        <w:fldChar w:fldCharType="begin" w:fldLock="1"/>
      </w:r>
      <w:r w:rsidRPr="0090141B">
        <w:rPr>
          <w:rFonts w:cstheme="minorHAnsi"/>
        </w:rPr>
        <w:instrText>ADDIN CSL_CITATION { "citationItems" : [ { "id" : "ITEM-1", "itemData" : { "DOI" : "10.1124/jpet.102.047407.nanomolar", "author" : [ { "dropping-particle" : "", "family" : "Zhao", "given" : "Y U", "non-dropping-particle" : "", "parse-names" : false, "suffix" : "" }, { "dropping-particle" : "", "family" : "Zhang", "given" : "Han-ting", "non-dropping-particle" : "", "parse-names" : false, "suffix" : "" }, { "dropping-particle" : "", "family" : "Donnell", "given" : "James M O", "non-dropping-particle" : "", "parse-names" : false, "suffix" : "" } ], "id" : "ITEM-1", "issue" : "2", "issued" : { "date-parts" : [ [ "2003" ] ] }, "page" : "565-572", "title" : "Inhibitor Binding to Type 4 Phosphodiesterase ( PDE4 ) Assessed Using [ 3 H ] Piclamilast and [ 3 H ] Rolipram", "type" : "article-journal", "volume" : "305" }, "uris" : [ "http://www.mendeley.com/documents/?uuid=962cf121-206a-45f0-b8ff-1d226c91c43c" ] } ], "mendeley" : { "formattedCitation" : "&lt;sup&gt;29&lt;/sup&gt;", "plainTextFormattedCitation" : "29", "previouslyFormattedCitation" : "&lt;sup&gt;29&lt;/sup&gt;" }, "properties" : { "noteIndex" : 0 }, "schema" : "https://github.com/citation-style-language/schema/raw/master/csl-citation.json" }</w:instrText>
      </w:r>
      <w:r w:rsidRPr="0090141B">
        <w:rPr>
          <w:rFonts w:cstheme="minorHAnsi"/>
        </w:rPr>
        <w:fldChar w:fldCharType="separate"/>
      </w:r>
      <w:r w:rsidRPr="0090141B">
        <w:rPr>
          <w:rFonts w:cstheme="minorHAnsi"/>
          <w:noProof/>
          <w:vertAlign w:val="superscript"/>
        </w:rPr>
        <w:t>29</w:t>
      </w:r>
      <w:r w:rsidRPr="0090141B">
        <w:rPr>
          <w:rFonts w:cstheme="minorHAnsi"/>
        </w:rPr>
        <w:fldChar w:fldCharType="end"/>
      </w:r>
      <w:r w:rsidRPr="0090141B">
        <w:rPr>
          <w:rFonts w:cstheme="minorHAnsi"/>
        </w:rPr>
        <w:t xml:space="preserve">. </w:t>
      </w:r>
    </w:p>
    <w:p w:rsidR="009E35BA" w:rsidRPr="0090141B" w:rsidRDefault="009E35BA" w:rsidP="009E35BA">
      <w:pPr>
        <w:spacing w:line="480" w:lineRule="auto"/>
        <w:rPr>
          <w:rFonts w:cstheme="minorHAnsi"/>
        </w:rPr>
      </w:pPr>
      <w:r w:rsidRPr="0090141B">
        <w:rPr>
          <w:rFonts w:cstheme="minorHAnsi"/>
        </w:rPr>
        <w:t xml:space="preserve">For each genotype, mouse brain membrane preparations containing 200 to 300 </w:t>
      </w:r>
      <w:proofErr w:type="spellStart"/>
      <w:r w:rsidRPr="0090141B">
        <w:rPr>
          <w:rFonts w:cstheme="minorHAnsi"/>
        </w:rPr>
        <w:t>μg</w:t>
      </w:r>
      <w:proofErr w:type="spellEnd"/>
      <w:r w:rsidRPr="0090141B">
        <w:rPr>
          <w:rFonts w:cstheme="minorHAnsi"/>
        </w:rPr>
        <w:t xml:space="preserve"> of protein were incubated in duplicate at 30°C in 250 </w:t>
      </w:r>
      <w:proofErr w:type="spellStart"/>
      <w:r w:rsidRPr="0090141B">
        <w:rPr>
          <w:rFonts w:cstheme="minorHAnsi"/>
        </w:rPr>
        <w:t>μl</w:t>
      </w:r>
      <w:proofErr w:type="spellEnd"/>
      <w:r w:rsidRPr="0090141B">
        <w:rPr>
          <w:rFonts w:cstheme="minorHAnsi"/>
        </w:rPr>
        <w:t xml:space="preserve"> of binding buffer containing either </w:t>
      </w:r>
      <w:proofErr w:type="spellStart"/>
      <w:r w:rsidRPr="0090141B">
        <w:rPr>
          <w:rFonts w:cstheme="minorHAnsi"/>
        </w:rPr>
        <w:t>i</w:t>
      </w:r>
      <w:proofErr w:type="spellEnd"/>
      <w:r w:rsidRPr="0090141B">
        <w:rPr>
          <w:rFonts w:cstheme="minorHAnsi"/>
        </w:rPr>
        <w:t xml:space="preserve">) 0.5-50 </w:t>
      </w:r>
      <w:proofErr w:type="spellStart"/>
      <w:r w:rsidRPr="0090141B">
        <w:rPr>
          <w:rFonts w:cstheme="minorHAnsi"/>
        </w:rPr>
        <w:t>nM</w:t>
      </w:r>
      <w:proofErr w:type="spellEnd"/>
      <w:r w:rsidRPr="0090141B">
        <w:rPr>
          <w:rFonts w:cstheme="minorHAnsi"/>
        </w:rPr>
        <w:t xml:space="preserve"> [</w:t>
      </w:r>
      <w:r w:rsidRPr="0090141B">
        <w:rPr>
          <w:rFonts w:cstheme="minorHAnsi"/>
          <w:vertAlign w:val="superscript"/>
        </w:rPr>
        <w:t>3</w:t>
      </w:r>
      <w:r w:rsidRPr="0090141B">
        <w:rPr>
          <w:rFonts w:cstheme="minorHAnsi"/>
        </w:rPr>
        <w:t>H]-</w:t>
      </w:r>
      <w:proofErr w:type="spellStart"/>
      <w:r w:rsidRPr="0090141B">
        <w:rPr>
          <w:rFonts w:cstheme="minorHAnsi"/>
        </w:rPr>
        <w:t>rolipram</w:t>
      </w:r>
      <w:proofErr w:type="spellEnd"/>
      <w:r w:rsidRPr="0090141B">
        <w:rPr>
          <w:rFonts w:cstheme="minorHAnsi"/>
        </w:rPr>
        <w:t xml:space="preserve"> for the saturation binding studies; or ii) various concentrations of BPN14770 and 2 </w:t>
      </w:r>
      <w:proofErr w:type="spellStart"/>
      <w:r w:rsidRPr="0090141B">
        <w:rPr>
          <w:rFonts w:cstheme="minorHAnsi"/>
        </w:rPr>
        <w:t>nM</w:t>
      </w:r>
      <w:proofErr w:type="spellEnd"/>
      <w:r w:rsidRPr="0090141B">
        <w:rPr>
          <w:rFonts w:cstheme="minorHAnsi"/>
        </w:rPr>
        <w:t xml:space="preserve"> [</w:t>
      </w:r>
      <w:r w:rsidRPr="0090141B">
        <w:rPr>
          <w:rFonts w:cstheme="minorHAnsi"/>
          <w:vertAlign w:val="superscript"/>
        </w:rPr>
        <w:t>3</w:t>
      </w:r>
      <w:r w:rsidRPr="0090141B">
        <w:rPr>
          <w:rFonts w:cstheme="minorHAnsi"/>
        </w:rPr>
        <w:t>H]-</w:t>
      </w:r>
      <w:proofErr w:type="spellStart"/>
      <w:r w:rsidRPr="0090141B">
        <w:rPr>
          <w:rFonts w:cstheme="minorHAnsi"/>
        </w:rPr>
        <w:t>rolipram</w:t>
      </w:r>
      <w:proofErr w:type="spellEnd"/>
      <w:r w:rsidRPr="0090141B">
        <w:rPr>
          <w:rFonts w:cstheme="minorHAnsi"/>
        </w:rPr>
        <w:t xml:space="preserve"> for the competition studies.  Nonspecific binding was defined in the presence of 10 µM unlabeled </w:t>
      </w:r>
      <w:proofErr w:type="spellStart"/>
      <w:r w:rsidRPr="0090141B">
        <w:rPr>
          <w:rFonts w:cstheme="minorHAnsi"/>
        </w:rPr>
        <w:t>rolipram</w:t>
      </w:r>
      <w:proofErr w:type="spellEnd"/>
      <w:r w:rsidRPr="0090141B">
        <w:rPr>
          <w:rFonts w:cstheme="minorHAnsi"/>
        </w:rPr>
        <w:t xml:space="preserve">.  At the end of the incubation, reactions were stopped by adding 5 ml of the ice-cold binding buffer and rapid vacuum filtration through glass fiber filters that had been soaked in 0.3% </w:t>
      </w:r>
      <w:proofErr w:type="spellStart"/>
      <w:r w:rsidRPr="0090141B">
        <w:rPr>
          <w:rFonts w:cstheme="minorHAnsi"/>
        </w:rPr>
        <w:t>polyethyleneimine</w:t>
      </w:r>
      <w:proofErr w:type="spellEnd"/>
      <w:r w:rsidRPr="0090141B">
        <w:rPr>
          <w:rFonts w:cstheme="minorHAnsi"/>
        </w:rPr>
        <w:t xml:space="preserve">.  The filters were then washed twice with 5 ml of the ice-cold binding buffer, and discs of filter paper were collected for measurement of radioactivity by liquid scintillation counting. </w:t>
      </w:r>
    </w:p>
    <w:p w:rsidR="009E35BA" w:rsidRPr="0090141B" w:rsidRDefault="009E35BA" w:rsidP="009E35BA">
      <w:pPr>
        <w:spacing w:line="480" w:lineRule="auto"/>
        <w:rPr>
          <w:rFonts w:cstheme="minorHAnsi"/>
          <w:b/>
        </w:rPr>
      </w:pPr>
      <w:r w:rsidRPr="0090141B">
        <w:rPr>
          <w:rFonts w:cstheme="minorHAnsi"/>
          <w:b/>
        </w:rPr>
        <w:lastRenderedPageBreak/>
        <w:t>Behavioral tests</w:t>
      </w:r>
    </w:p>
    <w:p w:rsidR="009E35BA" w:rsidRDefault="009E35BA" w:rsidP="009E35BA">
      <w:pPr>
        <w:spacing w:line="480" w:lineRule="auto"/>
        <w:rPr>
          <w:rFonts w:cstheme="minorHAnsi"/>
        </w:rPr>
      </w:pPr>
      <w:r w:rsidRPr="0090141B">
        <w:rPr>
          <w:rFonts w:cstheme="minorHAnsi"/>
        </w:rPr>
        <w:t xml:space="preserve">For each of the behavioral tests, BPN14770 was dissolved in a vehicle composed of 5% DMSO, 5% </w:t>
      </w:r>
      <w:proofErr w:type="spellStart"/>
      <w:r w:rsidRPr="0090141B">
        <w:rPr>
          <w:rFonts w:cstheme="minorHAnsi"/>
        </w:rPr>
        <w:t>Solutol</w:t>
      </w:r>
      <w:proofErr w:type="spellEnd"/>
      <w:r w:rsidRPr="0090141B">
        <w:rPr>
          <w:rFonts w:cstheme="minorHAnsi"/>
        </w:rPr>
        <w:t xml:space="preserve">, and 90% water, and administered orally.  </w:t>
      </w:r>
      <w:proofErr w:type="spellStart"/>
      <w:r w:rsidRPr="0090141B">
        <w:rPr>
          <w:rFonts w:cstheme="minorHAnsi"/>
        </w:rPr>
        <w:t>Rolipram</w:t>
      </w:r>
      <w:proofErr w:type="spellEnd"/>
      <w:r w:rsidRPr="0090141B">
        <w:rPr>
          <w:rFonts w:cstheme="minorHAnsi"/>
        </w:rPr>
        <w:t xml:space="preserve"> was dissolved in saline containing 5% DMSO and administered intraperitoneally as a reference compound.  For the scopolamine-induced memory impairment models, a single dose of scopolamine (0.1 mg/kg, IP) was administered 30 min before the training session of the NOR.  Animals treated with H-89 or vehicle were implanted with 26-gauge guide cannula unilaterally (AP −0.2 mm from </w:t>
      </w:r>
      <w:proofErr w:type="spellStart"/>
      <w:r w:rsidRPr="0090141B">
        <w:rPr>
          <w:rFonts w:cstheme="minorHAnsi"/>
        </w:rPr>
        <w:t>Bregma</w:t>
      </w:r>
      <w:proofErr w:type="spellEnd"/>
      <w:r w:rsidRPr="0090141B">
        <w:rPr>
          <w:rFonts w:cstheme="minorHAnsi"/>
        </w:rPr>
        <w:t xml:space="preserve">, ML +1 mm from the midline, DV−2mm from skull surface) and rested for a week before any tests.  H-89 was prepared in saline and administered to mice 30 min before dosing with BPN14770 using a 33-gauge injection cannula dispensing 5 µl over 5 min.  For repeated treatment studies, mice were orally dosed with BPN14770 for 14 days, and the behavioral tests were conducted 1 h after the last dose.  </w:t>
      </w:r>
    </w:p>
    <w:p w:rsidR="00110257" w:rsidRPr="0090141B" w:rsidRDefault="00110257" w:rsidP="00110257">
      <w:pPr>
        <w:spacing w:line="480" w:lineRule="auto"/>
        <w:rPr>
          <w:rFonts w:cstheme="minorHAnsi"/>
        </w:rPr>
      </w:pPr>
      <w:bookmarkStart w:id="0" w:name="_GoBack"/>
      <w:r w:rsidRPr="00640C8B">
        <w:rPr>
          <w:rFonts w:cstheme="minorHAnsi"/>
          <w:i/>
        </w:rPr>
        <w:t>Y-maze spontaneous alternation test.</w:t>
      </w:r>
      <w:bookmarkEnd w:id="0"/>
      <w:r>
        <w:rPr>
          <w:rFonts w:cstheme="minorHAnsi"/>
        </w:rPr>
        <w:t xml:space="preserve"> </w:t>
      </w:r>
      <w:r w:rsidRPr="00110257">
        <w:rPr>
          <w:rFonts w:cstheme="minorHAnsi"/>
        </w:rPr>
        <w:t>The Y-maze apparatus made of matt</w:t>
      </w:r>
      <w:r>
        <w:rPr>
          <w:rFonts w:cstheme="minorHAnsi"/>
        </w:rPr>
        <w:t xml:space="preserve"> blue</w:t>
      </w:r>
      <w:r w:rsidRPr="00110257">
        <w:rPr>
          <w:rFonts w:cstheme="minorHAnsi"/>
        </w:rPr>
        <w:t xml:space="preserve"> </w:t>
      </w:r>
      <w:r>
        <w:rPr>
          <w:rFonts w:cstheme="minorHAnsi"/>
        </w:rPr>
        <w:t>Plexiglas</w:t>
      </w:r>
      <w:r w:rsidRPr="00110257">
        <w:rPr>
          <w:rFonts w:cstheme="minorHAnsi"/>
        </w:rPr>
        <w:t xml:space="preserve"> had three </w:t>
      </w:r>
      <w:r>
        <w:rPr>
          <w:rFonts w:cstheme="minorHAnsi"/>
        </w:rPr>
        <w:t>identical arms (</w:t>
      </w:r>
      <w:r w:rsidR="00BC0C13" w:rsidRPr="00640C8B">
        <w:rPr>
          <w:rFonts w:cstheme="minorHAnsi"/>
          <w:i/>
        </w:rPr>
        <w:t xml:space="preserve">L </w:t>
      </w:r>
      <w:r w:rsidRPr="00640C8B">
        <w:rPr>
          <w:rFonts w:cstheme="minorHAnsi"/>
          <w:i/>
        </w:rPr>
        <w:t>40</w:t>
      </w:r>
      <w:r w:rsidR="00BC0C13" w:rsidRPr="00640C8B">
        <w:rPr>
          <w:rFonts w:cstheme="minorHAnsi"/>
          <w:i/>
        </w:rPr>
        <w:t xml:space="preserve"> cm, W </w:t>
      </w:r>
      <w:r w:rsidRPr="00640C8B">
        <w:rPr>
          <w:rFonts w:cstheme="minorHAnsi"/>
          <w:i/>
        </w:rPr>
        <w:t>5</w:t>
      </w:r>
      <w:r w:rsidR="00BC0C13" w:rsidRPr="00640C8B">
        <w:rPr>
          <w:rFonts w:cstheme="minorHAnsi"/>
          <w:i/>
        </w:rPr>
        <w:t xml:space="preserve"> cm, H</w:t>
      </w:r>
      <w:r w:rsidRPr="00640C8B">
        <w:rPr>
          <w:rFonts w:cstheme="minorHAnsi"/>
          <w:i/>
        </w:rPr>
        <w:t xml:space="preserve"> 15 cm</w:t>
      </w:r>
      <w:r w:rsidRPr="00110257">
        <w:rPr>
          <w:rFonts w:cstheme="minorHAnsi"/>
        </w:rPr>
        <w:t>)</w:t>
      </w:r>
      <w:r>
        <w:rPr>
          <w:rFonts w:cstheme="minorHAnsi"/>
        </w:rPr>
        <w:t xml:space="preserve"> </w:t>
      </w:r>
      <w:r w:rsidRPr="00110257">
        <w:rPr>
          <w:rFonts w:cstheme="minorHAnsi"/>
        </w:rPr>
        <w:t>placed at 120° from each other.</w:t>
      </w:r>
      <w:r>
        <w:rPr>
          <w:rFonts w:cstheme="minorHAnsi"/>
        </w:rPr>
        <w:t xml:space="preserve"> The test consisted of a single 5 min trial, in which the mouse was allowed to explore all three </w:t>
      </w:r>
      <w:r w:rsidRPr="00110257">
        <w:rPr>
          <w:rFonts w:cstheme="minorHAnsi"/>
        </w:rPr>
        <w:t>arms of the Y-maze. The start arm was varied between animals to</w:t>
      </w:r>
      <w:r>
        <w:rPr>
          <w:rFonts w:cstheme="minorHAnsi"/>
        </w:rPr>
        <w:t xml:space="preserve"> </w:t>
      </w:r>
      <w:r w:rsidRPr="00110257">
        <w:rPr>
          <w:rFonts w:cstheme="minorHAnsi"/>
        </w:rPr>
        <w:t>avoid placement bias.</w:t>
      </w:r>
      <w:r>
        <w:rPr>
          <w:rFonts w:cstheme="minorHAnsi"/>
        </w:rPr>
        <w:t xml:space="preserve"> Spontaneous Alternation (%)</w:t>
      </w:r>
      <w:r w:rsidRPr="00110257">
        <w:rPr>
          <w:rFonts w:cstheme="minorHAnsi"/>
        </w:rPr>
        <w:t xml:space="preserve"> was defined as consecutive</w:t>
      </w:r>
      <w:r>
        <w:rPr>
          <w:rFonts w:cstheme="minorHAnsi"/>
        </w:rPr>
        <w:t xml:space="preserve"> </w:t>
      </w:r>
      <w:r w:rsidRPr="00110257">
        <w:rPr>
          <w:rFonts w:cstheme="minorHAnsi"/>
        </w:rPr>
        <w:t>entries in 3 different arms, divided by the number of possible alternations (total</w:t>
      </w:r>
      <w:r>
        <w:rPr>
          <w:rFonts w:cstheme="minorHAnsi"/>
        </w:rPr>
        <w:t xml:space="preserve"> arm entries minus 2</w:t>
      </w:r>
      <w:r w:rsidRPr="00110257">
        <w:rPr>
          <w:rFonts w:cstheme="minorHAnsi"/>
        </w:rPr>
        <w:t>).</w:t>
      </w:r>
      <w:r>
        <w:rPr>
          <w:rFonts w:cstheme="minorHAnsi"/>
        </w:rPr>
        <w:t xml:space="preserve"> </w:t>
      </w:r>
      <w:r w:rsidRPr="00110257">
        <w:rPr>
          <w:rFonts w:cstheme="minorHAnsi"/>
        </w:rPr>
        <w:t>Mice with less than 8 arm</w:t>
      </w:r>
      <w:r>
        <w:rPr>
          <w:rFonts w:cstheme="minorHAnsi"/>
        </w:rPr>
        <w:t xml:space="preserve"> </w:t>
      </w:r>
      <w:r w:rsidRPr="00110257">
        <w:rPr>
          <w:rFonts w:cstheme="minorHAnsi"/>
        </w:rPr>
        <w:t>entries during the 5-min trial were excluded from the analysis</w:t>
      </w:r>
      <w:r>
        <w:rPr>
          <w:rFonts w:cstheme="minorHAnsi"/>
        </w:rPr>
        <w:t xml:space="preserve">.   </w:t>
      </w:r>
    </w:p>
    <w:p w:rsidR="009E35BA" w:rsidRPr="0090141B" w:rsidRDefault="009E35BA" w:rsidP="009E35BA">
      <w:pPr>
        <w:spacing w:line="480" w:lineRule="auto"/>
        <w:rPr>
          <w:rFonts w:cstheme="minorHAnsi"/>
        </w:rPr>
      </w:pPr>
      <w:r w:rsidRPr="0090141B">
        <w:rPr>
          <w:rFonts w:cstheme="minorHAnsi"/>
          <w:i/>
        </w:rPr>
        <w:t>Novel object recognition.</w:t>
      </w:r>
      <w:r w:rsidRPr="0090141B">
        <w:rPr>
          <w:rFonts w:cstheme="minorHAnsi"/>
        </w:rPr>
        <w:t xml:space="preserve"> Mice were handled for 3-5 min for 5 days in a row. The novel object recognition test was performed in a Plexiglas open field box (</w:t>
      </w:r>
      <w:r w:rsidRPr="0090141B">
        <w:rPr>
          <w:rFonts w:cstheme="minorHAnsi"/>
          <w:i/>
        </w:rPr>
        <w:t>L30 cm, W50 cm, H40 cm</w:t>
      </w:r>
      <w:r w:rsidRPr="0090141B">
        <w:rPr>
          <w:rFonts w:cstheme="minorHAnsi"/>
        </w:rPr>
        <w:t>) as described elsewhere</w:t>
      </w:r>
      <w:r w:rsidRPr="0090141B">
        <w:rPr>
          <w:rFonts w:cstheme="minorHAnsi"/>
        </w:rPr>
        <w:fldChar w:fldCharType="begin" w:fldLock="1"/>
      </w:r>
      <w:r w:rsidRPr="0090141B">
        <w:rPr>
          <w:rFonts w:cstheme="minorHAnsi"/>
        </w:rPr>
        <w:instrText>ADDIN CSL_CITATION { "citationItems" : [ { "id" : "ITEM-1", "itemData" : { "DOI" : "10.1016/j.biopsych.2005.06.006", "ISSN" : "0006-3223", "PMID" : "16139811", "abstract" : "BACKGROUND: Recent clinical studies have suggested that chronic use of methamphetamine (METH) induces long-term cognitive deficits. To clarify the mechanism of METH-induced cognitive impairment, we investigated the effect of METH on cognitive function in mice.\n\nMETHODS: Mice were repeatedly administered METH for 7 days, and their cognitive function was assessed using a novel-object recognition task. Therapeutic effects of clozapine and haloperidol on METH-induced cognitive impairment were investigated. Western blotting and specific inhibitors were employed to determine the role of extracellular signal-regulated kinase 1/2 (ERK1/2).\n\nRESULTS: Repeated METH treatment induced an impairment of recognition of novel objects and behavioral sensitization. These effects persisted for at least 28 days after the drug withdrawal. Clozapine, but not haloperidol, reduced METH-induced cognitive impairment. Hyperphosphorylation of ERK1/2 was found in the prefrontal cortex of mice exposed to the novel objects, but was abolished in mice treated with METH. Inhibition of ERK1/2 by the microinjection of PD98059 into the prefrontal cortex resulted in cognitive impairment.\n\nCONCLUSIONS: These results suggest that repeated METH treatment induces cognitive impairment, which is associated with the dysfunction of the ERK1/2 pathway in the prefrontal cortex.", "author" : [ { "dropping-particle" : "", "family" : "Kamei", "given" : "Hiroyuki", "non-dropping-particle" : "", "parse-names" : false, "suffix" : "" }, { "dropping-particle" : "", "family" : "Nagai", "given" : "Taku", "non-dropping-particle" : "", "parse-names" : false, "suffix" : "" }, { "dropping-particle" : "", "family" : "Nakano", "given" : "Hiroko", "non-dropping-particle" : "", "parse-names" : false, "suffix" : "" }, { "dropping-particle" : "", "family" : "Togan", "given" : "Yuriko", "non-dropping-particle" : "", "parse-names" : false, "suffix" : "" }, { "dropping-particle" : "", "family" : "Takayanagi", "given" : "Masanori", "non-dropping-particle" : "", "parse-names" : false, "suffix" : "" }, { "dropping-particle" : "", "family" : "Takahashi", "given" : "Kenji", "non-dropping-particle" : "", "parse-names" : false, "suffix" : "" }, { "dropping-particle" : "", "family" : "Kobayashi", "given" : "Kana", "non-dropping-particle" : "", "parse-names" : false, "suffix" : "" }, { "dropping-particle" : "", "family" : "Yoshida", "given" : "Shigeru", "non-dropping-particle" : "", "parse-names" : false, "suffix" : "" }, { "dropping-particle" : "", "family" : "Maeda", "given" : "Kenji", "non-dropping-particle" : "", "parse-names" : false, "suffix" : "" }, { "dropping-particle" : "", "family" : "Takuma", "given" : "Kazuhiro", "non-dropping-particle" : "", "parse-names" : false, "suffix" : "" }, { "dropping-particle" : "", "family" : "Nabeshima", "given" : "Toshitaka", "non-dropping-particle" : "", "parse-names" : false, "suffix" : "" }, { "dropping-particle" : "", "family" : "Yamada", "given" : "Kiyofumi", "non-dropping-particle" : "", "parse-names" : false, "suffix" : "" } ], "container-title" : "Biological psychiatry", "id" : "ITEM-1", "issue" : "1", "issued" : { "date-parts" : [ [ "2006", "1", "1" ] ] }, "page" : "75-84", "title" : "Repeated methamphetamine treatment impairs recognition memory through a failure of novelty-induced ERK1/2 activation in the prefrontal cortex of mice.", "type" : "article-journal", "volume" : "59" }, "uris" : [ "http://www.mendeley.com/documents/?uuid=098e662d-1af0-49e4-93d5-eef8a504de56" ] }, { "id" : "ITEM-2", "itemData" : { "DOI" : "10.1523/JNEUROSCI.5236-10.2011", "ISSN" : "1529-2401", "PMID" : "21209202", "abstract" : "Phosphodiesterase-4 (PDE4) plays an important role in mediating memory via the control of intracellular cAMP signaling; inhibition of PDE4 enhances memory. However, development of PDE4 inhibitors as memory enhancers has been hampered by their major side effect of emesis. PDE4 has four subtypes (PDE4A-D) consisting of 25 splice variants. Mice deficient in PDE4D displayed memory enhancement in radial arm maze, water maze, and object recognition tests. These effects were mimicked by repeated treatment with rolipram in wild-type mice. In addition, similarly as rolipram-treated wild-type mice, PDE4D-deficient mice also displayed increased hippocampal neurogenesis and phosphorylated cAMP response element-binding protein (pCREB). Furthermore, microinfusion of lentiviral vectors that contained microRNAs (miRNAs) targeting long-form PDE4D isoforms into bilateral dentate gyri of the mouse hippocampus downregulated PDE4D4 and PDE4D5, enhanced memory, and increased hippocampal neurogenesis and pCREB. Finally, while rolipram and PDE4D deficiency shortened \u03b12 adrenergic receptor-mediated anesthesia, a surrogate measure of emesis, miRNA-mediated PDE4D knock-down in the hippocampus did not. The present results suggest that PDE4D, in particular long-form PDE4D, plays a critical role in the mediation of memory and hippocampal neurogenesis, which are mediated by cAMP/CREB signaling; reduced expression of PDE4D, or at least PDE4D4 and PDE4D5, in the hippocampus enhances memory but appears not to cause emesis. These novel findings will aid in the development of PDE4 subtype- or variant-selective inhibitors for treatment of disorders involving impaired cognition, including Alzheimer's disease.", "author" : [ { "dropping-particle" : "", "family" : "Li", "given" : "Yun-Feng", "non-dropping-particle" : "", "parse-names" : false, "suffix" : "" }, { "dropping-particle" : "", "family" : "Cheng", "given" : "Yu-Fang", "non-dropping-particle" : "", "parse-names" : false, "suffix" : "" }, { "dropping-particle" : "", "family" : "Huang", "given" : "Ying", "non-dropping-particle" : "", "parse-names" : false, "suffix" : "" }, { "dropping-particle" : "", "family" : "Conti", "given" : "Marco", "non-dropping-particle" : "", "parse-names" : false, "suffix" : "" }, { "dropping-particle" : "", "family" : "Wilson", "given" : "Steven P", "non-dropping-particle" : "", "parse-names" : false, "suffix" : "" }, { "dropping-particle" : "", "family" : "O'Donnell", "given" : "James M", "non-dropping-particle" : "", "parse-names" : false, "suffix" : "" }, { "dropping-particle" : "", "family" : "Zhang", "given" : "Han-Ting", "non-dropping-particle" : "", "parse-names" : false, "suffix" : "" } ], "container-title" : "The Journal of neuroscience : the official journal of the Society for Neuroscience", "id" : "ITEM-2", "issue" : "1", "issued" : { "date-parts" : [ [ "2011", "1", "5" ] ] }, "page" : "172-83", "title" : "Phosphodiesterase-4D knock-out and RNA interference-mediated knock-down enhance memory and increase hippocampal neurogenesis via increased cAMP signaling.", "type" : "article-journal", "volume" : "31" }, "uris" : [ "http://www.mendeley.com/documents/?uuid=45e63771-47f8-424a-beca-0e5b01782450" ] } ], "mendeley" : { "formattedCitation" : "&lt;sup&gt;64,65&lt;/sup&gt;", "plainTextFormattedCitation" : "64,65", "previouslyFormattedCitation" : "&lt;sup&gt;62,63&lt;/sup&gt;" }, "properties" : { "noteIndex" : 0 }, "schema" : "https://github.com/citation-style-language/schema/raw/master/csl-citation.json" }</w:instrText>
      </w:r>
      <w:r w:rsidRPr="0090141B">
        <w:rPr>
          <w:rFonts w:cstheme="minorHAnsi"/>
        </w:rPr>
        <w:fldChar w:fldCharType="separate"/>
      </w:r>
      <w:r w:rsidRPr="0090141B">
        <w:rPr>
          <w:rFonts w:cstheme="minorHAnsi"/>
          <w:noProof/>
          <w:vertAlign w:val="superscript"/>
        </w:rPr>
        <w:t>64,65</w:t>
      </w:r>
      <w:r w:rsidRPr="0090141B">
        <w:rPr>
          <w:rFonts w:cstheme="minorHAnsi"/>
        </w:rPr>
        <w:fldChar w:fldCharType="end"/>
      </w:r>
      <w:r w:rsidRPr="0090141B">
        <w:rPr>
          <w:rFonts w:cstheme="minorHAnsi"/>
        </w:rPr>
        <w:t>.  Briefly, the task procedure consi</w:t>
      </w:r>
      <w:r w:rsidR="00D42FA9" w:rsidRPr="0090141B">
        <w:rPr>
          <w:rFonts w:cstheme="minorHAnsi"/>
        </w:rPr>
        <w:t>sts of three phases: habituation</w:t>
      </w:r>
      <w:r w:rsidRPr="0090141B">
        <w:rPr>
          <w:rFonts w:cstheme="minorHAnsi"/>
        </w:rPr>
        <w:t>, training (T1), and testing (T2).  In the habituation phase (</w:t>
      </w:r>
      <w:r w:rsidRPr="0090141B">
        <w:rPr>
          <w:rFonts w:cstheme="minorHAnsi"/>
          <w:i/>
        </w:rPr>
        <w:t>day 1</w:t>
      </w:r>
      <w:r w:rsidRPr="0090141B">
        <w:rPr>
          <w:rFonts w:cstheme="minorHAnsi"/>
        </w:rPr>
        <w:t>), each animal is allowed to freely explore the apparatus for 10 min; then the animal is returned to its home cage.  During the training phase (</w:t>
      </w:r>
      <w:r w:rsidRPr="0090141B">
        <w:rPr>
          <w:rFonts w:cstheme="minorHAnsi"/>
          <w:i/>
        </w:rPr>
        <w:t>day 2</w:t>
      </w:r>
      <w:r w:rsidRPr="0090141B">
        <w:rPr>
          <w:rFonts w:cstheme="minorHAnsi"/>
        </w:rPr>
        <w:t xml:space="preserve">), a single animal is placed in the center of the open field containing two identical objects located on the diagonal of the </w:t>
      </w:r>
      <w:r w:rsidRPr="0090141B">
        <w:rPr>
          <w:rFonts w:cstheme="minorHAnsi"/>
        </w:rPr>
        <w:lastRenderedPageBreak/>
        <w:t xml:space="preserve">field, and allowed to explore for 5 min.  After a retention interval after T1 of 24 h (long-term recall) or 1 h (scopolamine-impairment model), the animal was subjected to the T2 testing phase for 5 min, during which one familiar object and one novel object were presented.  The arena and objects were thoroughly wiped with 70% ethanol after each trial to avoid the presence of any olfactory cues.  The animals were considered to be exploring the object when directing their nose to the object at a distance of no more than 2 cm and/or touching or sniffing the object.  The duration each animal spent exploring the objects was recorded.  Time spent exploring the identical objects in T1 was recorded as </w:t>
      </w:r>
      <w:r w:rsidRPr="0090141B">
        <w:rPr>
          <w:rFonts w:cstheme="minorHAnsi"/>
          <w:i/>
        </w:rPr>
        <w:t>a</w:t>
      </w:r>
      <w:r w:rsidRPr="0090141B">
        <w:rPr>
          <w:rFonts w:cstheme="minorHAnsi"/>
          <w:i/>
          <w:vertAlign w:val="subscript"/>
        </w:rPr>
        <w:t>1</w:t>
      </w:r>
      <w:r w:rsidRPr="0090141B">
        <w:rPr>
          <w:rFonts w:cstheme="minorHAnsi"/>
        </w:rPr>
        <w:t xml:space="preserve"> and </w:t>
      </w:r>
      <w:r w:rsidRPr="0090141B">
        <w:rPr>
          <w:rFonts w:cstheme="minorHAnsi"/>
          <w:i/>
        </w:rPr>
        <w:t>a</w:t>
      </w:r>
      <w:r w:rsidRPr="0090141B">
        <w:rPr>
          <w:rFonts w:cstheme="minorHAnsi"/>
          <w:i/>
          <w:vertAlign w:val="subscript"/>
        </w:rPr>
        <w:t>2</w:t>
      </w:r>
      <w:r w:rsidRPr="0090141B">
        <w:rPr>
          <w:rFonts w:cstheme="minorHAnsi"/>
        </w:rPr>
        <w:t>; time spent exploring the familiar and the novel objects in T2 was recorded as ‘</w:t>
      </w:r>
      <w:r w:rsidRPr="0090141B">
        <w:rPr>
          <w:rFonts w:cstheme="minorHAnsi"/>
          <w:i/>
        </w:rPr>
        <w:t>a</w:t>
      </w:r>
      <w:r w:rsidRPr="0090141B">
        <w:rPr>
          <w:rFonts w:cstheme="minorHAnsi"/>
        </w:rPr>
        <w:t>’ and ‘</w:t>
      </w:r>
      <w:r w:rsidRPr="0090141B">
        <w:rPr>
          <w:rFonts w:cstheme="minorHAnsi"/>
          <w:i/>
        </w:rPr>
        <w:t>b</w:t>
      </w:r>
      <w:r w:rsidRPr="0090141B">
        <w:rPr>
          <w:rFonts w:cstheme="minorHAnsi"/>
        </w:rPr>
        <w:t xml:space="preserve">’, respectively. The following variables were calculated: </w:t>
      </w:r>
      <w:r w:rsidRPr="0090141B">
        <w:rPr>
          <w:rFonts w:cstheme="minorHAnsi"/>
          <w:i/>
        </w:rPr>
        <w:t>e1 = a</w:t>
      </w:r>
      <w:r w:rsidRPr="0090141B">
        <w:rPr>
          <w:rFonts w:cstheme="minorHAnsi"/>
          <w:i/>
          <w:vertAlign w:val="subscript"/>
        </w:rPr>
        <w:t>1</w:t>
      </w:r>
      <w:r w:rsidRPr="0090141B">
        <w:rPr>
          <w:rFonts w:cstheme="minorHAnsi"/>
          <w:i/>
        </w:rPr>
        <w:t xml:space="preserve"> + a</w:t>
      </w:r>
      <w:r w:rsidRPr="0090141B">
        <w:rPr>
          <w:rFonts w:cstheme="minorHAnsi"/>
          <w:i/>
          <w:vertAlign w:val="subscript"/>
        </w:rPr>
        <w:t>2</w:t>
      </w:r>
      <w:r w:rsidRPr="0090141B">
        <w:rPr>
          <w:rFonts w:cstheme="minorHAnsi"/>
          <w:i/>
        </w:rPr>
        <w:t>, e2 = a + b</w:t>
      </w:r>
      <w:r w:rsidRPr="0090141B">
        <w:rPr>
          <w:rFonts w:cstheme="minorHAnsi"/>
        </w:rPr>
        <w:t xml:space="preserve">, the relative discrimination index </w:t>
      </w:r>
      <w:r w:rsidRPr="0090141B">
        <w:rPr>
          <w:rFonts w:cstheme="minorHAnsi"/>
          <w:i/>
        </w:rPr>
        <w:t>d2 = (b – a)/e2</w:t>
      </w:r>
      <w:r w:rsidRPr="0090141B">
        <w:rPr>
          <w:rFonts w:cstheme="minorHAnsi"/>
        </w:rPr>
        <w:t>.</w:t>
      </w:r>
    </w:p>
    <w:p w:rsidR="009E35BA" w:rsidRPr="0090141B" w:rsidRDefault="009E35BA" w:rsidP="009E35BA">
      <w:pPr>
        <w:spacing w:line="480" w:lineRule="auto"/>
        <w:rPr>
          <w:rFonts w:cstheme="minorHAnsi"/>
          <w:color w:val="FF0000"/>
        </w:rPr>
      </w:pPr>
      <w:r w:rsidRPr="0090141B">
        <w:rPr>
          <w:rFonts w:cstheme="minorHAnsi"/>
          <w:i/>
        </w:rPr>
        <w:t>Ketamine-</w:t>
      </w:r>
      <w:proofErr w:type="spellStart"/>
      <w:r w:rsidRPr="0090141B">
        <w:rPr>
          <w:rFonts w:cstheme="minorHAnsi"/>
          <w:i/>
        </w:rPr>
        <w:t>xylazine</w:t>
      </w:r>
      <w:proofErr w:type="spellEnd"/>
      <w:r w:rsidRPr="0090141B">
        <w:rPr>
          <w:rFonts w:cstheme="minorHAnsi"/>
          <w:i/>
        </w:rPr>
        <w:t xml:space="preserve"> test.</w:t>
      </w:r>
      <w:r w:rsidRPr="0090141B">
        <w:rPr>
          <w:rFonts w:cstheme="minorHAnsi"/>
        </w:rPr>
        <w:t xml:space="preserve"> A mixture of 8 mg/ml ketamine and 1 mg/ml </w:t>
      </w:r>
      <w:proofErr w:type="spellStart"/>
      <w:r w:rsidRPr="0090141B">
        <w:rPr>
          <w:rFonts w:cstheme="minorHAnsi"/>
        </w:rPr>
        <w:t>xylazine</w:t>
      </w:r>
      <w:proofErr w:type="spellEnd"/>
      <w:r w:rsidRPr="0090141B">
        <w:rPr>
          <w:rFonts w:cstheme="minorHAnsi"/>
        </w:rPr>
        <w:t xml:space="preserve"> was prepared in 0.9% saline on the day of experiment.  During the test, mice were dosed with BPN14770 or vehicle (PO), or </w:t>
      </w:r>
      <w:proofErr w:type="spellStart"/>
      <w:r w:rsidRPr="0090141B">
        <w:rPr>
          <w:rFonts w:cstheme="minorHAnsi"/>
        </w:rPr>
        <w:t>rolipram</w:t>
      </w:r>
      <w:proofErr w:type="spellEnd"/>
      <w:r w:rsidRPr="0090141B">
        <w:rPr>
          <w:rFonts w:cstheme="minorHAnsi"/>
        </w:rPr>
        <w:t xml:space="preserve"> (1 mg/kg, IP).  30 min or 15 min (for PO and IP doses, respectively) later, mice were injected (IP) with a mixture of ketamine and </w:t>
      </w:r>
      <w:proofErr w:type="spellStart"/>
      <w:r w:rsidRPr="0090141B">
        <w:rPr>
          <w:rFonts w:cstheme="minorHAnsi"/>
        </w:rPr>
        <w:t>xylazine</w:t>
      </w:r>
      <w:proofErr w:type="spellEnd"/>
      <w:r w:rsidRPr="0090141B">
        <w:rPr>
          <w:rFonts w:cstheme="minorHAnsi"/>
        </w:rPr>
        <w:t xml:space="preserve"> at a dose of 80 mg/kg ketamine and 10 mg/kg </w:t>
      </w:r>
      <w:proofErr w:type="spellStart"/>
      <w:r w:rsidRPr="0090141B">
        <w:rPr>
          <w:rFonts w:cstheme="minorHAnsi"/>
        </w:rPr>
        <w:t>xylazine</w:t>
      </w:r>
      <w:proofErr w:type="spellEnd"/>
      <w:r w:rsidRPr="0090141B">
        <w:rPr>
          <w:rFonts w:cstheme="minorHAnsi"/>
        </w:rPr>
        <w:t>.  Once the animals become ataxic, they were placed in the supine position in V-shaped metal troughs. The duration of anesthesia was determined as the time between the loss and return of the righting reflex, and was used as an endpoint to measure the duration of anesthesia.  During anesthesia the mice received optical ointment to prevent dryness and irritation in the eyes</w:t>
      </w:r>
      <w:r w:rsidRPr="0090141B">
        <w:rPr>
          <w:rFonts w:cstheme="minorHAnsi"/>
        </w:rPr>
        <w:fldChar w:fldCharType="begin" w:fldLock="1"/>
      </w:r>
      <w:r w:rsidRPr="0090141B">
        <w:rPr>
          <w:rFonts w:cstheme="minorHAnsi"/>
        </w:rPr>
        <w:instrText>ADDIN CSL_CITATION { "citationItems" : [ { "id" : "ITEM-1", "itemData" : { "DOI" : "10.1038/srep40115", "ISSN" : "2045-2322", "author" : [ { "dropping-particle" : "", "family" : "Zhang", "given" : "Chong", "non-dropping-particle" : "", "parse-names" : false, "suffix" : "" }, { "dropping-particle" : "", "family" : "Xu", "given" : "Ying", "non-dropping-particle" : "", "parse-names" : false, "suffix" : "" }, { "dropping-particle" : "", "family" : "Zhang", "given" : "Han-Ting", "non-dropping-particle" : "", "parse-names" : false, "suffix" : "" }, { "dropping-particle" : "", "family" : "Gurney", "given" : "Mark E.", "non-dropping-particle" : "", "parse-names" : false, "suffix" : "" }, { "dropping-particle" : "", "family" : "O\u2019Donnell", "given" : "James M.", "non-dropping-particle" : "", "parse-names" : false, "suffix" : "" } ], "container-title" : "Scientific Reports", "id" : "ITEM-1", "issued" : { "date-parts" : [ [ "2017", "1", "5" ] ] }, "page" : "40115", "title" : "Comparison of the Pharmacological Profiles of Selective PDE4B and PDE4D Inhibitors in the Central Nervous System", "type" : "article-journal", "volume" : "7" }, "uris" : [ "http://www.mendeley.com/documents/?uuid=264dcb4e-d8b7-323c-a601-fd3880bf0340" ] }, { "id" : "ITEM-2", "itemData" : { "DOI" : "10.1523/JNEUROSCI.5236-10.2011", "ISSN" : "1529-2401", "PMID" : "21209202", "abstract" : "Phosphodiesterase-4 (PDE4) plays an important role in mediating memory via the control of intracellular cAMP signaling; inhibition of PDE4 enhances memory. However, development of PDE4 inhibitors as memory enhancers has been hampered by their major side effect of emesis. PDE4 has four subtypes (PDE4A-D) consisting of 25 splice variants. Mice deficient in PDE4D displayed memory enhancement in radial arm maze, water maze, and object recognition tests. These effects were mimicked by repeated treatment with rolipram in wild-type mice. In addition, similarly as rolipram-treated wild-type mice, PDE4D-deficient mice also displayed increased hippocampal neurogenesis and phosphorylated cAMP response element-binding protein (pCREB). Furthermore, microinfusion of lentiviral vectors that contained microRNAs (miRNAs) targeting long-form PDE4D isoforms into bilateral dentate gyri of the mouse hippocampus downregulated PDE4D4 and PDE4D5, enhanced memory, and increased hippocampal neurogenesis and pCREB. Finally, while rolipram and PDE4D deficiency shortened \u03b12 adrenergic receptor-mediated anesthesia, a surrogate measure of emesis, miRNA-mediated PDE4D knock-down in the hippocampus did not. The present results suggest that PDE4D, in particular long-form PDE4D, plays a critical role in the mediation of memory and hippocampal neurogenesis, which are mediated by cAMP/CREB signaling; reduced expression of PDE4D, or at least PDE4D4 and PDE4D5, in the hippocampus enhances memory but appears not to cause emesis. These novel findings will aid in the development of PDE4 subtype- or variant-selective inhibitors for treatment of disorders involving impaired cognition, including Alzheimer's disease.", "author" : [ { "dropping-particle" : "", "family" : "Li", "given" : "Yun-Feng", "non-dropping-particle" : "", "parse-names" : false, "suffix" : "" }, { "dropping-particle" : "", "family" : "Cheng", "given" : "Yu-Fang", "non-dropping-particle" : "", "parse-names" : false, "suffix" : "" }, { "dropping-particle" : "", "family" : "Huang", "given" : "Ying", "non-dropping-particle" : "", "parse-names" : false, "suffix" : "" }, { "dropping-particle" : "", "family" : "Conti", "given" : "Marco", "non-dropping-particle" : "", "parse-names" : false, "suffix" : "" }, { "dropping-particle" : "", "family" : "Wilson", "given" : "Steven P", "non-dropping-particle" : "", "parse-names" : false, "suffix" : "" }, { "dropping-particle" : "", "family" : "O'Donnell", "given" : "James M", "non-dropping-particle" : "", "parse-names" : false, "suffix" : "" }, { "dropping-particle" : "", "family" : "Zhang", "given" : "Han-Ting", "non-dropping-particle" : "", "parse-names" : false, "suffix" : "" } ], "container-title" : "The Journal of neuroscience : the official journal of the Society for Neuroscience", "id" : "ITEM-2", "issue" : "1", "issued" : { "date-parts" : [ [ "2011", "1", "5" ] ] }, "page" : "172-83", "title" : "Phosphodiesterase-4D knock-out and RNA interference-mediated knock-down enhance memory and increase hippocampal neurogenesis via increased cAMP signaling.", "type" : "article-journal", "volume" : "31" }, "uris" : [ "http://www.mendeley.com/documents/?uuid=45e63771-47f8-424a-beca-0e5b01782450" ] } ], "mendeley" : { "formattedCitation" : "&lt;sup&gt;65,66&lt;/sup&gt;", "plainTextFormattedCitation" : "65,66", "previouslyFormattedCitation" : "&lt;sup&gt;63,64&lt;/sup&gt;" }, "properties" : { "noteIndex" : 0 }, "schema" : "https://github.com/citation-style-language/schema/raw/master/csl-citation.json" }</w:instrText>
      </w:r>
      <w:r w:rsidRPr="0090141B">
        <w:rPr>
          <w:rFonts w:cstheme="minorHAnsi"/>
        </w:rPr>
        <w:fldChar w:fldCharType="separate"/>
      </w:r>
      <w:r w:rsidRPr="0090141B">
        <w:rPr>
          <w:rFonts w:cstheme="minorHAnsi"/>
          <w:noProof/>
          <w:vertAlign w:val="superscript"/>
        </w:rPr>
        <w:t>65,66</w:t>
      </w:r>
      <w:r w:rsidRPr="0090141B">
        <w:rPr>
          <w:rFonts w:cstheme="minorHAnsi"/>
        </w:rPr>
        <w:fldChar w:fldCharType="end"/>
      </w:r>
      <w:r w:rsidRPr="0090141B">
        <w:rPr>
          <w:rFonts w:cstheme="minorHAnsi"/>
        </w:rPr>
        <w:t xml:space="preserve">. </w:t>
      </w:r>
    </w:p>
    <w:p w:rsidR="009E35BA" w:rsidRPr="0090141B" w:rsidRDefault="009E35BA" w:rsidP="009E35BA">
      <w:pPr>
        <w:spacing w:line="480" w:lineRule="auto"/>
        <w:rPr>
          <w:rFonts w:cstheme="minorHAnsi"/>
          <w:b/>
        </w:rPr>
      </w:pPr>
      <w:proofErr w:type="spellStart"/>
      <w:proofErr w:type="gramStart"/>
      <w:r w:rsidRPr="0090141B">
        <w:rPr>
          <w:rFonts w:cstheme="minorHAnsi"/>
          <w:b/>
        </w:rPr>
        <w:t>cAMP</w:t>
      </w:r>
      <w:proofErr w:type="spellEnd"/>
      <w:proofErr w:type="gramEnd"/>
      <w:r w:rsidRPr="0090141B">
        <w:rPr>
          <w:rFonts w:cstheme="minorHAnsi"/>
          <w:b/>
        </w:rPr>
        <w:t xml:space="preserve"> assay</w:t>
      </w:r>
    </w:p>
    <w:p w:rsidR="009E35BA" w:rsidRPr="0090141B" w:rsidRDefault="009E35BA" w:rsidP="009E35BA">
      <w:pPr>
        <w:spacing w:line="480" w:lineRule="auto"/>
        <w:rPr>
          <w:rFonts w:cstheme="minorHAnsi"/>
        </w:rPr>
      </w:pPr>
      <w:r w:rsidRPr="0090141B">
        <w:rPr>
          <w:rFonts w:cstheme="minorHAnsi"/>
        </w:rPr>
        <w:t xml:space="preserve">Concentrations of </w:t>
      </w:r>
      <w:proofErr w:type="spellStart"/>
      <w:r w:rsidRPr="0090141B">
        <w:rPr>
          <w:rFonts w:cstheme="minorHAnsi"/>
        </w:rPr>
        <w:t>cAMP</w:t>
      </w:r>
      <w:proofErr w:type="spellEnd"/>
      <w:r w:rsidRPr="0090141B">
        <w:rPr>
          <w:rFonts w:cstheme="minorHAnsi"/>
        </w:rPr>
        <w:t xml:space="preserve"> in mouse brain samples were measured using an enzyme-linked immunosorbent assay (ELISA).  The mice were treated with various doses of BPN-14770 or vehicle.  1 h after dosing, mice were killed by rapid decapitation, </w:t>
      </w:r>
      <w:r w:rsidR="00FF7A85">
        <w:rPr>
          <w:rFonts w:cstheme="minorHAnsi"/>
        </w:rPr>
        <w:t xml:space="preserve">and </w:t>
      </w:r>
      <w:r w:rsidRPr="0090141B">
        <w:rPr>
          <w:rFonts w:cstheme="minorHAnsi"/>
        </w:rPr>
        <w:t xml:space="preserve">brains </w:t>
      </w:r>
      <w:r w:rsidR="00FF7A85">
        <w:rPr>
          <w:rFonts w:cstheme="minorHAnsi"/>
        </w:rPr>
        <w:t xml:space="preserve">were </w:t>
      </w:r>
      <w:r w:rsidRPr="0090141B">
        <w:rPr>
          <w:rFonts w:cstheme="minorHAnsi"/>
        </w:rPr>
        <w:t xml:space="preserve">immediately were dissected on ice, flash frozen in liquid nitrogen, and stored at -80 ̊C.  On the day of assay, brain samples (one hemisphere) were ground to a fine powder under liquid nitrogen in a stainless steel mortar, followed by addition of </w:t>
      </w:r>
      <w:r w:rsidRPr="0090141B">
        <w:rPr>
          <w:rFonts w:cstheme="minorHAnsi"/>
        </w:rPr>
        <w:lastRenderedPageBreak/>
        <w:t xml:space="preserve">10 volumes of 0.1 M </w:t>
      </w:r>
      <w:proofErr w:type="spellStart"/>
      <w:r w:rsidRPr="0090141B">
        <w:rPr>
          <w:rFonts w:cstheme="minorHAnsi"/>
        </w:rPr>
        <w:t>HCl</w:t>
      </w:r>
      <w:proofErr w:type="spellEnd"/>
      <w:r w:rsidRPr="0090141B">
        <w:rPr>
          <w:rFonts w:cstheme="minorHAnsi"/>
        </w:rPr>
        <w:t xml:space="preserve">.  Tissue homogenates were then centrifuged at 800ˣg for 15 min.  Supernatants were collected for immediate assay or stored frozen for assay later using the </w:t>
      </w:r>
      <w:proofErr w:type="spellStart"/>
      <w:r w:rsidRPr="0090141B">
        <w:rPr>
          <w:rFonts w:cstheme="minorHAnsi"/>
        </w:rPr>
        <w:t>cAMP</w:t>
      </w:r>
      <w:proofErr w:type="spellEnd"/>
      <w:r w:rsidRPr="0090141B">
        <w:rPr>
          <w:rFonts w:cstheme="minorHAnsi"/>
        </w:rPr>
        <w:t xml:space="preserve"> complete ELISA kit (Enzo Life Sciences, Farmingdale, NY) according to the assay protocol </w:t>
      </w:r>
      <w:r w:rsidRPr="0090141B">
        <w:rPr>
          <w:rFonts w:cstheme="minorHAnsi"/>
        </w:rPr>
        <w:fldChar w:fldCharType="begin" w:fldLock="1"/>
      </w:r>
      <w:r w:rsidRPr="0090141B">
        <w:rPr>
          <w:rFonts w:cstheme="minorHAnsi"/>
        </w:rPr>
        <w:instrText>ADDIN CSL_CITATION { "citationItems" : [ { "id" : "ITEM-1", "itemData" : { "DOI" : "10.1038/srep40115", "ISSN" : "2045-2322", "author" : [ { "dropping-particle" : "", "family" : "Zhang", "given" : "Chong", "non-dropping-particle" : "", "parse-names" : false, "suffix" : "" }, { "dropping-particle" : "", "family" : "Xu", "given" : "Ying", "non-dropping-particle" : "", "parse-names" : false, "suffix" : "" }, { "dropping-particle" : "", "family" : "Zhang", "given" : "Han-Ting", "non-dropping-particle" : "", "parse-names" : false, "suffix" : "" }, { "dropping-particle" : "", "family" : "Gurney", "given" : "Mark E.", "non-dropping-particle" : "", "parse-names" : false, "suffix" : "" }, { "dropping-particle" : "", "family" : "O\u2019Donnell", "given" : "James M.", "non-dropping-particle" : "", "parse-names" : false, "suffix" : "" } ], "container-title" : "Scientific Reports", "id" : "ITEM-1", "issued" : { "date-parts" : [ [ "2017", "1", "5" ] ] }, "page" : "40115", "title" : "Comparison of the Pharmacological Profiles of Selective PDE4B and PDE4D Inhibitors in the Central Nervous System", "type" : "article-journal", "volume" : "7" }, "uris" : [ "http://www.mendeley.com/documents/?uuid=264dcb4e-d8b7-323c-a601-fd3880bf0340" ] } ], "mendeley" : { "formattedCitation" : "&lt;sup&gt;66&lt;/sup&gt;", "plainTextFormattedCitation" : "66", "previouslyFormattedCitation" : "&lt;sup&gt;64&lt;/sup&gt;" }, "properties" : { "noteIndex" : 0 }, "schema" : "https://github.com/citation-style-language/schema/raw/master/csl-citation.json" }</w:instrText>
      </w:r>
      <w:r w:rsidRPr="0090141B">
        <w:rPr>
          <w:rFonts w:cstheme="minorHAnsi"/>
        </w:rPr>
        <w:fldChar w:fldCharType="separate"/>
      </w:r>
      <w:r w:rsidRPr="0090141B">
        <w:rPr>
          <w:rFonts w:cstheme="minorHAnsi"/>
          <w:noProof/>
          <w:vertAlign w:val="superscript"/>
        </w:rPr>
        <w:t>66</w:t>
      </w:r>
      <w:r w:rsidRPr="0090141B">
        <w:rPr>
          <w:rFonts w:cstheme="minorHAnsi"/>
        </w:rPr>
        <w:fldChar w:fldCharType="end"/>
      </w:r>
      <w:r w:rsidRPr="0090141B">
        <w:rPr>
          <w:rFonts w:cstheme="minorHAnsi"/>
        </w:rPr>
        <w:t xml:space="preserve">. </w:t>
      </w:r>
    </w:p>
    <w:p w:rsidR="009E35BA" w:rsidRPr="0090141B" w:rsidRDefault="009E35BA" w:rsidP="009E35BA">
      <w:pPr>
        <w:spacing w:line="480" w:lineRule="auto"/>
        <w:rPr>
          <w:rFonts w:cstheme="minorHAnsi"/>
          <w:b/>
        </w:rPr>
      </w:pPr>
      <w:r w:rsidRPr="0090141B">
        <w:rPr>
          <w:rFonts w:cstheme="minorHAnsi"/>
          <w:b/>
        </w:rPr>
        <w:t>Hippocampal CA1 field recording</w:t>
      </w:r>
    </w:p>
    <w:p w:rsidR="009E35BA" w:rsidRPr="0090141B" w:rsidRDefault="009E35BA" w:rsidP="009E35BA">
      <w:pPr>
        <w:spacing w:line="480" w:lineRule="auto"/>
        <w:rPr>
          <w:rFonts w:cstheme="minorHAnsi"/>
        </w:rPr>
      </w:pPr>
      <w:r w:rsidRPr="0090141B">
        <w:rPr>
          <w:rFonts w:cstheme="minorHAnsi"/>
        </w:rPr>
        <w:t xml:space="preserve">Hippocampi from eight- to ten-week-old wild-type and humanized PDE4D mice, both males and females, were dissected rapidly in ice-cold oxygenated high-sucrose dissection buffer (HSDB).  Transverse hippocampal slices at 350 </w:t>
      </w:r>
      <w:proofErr w:type="spellStart"/>
      <w:r w:rsidRPr="0090141B">
        <w:rPr>
          <w:rFonts w:cstheme="minorHAnsi"/>
        </w:rPr>
        <w:t>μm</w:t>
      </w:r>
      <w:proofErr w:type="spellEnd"/>
      <w:r w:rsidRPr="0090141B">
        <w:rPr>
          <w:rFonts w:cstheme="minorHAnsi"/>
        </w:rPr>
        <w:t xml:space="preserve"> thickness were prepared by a </w:t>
      </w:r>
      <w:proofErr w:type="spellStart"/>
      <w:r w:rsidRPr="0090141B">
        <w:rPr>
          <w:rFonts w:cstheme="minorHAnsi"/>
        </w:rPr>
        <w:t>compresstome</w:t>
      </w:r>
      <w:proofErr w:type="spellEnd"/>
      <w:r w:rsidRPr="0090141B">
        <w:rPr>
          <w:rFonts w:cstheme="minorHAnsi"/>
        </w:rPr>
        <w:t xml:space="preserve"> slicer (</w:t>
      </w:r>
      <w:proofErr w:type="spellStart"/>
      <w:r w:rsidRPr="0090141B">
        <w:rPr>
          <w:rFonts w:cstheme="minorHAnsi"/>
        </w:rPr>
        <w:t>Precisionary</w:t>
      </w:r>
      <w:proofErr w:type="spellEnd"/>
      <w:r w:rsidRPr="0090141B">
        <w:rPr>
          <w:rFonts w:cstheme="minorHAnsi"/>
        </w:rPr>
        <w:t xml:space="preserve"> Instruments, Greenville, NC, USA) in the same HSDB.  The slices were allowed to recover in the artificial cerebral spinal fluid (</w:t>
      </w:r>
      <w:proofErr w:type="spellStart"/>
      <w:r w:rsidRPr="0090141B">
        <w:rPr>
          <w:rFonts w:cstheme="minorHAnsi"/>
        </w:rPr>
        <w:t>aCSF</w:t>
      </w:r>
      <w:proofErr w:type="spellEnd"/>
      <w:r w:rsidRPr="0090141B">
        <w:rPr>
          <w:rFonts w:cstheme="minorHAnsi"/>
        </w:rPr>
        <w:t xml:space="preserve">) for at least 1 h at 30°C before recording.  In the experiment, the recording chamber was continuously perfused with oxygenated </w:t>
      </w:r>
      <w:proofErr w:type="spellStart"/>
      <w:r w:rsidRPr="0090141B">
        <w:rPr>
          <w:rFonts w:cstheme="minorHAnsi"/>
        </w:rPr>
        <w:t>aCSF</w:t>
      </w:r>
      <w:proofErr w:type="spellEnd"/>
      <w:r w:rsidRPr="0090141B">
        <w:rPr>
          <w:rFonts w:cstheme="minorHAnsi"/>
        </w:rPr>
        <w:t xml:space="preserve"> at a rate of 2 ml/min at 30 °C.  A </w:t>
      </w:r>
      <w:r w:rsidRPr="0090141B">
        <w:rPr>
          <w:rFonts w:cstheme="minorHAnsi"/>
          <w:color w:val="000000"/>
        </w:rPr>
        <w:t xml:space="preserve">platinum-iridium cluster </w:t>
      </w:r>
      <w:r w:rsidRPr="0090141B">
        <w:rPr>
          <w:rFonts w:cstheme="minorHAnsi"/>
        </w:rPr>
        <w:t>stimulating electrode (</w:t>
      </w:r>
      <w:r w:rsidRPr="0090141B">
        <w:rPr>
          <w:rFonts w:cstheme="minorHAnsi"/>
          <w:color w:val="000000"/>
        </w:rPr>
        <w:t>FHC, Bowdoin, ME</w:t>
      </w:r>
      <w:r w:rsidRPr="0090141B">
        <w:rPr>
          <w:rFonts w:cstheme="minorHAnsi"/>
        </w:rPr>
        <w:t xml:space="preserve">) was used to stimulate the </w:t>
      </w:r>
      <w:r w:rsidRPr="0090141B">
        <w:rPr>
          <w:rFonts w:cstheme="minorHAnsi"/>
          <w:color w:val="000000"/>
        </w:rPr>
        <w:t>Schaffer collateral pathway</w:t>
      </w:r>
      <w:r w:rsidRPr="0090141B">
        <w:rPr>
          <w:rFonts w:cstheme="minorHAnsi"/>
        </w:rPr>
        <w:t xml:space="preserve"> and a glass recording electrode filled with 2 M </w:t>
      </w:r>
      <w:proofErr w:type="spellStart"/>
      <w:r w:rsidRPr="0090141B">
        <w:rPr>
          <w:rFonts w:cstheme="minorHAnsi"/>
        </w:rPr>
        <w:t>NaCl</w:t>
      </w:r>
      <w:proofErr w:type="spellEnd"/>
      <w:r w:rsidRPr="0090141B">
        <w:rPr>
          <w:rFonts w:cstheme="minorHAnsi"/>
        </w:rPr>
        <w:t xml:space="preserve"> (1-2 MΩ) was placed in the stratum </w:t>
      </w:r>
      <w:proofErr w:type="spellStart"/>
      <w:r w:rsidRPr="0090141B">
        <w:rPr>
          <w:rFonts w:cstheme="minorHAnsi"/>
        </w:rPr>
        <w:t>radiatum</w:t>
      </w:r>
      <w:proofErr w:type="spellEnd"/>
      <w:r w:rsidRPr="0090141B">
        <w:rPr>
          <w:rFonts w:cstheme="minorHAnsi"/>
        </w:rPr>
        <w:t xml:space="preserve"> of area CA1 to record field excitatory postsynaptic potential (</w:t>
      </w:r>
      <w:proofErr w:type="spellStart"/>
      <w:r w:rsidRPr="0090141B">
        <w:rPr>
          <w:rFonts w:cstheme="minorHAnsi"/>
        </w:rPr>
        <w:t>fEPSP</w:t>
      </w:r>
      <w:proofErr w:type="spellEnd"/>
      <w:r w:rsidRPr="0090141B">
        <w:rPr>
          <w:rFonts w:cstheme="minorHAnsi"/>
        </w:rPr>
        <w:t xml:space="preserve">).  An input–output curve was used to set the baseline </w:t>
      </w:r>
      <w:proofErr w:type="spellStart"/>
      <w:r w:rsidRPr="0090141B">
        <w:rPr>
          <w:rFonts w:cstheme="minorHAnsi"/>
        </w:rPr>
        <w:t>fEPSP</w:t>
      </w:r>
      <w:proofErr w:type="spellEnd"/>
      <w:r w:rsidRPr="0090141B">
        <w:rPr>
          <w:rFonts w:cstheme="minorHAnsi"/>
        </w:rPr>
        <w:t xml:space="preserve"> at 30–40% of maximal slope, and at least 20 min of baseline recording was obtained to assure the stability of the slice preparation.  Long-term potentiation (LTP) was induced by high-frequency stimulation (HFS) consisting of a single train of 100 pulses delivered at 100 Hz.  This HFS paradigm was used to induce a short-lasting form of LTP in the control slices, so that any additional potentiation of LTP because of drug infusion could be observed.  BPN-14770 was dissolved in DMSO and diluted into </w:t>
      </w:r>
      <w:proofErr w:type="spellStart"/>
      <w:r w:rsidRPr="0090141B">
        <w:rPr>
          <w:rFonts w:cstheme="minorHAnsi"/>
        </w:rPr>
        <w:t>aCSF</w:t>
      </w:r>
      <w:proofErr w:type="spellEnd"/>
      <w:r w:rsidRPr="0090141B">
        <w:rPr>
          <w:rFonts w:cstheme="minorHAnsi"/>
        </w:rPr>
        <w:t xml:space="preserve"> with a final DMSO concentration of 0.01%, and was bath-applied in the flowing </w:t>
      </w:r>
      <w:proofErr w:type="spellStart"/>
      <w:r w:rsidRPr="0090141B">
        <w:rPr>
          <w:rFonts w:cstheme="minorHAnsi"/>
        </w:rPr>
        <w:t>aCSF</w:t>
      </w:r>
      <w:proofErr w:type="spellEnd"/>
      <w:r w:rsidRPr="0090141B">
        <w:rPr>
          <w:rFonts w:cstheme="minorHAnsi"/>
        </w:rPr>
        <w:t xml:space="preserve"> from 10 min before to 30 min after the HSF </w:t>
      </w:r>
      <w:r w:rsidRPr="0090141B">
        <w:rPr>
          <w:rFonts w:cstheme="minorHAnsi"/>
        </w:rPr>
        <w:fldChar w:fldCharType="begin" w:fldLock="1"/>
      </w:r>
      <w:r w:rsidRPr="0090141B">
        <w:rPr>
          <w:rFonts w:cstheme="minorHAnsi"/>
        </w:rPr>
        <w:instrText>ADDIN CSL_CITATION { "citationItems" : [ { "id" : "ITEM-1", "itemData" : { "DOI" : "10.1016/j.neuropharm.2004.07.040", "ISSN" : "0028-3908", "PMID" : "15555642", "abstract" : "An essential element of the signalling cascade leading to synaptic plasticity is the intracellular second messenger molecule guanosine 3',5'-cyclic monophosphate (cGMP). Using the novel, potent, and selective inhibitor Bay 60-7550, we show that the enzyme 3',5'-cyclic nucleotide phosphodiesterase type 2 (PDE2) is responsible for the degradation of newly synthesized cGMP in cultured neurons and hippocampal slices. Inhibition of PDE2 enhanced long-term potentiation of synaptic transmission without altering basal synaptic transmission. Inhibition of PDE2 also improved the performance of rats in social and object recognition memory tasks, and reversed MK801-induced deficits in spontaneous alternation in mice in a T-maze. Our data provide strong evidence that inhibition of PDE2 can improve memory functions by enhancing neuronal plasticity.", "author" : [ { "dropping-particle" : "", "family" : "Boess", "given" : "Frank G", "non-dropping-particle" : "", "parse-names" : false, "suffix" : "" }, { "dropping-particle" : "", "family" : "Hendrix", "given" : "Martin", "non-dropping-particle" : "", "parse-names" : false, "suffix" : "" }, { "dropping-particle" : "", "family" : "Staay", "given" : "Franz-Josef", "non-dropping-particle" : "van der", "parse-names" : false, "suffix" : "" }, { "dropping-particle" : "", "family" : "Erb", "given" : "Christina", "non-dropping-particle" : "", "parse-names" : false, "suffix" : "" }, { "dropping-particle" : "", "family" : "Schreiber", "given" : "Rudy", "non-dropping-particle" : "", "parse-names" : false, "suffix" : "" }, { "dropping-particle" : "", "family" : "Staveren", "given" : "Wilma", "non-dropping-particle" : "van", "parse-names" : false, "suffix" : "" }, { "dropping-particle" : "", "family" : "Vente", "given" : "Jan", "non-dropping-particle" : "de", "parse-names" : false, "suffix" : "" }, { "dropping-particle" : "", "family" : "Prickaerts", "given" : "Jos", "non-dropping-particle" : "", "parse-names" : false, "suffix" : "" }, { "dropping-particle" : "", "family" : "Blokland", "given" : "Arjan", "non-dropping-particle" : "", "parse-names" : false, "suffix" : "" }, { "dropping-particle" : "", "family" : "Koenig", "given" : "Gerhard", "non-dropping-particle" : "", "parse-names" : false, "suffix" : "" } ], "container-title" : "Neuropharmacology", "id" : "ITEM-1", "issue" : "7", "issued" : { "date-parts" : [ [ "2004", "12" ] ] }, "page" : "1081-92", "title" : "Inhibition of phosphodiesterase 2 increases neuronal cGMP, synaptic plasticity and memory performance.", "type" : "article-journal", "volume" : "47" }, "uris" : [ "http://www.mendeley.com/documents/?uuid=89b297e2-b356-46dd-ac43-9bef216d04c7" ] } ], "mendeley" : { "formattedCitation" : "&lt;sup&gt;67&lt;/sup&gt;", "plainTextFormattedCitation" : "67", "previouslyFormattedCitation" : "&lt;sup&gt;65&lt;/sup&gt;" }, "properties" : { "noteIndex" : 0 }, "schema" : "https://github.com/citation-style-language/schema/raw/master/csl-citation.json" }</w:instrText>
      </w:r>
      <w:r w:rsidRPr="0090141B">
        <w:rPr>
          <w:rFonts w:cstheme="minorHAnsi"/>
        </w:rPr>
        <w:fldChar w:fldCharType="separate"/>
      </w:r>
      <w:r w:rsidRPr="0090141B">
        <w:rPr>
          <w:rFonts w:cstheme="minorHAnsi"/>
          <w:noProof/>
          <w:vertAlign w:val="superscript"/>
        </w:rPr>
        <w:t>67</w:t>
      </w:r>
      <w:r w:rsidRPr="0090141B">
        <w:rPr>
          <w:rFonts w:cstheme="minorHAnsi"/>
        </w:rPr>
        <w:fldChar w:fldCharType="end"/>
      </w:r>
      <w:r w:rsidRPr="0090141B">
        <w:rPr>
          <w:rFonts w:cstheme="minorHAnsi"/>
        </w:rPr>
        <w:t xml:space="preserve">. </w:t>
      </w:r>
    </w:p>
    <w:p w:rsidR="009E35BA" w:rsidRPr="0090141B" w:rsidRDefault="009E35BA" w:rsidP="009E35BA">
      <w:pPr>
        <w:spacing w:line="480" w:lineRule="auto"/>
        <w:rPr>
          <w:rFonts w:cstheme="minorHAnsi"/>
          <w:b/>
        </w:rPr>
      </w:pPr>
      <w:r w:rsidRPr="0090141B">
        <w:rPr>
          <w:rFonts w:cstheme="minorHAnsi"/>
          <w:b/>
        </w:rPr>
        <w:t>Immunoblot Analyses</w:t>
      </w:r>
    </w:p>
    <w:p w:rsidR="009E35BA" w:rsidRPr="0090141B" w:rsidRDefault="009E35BA" w:rsidP="009E35BA">
      <w:pPr>
        <w:spacing w:line="480" w:lineRule="auto"/>
        <w:rPr>
          <w:rFonts w:cstheme="minorHAnsi"/>
        </w:rPr>
      </w:pPr>
      <w:r w:rsidRPr="0090141B">
        <w:rPr>
          <w:rFonts w:cstheme="minorHAnsi"/>
        </w:rPr>
        <w:t xml:space="preserve">Hippocampal tissues were lysed with RIPA buffer containing protease and phosphatase inhibitors and centrifuged at 13,000 rpm for 30 min at 4 °C.  Aliquots of supernatant containing 10-30 </w:t>
      </w:r>
      <w:proofErr w:type="spellStart"/>
      <w:r w:rsidRPr="0090141B">
        <w:rPr>
          <w:rFonts w:cstheme="minorHAnsi"/>
        </w:rPr>
        <w:t>μg</w:t>
      </w:r>
      <w:proofErr w:type="spellEnd"/>
      <w:r w:rsidRPr="0090141B">
        <w:rPr>
          <w:rFonts w:cstheme="minorHAnsi"/>
        </w:rPr>
        <w:t xml:space="preserve"> protein were </w:t>
      </w:r>
      <w:r w:rsidRPr="0090141B">
        <w:rPr>
          <w:rFonts w:cstheme="minorHAnsi"/>
        </w:rPr>
        <w:lastRenderedPageBreak/>
        <w:t>separated using 10% SDS-PAGE as described previously</w:t>
      </w:r>
      <w:r w:rsidRPr="0090141B">
        <w:rPr>
          <w:rFonts w:cstheme="minorHAnsi"/>
        </w:rPr>
        <w:fldChar w:fldCharType="begin" w:fldLock="1"/>
      </w:r>
      <w:r w:rsidRPr="0090141B">
        <w:rPr>
          <w:rFonts w:cstheme="minorHAnsi"/>
        </w:rPr>
        <w:instrText>ADDIN CSL_CITATION { "citationItems" : [ { "id" : "ITEM-1", "itemData" : { "DOI" : "10.1038/srep40115", "ISSN" : "2045-2322", "author" : [ { "dropping-particle" : "", "family" : "Zhang", "given" : "Chong", "non-dropping-particle" : "", "parse-names" : false, "suffix" : "" }, { "dropping-particle" : "", "family" : "Xu", "given" : "Ying", "non-dropping-particle" : "", "parse-names" : false, "suffix" : "" }, { "dropping-particle" : "", "family" : "Zhang", "given" : "Han-Ting", "non-dropping-particle" : "", "parse-names" : false, "suffix" : "" }, { "dropping-particle" : "", "family" : "Gurney", "given" : "Mark E.", "non-dropping-particle" : "", "parse-names" : false, "suffix" : "" }, { "dropping-particle" : "", "family" : "O\u2019Donnell", "given" : "James M.", "non-dropping-particle" : "", "parse-names" : false, "suffix" : "" } ], "container-title" : "Scientific Reports", "id" : "ITEM-1", "issued" : { "date-parts" : [ [ "2017", "1", "5" ] ] }, "page" : "40115", "title" : "Comparison of the Pharmacological Profiles of Selective PDE4B and PDE4D Inhibitors in the Central Nervous System", "type" : "article-journal", "volume" : "7" }, "uris" : [ "http://www.mendeley.com/documents/?uuid=264dcb4e-d8b7-323c-a601-fd3880bf0340" ] } ], "mendeley" : { "formattedCitation" : "&lt;sup&gt;66&lt;/sup&gt;", "plainTextFormattedCitation" : "66", "previouslyFormattedCitation" : "&lt;sup&gt;64&lt;/sup&gt;" }, "properties" : { "noteIndex" : 0 }, "schema" : "https://github.com/citation-style-language/schema/raw/master/csl-citation.json" }</w:instrText>
      </w:r>
      <w:r w:rsidRPr="0090141B">
        <w:rPr>
          <w:rFonts w:cstheme="minorHAnsi"/>
        </w:rPr>
        <w:fldChar w:fldCharType="separate"/>
      </w:r>
      <w:r w:rsidRPr="0090141B">
        <w:rPr>
          <w:rFonts w:cstheme="minorHAnsi"/>
          <w:noProof/>
          <w:vertAlign w:val="superscript"/>
        </w:rPr>
        <w:t>66</w:t>
      </w:r>
      <w:r w:rsidRPr="0090141B">
        <w:rPr>
          <w:rFonts w:cstheme="minorHAnsi"/>
        </w:rPr>
        <w:fldChar w:fldCharType="end"/>
      </w:r>
      <w:r w:rsidRPr="0090141B">
        <w:rPr>
          <w:rFonts w:cstheme="minorHAnsi"/>
        </w:rPr>
        <w:t xml:space="preserve">.  Proteins from the gels were transferred to </w:t>
      </w:r>
      <w:proofErr w:type="spellStart"/>
      <w:r w:rsidRPr="0090141B">
        <w:rPr>
          <w:rFonts w:cstheme="minorHAnsi"/>
        </w:rPr>
        <w:t>polyvinylidene</w:t>
      </w:r>
      <w:proofErr w:type="spellEnd"/>
      <w:r w:rsidRPr="0090141B">
        <w:rPr>
          <w:rFonts w:cstheme="minorHAnsi"/>
        </w:rPr>
        <w:t xml:space="preserve"> difluoride membranes, blocked with blocking buffer (phosphate buffered saline containing 3% BSA and 0.1% sodium </w:t>
      </w:r>
      <w:proofErr w:type="spellStart"/>
      <w:r w:rsidRPr="0090141B">
        <w:rPr>
          <w:rFonts w:cstheme="minorHAnsi"/>
        </w:rPr>
        <w:t>azide</w:t>
      </w:r>
      <w:proofErr w:type="spellEnd"/>
      <w:r w:rsidRPr="0090141B">
        <w:rPr>
          <w:rFonts w:cstheme="minorHAnsi"/>
        </w:rPr>
        <w:t>), and incubated with primary antibodies overnight at 4°C (</w:t>
      </w:r>
      <w:proofErr w:type="spellStart"/>
      <w:r w:rsidRPr="0090141B">
        <w:rPr>
          <w:rFonts w:cstheme="minorHAnsi"/>
        </w:rPr>
        <w:t>phospho</w:t>
      </w:r>
      <w:proofErr w:type="spellEnd"/>
      <w:r w:rsidRPr="0090141B">
        <w:rPr>
          <w:rFonts w:cstheme="minorHAnsi"/>
        </w:rPr>
        <w:t xml:space="preserve">-CREB at </w:t>
      </w:r>
      <w:proofErr w:type="spellStart"/>
      <w:r w:rsidRPr="0090141B">
        <w:rPr>
          <w:rFonts w:cstheme="minorHAnsi"/>
        </w:rPr>
        <w:t>Ser</w:t>
      </w:r>
      <w:proofErr w:type="spellEnd"/>
      <w:r w:rsidRPr="0090141B">
        <w:rPr>
          <w:rFonts w:cstheme="minorHAnsi"/>
        </w:rPr>
        <w:t xml:space="preserve"> 133 (</w:t>
      </w:r>
      <w:r w:rsidR="00912C5B">
        <w:rPr>
          <w:rFonts w:cstheme="minorHAnsi"/>
        </w:rPr>
        <w:t xml:space="preserve"># ab32096, diluted 1:1000, </w:t>
      </w:r>
      <w:proofErr w:type="spellStart"/>
      <w:r w:rsidRPr="0090141B">
        <w:rPr>
          <w:rFonts w:cstheme="minorHAnsi"/>
        </w:rPr>
        <w:t>abcam</w:t>
      </w:r>
      <w:proofErr w:type="spellEnd"/>
      <w:r w:rsidRPr="0090141B">
        <w:rPr>
          <w:rFonts w:cstheme="minorHAnsi"/>
        </w:rPr>
        <w:t>, Cambridge, MA), CREB (</w:t>
      </w:r>
      <w:r w:rsidR="00912C5B">
        <w:rPr>
          <w:rFonts w:cstheme="minorHAnsi"/>
        </w:rPr>
        <w:t xml:space="preserve"># sc-186, diluted 1:200, </w:t>
      </w:r>
      <w:r w:rsidRPr="0090141B">
        <w:rPr>
          <w:rFonts w:cstheme="minorHAnsi"/>
        </w:rPr>
        <w:t>Santa Cruz Biotechnology, Dallas, Texas), β -actin (</w:t>
      </w:r>
      <w:r w:rsidR="00912C5B">
        <w:rPr>
          <w:rFonts w:cstheme="minorHAnsi"/>
        </w:rPr>
        <w:t xml:space="preserve">Catalog # ab8227, diluted 1:2000, </w:t>
      </w:r>
      <w:proofErr w:type="spellStart"/>
      <w:r w:rsidRPr="0090141B">
        <w:rPr>
          <w:rFonts w:cstheme="minorHAnsi"/>
        </w:rPr>
        <w:t>abcam</w:t>
      </w:r>
      <w:proofErr w:type="spellEnd"/>
      <w:r w:rsidRPr="0090141B">
        <w:rPr>
          <w:rFonts w:cstheme="minorHAnsi"/>
        </w:rPr>
        <w:t xml:space="preserve">, Cambridge, MA)), </w:t>
      </w:r>
      <w:proofErr w:type="spellStart"/>
      <w:r w:rsidRPr="0090141B">
        <w:rPr>
          <w:rFonts w:cstheme="minorHAnsi"/>
        </w:rPr>
        <w:t>Synapsin</w:t>
      </w:r>
      <w:proofErr w:type="spellEnd"/>
      <w:r w:rsidR="00912C5B">
        <w:rPr>
          <w:rFonts w:cstheme="minorHAnsi"/>
        </w:rPr>
        <w:t xml:space="preserve"> (#2312, diluted 1:1000, Cell Signaling Technology)</w:t>
      </w:r>
      <w:r w:rsidRPr="0090141B">
        <w:rPr>
          <w:rFonts w:cstheme="minorHAnsi"/>
        </w:rPr>
        <w:t xml:space="preserve">, </w:t>
      </w:r>
      <w:proofErr w:type="spellStart"/>
      <w:r w:rsidRPr="0090141B">
        <w:rPr>
          <w:rFonts w:cstheme="minorHAnsi"/>
        </w:rPr>
        <w:t>Phospho-synapsin</w:t>
      </w:r>
      <w:proofErr w:type="spellEnd"/>
      <w:r w:rsidR="00912C5B">
        <w:rPr>
          <w:rFonts w:cstheme="minorHAnsi"/>
        </w:rPr>
        <w:t xml:space="preserve"> (#2311, diluted 1:000, </w:t>
      </w:r>
      <w:r w:rsidR="00912C5B" w:rsidRPr="0090141B">
        <w:rPr>
          <w:rFonts w:cstheme="minorHAnsi"/>
        </w:rPr>
        <w:t>Cell Signaling Technology</w:t>
      </w:r>
      <w:r w:rsidR="00912C5B">
        <w:rPr>
          <w:rFonts w:cstheme="minorHAnsi"/>
        </w:rPr>
        <w:t xml:space="preserve"> )</w:t>
      </w:r>
      <w:r w:rsidRPr="0090141B">
        <w:rPr>
          <w:rFonts w:cstheme="minorHAnsi"/>
        </w:rPr>
        <w:t>, and PSD-95</w:t>
      </w:r>
      <w:r w:rsidR="00912C5B">
        <w:rPr>
          <w:rFonts w:cstheme="minorHAnsi"/>
        </w:rPr>
        <w:t xml:space="preserve"> (#2507, diluted 1:1000, </w:t>
      </w:r>
      <w:r w:rsidRPr="0090141B">
        <w:rPr>
          <w:rFonts w:cstheme="minorHAnsi"/>
        </w:rPr>
        <w:t xml:space="preserve">Cell Signaling Technology, Danvers, MA).  Labeled protein bands were detected using the enhanced </w:t>
      </w:r>
      <w:proofErr w:type="spellStart"/>
      <w:r w:rsidRPr="0090141B">
        <w:rPr>
          <w:rFonts w:cstheme="minorHAnsi"/>
        </w:rPr>
        <w:t>chemiluminescence</w:t>
      </w:r>
      <w:proofErr w:type="spellEnd"/>
      <w:r w:rsidRPr="0090141B">
        <w:rPr>
          <w:rFonts w:cstheme="minorHAnsi"/>
        </w:rPr>
        <w:t xml:space="preserve"> (ECL) method and quantified using Quantity One 1-D Analysis Software.</w:t>
      </w:r>
    </w:p>
    <w:p w:rsidR="009E35BA" w:rsidRPr="0090141B" w:rsidRDefault="009E35BA" w:rsidP="009E35BA">
      <w:pPr>
        <w:spacing w:line="480" w:lineRule="auto"/>
        <w:rPr>
          <w:rFonts w:cstheme="minorHAnsi"/>
          <w:b/>
        </w:rPr>
      </w:pPr>
      <w:r w:rsidRPr="0090141B">
        <w:rPr>
          <w:rFonts w:cstheme="minorHAnsi"/>
          <w:b/>
        </w:rPr>
        <w:t>Statistical Analyses</w:t>
      </w:r>
    </w:p>
    <w:p w:rsidR="004813F1" w:rsidRPr="0090141B" w:rsidRDefault="009E35BA" w:rsidP="00D42FA9">
      <w:pPr>
        <w:spacing w:line="480" w:lineRule="auto"/>
      </w:pPr>
      <w:r w:rsidRPr="0090141B">
        <w:rPr>
          <w:rFonts w:cstheme="minorHAnsi"/>
        </w:rPr>
        <w:t xml:space="preserve">All data are presented as means ± standard errors of mean (SEM) and were analyzed using </w:t>
      </w:r>
      <w:proofErr w:type="spellStart"/>
      <w:r w:rsidRPr="0090141B">
        <w:rPr>
          <w:rFonts w:cstheme="minorHAnsi"/>
        </w:rPr>
        <w:t>GraphPad</w:t>
      </w:r>
      <w:proofErr w:type="spellEnd"/>
      <w:r w:rsidRPr="0090141B">
        <w:rPr>
          <w:rFonts w:cstheme="minorHAnsi"/>
        </w:rPr>
        <w:t xml:space="preserve"> Prism.  For multiple comparisons, data were analyzed using one-way or two-way analysis of variance (ANOVA) with </w:t>
      </w:r>
      <w:proofErr w:type="spellStart"/>
      <w:r w:rsidRPr="0090141B">
        <w:rPr>
          <w:rFonts w:cstheme="minorHAnsi"/>
        </w:rPr>
        <w:t>Dunnett’s</w:t>
      </w:r>
      <w:proofErr w:type="spellEnd"/>
      <w:r w:rsidRPr="0090141B">
        <w:rPr>
          <w:rFonts w:cstheme="minorHAnsi"/>
        </w:rPr>
        <w:t xml:space="preserve"> correction for multiple comparisons.  Student’s t-test was used for pairwise comparisons between vehicle-treated and positive control drug-treated, or scopolamine-treated groups.  Statistical significance was set at </w:t>
      </w:r>
      <w:r w:rsidRPr="0090141B">
        <w:rPr>
          <w:rFonts w:cstheme="minorHAnsi"/>
          <w:i/>
        </w:rPr>
        <w:t>p</w:t>
      </w:r>
      <w:r w:rsidRPr="0090141B">
        <w:rPr>
          <w:rFonts w:cstheme="minorHAnsi"/>
        </w:rPr>
        <w:t xml:space="preserve"> &lt; 0.05.</w:t>
      </w:r>
    </w:p>
    <w:sectPr w:rsidR="004813F1" w:rsidRPr="00901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5BA"/>
    <w:rsid w:val="00110257"/>
    <w:rsid w:val="001314A1"/>
    <w:rsid w:val="001B3439"/>
    <w:rsid w:val="004813F1"/>
    <w:rsid w:val="00640C8B"/>
    <w:rsid w:val="007E07A5"/>
    <w:rsid w:val="008932EF"/>
    <w:rsid w:val="0090141B"/>
    <w:rsid w:val="00912C5B"/>
    <w:rsid w:val="00915A62"/>
    <w:rsid w:val="009E35BA"/>
    <w:rsid w:val="00A50CB8"/>
    <w:rsid w:val="00A70EBF"/>
    <w:rsid w:val="00AA2383"/>
    <w:rsid w:val="00BA778D"/>
    <w:rsid w:val="00BC0C13"/>
    <w:rsid w:val="00D42FA9"/>
    <w:rsid w:val="00FF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08EA3-8FDD-47D5-9764-BCCF6942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5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35BA"/>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110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2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7308</Words>
  <Characters>41656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Chong Zhang</dc:creator>
  <cp:keywords/>
  <dc:description/>
  <cp:lastModifiedBy>Chong Zhang</cp:lastModifiedBy>
  <cp:revision>12</cp:revision>
  <dcterms:created xsi:type="dcterms:W3CDTF">2018-02-06T07:23:00Z</dcterms:created>
  <dcterms:modified xsi:type="dcterms:W3CDTF">2018-07-05T18:47:00Z</dcterms:modified>
</cp:coreProperties>
</file>