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554D3" w14:textId="275C1587" w:rsidR="00B154DC" w:rsidRPr="00146C69" w:rsidRDefault="00B154DC" w:rsidP="00A44443">
      <w:pPr>
        <w:pStyle w:val="Quote"/>
        <w:rPr>
          <w:rFonts w:ascii="Arial" w:hAnsi="Arial" w:cs="Arial"/>
          <w:b/>
          <w:color w:val="000000" w:themeColor="text1"/>
        </w:rPr>
      </w:pPr>
      <w:r w:rsidRPr="00146C69">
        <w:rPr>
          <w:rFonts w:ascii="Arial" w:hAnsi="Arial" w:cs="Arial"/>
          <w:b/>
          <w:color w:val="000000" w:themeColor="text1"/>
        </w:rPr>
        <w:t xml:space="preserve">Supplemental </w:t>
      </w:r>
      <w:r w:rsidR="004A0D1B" w:rsidRPr="00146C69">
        <w:rPr>
          <w:rFonts w:ascii="Arial" w:hAnsi="Arial" w:cs="Arial"/>
          <w:b/>
          <w:color w:val="000000" w:themeColor="text1"/>
        </w:rPr>
        <w:t xml:space="preserve">Materials and </w:t>
      </w:r>
      <w:r w:rsidRPr="00146C69">
        <w:rPr>
          <w:rFonts w:ascii="Arial" w:hAnsi="Arial" w:cs="Arial"/>
          <w:b/>
          <w:color w:val="000000" w:themeColor="text1"/>
        </w:rPr>
        <w:t>Methods</w:t>
      </w:r>
    </w:p>
    <w:p w14:paraId="64A3CB43" w14:textId="77777777" w:rsidR="00303B2E" w:rsidRPr="00146C69" w:rsidRDefault="00303B2E"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Animals</w:t>
      </w:r>
    </w:p>
    <w:p w14:paraId="7AB9B469" w14:textId="79053AE4" w:rsidR="00303B2E" w:rsidRPr="00146C69" w:rsidRDefault="00303B2E"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Fluorescent identification of the </w:t>
      </w:r>
      <w:r w:rsidRPr="00146C69">
        <w:rPr>
          <w:rFonts w:ascii="Arial" w:hAnsi="Arial" w:cs="Arial"/>
          <w:i/>
          <w:color w:val="000000" w:themeColor="text1"/>
        </w:rPr>
        <w:t>Drd1</w:t>
      </w:r>
      <w:r w:rsidRPr="00146C69">
        <w:rPr>
          <w:rFonts w:ascii="Arial" w:hAnsi="Arial" w:cs="Arial"/>
          <w:color w:val="000000" w:themeColor="text1"/>
        </w:rPr>
        <w:t xml:space="preserve"> containing striatal MSNs was accomplished using mice expressing </w:t>
      </w:r>
      <w:proofErr w:type="spellStart"/>
      <w:r w:rsidRPr="00146C69">
        <w:rPr>
          <w:rFonts w:ascii="Arial" w:hAnsi="Arial" w:cs="Arial"/>
          <w:color w:val="000000" w:themeColor="text1"/>
        </w:rPr>
        <w:t>tdTomato</w:t>
      </w:r>
      <w:proofErr w:type="spellEnd"/>
      <w:r w:rsidRPr="00146C69">
        <w:rPr>
          <w:rFonts w:ascii="Arial" w:hAnsi="Arial" w:cs="Arial"/>
          <w:color w:val="000000" w:themeColor="text1"/>
        </w:rPr>
        <w:t xml:space="preserve"> under the </w:t>
      </w:r>
      <w:r w:rsidRPr="00146C69">
        <w:rPr>
          <w:rFonts w:ascii="Arial" w:hAnsi="Arial" w:cs="Arial"/>
          <w:i/>
          <w:color w:val="000000" w:themeColor="text1"/>
        </w:rPr>
        <w:t>Drd1a</w:t>
      </w:r>
      <w:r w:rsidRPr="00146C69">
        <w:rPr>
          <w:rFonts w:ascii="Arial" w:hAnsi="Arial" w:cs="Arial"/>
          <w:color w:val="000000" w:themeColor="text1"/>
        </w:rPr>
        <w:t xml:space="preserve"> promotor (</w:t>
      </w:r>
      <w:proofErr w:type="spellStart"/>
      <w:proofErr w:type="gramStart"/>
      <w:r w:rsidRPr="00146C69">
        <w:rPr>
          <w:rFonts w:ascii="Arial" w:hAnsi="Arial" w:cs="Arial"/>
          <w:color w:val="000000" w:themeColor="text1"/>
        </w:rPr>
        <w:t>Tg</w:t>
      </w:r>
      <w:proofErr w:type="spellEnd"/>
      <w:r w:rsidRPr="00146C69">
        <w:rPr>
          <w:rFonts w:ascii="Arial" w:hAnsi="Arial" w:cs="Arial"/>
          <w:color w:val="000000" w:themeColor="text1"/>
        </w:rPr>
        <w:t>(</w:t>
      </w:r>
      <w:proofErr w:type="gramEnd"/>
      <w:r w:rsidRPr="00146C69">
        <w:rPr>
          <w:rFonts w:ascii="Arial" w:hAnsi="Arial" w:cs="Arial"/>
          <w:color w:val="000000" w:themeColor="text1"/>
        </w:rPr>
        <w:t>Drd1a-tdTomato)6Calak, JAX016204)</w:t>
      </w:r>
      <w:r w:rsidR="006657FF" w:rsidRPr="00146C69">
        <w:rPr>
          <w:color w:val="000000" w:themeColor="text1"/>
        </w:rPr>
        <w:t xml:space="preserve"> </w:t>
      </w:r>
      <w:r w:rsidR="006657FF" w:rsidRPr="00146C69">
        <w:rPr>
          <w:rFonts w:ascii="Arial" w:hAnsi="Arial" w:cs="Arial"/>
          <w:color w:val="000000" w:themeColor="text1"/>
        </w:rPr>
        <w:t>(Ade et al, 2011)</w:t>
      </w:r>
      <w:r w:rsidRPr="00146C69">
        <w:rPr>
          <w:rFonts w:ascii="Arial" w:hAnsi="Arial" w:cs="Arial"/>
          <w:color w:val="000000" w:themeColor="text1"/>
        </w:rPr>
        <w:t xml:space="preserve">.  Littermate </w:t>
      </w:r>
      <w:r w:rsidRPr="00146C69">
        <w:rPr>
          <w:rFonts w:ascii="Arial" w:hAnsi="Arial" w:cs="Arial"/>
          <w:i/>
          <w:color w:val="000000" w:themeColor="text1"/>
        </w:rPr>
        <w:t>Drd2</w:t>
      </w:r>
      <w:r w:rsidRPr="00146C69">
        <w:rPr>
          <w:rFonts w:ascii="Arial" w:hAnsi="Arial" w:cs="Arial"/>
          <w:i/>
          <w:color w:val="000000" w:themeColor="text1"/>
          <w:vertAlign w:val="superscript"/>
        </w:rPr>
        <w:t>loxP/</w:t>
      </w:r>
      <w:proofErr w:type="spellStart"/>
      <w:r w:rsidRPr="00146C69">
        <w:rPr>
          <w:rFonts w:ascii="Arial" w:hAnsi="Arial" w:cs="Arial"/>
          <w:i/>
          <w:color w:val="000000" w:themeColor="text1"/>
          <w:vertAlign w:val="superscript"/>
        </w:rPr>
        <w:t>wt</w:t>
      </w:r>
      <w:proofErr w:type="spellEnd"/>
      <w:r w:rsidRPr="00146C69">
        <w:rPr>
          <w:rFonts w:ascii="Arial" w:hAnsi="Arial" w:cs="Arial"/>
          <w:i/>
          <w:color w:val="000000" w:themeColor="text1"/>
        </w:rPr>
        <w:t xml:space="preserve"> </w:t>
      </w:r>
      <w:r w:rsidRPr="00146C69">
        <w:rPr>
          <w:rFonts w:ascii="Arial" w:hAnsi="Arial" w:cs="Arial"/>
          <w:color w:val="000000" w:themeColor="text1"/>
        </w:rPr>
        <w:t xml:space="preserve">or </w:t>
      </w:r>
      <w:r w:rsidRPr="00146C69">
        <w:rPr>
          <w:rFonts w:ascii="Arial" w:hAnsi="Arial" w:cs="Arial"/>
          <w:i/>
          <w:color w:val="000000" w:themeColor="text1"/>
        </w:rPr>
        <w:t>Drd2</w:t>
      </w:r>
      <w:r w:rsidRPr="00146C69">
        <w:rPr>
          <w:rFonts w:ascii="Arial" w:hAnsi="Arial" w:cs="Arial"/>
          <w:i/>
          <w:color w:val="000000" w:themeColor="text1"/>
          <w:vertAlign w:val="superscript"/>
        </w:rPr>
        <w:t>loxP/</w:t>
      </w:r>
      <w:proofErr w:type="spellStart"/>
      <w:r w:rsidRPr="00146C69">
        <w:rPr>
          <w:rFonts w:ascii="Arial" w:hAnsi="Arial" w:cs="Arial"/>
          <w:i/>
          <w:color w:val="000000" w:themeColor="text1"/>
          <w:vertAlign w:val="superscript"/>
        </w:rPr>
        <w:t>loxP</w:t>
      </w:r>
      <w:proofErr w:type="spellEnd"/>
      <w:r w:rsidRPr="00146C69">
        <w:rPr>
          <w:rFonts w:ascii="Arial" w:hAnsi="Arial" w:cs="Arial"/>
          <w:color w:val="000000" w:themeColor="text1"/>
        </w:rPr>
        <w:t xml:space="preserve"> or </w:t>
      </w:r>
      <w:r w:rsidRPr="00146C69">
        <w:rPr>
          <w:rFonts w:ascii="Arial" w:hAnsi="Arial" w:cs="Arial"/>
          <w:i/>
          <w:color w:val="000000" w:themeColor="text1"/>
        </w:rPr>
        <w:t>Adora2aCre</w:t>
      </w:r>
      <w:r w:rsidRPr="00146C69">
        <w:rPr>
          <w:rFonts w:ascii="Arial" w:hAnsi="Arial" w:cs="Arial"/>
          <w:color w:val="000000" w:themeColor="text1"/>
        </w:rPr>
        <w:t xml:space="preserve"> mice were used as controls.  </w:t>
      </w:r>
      <w:r w:rsidR="005802CE" w:rsidRPr="00146C69">
        <w:rPr>
          <w:rFonts w:ascii="Arial" w:hAnsi="Arial" w:cs="Arial"/>
          <w:color w:val="000000" w:themeColor="text1"/>
        </w:rPr>
        <w:t xml:space="preserve">All mice were genotyped using </w:t>
      </w:r>
      <w:proofErr w:type="spellStart"/>
      <w:r w:rsidR="005802CE" w:rsidRPr="00146C69">
        <w:rPr>
          <w:rFonts w:ascii="Arial" w:hAnsi="Arial" w:cs="Arial"/>
          <w:color w:val="000000" w:themeColor="text1"/>
        </w:rPr>
        <w:t>Transnetyx</w:t>
      </w:r>
      <w:proofErr w:type="spellEnd"/>
      <w:r w:rsidR="005802CE" w:rsidRPr="00146C69">
        <w:rPr>
          <w:rFonts w:ascii="Arial" w:hAnsi="Arial" w:cs="Arial"/>
          <w:color w:val="000000" w:themeColor="text1"/>
        </w:rPr>
        <w:t>.</w:t>
      </w:r>
    </w:p>
    <w:p w14:paraId="414B1E06" w14:textId="77777777" w:rsidR="00303B2E" w:rsidRPr="00146C69" w:rsidRDefault="00303B2E" w:rsidP="00751F4E">
      <w:pPr>
        <w:spacing w:line="480" w:lineRule="auto"/>
        <w:contextualSpacing/>
        <w:rPr>
          <w:rFonts w:ascii="Arial" w:hAnsi="Arial" w:cs="Arial"/>
          <w:i/>
          <w:color w:val="000000" w:themeColor="text1"/>
          <w:u w:val="single"/>
        </w:rPr>
      </w:pPr>
    </w:p>
    <w:p w14:paraId="79CBAC03" w14:textId="77777777" w:rsidR="00EB0371" w:rsidRPr="00146C69" w:rsidRDefault="00EB0371"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Stereotaxic viral injection</w:t>
      </w:r>
    </w:p>
    <w:p w14:paraId="1592D525" w14:textId="73F3AC72" w:rsidR="00EB0371" w:rsidRPr="00146C69" w:rsidRDefault="00FE26E7"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Viral injections were delivered at a rate of 100 </w:t>
      </w:r>
      <w:proofErr w:type="spellStart"/>
      <w:r w:rsidRPr="00146C69">
        <w:rPr>
          <w:rFonts w:ascii="Arial" w:hAnsi="Arial" w:cs="Arial"/>
          <w:color w:val="000000" w:themeColor="text1"/>
        </w:rPr>
        <w:t>nL</w:t>
      </w:r>
      <w:proofErr w:type="spellEnd"/>
      <w:r w:rsidRPr="00146C69">
        <w:rPr>
          <w:rFonts w:ascii="Arial" w:hAnsi="Arial" w:cs="Arial"/>
          <w:color w:val="000000" w:themeColor="text1"/>
        </w:rPr>
        <w:t xml:space="preserve">/min.  </w:t>
      </w:r>
      <w:r w:rsidR="005475E8" w:rsidRPr="00146C69">
        <w:rPr>
          <w:rFonts w:ascii="Arial" w:hAnsi="Arial" w:cs="Arial"/>
          <w:color w:val="000000" w:themeColor="text1"/>
        </w:rPr>
        <w:t>S</w:t>
      </w:r>
      <w:r w:rsidR="00EB0371" w:rsidRPr="00146C69">
        <w:rPr>
          <w:rFonts w:ascii="Arial" w:hAnsi="Arial" w:cs="Arial"/>
          <w:color w:val="000000" w:themeColor="text1"/>
        </w:rPr>
        <w:t xml:space="preserve">tereotaxic coordinates for the </w:t>
      </w:r>
      <w:proofErr w:type="spellStart"/>
      <w:r w:rsidR="00EB0371" w:rsidRPr="00146C69">
        <w:rPr>
          <w:rFonts w:ascii="Arial" w:hAnsi="Arial" w:cs="Arial"/>
          <w:color w:val="000000" w:themeColor="text1"/>
        </w:rPr>
        <w:t>NAc</w:t>
      </w:r>
      <w:proofErr w:type="spellEnd"/>
      <w:r w:rsidR="00EB0371" w:rsidRPr="00146C69">
        <w:rPr>
          <w:rFonts w:ascii="Arial" w:hAnsi="Arial" w:cs="Arial"/>
          <w:color w:val="000000" w:themeColor="text1"/>
        </w:rPr>
        <w:t xml:space="preserve"> core were </w:t>
      </w:r>
      <w:r w:rsidR="005475E8" w:rsidRPr="00146C69">
        <w:rPr>
          <w:rFonts w:ascii="Arial" w:hAnsi="Arial" w:cs="Arial"/>
          <w:color w:val="000000" w:themeColor="text1"/>
        </w:rPr>
        <w:t>(</w:t>
      </w:r>
      <w:r w:rsidR="00EB0371" w:rsidRPr="00146C69">
        <w:rPr>
          <w:rFonts w:ascii="Arial" w:hAnsi="Arial" w:cs="Arial"/>
          <w:color w:val="000000" w:themeColor="text1"/>
        </w:rPr>
        <w:t>mm from bregma</w:t>
      </w:r>
      <w:r w:rsidR="005475E8" w:rsidRPr="00146C69">
        <w:rPr>
          <w:rFonts w:ascii="Arial" w:hAnsi="Arial" w:cs="Arial"/>
          <w:color w:val="000000" w:themeColor="text1"/>
        </w:rPr>
        <w:t>)</w:t>
      </w:r>
      <w:r w:rsidR="00EB0371" w:rsidRPr="00146C69">
        <w:rPr>
          <w:rFonts w:ascii="Arial" w:hAnsi="Arial" w:cs="Arial"/>
          <w:color w:val="000000" w:themeColor="text1"/>
        </w:rPr>
        <w:t>: + 1.3 AP, ± 1.0 ML, -4.6 DV</w:t>
      </w:r>
      <w:r w:rsidR="005802CE" w:rsidRPr="00146C69">
        <w:rPr>
          <w:rFonts w:ascii="Arial" w:hAnsi="Arial" w:cs="Arial"/>
          <w:color w:val="000000" w:themeColor="text1"/>
        </w:rPr>
        <w:t>.</w:t>
      </w:r>
    </w:p>
    <w:p w14:paraId="3D07AF34" w14:textId="77777777" w:rsidR="00655B83" w:rsidRPr="00146C69" w:rsidRDefault="00655B83" w:rsidP="00751F4E">
      <w:pPr>
        <w:spacing w:line="480" w:lineRule="auto"/>
        <w:contextualSpacing/>
        <w:rPr>
          <w:rFonts w:ascii="Arial" w:hAnsi="Arial" w:cs="Arial"/>
          <w:i/>
          <w:color w:val="000000" w:themeColor="text1"/>
          <w:u w:val="single"/>
        </w:rPr>
      </w:pPr>
    </w:p>
    <w:p w14:paraId="6AD931A8" w14:textId="77777777" w:rsidR="00B154DC" w:rsidRPr="00146C69" w:rsidRDefault="00B154DC"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Intra-jugular catheter placement</w:t>
      </w:r>
    </w:p>
    <w:p w14:paraId="2952FD15" w14:textId="2CB0B5DF" w:rsidR="00EB0371" w:rsidRPr="00146C69" w:rsidRDefault="00B154DC" w:rsidP="006A3340">
      <w:pPr>
        <w:spacing w:before="100" w:beforeAutospacing="1" w:after="100" w:afterAutospacing="1" w:line="480" w:lineRule="auto"/>
        <w:ind w:firstLine="720"/>
        <w:contextualSpacing/>
        <w:rPr>
          <w:rFonts w:ascii="Arial" w:hAnsi="Arial" w:cs="Arial"/>
          <w:color w:val="000000" w:themeColor="text1"/>
        </w:rPr>
      </w:pPr>
      <w:r w:rsidRPr="00146C69">
        <w:rPr>
          <w:rFonts w:ascii="Arial" w:hAnsi="Arial" w:cs="Arial"/>
          <w:color w:val="000000" w:themeColor="text1"/>
        </w:rPr>
        <w:t xml:space="preserve">The right jugular vein was </w:t>
      </w:r>
      <w:proofErr w:type="gramStart"/>
      <w:r w:rsidRPr="00146C69">
        <w:rPr>
          <w:rFonts w:ascii="Arial" w:hAnsi="Arial" w:cs="Arial"/>
          <w:color w:val="000000" w:themeColor="text1"/>
        </w:rPr>
        <w:t>isolated</w:t>
      </w:r>
      <w:proofErr w:type="gramEnd"/>
      <w:r w:rsidRPr="00146C69">
        <w:rPr>
          <w:rFonts w:ascii="Arial" w:hAnsi="Arial" w:cs="Arial"/>
          <w:color w:val="000000" w:themeColor="text1"/>
        </w:rPr>
        <w:t xml:space="preserve"> and a catheter was inserted through a hole in the vein made using a 27G needle.  The catheter was fed subcutaneously so </w:t>
      </w:r>
      <w:r w:rsidR="003A0F66" w:rsidRPr="00146C69">
        <w:rPr>
          <w:rFonts w:ascii="Arial" w:hAnsi="Arial" w:cs="Arial"/>
          <w:color w:val="000000" w:themeColor="text1"/>
        </w:rPr>
        <w:t xml:space="preserve">that </w:t>
      </w:r>
      <w:r w:rsidRPr="00146C69">
        <w:rPr>
          <w:rFonts w:ascii="Arial" w:hAnsi="Arial" w:cs="Arial"/>
          <w:color w:val="000000" w:themeColor="text1"/>
        </w:rPr>
        <w:t xml:space="preserve">the catheter inlet was fixed between the scapulae.  Mice recovered for 5 – 7 days before testing began, during which time they received oral antibiotics (Trimethoprim Sulfamethoxazole, 0.72 mg/ml in drinking water).  </w:t>
      </w:r>
      <w:r w:rsidR="00EB0371" w:rsidRPr="00146C69">
        <w:rPr>
          <w:rFonts w:ascii="Arial" w:hAnsi="Arial" w:cs="Arial"/>
          <w:color w:val="000000" w:themeColor="text1"/>
        </w:rPr>
        <w:t>Catheter patency was tested every 7 days thereafter by administration of a ketamine-xylazine cocktail into the catheter (20 µL; 17 mg/mL and 1.7 mg/mL respectively).  Mice that failed patency at any point (15% of all mice) were removed from the study.</w:t>
      </w:r>
    </w:p>
    <w:p w14:paraId="6FC3DCA0" w14:textId="77777777" w:rsidR="00B154DC" w:rsidRPr="00146C69" w:rsidRDefault="00B154DC" w:rsidP="00751F4E">
      <w:pPr>
        <w:spacing w:line="480" w:lineRule="auto"/>
        <w:rPr>
          <w:rFonts w:ascii="Arial" w:hAnsi="Arial" w:cs="Arial"/>
          <w:color w:val="000000" w:themeColor="text1"/>
        </w:rPr>
      </w:pPr>
    </w:p>
    <w:p w14:paraId="47F3E9B3" w14:textId="77777777" w:rsidR="00A969B1" w:rsidRPr="00146C69" w:rsidRDefault="00A969B1"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Quantitative polymerase chain reaction</w:t>
      </w:r>
    </w:p>
    <w:p w14:paraId="7359505D" w14:textId="123DEFAD" w:rsidR="00A969B1" w:rsidRPr="00146C69" w:rsidRDefault="00A969B1"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The probes to measure dopamine D3 receptor and beta-actin were </w:t>
      </w:r>
      <w:r w:rsidRPr="00146C69">
        <w:rPr>
          <w:rFonts w:ascii="Arial" w:hAnsi="Arial" w:cs="Arial"/>
          <w:i/>
          <w:color w:val="000000" w:themeColor="text1"/>
        </w:rPr>
        <w:t>Drd3</w:t>
      </w:r>
      <w:r w:rsidR="008F0BA3" w:rsidRPr="00146C69">
        <w:rPr>
          <w:rFonts w:ascii="Arial" w:hAnsi="Arial" w:cs="Arial"/>
          <w:i/>
          <w:color w:val="000000" w:themeColor="text1"/>
        </w:rPr>
        <w:t>:</w:t>
      </w:r>
      <w:r w:rsidRPr="00146C69">
        <w:rPr>
          <w:rFonts w:ascii="Arial" w:hAnsi="Arial" w:cs="Arial"/>
          <w:color w:val="000000" w:themeColor="text1"/>
        </w:rPr>
        <w:t xml:space="preserve"> Mm00432887_m1 and </w:t>
      </w:r>
      <w:proofErr w:type="spellStart"/>
      <w:r w:rsidRPr="00146C69">
        <w:rPr>
          <w:rFonts w:ascii="Arial" w:hAnsi="Arial" w:cs="Arial"/>
          <w:i/>
          <w:color w:val="000000" w:themeColor="text1"/>
        </w:rPr>
        <w:t>Actb</w:t>
      </w:r>
      <w:proofErr w:type="spellEnd"/>
      <w:r w:rsidR="008F0BA3" w:rsidRPr="00146C69">
        <w:rPr>
          <w:rFonts w:ascii="Arial" w:hAnsi="Arial" w:cs="Arial"/>
          <w:color w:val="000000" w:themeColor="text1"/>
        </w:rPr>
        <w:t xml:space="preserve">: </w:t>
      </w:r>
      <w:r w:rsidRPr="00146C69">
        <w:rPr>
          <w:rFonts w:ascii="Arial" w:hAnsi="Arial" w:cs="Arial"/>
          <w:color w:val="000000" w:themeColor="text1"/>
        </w:rPr>
        <w:t xml:space="preserve"> Mm01205647_g1, respectively.  </w:t>
      </w:r>
      <w:r w:rsidR="00EB0371" w:rsidRPr="00146C69">
        <w:rPr>
          <w:rFonts w:ascii="Arial" w:hAnsi="Arial" w:cs="Arial"/>
          <w:color w:val="000000" w:themeColor="text1"/>
        </w:rPr>
        <w:t xml:space="preserve">Samples were run in triplicate and in parallel with negative controls.  </w:t>
      </w:r>
      <w:r w:rsidRPr="00146C69">
        <w:rPr>
          <w:rFonts w:ascii="Arial" w:hAnsi="Arial" w:cs="Arial"/>
          <w:color w:val="000000" w:themeColor="text1"/>
        </w:rPr>
        <w:t>The cycling conditions were:  initial hold at 95</w:t>
      </w:r>
      <w:r w:rsidRPr="00146C69">
        <w:rPr>
          <w:rFonts w:ascii="Tahoma" w:hAnsi="Tahoma" w:cs="Tahoma"/>
          <w:color w:val="000000" w:themeColor="text1"/>
        </w:rPr>
        <w:t>℃</w:t>
      </w:r>
      <w:r w:rsidRPr="00146C69">
        <w:rPr>
          <w:rFonts w:ascii="Arial" w:hAnsi="Arial" w:cs="Arial"/>
          <w:color w:val="000000" w:themeColor="text1"/>
        </w:rPr>
        <w:t xml:space="preserve"> (20 s), 40 cycles of 95</w:t>
      </w:r>
      <w:r w:rsidRPr="00146C69">
        <w:rPr>
          <w:rFonts w:ascii="Tahoma" w:hAnsi="Tahoma" w:cs="Tahoma"/>
          <w:color w:val="000000" w:themeColor="text1"/>
        </w:rPr>
        <w:t>℃</w:t>
      </w:r>
      <w:r w:rsidRPr="00146C69">
        <w:rPr>
          <w:rFonts w:ascii="Arial" w:hAnsi="Arial" w:cs="Arial"/>
          <w:color w:val="000000" w:themeColor="text1"/>
        </w:rPr>
        <w:t xml:space="preserve"> (1 s) and 60</w:t>
      </w:r>
      <w:r w:rsidRPr="00146C69">
        <w:rPr>
          <w:rFonts w:ascii="Tahoma" w:hAnsi="Tahoma" w:cs="Tahoma"/>
          <w:color w:val="000000" w:themeColor="text1"/>
        </w:rPr>
        <w:t>℃</w:t>
      </w:r>
      <w:r w:rsidRPr="00146C69">
        <w:rPr>
          <w:rFonts w:ascii="Arial" w:hAnsi="Arial" w:cs="Arial"/>
          <w:color w:val="000000" w:themeColor="text1"/>
        </w:rPr>
        <w:t xml:space="preserve"> (20 s).</w:t>
      </w:r>
    </w:p>
    <w:p w14:paraId="446D05E8" w14:textId="77777777" w:rsidR="00A969B1" w:rsidRPr="00146C69" w:rsidRDefault="00A969B1" w:rsidP="00751F4E">
      <w:pPr>
        <w:spacing w:line="480" w:lineRule="auto"/>
        <w:contextualSpacing/>
        <w:rPr>
          <w:rFonts w:ascii="Arial" w:hAnsi="Arial" w:cs="Arial"/>
          <w:i/>
          <w:color w:val="000000" w:themeColor="text1"/>
          <w:u w:val="single"/>
        </w:rPr>
      </w:pPr>
    </w:p>
    <w:p w14:paraId="25887484" w14:textId="538D55F1" w:rsidR="00303B2E" w:rsidRPr="00146C69" w:rsidRDefault="00303B2E"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Western blot</w:t>
      </w:r>
    </w:p>
    <w:p w14:paraId="7EEAC09E" w14:textId="080B80AC" w:rsidR="00303B2E" w:rsidRPr="00146C69" w:rsidRDefault="00303B2E"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The DMS and </w:t>
      </w:r>
      <w:proofErr w:type="spellStart"/>
      <w:r w:rsidRPr="00146C69">
        <w:rPr>
          <w:rFonts w:ascii="Arial" w:hAnsi="Arial" w:cs="Arial"/>
          <w:color w:val="000000" w:themeColor="text1"/>
        </w:rPr>
        <w:t>NAc</w:t>
      </w:r>
      <w:proofErr w:type="spellEnd"/>
      <w:r w:rsidRPr="00146C69">
        <w:rPr>
          <w:rFonts w:ascii="Arial" w:hAnsi="Arial" w:cs="Arial"/>
          <w:color w:val="000000" w:themeColor="text1"/>
        </w:rPr>
        <w:t xml:space="preserve"> were dissected between +1.18 and + 0.74 mm anterior from bregma.  The dorsal-ventral boundaries for the DMS and </w:t>
      </w:r>
      <w:proofErr w:type="spellStart"/>
      <w:r w:rsidRPr="00146C69">
        <w:rPr>
          <w:rFonts w:ascii="Arial" w:hAnsi="Arial" w:cs="Arial"/>
          <w:color w:val="000000" w:themeColor="text1"/>
        </w:rPr>
        <w:t>NAc</w:t>
      </w:r>
      <w:proofErr w:type="spellEnd"/>
      <w:r w:rsidRPr="00146C69">
        <w:rPr>
          <w:rFonts w:ascii="Arial" w:hAnsi="Arial" w:cs="Arial"/>
          <w:color w:val="000000" w:themeColor="text1"/>
        </w:rPr>
        <w:t xml:space="preserve"> were -2.25 to – 3.75 mm and -4.0 to -4.75 mm below brain surface, respectively.  The medial-lateral boundaries for the DMS and </w:t>
      </w:r>
      <w:proofErr w:type="spellStart"/>
      <w:r w:rsidRPr="00146C69">
        <w:rPr>
          <w:rFonts w:ascii="Arial" w:hAnsi="Arial" w:cs="Arial"/>
          <w:color w:val="000000" w:themeColor="text1"/>
        </w:rPr>
        <w:t>NAc</w:t>
      </w:r>
      <w:proofErr w:type="spellEnd"/>
      <w:r w:rsidRPr="00146C69">
        <w:rPr>
          <w:rFonts w:ascii="Arial" w:hAnsi="Arial" w:cs="Arial"/>
          <w:color w:val="000000" w:themeColor="text1"/>
        </w:rPr>
        <w:t xml:space="preserve"> were ±</w:t>
      </w:r>
      <w:r w:rsidR="00520248" w:rsidRPr="00146C69">
        <w:rPr>
          <w:rFonts w:ascii="Arial" w:hAnsi="Arial" w:cs="Arial"/>
          <w:color w:val="000000" w:themeColor="text1"/>
        </w:rPr>
        <w:t xml:space="preserve"> </w:t>
      </w:r>
      <w:r w:rsidRPr="00146C69">
        <w:rPr>
          <w:rFonts w:ascii="Arial" w:hAnsi="Arial" w:cs="Arial"/>
          <w:color w:val="000000" w:themeColor="text1"/>
        </w:rPr>
        <w:t xml:space="preserve">0.75 to 1.25, and ± 0.25 to 1.5 mm medial from midline, respectively.  </w:t>
      </w:r>
      <w:r w:rsidR="00B30C05" w:rsidRPr="00146C69">
        <w:rPr>
          <w:rFonts w:ascii="Arial" w:hAnsi="Arial" w:cs="Arial"/>
          <w:color w:val="000000" w:themeColor="text1"/>
        </w:rPr>
        <w:t>P</w:t>
      </w:r>
      <w:r w:rsidR="003A6288" w:rsidRPr="00146C69">
        <w:rPr>
          <w:rFonts w:ascii="Arial" w:hAnsi="Arial" w:cs="Arial"/>
          <w:color w:val="000000" w:themeColor="text1"/>
        </w:rPr>
        <w:t>rimary antibodies used were: rabbit anti-phosphoGluA1 (Ser845, 1:500, Cell Signaling</w:t>
      </w:r>
      <w:r w:rsidR="00B30C05" w:rsidRPr="00146C69">
        <w:rPr>
          <w:rFonts w:ascii="Arial" w:hAnsi="Arial" w:cs="Arial"/>
          <w:color w:val="000000" w:themeColor="text1"/>
        </w:rPr>
        <w:t>, #8084</w:t>
      </w:r>
      <w:r w:rsidR="003A6288" w:rsidRPr="00146C69">
        <w:rPr>
          <w:rFonts w:ascii="Arial" w:hAnsi="Arial" w:cs="Arial"/>
          <w:color w:val="000000" w:themeColor="text1"/>
        </w:rPr>
        <w:t>), rabb</w:t>
      </w:r>
      <w:r w:rsidR="00B30C05" w:rsidRPr="00146C69">
        <w:rPr>
          <w:rFonts w:ascii="Arial" w:hAnsi="Arial" w:cs="Arial"/>
          <w:color w:val="000000" w:themeColor="text1"/>
        </w:rPr>
        <w:t>it anti-GluA1 (1:1000, Cell Signaling, # 8850</w:t>
      </w:r>
      <w:r w:rsidR="003A6288" w:rsidRPr="00146C69">
        <w:rPr>
          <w:rFonts w:ascii="Arial" w:hAnsi="Arial" w:cs="Arial"/>
          <w:color w:val="000000" w:themeColor="text1"/>
        </w:rPr>
        <w:t xml:space="preserve">), </w:t>
      </w:r>
      <w:r w:rsidR="00B30C05" w:rsidRPr="00146C69">
        <w:rPr>
          <w:rFonts w:ascii="Arial" w:hAnsi="Arial" w:cs="Arial"/>
          <w:color w:val="000000" w:themeColor="text1"/>
        </w:rPr>
        <w:t>rabbit anti-pERK1/2 (1:1000, Santa Cruz, #SC7976), mouse anti-ERK (1:5000, Santa Cruz, #SC1647), and mouse anti-actin (1:10,000, Sigma, #A2228)</w:t>
      </w:r>
      <w:r w:rsidR="003A6288" w:rsidRPr="00146C69">
        <w:rPr>
          <w:rFonts w:ascii="Arial" w:hAnsi="Arial" w:cs="Arial"/>
          <w:color w:val="000000" w:themeColor="text1"/>
          <w:shd w:val="clear" w:color="auto" w:fill="FFFFFF"/>
        </w:rPr>
        <w:t>.  Donkey anti-rabbit horseradish peroxidase (HRP) and donkey anti-goat HRP (1:2000) were purchased from The Jackson Laboratory. </w:t>
      </w:r>
    </w:p>
    <w:p w14:paraId="0EEC7758" w14:textId="77777777" w:rsidR="00303B2E" w:rsidRPr="00146C69" w:rsidRDefault="00303B2E" w:rsidP="00751F4E">
      <w:pPr>
        <w:spacing w:line="480" w:lineRule="auto"/>
        <w:contextualSpacing/>
        <w:rPr>
          <w:rFonts w:ascii="Arial" w:hAnsi="Arial" w:cs="Arial"/>
          <w:i/>
          <w:color w:val="000000" w:themeColor="text1"/>
          <w:u w:val="single"/>
        </w:rPr>
      </w:pPr>
    </w:p>
    <w:p w14:paraId="20AB2DE2" w14:textId="77777777" w:rsidR="00A969B1" w:rsidRPr="00146C69" w:rsidRDefault="00A969B1"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Immunohistochemistry</w:t>
      </w:r>
    </w:p>
    <w:p w14:paraId="620BF271" w14:textId="6580057F" w:rsidR="00EB0371" w:rsidRPr="00146C69" w:rsidRDefault="00D93D25"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All blocking solutions, primary and secondary antibody solutions were prepared in 0.3% </w:t>
      </w:r>
      <w:proofErr w:type="spellStart"/>
      <w:r w:rsidRPr="00146C69">
        <w:rPr>
          <w:rFonts w:ascii="Arial" w:hAnsi="Arial" w:cs="Arial"/>
          <w:color w:val="000000" w:themeColor="text1"/>
        </w:rPr>
        <w:t>TritonX</w:t>
      </w:r>
      <w:proofErr w:type="spellEnd"/>
      <w:r w:rsidRPr="00146C69">
        <w:rPr>
          <w:rFonts w:ascii="Arial" w:hAnsi="Arial" w:cs="Arial"/>
          <w:color w:val="000000" w:themeColor="text1"/>
        </w:rPr>
        <w:t xml:space="preserve">-PBS (Sigma-Aldrich). </w:t>
      </w:r>
      <w:r w:rsidR="00A969B1" w:rsidRPr="00146C69">
        <w:rPr>
          <w:rFonts w:ascii="Arial" w:hAnsi="Arial" w:cs="Arial"/>
          <w:color w:val="000000" w:themeColor="text1"/>
        </w:rPr>
        <w:t>The primary antibody, rabbit anti-pERK1/2</w:t>
      </w:r>
      <w:r w:rsidR="008F0BA3" w:rsidRPr="00146C69">
        <w:rPr>
          <w:rFonts w:ascii="Arial" w:hAnsi="Arial" w:cs="Arial"/>
          <w:color w:val="000000" w:themeColor="text1"/>
        </w:rPr>
        <w:t>,</w:t>
      </w:r>
      <w:r w:rsidR="00A969B1" w:rsidRPr="00146C69">
        <w:rPr>
          <w:rFonts w:ascii="Arial" w:hAnsi="Arial" w:cs="Arial"/>
          <w:color w:val="000000" w:themeColor="text1"/>
        </w:rPr>
        <w:t xml:space="preserve"> was prepared at a 1:100 dilution (Cell Signaling #4370).  The secondary antibody, goat anti-rabbit Alexa 488</w:t>
      </w:r>
      <w:r w:rsidR="008F0BA3" w:rsidRPr="00146C69">
        <w:rPr>
          <w:rFonts w:ascii="Arial" w:hAnsi="Arial" w:cs="Arial"/>
          <w:color w:val="000000" w:themeColor="text1"/>
        </w:rPr>
        <w:t>,</w:t>
      </w:r>
      <w:r w:rsidR="00A969B1" w:rsidRPr="00146C69">
        <w:rPr>
          <w:rFonts w:ascii="Arial" w:hAnsi="Arial" w:cs="Arial"/>
          <w:color w:val="000000" w:themeColor="text1"/>
        </w:rPr>
        <w:t xml:space="preserve"> w</w:t>
      </w:r>
      <w:r w:rsidRPr="00146C69">
        <w:rPr>
          <w:rFonts w:ascii="Arial" w:hAnsi="Arial" w:cs="Arial"/>
          <w:color w:val="000000" w:themeColor="text1"/>
        </w:rPr>
        <w:t>as prepared at a 1:500 dilution (Invitrogen, #A11034).</w:t>
      </w:r>
      <w:r w:rsidR="00EB0371" w:rsidRPr="00146C69">
        <w:rPr>
          <w:rFonts w:ascii="Arial" w:hAnsi="Arial" w:cs="Arial"/>
          <w:color w:val="000000" w:themeColor="text1"/>
        </w:rPr>
        <w:t xml:space="preserve"> Two sections containing the </w:t>
      </w:r>
      <w:proofErr w:type="spellStart"/>
      <w:r w:rsidR="00EB0371" w:rsidRPr="00146C69">
        <w:rPr>
          <w:rFonts w:ascii="Arial" w:hAnsi="Arial" w:cs="Arial"/>
          <w:color w:val="000000" w:themeColor="text1"/>
        </w:rPr>
        <w:t>NAc</w:t>
      </w:r>
      <w:proofErr w:type="spellEnd"/>
      <w:r w:rsidR="00EB0371" w:rsidRPr="00146C69">
        <w:rPr>
          <w:rFonts w:ascii="Arial" w:hAnsi="Arial" w:cs="Arial"/>
          <w:color w:val="000000" w:themeColor="text1"/>
        </w:rPr>
        <w:t xml:space="preserve"> core were imaged from each mouse, and three confocal images were acquired for each section.  Image acquisition settings were held constant between treatment groups.  The threshold for </w:t>
      </w:r>
      <w:proofErr w:type="spellStart"/>
      <w:r w:rsidR="00EB0371" w:rsidRPr="00146C69">
        <w:rPr>
          <w:rFonts w:ascii="Arial" w:hAnsi="Arial" w:cs="Arial"/>
          <w:color w:val="000000" w:themeColor="text1"/>
        </w:rPr>
        <w:t>pERK</w:t>
      </w:r>
      <w:proofErr w:type="spellEnd"/>
      <w:r w:rsidR="00EB0371" w:rsidRPr="00146C69">
        <w:rPr>
          <w:rFonts w:ascii="Arial" w:hAnsi="Arial" w:cs="Arial"/>
          <w:color w:val="000000" w:themeColor="text1"/>
        </w:rPr>
        <w:t xml:space="preserve"> fluorescence was determined by the level of background fluorescence in “no primary” control sections. The integrated density of </w:t>
      </w:r>
      <w:proofErr w:type="spellStart"/>
      <w:r w:rsidR="00EB0371" w:rsidRPr="00146C69">
        <w:rPr>
          <w:rFonts w:ascii="Arial" w:hAnsi="Arial" w:cs="Arial"/>
          <w:color w:val="000000" w:themeColor="text1"/>
        </w:rPr>
        <w:t>pERK</w:t>
      </w:r>
      <w:proofErr w:type="spellEnd"/>
      <w:r w:rsidR="00EB0371" w:rsidRPr="00146C69">
        <w:rPr>
          <w:rFonts w:ascii="Arial" w:hAnsi="Arial" w:cs="Arial"/>
          <w:color w:val="000000" w:themeColor="text1"/>
        </w:rPr>
        <w:t xml:space="preserve"> immunoreactive fluorescence in </w:t>
      </w:r>
      <w:r w:rsidR="00EB0371" w:rsidRPr="00146C69">
        <w:rPr>
          <w:rFonts w:ascii="Arial" w:hAnsi="Arial" w:cs="Arial"/>
          <w:i/>
          <w:color w:val="000000" w:themeColor="text1"/>
        </w:rPr>
        <w:t>Drd1</w:t>
      </w:r>
      <w:r w:rsidR="00EB0371" w:rsidRPr="00146C69">
        <w:rPr>
          <w:rFonts w:ascii="Arial" w:hAnsi="Arial" w:cs="Arial"/>
          <w:color w:val="000000" w:themeColor="text1"/>
        </w:rPr>
        <w:t xml:space="preserve">-expressing cells (i.e., </w:t>
      </w:r>
      <w:proofErr w:type="spellStart"/>
      <w:r w:rsidR="00EB0371" w:rsidRPr="00146C69">
        <w:rPr>
          <w:rFonts w:ascii="Arial" w:hAnsi="Arial" w:cs="Arial"/>
          <w:color w:val="000000" w:themeColor="text1"/>
        </w:rPr>
        <w:t>tdTomato</w:t>
      </w:r>
      <w:proofErr w:type="spellEnd"/>
      <w:r w:rsidR="00EB0371" w:rsidRPr="00146C69">
        <w:rPr>
          <w:rFonts w:ascii="Arial" w:hAnsi="Arial" w:cs="Arial"/>
          <w:color w:val="000000" w:themeColor="text1"/>
        </w:rPr>
        <w:t xml:space="preserve"> positive) was measured using ImageJ and expressed as density (</w:t>
      </w:r>
      <w:proofErr w:type="spellStart"/>
      <w:r w:rsidR="00EB0371" w:rsidRPr="00146C69">
        <w:rPr>
          <w:rFonts w:ascii="Arial" w:hAnsi="Arial" w:cs="Arial"/>
          <w:color w:val="000000" w:themeColor="text1"/>
        </w:rPr>
        <w:t>pERK</w:t>
      </w:r>
      <w:proofErr w:type="spellEnd"/>
      <w:r w:rsidR="00EB0371" w:rsidRPr="00146C69">
        <w:rPr>
          <w:rFonts w:ascii="Arial" w:hAnsi="Arial" w:cs="Arial"/>
          <w:color w:val="000000" w:themeColor="text1"/>
        </w:rPr>
        <w:t xml:space="preserve"> positive cells / mm</w:t>
      </w:r>
      <w:r w:rsidR="00EB0371" w:rsidRPr="00146C69">
        <w:rPr>
          <w:rFonts w:ascii="Arial" w:hAnsi="Arial" w:cs="Arial"/>
          <w:color w:val="000000" w:themeColor="text1"/>
          <w:vertAlign w:val="superscript"/>
        </w:rPr>
        <w:t>2</w:t>
      </w:r>
      <w:r w:rsidR="00EB0371" w:rsidRPr="00146C69">
        <w:rPr>
          <w:rFonts w:ascii="Arial" w:hAnsi="Arial" w:cs="Arial"/>
          <w:color w:val="000000" w:themeColor="text1"/>
        </w:rPr>
        <w:t xml:space="preserve">). The density of </w:t>
      </w:r>
      <w:r w:rsidR="00EB0371" w:rsidRPr="00146C69">
        <w:rPr>
          <w:rFonts w:ascii="Arial" w:hAnsi="Arial" w:cs="Arial"/>
          <w:i/>
          <w:color w:val="000000" w:themeColor="text1"/>
        </w:rPr>
        <w:t>Drd1</w:t>
      </w:r>
      <w:r w:rsidR="00EB0371" w:rsidRPr="00146C69">
        <w:rPr>
          <w:rFonts w:ascii="Arial" w:hAnsi="Arial" w:cs="Arial"/>
          <w:color w:val="000000" w:themeColor="text1"/>
        </w:rPr>
        <w:t xml:space="preserve">-expressing cells was measured as the number of </w:t>
      </w:r>
      <w:proofErr w:type="spellStart"/>
      <w:r w:rsidR="00EB0371" w:rsidRPr="00146C69">
        <w:rPr>
          <w:rFonts w:ascii="Arial" w:hAnsi="Arial" w:cs="Arial"/>
          <w:color w:val="000000" w:themeColor="text1"/>
        </w:rPr>
        <w:t>tdTomato</w:t>
      </w:r>
      <w:proofErr w:type="spellEnd"/>
      <w:r w:rsidR="00EB0371" w:rsidRPr="00146C69">
        <w:rPr>
          <w:rFonts w:ascii="Arial" w:hAnsi="Arial" w:cs="Arial"/>
          <w:color w:val="000000" w:themeColor="text1"/>
        </w:rPr>
        <w:t xml:space="preserve"> positive cells per square millimeter.</w:t>
      </w:r>
    </w:p>
    <w:p w14:paraId="7F60D3DB" w14:textId="77777777" w:rsidR="00A969B1" w:rsidRPr="00146C69" w:rsidRDefault="00A969B1" w:rsidP="00751F4E">
      <w:pPr>
        <w:spacing w:line="480" w:lineRule="auto"/>
        <w:contextualSpacing/>
        <w:rPr>
          <w:rFonts w:ascii="Arial" w:hAnsi="Arial" w:cs="Arial"/>
          <w:color w:val="000000" w:themeColor="text1"/>
        </w:rPr>
      </w:pPr>
    </w:p>
    <w:p w14:paraId="6F7667A5" w14:textId="77777777" w:rsidR="008F0BA3" w:rsidRPr="00146C69" w:rsidRDefault="008F0BA3" w:rsidP="00751F4E">
      <w:pPr>
        <w:spacing w:line="480" w:lineRule="auto"/>
        <w:rPr>
          <w:rFonts w:ascii="Arial" w:hAnsi="Arial" w:cs="Arial"/>
          <w:i/>
          <w:color w:val="000000" w:themeColor="text1"/>
          <w:u w:val="single"/>
        </w:rPr>
      </w:pPr>
      <w:r w:rsidRPr="00146C69">
        <w:rPr>
          <w:rFonts w:ascii="Arial" w:hAnsi="Arial" w:cs="Arial"/>
          <w:i/>
          <w:color w:val="000000" w:themeColor="text1"/>
          <w:u w:val="single"/>
        </w:rPr>
        <w:t>Quantification of bridging collateral density</w:t>
      </w:r>
    </w:p>
    <w:p w14:paraId="2C7307EC" w14:textId="2CE24F14" w:rsidR="008F0BA3" w:rsidRPr="00146C69" w:rsidRDefault="008F0BA3" w:rsidP="006A3340">
      <w:pPr>
        <w:spacing w:line="480" w:lineRule="auto"/>
        <w:ind w:firstLine="720"/>
        <w:rPr>
          <w:rFonts w:ascii="Arial" w:hAnsi="Arial" w:cs="Arial"/>
          <w:color w:val="000000" w:themeColor="text1"/>
        </w:rPr>
      </w:pPr>
      <w:r w:rsidRPr="00146C69">
        <w:rPr>
          <w:rFonts w:ascii="Arial" w:hAnsi="Arial" w:cs="Arial"/>
          <w:color w:val="000000" w:themeColor="text1"/>
        </w:rPr>
        <w:lastRenderedPageBreak/>
        <w:t xml:space="preserve">Quantification of the density of projections from D1R-expressing MSNs was achieved using the fluorescence intensity of the genetically encoded protein </w:t>
      </w:r>
      <w:proofErr w:type="spellStart"/>
      <w:r w:rsidRPr="00146C69">
        <w:rPr>
          <w:rFonts w:ascii="Arial" w:hAnsi="Arial" w:cs="Arial"/>
          <w:color w:val="000000" w:themeColor="text1"/>
        </w:rPr>
        <w:t>tdTomato</w:t>
      </w:r>
      <w:proofErr w:type="spellEnd"/>
      <w:r w:rsidRPr="00146C69">
        <w:rPr>
          <w:rFonts w:ascii="Arial" w:hAnsi="Arial" w:cs="Arial"/>
          <w:color w:val="000000" w:themeColor="text1"/>
        </w:rPr>
        <w:t xml:space="preserve"> in mice expressing this transgene under the </w:t>
      </w:r>
      <w:r w:rsidRPr="00146C69">
        <w:rPr>
          <w:rFonts w:ascii="Arial" w:hAnsi="Arial" w:cs="Arial"/>
          <w:i/>
          <w:color w:val="000000" w:themeColor="text1"/>
        </w:rPr>
        <w:t xml:space="preserve">Drd1 </w:t>
      </w:r>
      <w:r w:rsidRPr="00146C69">
        <w:rPr>
          <w:rFonts w:ascii="Arial" w:hAnsi="Arial" w:cs="Arial"/>
          <w:color w:val="000000" w:themeColor="text1"/>
        </w:rPr>
        <w:t xml:space="preserve">promoter. </w:t>
      </w:r>
      <w:r w:rsidR="00CE5FD6" w:rsidRPr="00146C69">
        <w:rPr>
          <w:rFonts w:ascii="Arial" w:hAnsi="Arial" w:cs="Arial"/>
          <w:color w:val="000000" w:themeColor="text1"/>
        </w:rPr>
        <w:t xml:space="preserve">Fresh, </w:t>
      </w:r>
      <w:r w:rsidR="00520248" w:rsidRPr="00146C69">
        <w:rPr>
          <w:rFonts w:ascii="Arial" w:hAnsi="Arial" w:cs="Arial"/>
          <w:color w:val="000000" w:themeColor="text1"/>
        </w:rPr>
        <w:t xml:space="preserve">serial, </w:t>
      </w:r>
      <w:r w:rsidR="00CE5FD6" w:rsidRPr="00146C69">
        <w:rPr>
          <w:rFonts w:ascii="Arial" w:hAnsi="Arial" w:cs="Arial"/>
          <w:color w:val="000000" w:themeColor="text1"/>
        </w:rPr>
        <w:t>150 µm thick sections were made on a vibratome and imaged using an Olympus Macroscope.  R</w:t>
      </w:r>
      <w:r w:rsidRPr="00146C69">
        <w:rPr>
          <w:rFonts w:ascii="Arial" w:hAnsi="Arial" w:cs="Arial"/>
          <w:color w:val="000000" w:themeColor="text1"/>
        </w:rPr>
        <w:t>ed fluorescence intensity was measured in the</w:t>
      </w:r>
      <w:r w:rsidR="003A0F66" w:rsidRPr="00146C69">
        <w:rPr>
          <w:rFonts w:ascii="Arial" w:hAnsi="Arial" w:cs="Arial"/>
          <w:color w:val="000000" w:themeColor="text1"/>
        </w:rPr>
        <w:t>:</w:t>
      </w:r>
      <w:r w:rsidRPr="00146C69">
        <w:rPr>
          <w:rFonts w:ascii="Arial" w:hAnsi="Arial" w:cs="Arial"/>
          <w:color w:val="000000" w:themeColor="text1"/>
        </w:rPr>
        <w:t xml:space="preserve"> </w:t>
      </w:r>
      <w:proofErr w:type="spellStart"/>
      <w:r w:rsidR="003A0F66" w:rsidRPr="00146C69">
        <w:rPr>
          <w:rFonts w:ascii="Arial" w:hAnsi="Arial" w:cs="Arial"/>
          <w:color w:val="000000" w:themeColor="text1"/>
        </w:rPr>
        <w:t>globus</w:t>
      </w:r>
      <w:proofErr w:type="spellEnd"/>
      <w:r w:rsidR="003A0F66" w:rsidRPr="00146C69">
        <w:rPr>
          <w:rFonts w:ascii="Arial" w:hAnsi="Arial" w:cs="Arial"/>
          <w:color w:val="000000" w:themeColor="text1"/>
        </w:rPr>
        <w:t xml:space="preserve"> pallidus (GP), ventral pallidum (VP), substantia </w:t>
      </w:r>
      <w:proofErr w:type="spellStart"/>
      <w:r w:rsidR="003A0F66" w:rsidRPr="00146C69">
        <w:rPr>
          <w:rFonts w:ascii="Arial" w:hAnsi="Arial" w:cs="Arial"/>
          <w:color w:val="000000" w:themeColor="text1"/>
        </w:rPr>
        <w:t>nigra</w:t>
      </w:r>
      <w:proofErr w:type="spellEnd"/>
      <w:r w:rsidR="003A0F66" w:rsidRPr="00146C69">
        <w:rPr>
          <w:rFonts w:ascii="Arial" w:hAnsi="Arial" w:cs="Arial"/>
          <w:color w:val="000000" w:themeColor="text1"/>
        </w:rPr>
        <w:t xml:space="preserve"> (</w:t>
      </w:r>
      <w:proofErr w:type="spellStart"/>
      <w:r w:rsidR="003A0F66" w:rsidRPr="00146C69">
        <w:rPr>
          <w:rFonts w:ascii="Arial" w:hAnsi="Arial" w:cs="Arial"/>
          <w:color w:val="000000" w:themeColor="text1"/>
        </w:rPr>
        <w:t>SNr</w:t>
      </w:r>
      <w:proofErr w:type="spellEnd"/>
      <w:r w:rsidR="003A0F66" w:rsidRPr="00146C69">
        <w:rPr>
          <w:rFonts w:ascii="Arial" w:hAnsi="Arial" w:cs="Arial"/>
          <w:color w:val="000000" w:themeColor="text1"/>
        </w:rPr>
        <w:t xml:space="preserve">), dorsal striatum (DS), and nucleus </w:t>
      </w:r>
      <w:proofErr w:type="spellStart"/>
      <w:r w:rsidR="003A0F66" w:rsidRPr="00146C69">
        <w:rPr>
          <w:rFonts w:ascii="Arial" w:hAnsi="Arial" w:cs="Arial"/>
          <w:color w:val="000000" w:themeColor="text1"/>
        </w:rPr>
        <w:t>accumbens</w:t>
      </w:r>
      <w:proofErr w:type="spellEnd"/>
      <w:r w:rsidR="003A0F66" w:rsidRPr="00146C69">
        <w:rPr>
          <w:rFonts w:ascii="Arial" w:hAnsi="Arial" w:cs="Arial"/>
          <w:color w:val="000000" w:themeColor="text1"/>
        </w:rPr>
        <w:t xml:space="preserve"> (</w:t>
      </w:r>
      <w:proofErr w:type="spellStart"/>
      <w:r w:rsidR="003A0F66" w:rsidRPr="00146C69">
        <w:rPr>
          <w:rFonts w:ascii="Arial" w:hAnsi="Arial" w:cs="Arial"/>
          <w:color w:val="000000" w:themeColor="text1"/>
        </w:rPr>
        <w:t>NAc</w:t>
      </w:r>
      <w:proofErr w:type="spellEnd"/>
      <w:r w:rsidR="003A0F66" w:rsidRPr="00146C69">
        <w:rPr>
          <w:rFonts w:ascii="Arial" w:hAnsi="Arial" w:cs="Arial"/>
          <w:color w:val="000000" w:themeColor="text1"/>
        </w:rPr>
        <w:t xml:space="preserve">).  In each region, </w:t>
      </w:r>
      <w:r w:rsidR="003F3701" w:rsidRPr="00146C69">
        <w:rPr>
          <w:rFonts w:ascii="Arial" w:hAnsi="Arial" w:cs="Arial"/>
          <w:color w:val="000000" w:themeColor="text1"/>
        </w:rPr>
        <w:t xml:space="preserve">a region of equal size </w:t>
      </w:r>
      <w:r w:rsidR="003A0F66" w:rsidRPr="00146C69">
        <w:rPr>
          <w:rFonts w:ascii="Arial" w:hAnsi="Arial" w:cs="Arial"/>
          <w:color w:val="000000" w:themeColor="text1"/>
        </w:rPr>
        <w:t xml:space="preserve">was </w:t>
      </w:r>
      <w:proofErr w:type="gramStart"/>
      <w:r w:rsidR="003A0F66" w:rsidRPr="00146C69">
        <w:rPr>
          <w:rFonts w:ascii="Arial" w:hAnsi="Arial" w:cs="Arial"/>
          <w:color w:val="000000" w:themeColor="text1"/>
        </w:rPr>
        <w:t>drawn</w:t>
      </w:r>
      <w:proofErr w:type="gramEnd"/>
      <w:r w:rsidR="003A0F66" w:rsidRPr="00146C69">
        <w:rPr>
          <w:rFonts w:ascii="Arial" w:hAnsi="Arial" w:cs="Arial"/>
          <w:color w:val="000000" w:themeColor="text1"/>
        </w:rPr>
        <w:t xml:space="preserve"> and</w:t>
      </w:r>
      <w:r w:rsidR="003F3701" w:rsidRPr="00146C69">
        <w:rPr>
          <w:rFonts w:ascii="Arial" w:hAnsi="Arial" w:cs="Arial"/>
          <w:color w:val="000000" w:themeColor="text1"/>
        </w:rPr>
        <w:t xml:space="preserve"> </w:t>
      </w:r>
      <w:r w:rsidR="003A0F66" w:rsidRPr="00146C69">
        <w:rPr>
          <w:rFonts w:ascii="Arial" w:hAnsi="Arial" w:cs="Arial"/>
          <w:color w:val="000000" w:themeColor="text1"/>
        </w:rPr>
        <w:t xml:space="preserve">the </w:t>
      </w:r>
      <w:r w:rsidR="003F3701" w:rsidRPr="00146C69">
        <w:rPr>
          <w:rFonts w:ascii="Arial" w:hAnsi="Arial" w:cs="Arial"/>
          <w:color w:val="000000" w:themeColor="text1"/>
        </w:rPr>
        <w:t xml:space="preserve">fluorescence intensity </w:t>
      </w:r>
      <w:r w:rsidR="003A0F66" w:rsidRPr="00146C69">
        <w:rPr>
          <w:rFonts w:ascii="Arial" w:hAnsi="Arial" w:cs="Arial"/>
          <w:color w:val="000000" w:themeColor="text1"/>
        </w:rPr>
        <w:t xml:space="preserve">was quantified </w:t>
      </w:r>
      <w:r w:rsidR="00CE5FD6" w:rsidRPr="00146C69">
        <w:rPr>
          <w:rFonts w:ascii="Arial" w:hAnsi="Arial" w:cs="Arial"/>
          <w:color w:val="000000" w:themeColor="text1"/>
        </w:rPr>
        <w:t xml:space="preserve">using ImageJ.  </w:t>
      </w:r>
      <w:r w:rsidR="003F3701" w:rsidRPr="00146C69">
        <w:rPr>
          <w:rFonts w:ascii="Arial" w:hAnsi="Arial" w:cs="Arial"/>
          <w:color w:val="000000" w:themeColor="text1"/>
        </w:rPr>
        <w:t>The fluorescence intensity in the projection area region</w:t>
      </w:r>
      <w:r w:rsidRPr="00146C69">
        <w:rPr>
          <w:rFonts w:ascii="Arial" w:hAnsi="Arial" w:cs="Arial"/>
          <w:color w:val="000000" w:themeColor="text1"/>
        </w:rPr>
        <w:t xml:space="preserve"> (</w:t>
      </w:r>
      <w:r w:rsidR="003F3701" w:rsidRPr="00146C69">
        <w:rPr>
          <w:rFonts w:ascii="Arial" w:hAnsi="Arial" w:cs="Arial"/>
          <w:color w:val="000000" w:themeColor="text1"/>
        </w:rPr>
        <w:t xml:space="preserve">GP, VP, or </w:t>
      </w:r>
      <w:proofErr w:type="spellStart"/>
      <w:r w:rsidR="003F3701" w:rsidRPr="00146C69">
        <w:rPr>
          <w:rFonts w:ascii="Arial" w:hAnsi="Arial" w:cs="Arial"/>
          <w:color w:val="000000" w:themeColor="text1"/>
        </w:rPr>
        <w:t>SNr</w:t>
      </w:r>
      <w:proofErr w:type="spellEnd"/>
      <w:r w:rsidRPr="00146C69">
        <w:rPr>
          <w:rFonts w:ascii="Arial" w:hAnsi="Arial" w:cs="Arial"/>
          <w:color w:val="000000" w:themeColor="text1"/>
        </w:rPr>
        <w:t xml:space="preserve">) </w:t>
      </w:r>
      <w:r w:rsidR="003F3701" w:rsidRPr="00146C69">
        <w:rPr>
          <w:rFonts w:ascii="Arial" w:hAnsi="Arial" w:cs="Arial"/>
          <w:color w:val="000000" w:themeColor="text1"/>
        </w:rPr>
        <w:t xml:space="preserve">was </w:t>
      </w:r>
      <w:r w:rsidRPr="00146C69">
        <w:rPr>
          <w:rFonts w:ascii="Arial" w:hAnsi="Arial" w:cs="Arial"/>
          <w:color w:val="000000" w:themeColor="text1"/>
        </w:rPr>
        <w:t xml:space="preserve">normalized to the intensity in the </w:t>
      </w:r>
      <w:r w:rsidR="003F3701" w:rsidRPr="00146C69">
        <w:rPr>
          <w:rFonts w:ascii="Arial" w:hAnsi="Arial" w:cs="Arial"/>
          <w:color w:val="000000" w:themeColor="text1"/>
        </w:rPr>
        <w:t xml:space="preserve">corresponding striatal region, DS or </w:t>
      </w:r>
      <w:proofErr w:type="spellStart"/>
      <w:r w:rsidR="003F3701" w:rsidRPr="00146C69">
        <w:rPr>
          <w:rFonts w:ascii="Arial" w:hAnsi="Arial" w:cs="Arial"/>
          <w:color w:val="000000" w:themeColor="text1"/>
        </w:rPr>
        <w:t>NAc</w:t>
      </w:r>
      <w:proofErr w:type="spellEnd"/>
      <w:r w:rsidRPr="00146C69">
        <w:rPr>
          <w:rFonts w:ascii="Arial" w:hAnsi="Arial" w:cs="Arial"/>
          <w:color w:val="000000" w:themeColor="text1"/>
        </w:rPr>
        <w:t xml:space="preserve"> (</w:t>
      </w:r>
      <w:proofErr w:type="spellStart"/>
      <w:r w:rsidRPr="00146C69">
        <w:rPr>
          <w:rFonts w:ascii="Arial" w:hAnsi="Arial" w:cs="Arial"/>
          <w:color w:val="000000" w:themeColor="text1"/>
          <w:vertAlign w:val="superscript"/>
        </w:rPr>
        <w:t>SNr</w:t>
      </w:r>
      <w:r w:rsidRPr="00146C69">
        <w:rPr>
          <w:rFonts w:ascii="Arial" w:hAnsi="Arial" w:cs="Arial"/>
          <w:color w:val="000000" w:themeColor="text1"/>
        </w:rPr>
        <w:t>∕</w:t>
      </w:r>
      <w:r w:rsidRPr="00146C69">
        <w:rPr>
          <w:rFonts w:ascii="Arial" w:hAnsi="Arial" w:cs="Arial"/>
          <w:color w:val="000000" w:themeColor="text1"/>
          <w:vertAlign w:val="subscript"/>
        </w:rPr>
        <w:t>DS</w:t>
      </w:r>
      <w:proofErr w:type="spellEnd"/>
      <w:r w:rsidRPr="00146C69">
        <w:rPr>
          <w:rFonts w:ascii="Arial" w:hAnsi="Arial" w:cs="Arial"/>
          <w:color w:val="000000" w:themeColor="text1"/>
          <w:vertAlign w:val="subscript"/>
        </w:rPr>
        <w:t>,</w:t>
      </w:r>
      <w:r w:rsidRPr="00146C69">
        <w:rPr>
          <w:rFonts w:ascii="Arial" w:hAnsi="Arial" w:cs="Arial"/>
          <w:color w:val="000000" w:themeColor="text1"/>
        </w:rPr>
        <w:t xml:space="preserve"> </w:t>
      </w:r>
      <w:r w:rsidRPr="00146C69">
        <w:rPr>
          <w:rFonts w:ascii="Arial" w:hAnsi="Arial" w:cs="Arial"/>
          <w:color w:val="000000" w:themeColor="text1"/>
          <w:vertAlign w:val="superscript"/>
        </w:rPr>
        <w:t>GP</w:t>
      </w:r>
      <w:r w:rsidRPr="00146C69">
        <w:rPr>
          <w:rFonts w:ascii="Arial" w:hAnsi="Arial" w:cs="Arial"/>
          <w:color w:val="000000" w:themeColor="text1"/>
        </w:rPr>
        <w:t>∕</w:t>
      </w:r>
      <w:r w:rsidRPr="00146C69">
        <w:rPr>
          <w:rFonts w:ascii="Arial" w:hAnsi="Arial" w:cs="Arial"/>
          <w:color w:val="000000" w:themeColor="text1"/>
          <w:vertAlign w:val="subscript"/>
        </w:rPr>
        <w:t>DS,</w:t>
      </w:r>
      <w:r w:rsidRPr="00146C69">
        <w:rPr>
          <w:rFonts w:ascii="Arial" w:hAnsi="Arial" w:cs="Arial"/>
          <w:color w:val="000000" w:themeColor="text1"/>
        </w:rPr>
        <w:t xml:space="preserve"> and </w:t>
      </w:r>
      <w:proofErr w:type="spellStart"/>
      <w:r w:rsidRPr="00146C69">
        <w:rPr>
          <w:rFonts w:ascii="Arial" w:hAnsi="Arial" w:cs="Arial"/>
          <w:color w:val="000000" w:themeColor="text1"/>
          <w:vertAlign w:val="superscript"/>
        </w:rPr>
        <w:t>VP</w:t>
      </w:r>
      <w:r w:rsidRPr="00146C69">
        <w:rPr>
          <w:rFonts w:ascii="Arial" w:hAnsi="Arial" w:cs="Arial"/>
          <w:color w:val="000000" w:themeColor="text1"/>
        </w:rPr>
        <w:t>∕</w:t>
      </w:r>
      <w:r w:rsidRPr="00146C69">
        <w:rPr>
          <w:rFonts w:ascii="Arial" w:hAnsi="Arial" w:cs="Arial"/>
          <w:color w:val="000000" w:themeColor="text1"/>
          <w:vertAlign w:val="subscript"/>
        </w:rPr>
        <w:t>NAc</w:t>
      </w:r>
      <w:proofErr w:type="spellEnd"/>
      <w:r w:rsidR="003F3701" w:rsidRPr="00146C69">
        <w:rPr>
          <w:rFonts w:ascii="Arial" w:hAnsi="Arial" w:cs="Arial"/>
          <w:color w:val="000000" w:themeColor="text1"/>
        </w:rPr>
        <w:t xml:space="preserve">).  </w:t>
      </w:r>
      <w:r w:rsidR="00520248" w:rsidRPr="00146C69">
        <w:rPr>
          <w:rFonts w:ascii="Arial" w:hAnsi="Arial" w:cs="Arial"/>
          <w:color w:val="000000" w:themeColor="text1"/>
        </w:rPr>
        <w:t>I</w:t>
      </w:r>
      <w:r w:rsidR="00CE5FD6" w:rsidRPr="00146C69">
        <w:rPr>
          <w:rFonts w:ascii="Arial" w:hAnsi="Arial" w:cs="Arial"/>
          <w:color w:val="000000" w:themeColor="text1"/>
        </w:rPr>
        <w:t>mage</w:t>
      </w:r>
      <w:r w:rsidR="00520248" w:rsidRPr="00146C69">
        <w:rPr>
          <w:rFonts w:ascii="Arial" w:hAnsi="Arial" w:cs="Arial"/>
          <w:color w:val="000000" w:themeColor="text1"/>
        </w:rPr>
        <w:t>s of the</w:t>
      </w:r>
      <w:r w:rsidR="00CE5FD6" w:rsidRPr="00146C69">
        <w:rPr>
          <w:rFonts w:ascii="Arial" w:hAnsi="Arial" w:cs="Arial"/>
          <w:color w:val="000000" w:themeColor="text1"/>
        </w:rPr>
        <w:t xml:space="preserve"> </w:t>
      </w:r>
      <w:r w:rsidR="003F3701" w:rsidRPr="00146C69">
        <w:rPr>
          <w:rFonts w:ascii="Arial" w:hAnsi="Arial" w:cs="Arial"/>
          <w:color w:val="000000" w:themeColor="text1"/>
        </w:rPr>
        <w:t>striatal region and</w:t>
      </w:r>
      <w:r w:rsidR="00CE5FD6" w:rsidRPr="00146C69">
        <w:rPr>
          <w:rFonts w:ascii="Arial" w:hAnsi="Arial" w:cs="Arial"/>
          <w:color w:val="000000" w:themeColor="text1"/>
        </w:rPr>
        <w:t xml:space="preserve"> its corresponding projection region</w:t>
      </w:r>
      <w:r w:rsidR="003F3701" w:rsidRPr="00146C69">
        <w:rPr>
          <w:rFonts w:ascii="Arial" w:hAnsi="Arial" w:cs="Arial"/>
          <w:color w:val="000000" w:themeColor="text1"/>
        </w:rPr>
        <w:t xml:space="preserve"> </w:t>
      </w:r>
      <w:r w:rsidR="00CE5FD6" w:rsidRPr="00146C69">
        <w:rPr>
          <w:rFonts w:ascii="Arial" w:hAnsi="Arial" w:cs="Arial"/>
          <w:color w:val="000000" w:themeColor="text1"/>
        </w:rPr>
        <w:t>were taken from the same slice</w:t>
      </w:r>
      <w:r w:rsidR="00520248" w:rsidRPr="00146C69">
        <w:rPr>
          <w:rFonts w:ascii="Arial" w:hAnsi="Arial" w:cs="Arial"/>
          <w:color w:val="000000" w:themeColor="text1"/>
        </w:rPr>
        <w:t>.  M</w:t>
      </w:r>
      <w:r w:rsidR="00CE5FD6" w:rsidRPr="00146C69">
        <w:rPr>
          <w:rFonts w:ascii="Arial" w:hAnsi="Arial" w:cs="Arial"/>
          <w:color w:val="000000" w:themeColor="text1"/>
        </w:rPr>
        <w:t xml:space="preserve">agnification </w:t>
      </w:r>
      <w:r w:rsidR="00520248" w:rsidRPr="00146C69">
        <w:rPr>
          <w:rFonts w:ascii="Arial" w:hAnsi="Arial" w:cs="Arial"/>
          <w:color w:val="000000" w:themeColor="text1"/>
        </w:rPr>
        <w:t xml:space="preserve">was maintained between images </w:t>
      </w:r>
      <w:r w:rsidR="00CE5FD6" w:rsidRPr="00146C69">
        <w:rPr>
          <w:rFonts w:ascii="Arial" w:hAnsi="Arial" w:cs="Arial"/>
          <w:color w:val="000000" w:themeColor="text1"/>
        </w:rPr>
        <w:t xml:space="preserve">(4x for the </w:t>
      </w:r>
      <w:r w:rsidR="00CE5FD6" w:rsidRPr="00146C69">
        <w:rPr>
          <w:rFonts w:ascii="Arial" w:hAnsi="Arial" w:cs="Arial"/>
          <w:color w:val="000000" w:themeColor="text1"/>
          <w:vertAlign w:val="superscript"/>
        </w:rPr>
        <w:t>GP</w:t>
      </w:r>
      <w:r w:rsidR="00CE5FD6" w:rsidRPr="00146C69">
        <w:rPr>
          <w:rFonts w:ascii="Arial" w:hAnsi="Arial" w:cs="Arial"/>
          <w:color w:val="000000" w:themeColor="text1"/>
        </w:rPr>
        <w:t>∕</w:t>
      </w:r>
      <w:r w:rsidR="00CE5FD6" w:rsidRPr="00146C69">
        <w:rPr>
          <w:rFonts w:ascii="Arial" w:hAnsi="Arial" w:cs="Arial"/>
          <w:color w:val="000000" w:themeColor="text1"/>
          <w:vertAlign w:val="subscript"/>
        </w:rPr>
        <w:t>DS,</w:t>
      </w:r>
      <w:r w:rsidR="00CE5FD6" w:rsidRPr="00146C69">
        <w:rPr>
          <w:rFonts w:ascii="Arial" w:hAnsi="Arial" w:cs="Arial"/>
          <w:color w:val="000000" w:themeColor="text1"/>
        </w:rPr>
        <w:t xml:space="preserve"> and </w:t>
      </w:r>
      <w:proofErr w:type="spellStart"/>
      <w:r w:rsidR="00CE5FD6" w:rsidRPr="00146C69">
        <w:rPr>
          <w:rFonts w:ascii="Arial" w:hAnsi="Arial" w:cs="Arial"/>
          <w:color w:val="000000" w:themeColor="text1"/>
          <w:vertAlign w:val="superscript"/>
        </w:rPr>
        <w:t>VP</w:t>
      </w:r>
      <w:r w:rsidR="00CE5FD6" w:rsidRPr="00146C69">
        <w:rPr>
          <w:rFonts w:ascii="Arial" w:hAnsi="Arial" w:cs="Arial"/>
          <w:color w:val="000000" w:themeColor="text1"/>
        </w:rPr>
        <w:t>∕</w:t>
      </w:r>
      <w:r w:rsidR="00CE5FD6" w:rsidRPr="00146C69">
        <w:rPr>
          <w:rFonts w:ascii="Arial" w:hAnsi="Arial" w:cs="Arial"/>
          <w:color w:val="000000" w:themeColor="text1"/>
          <w:vertAlign w:val="subscript"/>
        </w:rPr>
        <w:t>NAc</w:t>
      </w:r>
      <w:proofErr w:type="spellEnd"/>
      <w:r w:rsidR="00CE5FD6" w:rsidRPr="00146C69">
        <w:rPr>
          <w:rFonts w:ascii="Arial" w:hAnsi="Arial" w:cs="Arial"/>
          <w:color w:val="000000" w:themeColor="text1"/>
        </w:rPr>
        <w:t xml:space="preserve">, and 1x for the </w:t>
      </w:r>
      <w:proofErr w:type="spellStart"/>
      <w:r w:rsidR="00CE5FD6" w:rsidRPr="00146C69">
        <w:rPr>
          <w:rFonts w:ascii="Arial" w:hAnsi="Arial" w:cs="Arial"/>
          <w:color w:val="000000" w:themeColor="text1"/>
          <w:vertAlign w:val="superscript"/>
        </w:rPr>
        <w:t>SNr</w:t>
      </w:r>
      <w:r w:rsidR="00CE5FD6" w:rsidRPr="00146C69">
        <w:rPr>
          <w:rFonts w:ascii="Arial" w:hAnsi="Arial" w:cs="Arial"/>
          <w:color w:val="000000" w:themeColor="text1"/>
        </w:rPr>
        <w:t>∕</w:t>
      </w:r>
      <w:r w:rsidR="00CE5FD6" w:rsidRPr="00146C69">
        <w:rPr>
          <w:rFonts w:ascii="Arial" w:hAnsi="Arial" w:cs="Arial"/>
          <w:color w:val="000000" w:themeColor="text1"/>
          <w:vertAlign w:val="subscript"/>
        </w:rPr>
        <w:t>DS</w:t>
      </w:r>
      <w:proofErr w:type="spellEnd"/>
      <w:r w:rsidR="00CE5FD6" w:rsidRPr="00146C69">
        <w:rPr>
          <w:rFonts w:ascii="Arial" w:hAnsi="Arial" w:cs="Arial"/>
          <w:color w:val="000000" w:themeColor="text1"/>
        </w:rPr>
        <w:t>)</w:t>
      </w:r>
      <w:r w:rsidR="00520248" w:rsidRPr="00146C69">
        <w:rPr>
          <w:rFonts w:ascii="Arial" w:hAnsi="Arial" w:cs="Arial"/>
          <w:color w:val="000000" w:themeColor="text1"/>
        </w:rPr>
        <w:t>.</w:t>
      </w:r>
    </w:p>
    <w:p w14:paraId="40AC6D99" w14:textId="77777777" w:rsidR="00D93D25" w:rsidRPr="00146C69" w:rsidRDefault="00D93D25" w:rsidP="00751F4E">
      <w:pPr>
        <w:spacing w:line="480" w:lineRule="auto"/>
        <w:contextualSpacing/>
        <w:rPr>
          <w:rFonts w:ascii="Arial" w:hAnsi="Arial" w:cs="Arial"/>
          <w:b/>
          <w:color w:val="000000" w:themeColor="text1"/>
        </w:rPr>
      </w:pPr>
    </w:p>
    <w:p w14:paraId="31F555EF" w14:textId="77777777" w:rsidR="00D93D25" w:rsidRPr="00146C69" w:rsidRDefault="00D93D25" w:rsidP="00751F4E">
      <w:pPr>
        <w:spacing w:line="480" w:lineRule="auto"/>
        <w:contextualSpacing/>
        <w:rPr>
          <w:rFonts w:ascii="Arial" w:hAnsi="Arial" w:cs="Arial"/>
          <w:i/>
          <w:color w:val="000000" w:themeColor="text1"/>
          <w:u w:val="single"/>
        </w:rPr>
      </w:pPr>
      <w:r w:rsidRPr="00146C69">
        <w:rPr>
          <w:rFonts w:ascii="Arial" w:hAnsi="Arial" w:cs="Arial"/>
          <w:i/>
          <w:color w:val="000000" w:themeColor="text1"/>
          <w:u w:val="single"/>
        </w:rPr>
        <w:t>Operant intravenous cocaine self-administration</w:t>
      </w:r>
    </w:p>
    <w:p w14:paraId="3E94A153" w14:textId="117F3235" w:rsidR="00D93D25" w:rsidRPr="00146C69" w:rsidRDefault="00D93D25" w:rsidP="006A3340">
      <w:pPr>
        <w:spacing w:line="480" w:lineRule="auto"/>
        <w:ind w:firstLine="720"/>
        <w:contextualSpacing/>
        <w:rPr>
          <w:rFonts w:ascii="Arial" w:hAnsi="Arial" w:cs="Arial"/>
          <w:color w:val="000000" w:themeColor="text1"/>
        </w:rPr>
      </w:pPr>
      <w:r w:rsidRPr="00146C69">
        <w:rPr>
          <w:rFonts w:ascii="Arial" w:hAnsi="Arial" w:cs="Arial"/>
          <w:color w:val="000000" w:themeColor="text1"/>
        </w:rPr>
        <w:t xml:space="preserve">Self-administration chambers </w:t>
      </w:r>
      <w:r w:rsidR="005802CE" w:rsidRPr="00146C69">
        <w:rPr>
          <w:rFonts w:ascii="Arial" w:hAnsi="Arial" w:cs="Arial"/>
          <w:color w:val="000000" w:themeColor="text1"/>
        </w:rPr>
        <w:t>(</w:t>
      </w:r>
      <w:proofErr w:type="spellStart"/>
      <w:r w:rsidR="005802CE" w:rsidRPr="00146C69">
        <w:rPr>
          <w:rFonts w:ascii="Arial" w:hAnsi="Arial" w:cs="Arial"/>
          <w:color w:val="000000" w:themeColor="text1"/>
        </w:rPr>
        <w:t>MedAssociates</w:t>
      </w:r>
      <w:proofErr w:type="spellEnd"/>
      <w:r w:rsidR="005802CE" w:rsidRPr="00146C69">
        <w:rPr>
          <w:rFonts w:ascii="Arial" w:hAnsi="Arial" w:cs="Arial"/>
          <w:color w:val="000000" w:themeColor="text1"/>
        </w:rPr>
        <w:t xml:space="preserve">; 6 cm W × 17 cm L × 13 cm H) </w:t>
      </w:r>
      <w:r w:rsidRPr="00146C69">
        <w:rPr>
          <w:rFonts w:ascii="Arial" w:hAnsi="Arial" w:cs="Arial"/>
          <w:color w:val="000000" w:themeColor="text1"/>
        </w:rPr>
        <w:t>were equipped with a ventilation fan, house light, two levers (active and inactive), and drug availability light positioned above the active lever</w:t>
      </w:r>
      <w:r w:rsidR="00CF7FD8" w:rsidRPr="00146C69">
        <w:rPr>
          <w:rFonts w:ascii="Arial" w:hAnsi="Arial" w:cs="Arial"/>
          <w:color w:val="000000" w:themeColor="text1"/>
        </w:rPr>
        <w:t xml:space="preserve">.  </w:t>
      </w:r>
      <w:r w:rsidR="005802CE" w:rsidRPr="00146C69">
        <w:rPr>
          <w:rFonts w:ascii="Arial" w:hAnsi="Arial" w:cs="Arial"/>
          <w:color w:val="000000" w:themeColor="text1"/>
        </w:rPr>
        <w:t>Cocaine was delivered by a drug infusion pump (6 µl/s) via a single channel fluid swivel mounted on a counterbalanced arm (</w:t>
      </w:r>
      <w:proofErr w:type="spellStart"/>
      <w:r w:rsidR="005802CE" w:rsidRPr="00146C69">
        <w:rPr>
          <w:rFonts w:ascii="Arial" w:hAnsi="Arial" w:cs="Arial"/>
          <w:color w:val="000000" w:themeColor="text1"/>
        </w:rPr>
        <w:t>Instech</w:t>
      </w:r>
      <w:proofErr w:type="spellEnd"/>
      <w:r w:rsidR="005802CE" w:rsidRPr="00146C69">
        <w:rPr>
          <w:rFonts w:ascii="Arial" w:hAnsi="Arial" w:cs="Arial"/>
          <w:color w:val="000000" w:themeColor="text1"/>
        </w:rPr>
        <w:t xml:space="preserve">). </w:t>
      </w:r>
      <w:r w:rsidR="008F0BA3" w:rsidRPr="00146C69">
        <w:rPr>
          <w:rFonts w:ascii="Arial" w:hAnsi="Arial" w:cs="Arial"/>
          <w:color w:val="000000" w:themeColor="text1"/>
        </w:rPr>
        <w:t>The a</w:t>
      </w:r>
      <w:r w:rsidR="00655B83" w:rsidRPr="00146C69">
        <w:rPr>
          <w:rFonts w:ascii="Arial" w:hAnsi="Arial" w:cs="Arial"/>
          <w:color w:val="000000" w:themeColor="text1"/>
        </w:rPr>
        <w:t>cquisition criteria for cocaine self-administration were: 3:1 active-to-inacti</w:t>
      </w:r>
      <w:r w:rsidR="008F0BA3" w:rsidRPr="00146C69">
        <w:rPr>
          <w:rFonts w:ascii="Arial" w:hAnsi="Arial" w:cs="Arial"/>
          <w:color w:val="000000" w:themeColor="text1"/>
        </w:rPr>
        <w:t>ve lever responding</w:t>
      </w:r>
      <w:r w:rsidR="00655B83" w:rsidRPr="00146C69">
        <w:rPr>
          <w:rFonts w:ascii="Arial" w:hAnsi="Arial" w:cs="Arial"/>
          <w:color w:val="000000" w:themeColor="text1"/>
        </w:rPr>
        <w:t xml:space="preserve"> and a daily cocaine intake of 30 mg/kg over the last 4 consecutive sessions.  Thus, </w:t>
      </w:r>
      <w:r w:rsidR="008F0BA3" w:rsidRPr="00146C69">
        <w:rPr>
          <w:rFonts w:ascii="Arial" w:hAnsi="Arial" w:cs="Arial"/>
          <w:color w:val="000000" w:themeColor="text1"/>
        </w:rPr>
        <w:t xml:space="preserve">the </w:t>
      </w:r>
      <w:r w:rsidR="00655B83" w:rsidRPr="00146C69">
        <w:rPr>
          <w:rFonts w:ascii="Arial" w:hAnsi="Arial" w:cs="Arial"/>
          <w:color w:val="000000" w:themeColor="text1"/>
        </w:rPr>
        <w:t xml:space="preserve">genotypes were matched for cocaine intake history.  </w:t>
      </w:r>
      <w:r w:rsidR="00CF7FD8" w:rsidRPr="00146C69">
        <w:rPr>
          <w:rFonts w:ascii="Arial" w:hAnsi="Arial" w:cs="Arial"/>
          <w:color w:val="000000" w:themeColor="text1"/>
        </w:rPr>
        <w:t xml:space="preserve">Only data from mice that met the acquisition criteria were analyzed, and only mice that met </w:t>
      </w:r>
      <w:r w:rsidR="005802CE" w:rsidRPr="00146C69">
        <w:rPr>
          <w:rFonts w:ascii="Arial" w:hAnsi="Arial" w:cs="Arial"/>
          <w:color w:val="000000" w:themeColor="text1"/>
        </w:rPr>
        <w:t>these criteria</w:t>
      </w:r>
      <w:r w:rsidR="00CF7FD8" w:rsidRPr="00146C69">
        <w:rPr>
          <w:rFonts w:ascii="Arial" w:hAnsi="Arial" w:cs="Arial"/>
          <w:color w:val="000000" w:themeColor="text1"/>
        </w:rPr>
        <w:t xml:space="preserve"> were tested on the subsequent experiment phases (dose-response, progressive ratio and seeking).</w:t>
      </w:r>
    </w:p>
    <w:p w14:paraId="66FDB335" w14:textId="53BD85A7" w:rsidR="00D93D25" w:rsidRPr="00146C69" w:rsidRDefault="00D93D25" w:rsidP="00751F4E">
      <w:pPr>
        <w:spacing w:line="480" w:lineRule="auto"/>
        <w:contextualSpacing/>
        <w:rPr>
          <w:rFonts w:ascii="Arial" w:hAnsi="Arial" w:cs="Arial"/>
          <w:b/>
          <w:color w:val="000000" w:themeColor="text1"/>
        </w:rPr>
      </w:pPr>
    </w:p>
    <w:p w14:paraId="4BC227E0" w14:textId="72809ADB" w:rsidR="00C14F8A" w:rsidRPr="00146C69" w:rsidRDefault="00C14F8A" w:rsidP="00751F4E">
      <w:pPr>
        <w:spacing w:line="480" w:lineRule="auto"/>
        <w:contextualSpacing/>
        <w:rPr>
          <w:rFonts w:ascii="Arial" w:hAnsi="Arial" w:cs="Arial"/>
          <w:color w:val="000000" w:themeColor="text1"/>
        </w:rPr>
      </w:pPr>
      <w:r w:rsidRPr="00146C69">
        <w:rPr>
          <w:rFonts w:ascii="Arial" w:hAnsi="Arial" w:cs="Arial"/>
          <w:i/>
          <w:color w:val="000000" w:themeColor="text1"/>
          <w:u w:val="single"/>
        </w:rPr>
        <w:t>Electrophysiology</w:t>
      </w:r>
    </w:p>
    <w:p w14:paraId="4D927CBC" w14:textId="50842E5C" w:rsidR="00C14F8A" w:rsidRPr="00146C69" w:rsidRDefault="00C14F8A" w:rsidP="006A3340">
      <w:pPr>
        <w:spacing w:line="480" w:lineRule="auto"/>
        <w:ind w:firstLine="720"/>
        <w:contextualSpacing/>
        <w:rPr>
          <w:rFonts w:ascii="Arial" w:eastAsia="Times New Roman" w:hAnsi="Arial" w:cs="Arial"/>
          <w:color w:val="000000" w:themeColor="text1"/>
        </w:rPr>
      </w:pPr>
      <w:r w:rsidRPr="00146C69">
        <w:rPr>
          <w:rFonts w:ascii="Arial" w:hAnsi="Arial" w:cs="Arial"/>
          <w:color w:val="000000" w:themeColor="text1"/>
        </w:rPr>
        <w:lastRenderedPageBreak/>
        <w:t xml:space="preserve">Cutting solution contained </w:t>
      </w:r>
      <w:r w:rsidRPr="00146C69">
        <w:rPr>
          <w:rFonts w:ascii="Arial" w:eastAsia="Times New Roman" w:hAnsi="Arial" w:cs="Arial"/>
          <w:color w:val="000000" w:themeColor="text1"/>
        </w:rPr>
        <w:t xml:space="preserve">(in mM): 225 sucrose, 119 NaCl, 2.5 </w:t>
      </w:r>
      <w:proofErr w:type="spellStart"/>
      <w:r w:rsidRPr="00146C69">
        <w:rPr>
          <w:rFonts w:ascii="Arial" w:eastAsia="Times New Roman" w:hAnsi="Arial" w:cs="Arial"/>
          <w:color w:val="000000" w:themeColor="text1"/>
        </w:rPr>
        <w:t>KCl</w:t>
      </w:r>
      <w:proofErr w:type="spellEnd"/>
      <w:r w:rsidRPr="00146C69">
        <w:rPr>
          <w:rFonts w:ascii="Arial" w:eastAsia="Times New Roman" w:hAnsi="Arial" w:cs="Arial"/>
          <w:color w:val="000000" w:themeColor="text1"/>
        </w:rPr>
        <w:t>, 0.1 CaCl</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 4.9 MgCl</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 26.2 NaHCO</w:t>
      </w:r>
      <w:r w:rsidRPr="00146C69">
        <w:rPr>
          <w:rFonts w:ascii="Arial" w:eastAsia="Times New Roman" w:hAnsi="Arial" w:cs="Arial"/>
          <w:color w:val="000000" w:themeColor="text1"/>
          <w:vertAlign w:val="subscript"/>
        </w:rPr>
        <w:t>3</w:t>
      </w:r>
      <w:r w:rsidRPr="00146C69">
        <w:rPr>
          <w:rFonts w:ascii="Arial" w:eastAsia="Times New Roman" w:hAnsi="Arial" w:cs="Arial"/>
          <w:color w:val="000000" w:themeColor="text1"/>
        </w:rPr>
        <w:t>, 1 NaH</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PO4, 1.25 glucose, and 3 kynurenic acid. Artificial cerebrospinal fluid (</w:t>
      </w:r>
      <w:proofErr w:type="spellStart"/>
      <w:r w:rsidRPr="00146C69">
        <w:rPr>
          <w:rFonts w:ascii="Arial" w:eastAsia="Times New Roman" w:hAnsi="Arial" w:cs="Arial"/>
          <w:color w:val="000000" w:themeColor="text1"/>
        </w:rPr>
        <w:t>aCSF</w:t>
      </w:r>
      <w:proofErr w:type="spellEnd"/>
      <w:r w:rsidRPr="00146C69">
        <w:rPr>
          <w:rFonts w:ascii="Arial" w:eastAsia="Times New Roman" w:hAnsi="Arial" w:cs="Arial"/>
          <w:color w:val="000000" w:themeColor="text1"/>
        </w:rPr>
        <w:t xml:space="preserve">) was prepared as follows, (in mM): 124 NaCl, 2.5 </w:t>
      </w:r>
      <w:proofErr w:type="spellStart"/>
      <w:r w:rsidRPr="00146C69">
        <w:rPr>
          <w:rFonts w:ascii="Arial" w:eastAsia="Times New Roman" w:hAnsi="Arial" w:cs="Arial"/>
          <w:color w:val="000000" w:themeColor="text1"/>
        </w:rPr>
        <w:t>KCl</w:t>
      </w:r>
      <w:proofErr w:type="spellEnd"/>
      <w:r w:rsidRPr="00146C69">
        <w:rPr>
          <w:rFonts w:ascii="Arial" w:eastAsia="Times New Roman" w:hAnsi="Arial" w:cs="Arial"/>
          <w:color w:val="000000" w:themeColor="text1"/>
        </w:rPr>
        <w:t>, 2.5 CaCl</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 1.3 MgCl</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 26.2 NaHCO</w:t>
      </w:r>
      <w:r w:rsidRPr="00146C69">
        <w:rPr>
          <w:rFonts w:ascii="Arial" w:eastAsia="Times New Roman" w:hAnsi="Arial" w:cs="Arial"/>
          <w:color w:val="000000" w:themeColor="text1"/>
          <w:vertAlign w:val="subscript"/>
        </w:rPr>
        <w:t>3</w:t>
      </w:r>
      <w:r w:rsidRPr="00146C69">
        <w:rPr>
          <w:rFonts w:ascii="Arial" w:eastAsia="Times New Roman" w:hAnsi="Arial" w:cs="Arial"/>
          <w:color w:val="000000" w:themeColor="text1"/>
        </w:rPr>
        <w:t>, 1 NaH</w:t>
      </w:r>
      <w:r w:rsidRPr="00146C69">
        <w:rPr>
          <w:rFonts w:ascii="Arial" w:eastAsia="Times New Roman" w:hAnsi="Arial" w:cs="Arial"/>
          <w:color w:val="000000" w:themeColor="text1"/>
          <w:vertAlign w:val="subscript"/>
        </w:rPr>
        <w:t>2</w:t>
      </w:r>
      <w:r w:rsidRPr="00146C69">
        <w:rPr>
          <w:rFonts w:ascii="Arial" w:eastAsia="Times New Roman" w:hAnsi="Arial" w:cs="Arial"/>
          <w:color w:val="000000" w:themeColor="text1"/>
        </w:rPr>
        <w:t>PO</w:t>
      </w:r>
      <w:r w:rsidRPr="00146C69">
        <w:rPr>
          <w:rFonts w:ascii="Arial" w:eastAsia="Times New Roman" w:hAnsi="Arial" w:cs="Arial"/>
          <w:color w:val="000000" w:themeColor="text1"/>
          <w:vertAlign w:val="subscript"/>
        </w:rPr>
        <w:t>4</w:t>
      </w:r>
      <w:r w:rsidRPr="00146C69">
        <w:rPr>
          <w:rFonts w:ascii="Arial" w:eastAsia="Times New Roman" w:hAnsi="Arial" w:cs="Arial"/>
          <w:color w:val="000000" w:themeColor="text1"/>
        </w:rPr>
        <w:t xml:space="preserve">, and 20 glucose.  To record GABA-A receptor mediated synaptic responses, the electrode internal solution contained (in mM): 60 </w:t>
      </w:r>
      <w:proofErr w:type="spellStart"/>
      <w:r w:rsidRPr="00146C69">
        <w:rPr>
          <w:rFonts w:ascii="Arial" w:eastAsia="Times New Roman" w:hAnsi="Arial" w:cs="Arial"/>
          <w:color w:val="000000" w:themeColor="text1"/>
        </w:rPr>
        <w:t>CsMS</w:t>
      </w:r>
      <w:proofErr w:type="spellEnd"/>
      <w:r w:rsidRPr="00146C69">
        <w:rPr>
          <w:rFonts w:ascii="Arial" w:eastAsia="Times New Roman" w:hAnsi="Arial" w:cs="Arial"/>
          <w:color w:val="000000" w:themeColor="text1"/>
        </w:rPr>
        <w:t xml:space="preserve">, 60 </w:t>
      </w:r>
      <w:proofErr w:type="spellStart"/>
      <w:r w:rsidRPr="00146C69">
        <w:rPr>
          <w:rFonts w:ascii="Arial" w:eastAsia="Times New Roman" w:hAnsi="Arial" w:cs="Arial"/>
          <w:color w:val="000000" w:themeColor="text1"/>
        </w:rPr>
        <w:t>CsCl</w:t>
      </w:r>
      <w:proofErr w:type="spellEnd"/>
      <w:r w:rsidRPr="00146C69">
        <w:rPr>
          <w:rFonts w:ascii="Arial" w:eastAsia="Times New Roman" w:hAnsi="Arial" w:cs="Arial"/>
          <w:color w:val="000000" w:themeColor="text1"/>
        </w:rPr>
        <w:t xml:space="preserve">, 10 HEPES, 0.2 Cs-EGTA, 4 Na-ATP, 0.4 Na-GTP, and 10 phosphocreatine (pH = 7.24, ~300 </w:t>
      </w:r>
      <w:proofErr w:type="spellStart"/>
      <w:r w:rsidRPr="00146C69">
        <w:rPr>
          <w:rFonts w:ascii="Arial" w:eastAsia="Times New Roman" w:hAnsi="Arial" w:cs="Arial"/>
          <w:color w:val="000000" w:themeColor="text1"/>
        </w:rPr>
        <w:t>mOsm</w:t>
      </w:r>
      <w:proofErr w:type="spellEnd"/>
      <w:r w:rsidRPr="00146C69">
        <w:rPr>
          <w:rFonts w:ascii="Arial" w:hAnsi="Arial" w:cs="Arial"/>
          <w:color w:val="000000" w:themeColor="text1"/>
          <w:lang w:eastAsia="ko-KR"/>
        </w:rPr>
        <w:t xml:space="preserve">).  For measurements of AMPA/NMDA ratios recording electrodes were filled with internal solution containing (in mM): 120 </w:t>
      </w:r>
      <w:proofErr w:type="spellStart"/>
      <w:r w:rsidRPr="00146C69">
        <w:rPr>
          <w:rFonts w:ascii="Arial" w:hAnsi="Arial" w:cs="Arial"/>
          <w:color w:val="000000" w:themeColor="text1"/>
          <w:lang w:eastAsia="ko-KR"/>
        </w:rPr>
        <w:t>CsMS</w:t>
      </w:r>
      <w:proofErr w:type="spellEnd"/>
      <w:r w:rsidRPr="00146C69">
        <w:rPr>
          <w:rFonts w:ascii="Arial" w:hAnsi="Arial" w:cs="Arial"/>
          <w:color w:val="000000" w:themeColor="text1"/>
          <w:lang w:eastAsia="ko-KR"/>
        </w:rPr>
        <w:t xml:space="preserve">, 10 </w:t>
      </w:r>
      <w:proofErr w:type="spellStart"/>
      <w:r w:rsidRPr="00146C69">
        <w:rPr>
          <w:rFonts w:ascii="Arial" w:hAnsi="Arial" w:cs="Arial"/>
          <w:color w:val="000000" w:themeColor="text1"/>
          <w:lang w:eastAsia="ko-KR"/>
        </w:rPr>
        <w:t>CsCl</w:t>
      </w:r>
      <w:proofErr w:type="spellEnd"/>
      <w:r w:rsidRPr="00146C69">
        <w:rPr>
          <w:rFonts w:ascii="Arial" w:hAnsi="Arial" w:cs="Arial"/>
          <w:color w:val="000000" w:themeColor="text1"/>
          <w:lang w:eastAsia="ko-KR"/>
        </w:rPr>
        <w:t xml:space="preserve">, 10 HEPES, </w:t>
      </w:r>
      <w:r w:rsidRPr="00146C69">
        <w:rPr>
          <w:rFonts w:ascii="Arial" w:eastAsia="Times New Roman" w:hAnsi="Arial" w:cs="Arial"/>
          <w:color w:val="000000" w:themeColor="text1"/>
        </w:rPr>
        <w:t>4 Na-ATP, 0.4 Na-GTP, and 10 phosphocreatine-Na</w:t>
      </w:r>
      <w:r w:rsidRPr="00146C69">
        <w:rPr>
          <w:rFonts w:ascii="Arial" w:eastAsia="Times New Roman" w:hAnsi="Arial" w:cs="Arial"/>
          <w:color w:val="000000" w:themeColor="text1"/>
          <w:vertAlign w:val="subscript"/>
        </w:rPr>
        <w:t>2</w:t>
      </w:r>
      <w:r w:rsidRPr="00146C69">
        <w:rPr>
          <w:rFonts w:ascii="Arial" w:hAnsi="Arial" w:cs="Arial"/>
          <w:color w:val="000000" w:themeColor="text1"/>
          <w:lang w:eastAsia="ko-KR"/>
        </w:rPr>
        <w:t>.  Minimal stimulation was used to evoke an AMPA current and was similar between genotypes (</w:t>
      </w:r>
      <w:r w:rsidRPr="00146C69">
        <w:rPr>
          <w:rFonts w:ascii="Arial" w:hAnsi="Arial" w:cs="Arial"/>
          <w:i/>
          <w:color w:val="000000" w:themeColor="text1"/>
          <w:lang w:eastAsia="ko-KR"/>
        </w:rPr>
        <w:t>Drd2</w:t>
      </w:r>
      <w:r w:rsidRPr="00146C69">
        <w:rPr>
          <w:rFonts w:ascii="Arial" w:hAnsi="Arial" w:cs="Arial"/>
          <w:i/>
          <w:color w:val="000000" w:themeColor="text1"/>
          <w:vertAlign w:val="superscript"/>
          <w:lang w:eastAsia="ko-KR"/>
        </w:rPr>
        <w:t>loxP/</w:t>
      </w:r>
      <w:proofErr w:type="spellStart"/>
      <w:r w:rsidRPr="00146C69">
        <w:rPr>
          <w:rFonts w:ascii="Arial" w:hAnsi="Arial" w:cs="Arial"/>
          <w:i/>
          <w:color w:val="000000" w:themeColor="text1"/>
          <w:vertAlign w:val="superscript"/>
          <w:lang w:eastAsia="ko-KR"/>
        </w:rPr>
        <w:t>loxP</w:t>
      </w:r>
      <w:proofErr w:type="spellEnd"/>
      <w:r w:rsidRPr="00146C69">
        <w:rPr>
          <w:rFonts w:ascii="Arial" w:hAnsi="Arial" w:cs="Arial"/>
          <w:color w:val="000000" w:themeColor="text1"/>
          <w:lang w:eastAsia="ko-KR"/>
        </w:rPr>
        <w:t xml:space="preserve">: 58 ± 6.8 µA, iMSN-Drd2KO: 76 ± 15 µA).  </w:t>
      </w:r>
    </w:p>
    <w:p w14:paraId="28BD315C" w14:textId="06C5C110" w:rsidR="008F0BA3" w:rsidRPr="00146C69" w:rsidRDefault="008F0BA3" w:rsidP="00751F4E">
      <w:pPr>
        <w:spacing w:line="480" w:lineRule="auto"/>
        <w:contextualSpacing/>
        <w:rPr>
          <w:rFonts w:ascii="Arial" w:hAnsi="Arial" w:cs="Arial"/>
          <w:b/>
          <w:color w:val="000000" w:themeColor="text1"/>
        </w:rPr>
      </w:pPr>
    </w:p>
    <w:p w14:paraId="6B8C48F1" w14:textId="77777777" w:rsidR="006657FF" w:rsidRPr="00146C69" w:rsidRDefault="006657FF" w:rsidP="00751F4E">
      <w:pPr>
        <w:spacing w:line="480" w:lineRule="auto"/>
        <w:contextualSpacing/>
        <w:rPr>
          <w:rFonts w:ascii="Arial" w:hAnsi="Arial" w:cs="Arial"/>
          <w:b/>
          <w:color w:val="000000" w:themeColor="text1"/>
        </w:rPr>
      </w:pPr>
    </w:p>
    <w:p w14:paraId="2DD0F217" w14:textId="77777777" w:rsidR="00B154DC" w:rsidRPr="00146C69" w:rsidRDefault="00B154DC" w:rsidP="00751F4E">
      <w:pPr>
        <w:spacing w:line="480" w:lineRule="auto"/>
        <w:contextualSpacing/>
        <w:rPr>
          <w:rFonts w:ascii="Arial" w:hAnsi="Arial" w:cs="Arial"/>
          <w:b/>
          <w:color w:val="000000" w:themeColor="text1"/>
        </w:rPr>
      </w:pPr>
      <w:r w:rsidRPr="00146C69">
        <w:rPr>
          <w:rFonts w:ascii="Arial" w:hAnsi="Arial" w:cs="Arial"/>
          <w:b/>
          <w:color w:val="000000" w:themeColor="text1"/>
        </w:rPr>
        <w:t>Supplemental Results</w:t>
      </w:r>
    </w:p>
    <w:p w14:paraId="48D9AE46" w14:textId="1865E99C" w:rsidR="00687158" w:rsidRPr="00146C69" w:rsidRDefault="00687158" w:rsidP="00751F4E">
      <w:pPr>
        <w:spacing w:line="480" w:lineRule="auto"/>
        <w:rPr>
          <w:rFonts w:ascii="Arial" w:hAnsi="Arial" w:cs="Arial"/>
          <w:i/>
          <w:color w:val="000000" w:themeColor="text1"/>
          <w:u w:val="single"/>
        </w:rPr>
      </w:pPr>
      <w:r w:rsidRPr="00146C69">
        <w:rPr>
          <w:rFonts w:ascii="Arial" w:hAnsi="Arial" w:cs="Arial"/>
          <w:i/>
          <w:color w:val="000000" w:themeColor="text1"/>
          <w:u w:val="single"/>
        </w:rPr>
        <w:t>Heterozygous deletion of striatal D2Rs as a model with improved face validity</w:t>
      </w:r>
    </w:p>
    <w:p w14:paraId="61FF8E8A" w14:textId="2979FF34" w:rsidR="00687158" w:rsidRPr="00146C69" w:rsidRDefault="00057C2C" w:rsidP="006A3340">
      <w:pPr>
        <w:spacing w:line="480" w:lineRule="auto"/>
        <w:ind w:firstLine="720"/>
        <w:rPr>
          <w:rFonts w:ascii="Arial" w:hAnsi="Arial" w:cs="Arial"/>
          <w:color w:val="000000" w:themeColor="text1"/>
        </w:rPr>
      </w:pPr>
      <w:r w:rsidRPr="00146C69">
        <w:rPr>
          <w:rFonts w:ascii="Arial" w:hAnsi="Arial" w:cs="Arial"/>
          <w:color w:val="000000" w:themeColor="text1"/>
        </w:rPr>
        <w:t>In addition to the attenuated effect of q</w:t>
      </w:r>
      <w:r w:rsidR="00CC6F9A" w:rsidRPr="00146C69">
        <w:rPr>
          <w:rFonts w:ascii="Arial" w:hAnsi="Arial" w:cs="Arial"/>
          <w:color w:val="000000" w:themeColor="text1"/>
        </w:rPr>
        <w:t>uinpirole in iMSN-Drd2HET mice</w:t>
      </w:r>
      <w:r w:rsidRPr="00146C69">
        <w:rPr>
          <w:rFonts w:ascii="Arial" w:hAnsi="Arial" w:cs="Arial"/>
          <w:color w:val="000000" w:themeColor="text1"/>
        </w:rPr>
        <w:t xml:space="preserve">, </w:t>
      </w:r>
      <w:r w:rsidR="00CC6F9A" w:rsidRPr="00146C69">
        <w:rPr>
          <w:rFonts w:ascii="Arial" w:hAnsi="Arial" w:cs="Arial"/>
          <w:color w:val="000000" w:themeColor="text1"/>
        </w:rPr>
        <w:t>the ability</w:t>
      </w:r>
      <w:r w:rsidR="00687158" w:rsidRPr="00146C69">
        <w:rPr>
          <w:rFonts w:ascii="Arial" w:hAnsi="Arial" w:cs="Arial"/>
          <w:color w:val="000000" w:themeColor="text1"/>
        </w:rPr>
        <w:t xml:space="preserve"> </w:t>
      </w:r>
      <w:r w:rsidR="00CC6F9A" w:rsidRPr="00146C69">
        <w:rPr>
          <w:rFonts w:ascii="Arial" w:hAnsi="Arial" w:cs="Arial"/>
          <w:color w:val="000000" w:themeColor="text1"/>
        </w:rPr>
        <w:t>of</w:t>
      </w:r>
      <w:r w:rsidR="00687158" w:rsidRPr="00146C69">
        <w:rPr>
          <w:rFonts w:ascii="Arial" w:hAnsi="Arial" w:cs="Arial"/>
          <w:color w:val="000000" w:themeColor="text1"/>
        </w:rPr>
        <w:t xml:space="preserve"> the D2-like antagonist </w:t>
      </w:r>
      <w:proofErr w:type="spellStart"/>
      <w:r w:rsidR="00687158" w:rsidRPr="00146C69">
        <w:rPr>
          <w:rFonts w:ascii="Arial" w:hAnsi="Arial" w:cs="Arial"/>
          <w:color w:val="000000" w:themeColor="text1"/>
        </w:rPr>
        <w:t>sulpiride</w:t>
      </w:r>
      <w:proofErr w:type="spellEnd"/>
      <w:r w:rsidR="00687158" w:rsidRPr="00146C69">
        <w:rPr>
          <w:rFonts w:ascii="Arial" w:hAnsi="Arial" w:cs="Arial"/>
          <w:color w:val="000000" w:themeColor="text1"/>
        </w:rPr>
        <w:t xml:space="preserve"> </w:t>
      </w:r>
      <w:r w:rsidR="00CC6F9A" w:rsidRPr="00146C69">
        <w:rPr>
          <w:rFonts w:ascii="Arial" w:hAnsi="Arial" w:cs="Arial"/>
          <w:color w:val="000000" w:themeColor="text1"/>
        </w:rPr>
        <w:t xml:space="preserve">to reverse the quinpirole-induced inhibition was stronger </w:t>
      </w:r>
      <w:r w:rsidR="00687158" w:rsidRPr="00146C69">
        <w:rPr>
          <w:rFonts w:ascii="Arial" w:hAnsi="Arial" w:cs="Arial"/>
          <w:color w:val="000000" w:themeColor="text1"/>
        </w:rPr>
        <w:t>in iMSN-Drd2HET mice</w:t>
      </w:r>
      <w:r w:rsidR="00022CE2" w:rsidRPr="00146C69">
        <w:rPr>
          <w:rFonts w:ascii="Arial" w:hAnsi="Arial" w:cs="Arial"/>
          <w:color w:val="000000" w:themeColor="text1"/>
        </w:rPr>
        <w:t xml:space="preserve"> than in A</w:t>
      </w:r>
      <w:r w:rsidR="00687158" w:rsidRPr="00146C69">
        <w:rPr>
          <w:rFonts w:ascii="Arial" w:hAnsi="Arial" w:cs="Arial"/>
          <w:color w:val="000000" w:themeColor="text1"/>
        </w:rPr>
        <w:t>dora2a-Cre controls (Adora2a-Cre: 25 ± 3 % inhibition, t</w:t>
      </w:r>
      <w:r w:rsidR="00687158" w:rsidRPr="00146C69">
        <w:rPr>
          <w:rFonts w:ascii="Arial" w:hAnsi="Arial" w:cs="Arial"/>
          <w:color w:val="000000" w:themeColor="text1"/>
          <w:vertAlign w:val="subscript"/>
        </w:rPr>
        <w:t>55</w:t>
      </w:r>
      <w:r w:rsidR="00687158" w:rsidRPr="00146C69">
        <w:rPr>
          <w:rFonts w:ascii="Arial" w:hAnsi="Arial" w:cs="Arial"/>
          <w:color w:val="000000" w:themeColor="text1"/>
        </w:rPr>
        <w:t xml:space="preserve"> = 2.82, </w:t>
      </w:r>
      <w:r w:rsidR="00687158" w:rsidRPr="00146C69">
        <w:rPr>
          <w:rFonts w:ascii="Arial" w:hAnsi="Arial" w:cs="Arial"/>
          <w:i/>
          <w:color w:val="000000" w:themeColor="text1"/>
        </w:rPr>
        <w:t xml:space="preserve">p </w:t>
      </w:r>
      <w:r w:rsidR="00687158" w:rsidRPr="00146C69">
        <w:rPr>
          <w:rFonts w:ascii="Arial" w:hAnsi="Arial" w:cs="Arial"/>
          <w:color w:val="000000" w:themeColor="text1"/>
        </w:rPr>
        <w:t>&lt; 0.05; iMSN-Drd2HET: 6 ± 13 % inhibition, t</w:t>
      </w:r>
      <w:r w:rsidR="00687158" w:rsidRPr="00146C69">
        <w:rPr>
          <w:rFonts w:ascii="Arial" w:hAnsi="Arial" w:cs="Arial"/>
          <w:color w:val="000000" w:themeColor="text1"/>
          <w:vertAlign w:val="subscript"/>
        </w:rPr>
        <w:t>55</w:t>
      </w:r>
      <w:r w:rsidR="00687158" w:rsidRPr="00146C69">
        <w:rPr>
          <w:rFonts w:ascii="Arial" w:hAnsi="Arial" w:cs="Arial"/>
          <w:color w:val="000000" w:themeColor="text1"/>
        </w:rPr>
        <w:t xml:space="preserve"> = 0.70, </w:t>
      </w:r>
      <w:r w:rsidR="00687158" w:rsidRPr="00146C69">
        <w:rPr>
          <w:rFonts w:ascii="Arial" w:hAnsi="Arial" w:cs="Arial"/>
          <w:i/>
          <w:color w:val="000000" w:themeColor="text1"/>
        </w:rPr>
        <w:t>p</w:t>
      </w:r>
      <w:r w:rsidR="005475E8" w:rsidRPr="00146C69">
        <w:rPr>
          <w:rFonts w:ascii="Arial" w:hAnsi="Arial" w:cs="Arial"/>
          <w:color w:val="000000" w:themeColor="text1"/>
        </w:rPr>
        <w:t xml:space="preserve"> &gt; 0.05</w:t>
      </w:r>
      <w:r w:rsidR="001F125C" w:rsidRPr="00146C69">
        <w:rPr>
          <w:rFonts w:ascii="Arial" w:hAnsi="Arial" w:cs="Arial"/>
          <w:color w:val="000000" w:themeColor="text1"/>
        </w:rPr>
        <w:t>; Figure 4</w:t>
      </w:r>
      <w:r w:rsidR="005475E8" w:rsidRPr="00146C69">
        <w:rPr>
          <w:rFonts w:ascii="Arial" w:hAnsi="Arial" w:cs="Arial"/>
          <w:color w:val="000000" w:themeColor="text1"/>
        </w:rPr>
        <w:t>).</w:t>
      </w:r>
    </w:p>
    <w:p w14:paraId="240C3F8B" w14:textId="77777777" w:rsidR="00687158" w:rsidRPr="00146C69" w:rsidRDefault="00687158" w:rsidP="00751F4E">
      <w:pPr>
        <w:spacing w:line="480" w:lineRule="auto"/>
        <w:rPr>
          <w:rFonts w:ascii="Arial" w:hAnsi="Arial" w:cs="Arial"/>
          <w:b/>
          <w:color w:val="000000" w:themeColor="text1"/>
        </w:rPr>
      </w:pPr>
    </w:p>
    <w:p w14:paraId="04EE7132" w14:textId="77777777" w:rsidR="00687158" w:rsidRPr="00146C69" w:rsidRDefault="00687158" w:rsidP="00751F4E">
      <w:pPr>
        <w:spacing w:line="480" w:lineRule="auto"/>
        <w:rPr>
          <w:rFonts w:ascii="Arial" w:hAnsi="Arial" w:cs="Arial"/>
          <w:i/>
          <w:color w:val="000000" w:themeColor="text1"/>
          <w:u w:val="single"/>
        </w:rPr>
      </w:pPr>
      <w:r w:rsidRPr="00146C69">
        <w:rPr>
          <w:rFonts w:ascii="Arial" w:hAnsi="Arial" w:cs="Arial"/>
          <w:i/>
          <w:color w:val="000000" w:themeColor="text1"/>
          <w:u w:val="single"/>
        </w:rPr>
        <w:t xml:space="preserve">No further downregulation of D2Rs in </w:t>
      </w:r>
      <w:proofErr w:type="spellStart"/>
      <w:r w:rsidRPr="00146C69">
        <w:rPr>
          <w:rFonts w:ascii="Arial" w:hAnsi="Arial" w:cs="Arial"/>
          <w:i/>
          <w:color w:val="000000" w:themeColor="text1"/>
          <w:u w:val="single"/>
        </w:rPr>
        <w:t>iMSNs</w:t>
      </w:r>
      <w:proofErr w:type="spellEnd"/>
      <w:r w:rsidRPr="00146C69">
        <w:rPr>
          <w:rFonts w:ascii="Arial" w:hAnsi="Arial" w:cs="Arial"/>
          <w:i/>
          <w:color w:val="000000" w:themeColor="text1"/>
          <w:u w:val="single"/>
        </w:rPr>
        <w:t xml:space="preserve"> upon repeated cocaine exposure</w:t>
      </w:r>
    </w:p>
    <w:p w14:paraId="4A793965" w14:textId="629CDEAB" w:rsidR="00687158" w:rsidRPr="00146C69" w:rsidRDefault="00687158" w:rsidP="006A3340">
      <w:pPr>
        <w:spacing w:line="480" w:lineRule="auto"/>
        <w:ind w:firstLine="720"/>
        <w:rPr>
          <w:rFonts w:ascii="Arial" w:hAnsi="Arial" w:cs="Arial"/>
          <w:color w:val="000000" w:themeColor="text1"/>
        </w:rPr>
      </w:pPr>
      <w:r w:rsidRPr="00146C69">
        <w:rPr>
          <w:rFonts w:ascii="Arial" w:hAnsi="Arial" w:cs="Arial"/>
          <w:color w:val="000000" w:themeColor="text1"/>
        </w:rPr>
        <w:t>Reports in the literature indicate that repeated treatment with cocaine can lower D2R availability in the striatum</w:t>
      </w:r>
      <w:r w:rsidR="004E55B0" w:rsidRPr="00146C69">
        <w:rPr>
          <w:rFonts w:ascii="Arial" w:hAnsi="Arial" w:cs="Arial"/>
          <w:color w:val="000000" w:themeColor="text1"/>
        </w:rPr>
        <w:t xml:space="preserve"> (Nader et al, 2006)</w:t>
      </w:r>
      <w:r w:rsidRPr="00146C69">
        <w:rPr>
          <w:rFonts w:ascii="Arial" w:hAnsi="Arial" w:cs="Arial"/>
          <w:color w:val="000000" w:themeColor="text1"/>
        </w:rPr>
        <w:t xml:space="preserve">.  We hypothesized that mice with a pre-existing low level of D2Rs in </w:t>
      </w:r>
      <w:proofErr w:type="spellStart"/>
      <w:r w:rsidRPr="00146C69">
        <w:rPr>
          <w:rFonts w:ascii="Arial" w:hAnsi="Arial" w:cs="Arial"/>
          <w:color w:val="000000" w:themeColor="text1"/>
        </w:rPr>
        <w:t>iMSNs</w:t>
      </w:r>
      <w:proofErr w:type="spellEnd"/>
      <w:r w:rsidRPr="00146C69">
        <w:rPr>
          <w:rFonts w:ascii="Arial" w:hAnsi="Arial" w:cs="Arial"/>
          <w:color w:val="000000" w:themeColor="text1"/>
        </w:rPr>
        <w:t xml:space="preserve"> would be more susceptible to further downregulation of D2Rs by repeated cocaine exposure.  To test this, we treated iMSN-Drd2HET and Adora2aCre controls </w:t>
      </w:r>
      <w:r w:rsidRPr="00146C69">
        <w:rPr>
          <w:rFonts w:ascii="Arial" w:hAnsi="Arial" w:cs="Arial"/>
          <w:color w:val="000000" w:themeColor="text1"/>
        </w:rPr>
        <w:lastRenderedPageBreak/>
        <w:t>with cocaine for five consecutive days and measured the efficacy of quinpirole to inhibit collateral GABA transmission in the slice (</w:t>
      </w:r>
      <w:r w:rsidR="005475E8" w:rsidRPr="00146C69">
        <w:rPr>
          <w:rFonts w:ascii="Arial" w:hAnsi="Arial" w:cs="Arial"/>
          <w:color w:val="000000" w:themeColor="text1"/>
        </w:rPr>
        <w:t xml:space="preserve">Figure </w:t>
      </w:r>
      <w:r w:rsidRPr="00146C69">
        <w:rPr>
          <w:rFonts w:ascii="Arial" w:hAnsi="Arial" w:cs="Arial"/>
          <w:color w:val="000000" w:themeColor="text1"/>
        </w:rPr>
        <w:t>S</w:t>
      </w:r>
      <w:r w:rsidR="001F125C" w:rsidRPr="00146C69">
        <w:rPr>
          <w:rFonts w:ascii="Arial" w:hAnsi="Arial" w:cs="Arial"/>
          <w:color w:val="000000" w:themeColor="text1"/>
        </w:rPr>
        <w:t>7</w:t>
      </w:r>
      <w:r w:rsidRPr="00146C69">
        <w:rPr>
          <w:rFonts w:ascii="Arial" w:hAnsi="Arial" w:cs="Arial"/>
          <w:color w:val="000000" w:themeColor="text1"/>
        </w:rPr>
        <w:t xml:space="preserve">).  </w:t>
      </w:r>
      <w:proofErr w:type="gramStart"/>
      <w:r w:rsidRPr="00146C69">
        <w:rPr>
          <w:rFonts w:ascii="Arial" w:hAnsi="Arial" w:cs="Arial"/>
          <w:color w:val="000000" w:themeColor="text1"/>
        </w:rPr>
        <w:t>Similar to</w:t>
      </w:r>
      <w:proofErr w:type="gramEnd"/>
      <w:r w:rsidRPr="00146C69">
        <w:rPr>
          <w:rFonts w:ascii="Arial" w:hAnsi="Arial" w:cs="Arial"/>
          <w:color w:val="000000" w:themeColor="text1"/>
        </w:rPr>
        <w:t xml:space="preserve"> saline-treated iMSN-Drd2HET mice from our previous experiment, quinpirole produced a 25 ± 6 % inhibition of collateral GABA transmission in cocaine pre-treated iMSN-Drd2HET mice relative to baseline (2-way ANOVA; Drug x Genotype interaction: F</w:t>
      </w:r>
      <w:r w:rsidRPr="00146C69">
        <w:rPr>
          <w:rFonts w:ascii="Arial" w:hAnsi="Arial" w:cs="Arial"/>
          <w:color w:val="000000" w:themeColor="text1"/>
          <w:vertAlign w:val="subscript"/>
        </w:rPr>
        <w:t>2,43</w:t>
      </w:r>
      <w:r w:rsidRPr="00146C69">
        <w:rPr>
          <w:rFonts w:ascii="Arial" w:hAnsi="Arial" w:cs="Arial"/>
          <w:color w:val="000000" w:themeColor="text1"/>
        </w:rPr>
        <w:t xml:space="preserve"> = 6.7, </w:t>
      </w:r>
      <w:r w:rsidRPr="00146C69">
        <w:rPr>
          <w:rFonts w:ascii="Arial" w:hAnsi="Arial" w:cs="Arial"/>
          <w:i/>
          <w:color w:val="000000" w:themeColor="text1"/>
        </w:rPr>
        <w:t xml:space="preserve">p </w:t>
      </w:r>
      <w:r w:rsidRPr="00146C69">
        <w:rPr>
          <w:rFonts w:ascii="Arial" w:hAnsi="Arial" w:cs="Arial"/>
          <w:color w:val="000000" w:themeColor="text1"/>
        </w:rPr>
        <w:t>&lt; 0.01; n = 9-10 cells/genotype; t</w:t>
      </w:r>
      <w:r w:rsidRPr="00146C69">
        <w:rPr>
          <w:rFonts w:ascii="Arial" w:hAnsi="Arial" w:cs="Arial"/>
          <w:color w:val="000000" w:themeColor="text1"/>
          <w:vertAlign w:val="subscript"/>
        </w:rPr>
        <w:t>43</w:t>
      </w:r>
      <w:r w:rsidRPr="00146C69">
        <w:rPr>
          <w:rFonts w:ascii="Arial" w:hAnsi="Arial" w:cs="Arial"/>
          <w:color w:val="000000" w:themeColor="text1"/>
        </w:rPr>
        <w:t xml:space="preserve"> = 3.5, </w:t>
      </w:r>
      <w:r w:rsidRPr="00146C69">
        <w:rPr>
          <w:rFonts w:ascii="Arial" w:hAnsi="Arial" w:cs="Arial"/>
          <w:i/>
          <w:color w:val="000000" w:themeColor="text1"/>
        </w:rPr>
        <w:t xml:space="preserve">p </w:t>
      </w:r>
      <w:r w:rsidR="008F0BA3" w:rsidRPr="00146C69">
        <w:rPr>
          <w:rFonts w:ascii="Arial" w:hAnsi="Arial" w:cs="Arial"/>
          <w:color w:val="000000" w:themeColor="text1"/>
        </w:rPr>
        <w:t>&lt; 0.01</w:t>
      </w:r>
      <w:r w:rsidRPr="00146C69">
        <w:rPr>
          <w:rFonts w:ascii="Arial" w:hAnsi="Arial" w:cs="Arial"/>
          <w:color w:val="000000" w:themeColor="text1"/>
        </w:rPr>
        <w:t>).  Quinpirole also induced a 58 ± 4 % inhibition of collateral GABA transmission in cocaine pre-treated Adora2aCre controls (t</w:t>
      </w:r>
      <w:r w:rsidRPr="00146C69">
        <w:rPr>
          <w:rFonts w:ascii="Arial" w:hAnsi="Arial" w:cs="Arial"/>
          <w:color w:val="000000" w:themeColor="text1"/>
          <w:vertAlign w:val="subscript"/>
        </w:rPr>
        <w:t>43</w:t>
      </w:r>
      <w:r w:rsidRPr="00146C69">
        <w:rPr>
          <w:rFonts w:ascii="Arial" w:hAnsi="Arial" w:cs="Arial"/>
          <w:color w:val="000000" w:themeColor="text1"/>
        </w:rPr>
        <w:t xml:space="preserve"> = 8.6, </w:t>
      </w:r>
      <w:r w:rsidRPr="00146C69">
        <w:rPr>
          <w:rFonts w:ascii="Arial" w:hAnsi="Arial" w:cs="Arial"/>
          <w:i/>
          <w:color w:val="000000" w:themeColor="text1"/>
        </w:rPr>
        <w:t xml:space="preserve">p </w:t>
      </w:r>
      <w:r w:rsidRPr="00146C69">
        <w:rPr>
          <w:rFonts w:ascii="Arial" w:hAnsi="Arial" w:cs="Arial"/>
          <w:color w:val="000000" w:themeColor="text1"/>
        </w:rPr>
        <w:t>&lt; 0.0001), which was significantly greater than the magnitude of quinpirole’s effect in the iMSN-Drd2HET mice (t</w:t>
      </w:r>
      <w:r w:rsidRPr="00146C69">
        <w:rPr>
          <w:rFonts w:ascii="Arial" w:hAnsi="Arial" w:cs="Arial"/>
          <w:color w:val="000000" w:themeColor="text1"/>
          <w:vertAlign w:val="subscript"/>
        </w:rPr>
        <w:t>43</w:t>
      </w:r>
      <w:r w:rsidRPr="00146C69">
        <w:rPr>
          <w:rFonts w:ascii="Arial" w:hAnsi="Arial" w:cs="Arial"/>
          <w:color w:val="000000" w:themeColor="text1"/>
        </w:rPr>
        <w:t xml:space="preserve"> = 4.7, </w:t>
      </w:r>
      <w:r w:rsidRPr="00146C69">
        <w:rPr>
          <w:rFonts w:ascii="Arial" w:hAnsi="Arial" w:cs="Arial"/>
          <w:i/>
          <w:color w:val="000000" w:themeColor="text1"/>
        </w:rPr>
        <w:t xml:space="preserve">p </w:t>
      </w:r>
      <w:r w:rsidRPr="00146C69">
        <w:rPr>
          <w:rFonts w:ascii="Arial" w:hAnsi="Arial" w:cs="Arial"/>
          <w:color w:val="000000" w:themeColor="text1"/>
        </w:rPr>
        <w:t>&lt; 0.0001).</w:t>
      </w:r>
      <w:r w:rsidR="00057C2C" w:rsidRPr="00146C69">
        <w:rPr>
          <w:rFonts w:ascii="Arial" w:hAnsi="Arial" w:cs="Arial"/>
          <w:color w:val="000000" w:themeColor="text1"/>
        </w:rPr>
        <w:t xml:space="preserve">  These data indicate that repeated cocaine treatment does not functionally downregulate D2Rs in </w:t>
      </w:r>
      <w:proofErr w:type="spellStart"/>
      <w:r w:rsidR="00057C2C" w:rsidRPr="00146C69">
        <w:rPr>
          <w:rFonts w:ascii="Arial" w:hAnsi="Arial" w:cs="Arial"/>
          <w:color w:val="000000" w:themeColor="text1"/>
        </w:rPr>
        <w:t>iMSNs</w:t>
      </w:r>
      <w:proofErr w:type="spellEnd"/>
      <w:r w:rsidR="00057C2C" w:rsidRPr="00146C69">
        <w:rPr>
          <w:rFonts w:ascii="Arial" w:hAnsi="Arial" w:cs="Arial"/>
          <w:color w:val="000000" w:themeColor="text1"/>
        </w:rPr>
        <w:t xml:space="preserve">.  </w:t>
      </w:r>
      <w:r w:rsidR="00D32EDF" w:rsidRPr="00146C69">
        <w:rPr>
          <w:rFonts w:ascii="Arial" w:hAnsi="Arial" w:cs="Arial"/>
          <w:color w:val="000000" w:themeColor="text1"/>
        </w:rPr>
        <w:t>Additionally</w:t>
      </w:r>
      <w:r w:rsidR="00057C2C" w:rsidRPr="00146C69">
        <w:rPr>
          <w:rFonts w:ascii="Arial" w:hAnsi="Arial" w:cs="Arial"/>
          <w:color w:val="000000" w:themeColor="text1"/>
        </w:rPr>
        <w:t xml:space="preserve">, iMSN-Drd2HET mice do not appear to be </w:t>
      </w:r>
      <w:r w:rsidR="00D32EDF" w:rsidRPr="00146C69">
        <w:rPr>
          <w:rFonts w:ascii="Arial" w:hAnsi="Arial" w:cs="Arial"/>
          <w:color w:val="000000" w:themeColor="text1"/>
        </w:rPr>
        <w:t>differentially</w:t>
      </w:r>
      <w:r w:rsidR="00057C2C" w:rsidRPr="00146C69">
        <w:rPr>
          <w:rFonts w:ascii="Arial" w:hAnsi="Arial" w:cs="Arial"/>
          <w:color w:val="000000" w:themeColor="text1"/>
        </w:rPr>
        <w:t xml:space="preserve"> sensitive </w:t>
      </w:r>
      <w:r w:rsidR="00D32EDF" w:rsidRPr="00146C69">
        <w:rPr>
          <w:rFonts w:ascii="Arial" w:hAnsi="Arial" w:cs="Arial"/>
          <w:color w:val="000000" w:themeColor="text1"/>
        </w:rPr>
        <w:t xml:space="preserve">to the effect of repeated cocaine on the ability of D2Rs expressed in </w:t>
      </w:r>
      <w:proofErr w:type="spellStart"/>
      <w:r w:rsidR="00D32EDF" w:rsidRPr="00146C69">
        <w:rPr>
          <w:rFonts w:ascii="Arial" w:hAnsi="Arial" w:cs="Arial"/>
          <w:color w:val="000000" w:themeColor="text1"/>
        </w:rPr>
        <w:t>iMSNs</w:t>
      </w:r>
      <w:proofErr w:type="spellEnd"/>
      <w:r w:rsidR="00D32EDF" w:rsidRPr="00146C69">
        <w:rPr>
          <w:rFonts w:ascii="Arial" w:hAnsi="Arial" w:cs="Arial"/>
          <w:color w:val="000000" w:themeColor="text1"/>
        </w:rPr>
        <w:t xml:space="preserve"> to restrain collateral GABA transmission.</w:t>
      </w:r>
    </w:p>
    <w:p w14:paraId="279BB44E" w14:textId="77777777" w:rsidR="008A46FD" w:rsidRPr="00146C69" w:rsidRDefault="008A46FD" w:rsidP="00751F4E">
      <w:pPr>
        <w:spacing w:line="480" w:lineRule="auto"/>
        <w:rPr>
          <w:rFonts w:ascii="Arial" w:hAnsi="Arial" w:cs="Arial"/>
          <w:color w:val="000000" w:themeColor="text1"/>
        </w:rPr>
      </w:pPr>
    </w:p>
    <w:p w14:paraId="451D1775" w14:textId="77777777" w:rsidR="00C33C96" w:rsidRPr="00146C69" w:rsidRDefault="00C33C96" w:rsidP="00751F4E">
      <w:pPr>
        <w:spacing w:line="480" w:lineRule="auto"/>
        <w:rPr>
          <w:rFonts w:ascii="Arial" w:hAnsi="Arial" w:cs="Arial"/>
          <w:i/>
          <w:color w:val="000000" w:themeColor="text1"/>
          <w:u w:val="single"/>
        </w:rPr>
      </w:pPr>
      <w:r w:rsidRPr="00146C69">
        <w:rPr>
          <w:rFonts w:ascii="Arial" w:hAnsi="Arial" w:cs="Arial"/>
          <w:i/>
          <w:color w:val="000000" w:themeColor="text1"/>
          <w:u w:val="single"/>
        </w:rPr>
        <w:t>Cocaine seeking and taking in iMSN-Drd2HET mice</w:t>
      </w:r>
    </w:p>
    <w:p w14:paraId="0903C89C" w14:textId="77777777" w:rsidR="006A3340" w:rsidRPr="00146C69" w:rsidRDefault="006A3340" w:rsidP="006A3340">
      <w:pPr>
        <w:spacing w:line="480" w:lineRule="auto"/>
        <w:ind w:firstLine="720"/>
        <w:rPr>
          <w:rFonts w:ascii="Arial" w:hAnsi="Arial" w:cs="Arial"/>
          <w:color w:val="000000" w:themeColor="text1"/>
        </w:rPr>
      </w:pPr>
      <w:r w:rsidRPr="00146C69">
        <w:rPr>
          <w:rFonts w:ascii="Arial" w:hAnsi="Arial" w:cs="Arial"/>
          <w:color w:val="000000" w:themeColor="text1"/>
        </w:rPr>
        <w:t>Analysis of the inactive lever responding across all self-administration procedures was performed to examine possible genotype differences on the overall motor behavior during these tests.  We found no consistent differences in inactive lever responding in most stages tested, except for the first week of acquisition and at low cocaine doses during the dose-response.</w:t>
      </w:r>
      <w:r w:rsidRPr="00146C69">
        <w:rPr>
          <w:i/>
          <w:color w:val="000000" w:themeColor="text1"/>
          <w:u w:val="single"/>
        </w:rPr>
        <w:t xml:space="preserve"> </w:t>
      </w:r>
      <w:r w:rsidRPr="00146C69">
        <w:rPr>
          <w:rFonts w:ascii="Arial" w:hAnsi="Arial" w:cs="Arial"/>
          <w:color w:val="000000" w:themeColor="text1"/>
        </w:rPr>
        <w:t>During acquisition, iMSN-Drd2HET mice showed a higher mean rate of inactive lever responding, which was primarily driven by a higher rate of inactive responding during the first week (5.8 ± 0.9 and 3.1 ± 0.4 for iMSN-Drd2HET vs. Drd2</w:t>
      </w:r>
      <w:r w:rsidRPr="00146C69">
        <w:rPr>
          <w:rFonts w:ascii="Arial" w:hAnsi="Arial" w:cs="Arial"/>
          <w:color w:val="000000" w:themeColor="text1"/>
          <w:vertAlign w:val="superscript"/>
        </w:rPr>
        <w:t>loxP/</w:t>
      </w:r>
      <w:proofErr w:type="spellStart"/>
      <w:r w:rsidRPr="00146C69">
        <w:rPr>
          <w:rFonts w:ascii="Arial" w:hAnsi="Arial" w:cs="Arial"/>
          <w:color w:val="000000" w:themeColor="text1"/>
          <w:vertAlign w:val="superscript"/>
        </w:rPr>
        <w:t>loxP</w:t>
      </w:r>
      <w:proofErr w:type="spellEnd"/>
      <w:r w:rsidRPr="00146C69">
        <w:rPr>
          <w:rFonts w:ascii="Arial" w:hAnsi="Arial" w:cs="Arial"/>
          <w:color w:val="000000" w:themeColor="text1"/>
        </w:rPr>
        <w:t>, respectively; 2-way RMANOVA: Main effect of genotype: F</w:t>
      </w:r>
      <w:r w:rsidRPr="00146C69">
        <w:rPr>
          <w:rFonts w:ascii="Arial" w:hAnsi="Arial" w:cs="Arial"/>
          <w:color w:val="000000" w:themeColor="text1"/>
          <w:vertAlign w:val="subscript"/>
        </w:rPr>
        <w:t>1,299</w:t>
      </w:r>
      <w:r w:rsidRPr="00146C69">
        <w:rPr>
          <w:rFonts w:ascii="Arial" w:hAnsi="Arial" w:cs="Arial"/>
          <w:color w:val="000000" w:themeColor="text1"/>
        </w:rPr>
        <w:t xml:space="preserve"> = 7.925, p &lt; 0.01).</w:t>
      </w:r>
    </w:p>
    <w:p w14:paraId="569EA72D" w14:textId="25675A66" w:rsidR="006A3340" w:rsidRPr="00146C69" w:rsidRDefault="006A3340" w:rsidP="006A3340">
      <w:pPr>
        <w:spacing w:line="480" w:lineRule="auto"/>
        <w:ind w:firstLine="720"/>
        <w:rPr>
          <w:i/>
          <w:color w:val="000000" w:themeColor="text1"/>
        </w:rPr>
      </w:pPr>
      <w:r w:rsidRPr="00146C69">
        <w:rPr>
          <w:rFonts w:ascii="Arial" w:hAnsi="Arial" w:cs="Arial"/>
          <w:color w:val="000000" w:themeColor="text1"/>
        </w:rPr>
        <w:t>Analysis of the inactive lever responding during the dose-response revealed that inactive lever activity increased as the cocaine unit dose decreased for both genotypes, but that iMSN-</w:t>
      </w:r>
      <w:r w:rsidRPr="00146C69">
        <w:rPr>
          <w:rFonts w:ascii="Arial" w:hAnsi="Arial" w:cs="Arial"/>
          <w:color w:val="000000" w:themeColor="text1"/>
        </w:rPr>
        <w:lastRenderedPageBreak/>
        <w:t>Drd2HET mice showed less activity low doses of cocaine (2-way ANOVA: Main effect of dose: F</w:t>
      </w:r>
      <w:r w:rsidRPr="00146C69">
        <w:rPr>
          <w:rFonts w:ascii="Arial" w:hAnsi="Arial" w:cs="Arial"/>
          <w:color w:val="000000" w:themeColor="text1"/>
          <w:vertAlign w:val="subscript"/>
        </w:rPr>
        <w:t>7,199</w:t>
      </w:r>
      <w:r w:rsidRPr="00146C69">
        <w:rPr>
          <w:rFonts w:ascii="Arial" w:hAnsi="Arial" w:cs="Arial"/>
          <w:color w:val="000000" w:themeColor="text1"/>
        </w:rPr>
        <w:t xml:space="preserve"> = 3.17, p &lt; 0.001; Main effect of genotype:  F</w:t>
      </w:r>
      <w:r w:rsidRPr="00146C69">
        <w:rPr>
          <w:rFonts w:ascii="Arial" w:hAnsi="Arial" w:cs="Arial"/>
          <w:color w:val="000000" w:themeColor="text1"/>
          <w:vertAlign w:val="subscript"/>
        </w:rPr>
        <w:t>1,199</w:t>
      </w:r>
      <w:r w:rsidRPr="00146C69">
        <w:rPr>
          <w:rFonts w:ascii="Arial" w:hAnsi="Arial" w:cs="Arial"/>
          <w:color w:val="000000" w:themeColor="text1"/>
        </w:rPr>
        <w:t xml:space="preserve"> = 5.90, p &lt; 0.01).</w:t>
      </w:r>
      <w:r w:rsidRPr="00146C69">
        <w:rPr>
          <w:i/>
          <w:color w:val="000000" w:themeColor="text1"/>
        </w:rPr>
        <w:t xml:space="preserve">  </w:t>
      </w:r>
      <w:r w:rsidRPr="00146C69">
        <w:rPr>
          <w:rFonts w:ascii="Arial" w:hAnsi="Arial" w:cs="Arial"/>
          <w:color w:val="000000" w:themeColor="text1"/>
        </w:rPr>
        <w:t>Importantly, though, inactive responding was similar between genotypes at the highest unit dose, 3.2 mg/kg/infusion, which is the dose at which intake was lower for iMSN-Drd2HET mice (0.67 ± 0.53 and 1.42 ± 0.71 inactive presses/hour for Drd2</w:t>
      </w:r>
      <w:r w:rsidRPr="00146C69">
        <w:rPr>
          <w:rFonts w:ascii="Arial" w:hAnsi="Arial" w:cs="Arial"/>
          <w:color w:val="000000" w:themeColor="text1"/>
          <w:vertAlign w:val="superscript"/>
        </w:rPr>
        <w:t>loxP/</w:t>
      </w:r>
      <w:proofErr w:type="spellStart"/>
      <w:r w:rsidRPr="00146C69">
        <w:rPr>
          <w:rFonts w:ascii="Arial" w:hAnsi="Arial" w:cs="Arial"/>
          <w:color w:val="000000" w:themeColor="text1"/>
          <w:vertAlign w:val="superscript"/>
        </w:rPr>
        <w:t>loxP</w:t>
      </w:r>
      <w:proofErr w:type="spellEnd"/>
      <w:r w:rsidRPr="00146C69">
        <w:rPr>
          <w:rFonts w:ascii="Arial" w:hAnsi="Arial" w:cs="Arial"/>
          <w:color w:val="000000" w:themeColor="text1"/>
        </w:rPr>
        <w:t xml:space="preserve"> and iMSN-Drd2HET, respectively).  Thus, a general motor impairment is not likely driving the decreased intake of high-dose cocaine in iMSN-Drd2HET mice.</w:t>
      </w:r>
    </w:p>
    <w:p w14:paraId="457BDDE5" w14:textId="77777777" w:rsidR="006A3340" w:rsidRPr="00146C69" w:rsidRDefault="00D32EDF" w:rsidP="006A3340">
      <w:pPr>
        <w:spacing w:line="480" w:lineRule="auto"/>
        <w:ind w:firstLine="720"/>
        <w:rPr>
          <w:rFonts w:ascii="Arial" w:hAnsi="Arial" w:cs="Arial"/>
          <w:color w:val="000000" w:themeColor="text1"/>
        </w:rPr>
      </w:pPr>
      <w:r w:rsidRPr="00146C69">
        <w:rPr>
          <w:rFonts w:ascii="Arial" w:hAnsi="Arial" w:cs="Arial"/>
          <w:color w:val="000000" w:themeColor="text1"/>
        </w:rPr>
        <w:t xml:space="preserve">While there were no significant differences between genotypes in the breakpoint for cocaine, there were differences in the rate of active lever pressing </w:t>
      </w:r>
      <w:r w:rsidR="001F125C" w:rsidRPr="00146C69">
        <w:rPr>
          <w:rFonts w:ascii="Arial" w:hAnsi="Arial" w:cs="Arial"/>
          <w:color w:val="000000" w:themeColor="text1"/>
        </w:rPr>
        <w:t xml:space="preserve">during the progressive ratio test </w:t>
      </w:r>
      <w:r w:rsidRPr="00146C69">
        <w:rPr>
          <w:rFonts w:ascii="Arial" w:hAnsi="Arial" w:cs="Arial"/>
          <w:color w:val="000000" w:themeColor="text1"/>
        </w:rPr>
        <w:t>(2-way ANOVA; Main effect of Genotype: F</w:t>
      </w:r>
      <w:r w:rsidRPr="00146C69">
        <w:rPr>
          <w:rFonts w:ascii="Arial" w:hAnsi="Arial" w:cs="Arial"/>
          <w:color w:val="000000" w:themeColor="text1"/>
          <w:vertAlign w:val="subscript"/>
        </w:rPr>
        <w:t>1,96</w:t>
      </w:r>
      <w:r w:rsidRPr="00146C69">
        <w:rPr>
          <w:rFonts w:ascii="Arial" w:hAnsi="Arial" w:cs="Arial"/>
          <w:color w:val="000000" w:themeColor="text1"/>
        </w:rPr>
        <w:t xml:space="preserve"> = 4.65, </w:t>
      </w:r>
      <w:r w:rsidRPr="00146C69">
        <w:rPr>
          <w:rFonts w:ascii="Arial" w:hAnsi="Arial" w:cs="Arial"/>
          <w:i/>
          <w:color w:val="000000" w:themeColor="text1"/>
        </w:rPr>
        <w:t>p</w:t>
      </w:r>
      <w:r w:rsidRPr="00146C69">
        <w:rPr>
          <w:rFonts w:ascii="Arial" w:hAnsi="Arial" w:cs="Arial"/>
          <w:color w:val="000000" w:themeColor="text1"/>
        </w:rPr>
        <w:t xml:space="preserve"> &lt; 0.05).  </w:t>
      </w:r>
      <w:r w:rsidR="00C33C96" w:rsidRPr="00146C69">
        <w:rPr>
          <w:rFonts w:ascii="Arial" w:hAnsi="Arial" w:cs="Arial"/>
          <w:color w:val="000000" w:themeColor="text1"/>
        </w:rPr>
        <w:t xml:space="preserve">iMSN-Drd2HET mice showed a lower average rate of </w:t>
      </w:r>
      <w:r w:rsidR="001F125C" w:rsidRPr="00146C69">
        <w:rPr>
          <w:rFonts w:ascii="Arial" w:hAnsi="Arial" w:cs="Arial"/>
          <w:color w:val="000000" w:themeColor="text1"/>
        </w:rPr>
        <w:t xml:space="preserve">active lever </w:t>
      </w:r>
      <w:r w:rsidR="00C33C96" w:rsidRPr="00146C69">
        <w:rPr>
          <w:rFonts w:ascii="Arial" w:hAnsi="Arial" w:cs="Arial"/>
          <w:color w:val="000000" w:themeColor="text1"/>
        </w:rPr>
        <w:t>pressing across all cocaine doses during the progressive ratio test</w:t>
      </w:r>
      <w:r w:rsidRPr="00146C69">
        <w:rPr>
          <w:rFonts w:ascii="Arial" w:hAnsi="Arial" w:cs="Arial"/>
          <w:color w:val="000000" w:themeColor="text1"/>
        </w:rPr>
        <w:t xml:space="preserve"> (</w:t>
      </w:r>
      <w:r w:rsidRPr="00146C69">
        <w:rPr>
          <w:rFonts w:ascii="Arial" w:hAnsi="Arial" w:cs="Arial"/>
          <w:i/>
          <w:color w:val="000000" w:themeColor="text1"/>
        </w:rPr>
        <w:t>Drd2</w:t>
      </w:r>
      <w:r w:rsidRPr="00146C69">
        <w:rPr>
          <w:rFonts w:ascii="Arial" w:hAnsi="Arial" w:cs="Arial"/>
          <w:i/>
          <w:color w:val="000000" w:themeColor="text1"/>
          <w:vertAlign w:val="superscript"/>
        </w:rPr>
        <w:t>loxP/</w:t>
      </w:r>
      <w:proofErr w:type="spellStart"/>
      <w:proofErr w:type="gramStart"/>
      <w:r w:rsidRPr="00146C69">
        <w:rPr>
          <w:rFonts w:ascii="Arial" w:hAnsi="Arial" w:cs="Arial"/>
          <w:i/>
          <w:color w:val="000000" w:themeColor="text1"/>
          <w:vertAlign w:val="superscript"/>
        </w:rPr>
        <w:t>wt</w:t>
      </w:r>
      <w:proofErr w:type="spellEnd"/>
      <w:r w:rsidRPr="00146C69">
        <w:rPr>
          <w:rFonts w:ascii="Arial" w:hAnsi="Arial" w:cs="Arial"/>
          <w:color w:val="000000" w:themeColor="text1"/>
        </w:rPr>
        <w:t xml:space="preserve"> :</w:t>
      </w:r>
      <w:proofErr w:type="gramEnd"/>
      <w:r w:rsidRPr="00146C69">
        <w:rPr>
          <w:rFonts w:ascii="Arial" w:hAnsi="Arial" w:cs="Arial"/>
          <w:color w:val="000000" w:themeColor="text1"/>
        </w:rPr>
        <w:t xml:space="preserve">  90.1 ± 13.7, iMSN-Drd2HET:  54.9 ± 2.3 presses/h)</w:t>
      </w:r>
      <w:r w:rsidR="001F125C" w:rsidRPr="00146C69">
        <w:rPr>
          <w:rFonts w:ascii="Arial" w:hAnsi="Arial" w:cs="Arial"/>
          <w:color w:val="000000" w:themeColor="text1"/>
        </w:rPr>
        <w:t xml:space="preserve">, but </w:t>
      </w:r>
      <w:r w:rsidR="006A3340" w:rsidRPr="00146C69">
        <w:rPr>
          <w:rFonts w:ascii="Arial" w:hAnsi="Arial" w:cs="Arial"/>
          <w:color w:val="000000" w:themeColor="text1"/>
        </w:rPr>
        <w:t xml:space="preserve">there were </w:t>
      </w:r>
      <w:r w:rsidR="001F125C" w:rsidRPr="00146C69">
        <w:rPr>
          <w:rFonts w:ascii="Arial" w:hAnsi="Arial" w:cs="Arial"/>
          <w:color w:val="000000" w:themeColor="text1"/>
        </w:rPr>
        <w:t xml:space="preserve">no differences </w:t>
      </w:r>
      <w:r w:rsidR="006A3340" w:rsidRPr="00146C69">
        <w:rPr>
          <w:rFonts w:ascii="Arial" w:hAnsi="Arial" w:cs="Arial"/>
          <w:color w:val="000000" w:themeColor="text1"/>
        </w:rPr>
        <w:t xml:space="preserve">between genotypes </w:t>
      </w:r>
      <w:r w:rsidR="001F125C" w:rsidRPr="00146C69">
        <w:rPr>
          <w:rFonts w:ascii="Arial" w:hAnsi="Arial" w:cs="Arial"/>
          <w:color w:val="000000" w:themeColor="text1"/>
        </w:rPr>
        <w:t>in the rate of inactive lever pre</w:t>
      </w:r>
      <w:r w:rsidR="006A3340" w:rsidRPr="00146C69">
        <w:rPr>
          <w:rFonts w:ascii="Arial" w:hAnsi="Arial" w:cs="Arial"/>
          <w:color w:val="000000" w:themeColor="text1"/>
        </w:rPr>
        <w:t>ssing</w:t>
      </w:r>
      <w:r w:rsidRPr="00146C69">
        <w:rPr>
          <w:rFonts w:ascii="Arial" w:hAnsi="Arial" w:cs="Arial"/>
          <w:color w:val="000000" w:themeColor="text1"/>
        </w:rPr>
        <w:t xml:space="preserve">.  One interpretation of this is that iMSN-Drd2HET mice have a mild </w:t>
      </w:r>
      <w:r w:rsidR="00C33C96" w:rsidRPr="00146C69">
        <w:rPr>
          <w:rFonts w:ascii="Arial" w:hAnsi="Arial" w:cs="Arial"/>
          <w:color w:val="000000" w:themeColor="text1"/>
        </w:rPr>
        <w:t xml:space="preserve">motor deficit </w:t>
      </w:r>
      <w:r w:rsidRPr="00146C69">
        <w:rPr>
          <w:rFonts w:ascii="Arial" w:hAnsi="Arial" w:cs="Arial"/>
          <w:color w:val="000000" w:themeColor="text1"/>
        </w:rPr>
        <w:t xml:space="preserve">that is only evident </w:t>
      </w:r>
      <w:r w:rsidR="00C33C96" w:rsidRPr="00146C69">
        <w:rPr>
          <w:rFonts w:ascii="Arial" w:hAnsi="Arial" w:cs="Arial"/>
          <w:color w:val="000000" w:themeColor="text1"/>
        </w:rPr>
        <w:t xml:space="preserve">when </w:t>
      </w:r>
      <w:r w:rsidRPr="00146C69">
        <w:rPr>
          <w:rFonts w:ascii="Arial" w:hAnsi="Arial" w:cs="Arial"/>
          <w:color w:val="000000" w:themeColor="text1"/>
        </w:rPr>
        <w:t xml:space="preserve">the operant requirement is </w:t>
      </w:r>
      <w:r w:rsidR="00C33C96" w:rsidRPr="00146C69">
        <w:rPr>
          <w:rFonts w:ascii="Arial" w:hAnsi="Arial" w:cs="Arial"/>
          <w:color w:val="000000" w:themeColor="text1"/>
        </w:rPr>
        <w:t>pushed during progressive ratio sessions</w:t>
      </w:r>
      <w:r w:rsidR="006A3340" w:rsidRPr="00146C69">
        <w:rPr>
          <w:rFonts w:ascii="Arial" w:hAnsi="Arial" w:cs="Arial"/>
          <w:color w:val="000000" w:themeColor="text1"/>
        </w:rPr>
        <w:t>.</w:t>
      </w:r>
    </w:p>
    <w:p w14:paraId="11857221" w14:textId="77777777" w:rsidR="00D41C3C" w:rsidRDefault="00123981" w:rsidP="00D41C3C">
      <w:pPr>
        <w:spacing w:line="480" w:lineRule="auto"/>
        <w:ind w:firstLine="720"/>
        <w:rPr>
          <w:i/>
          <w:color w:val="000000" w:themeColor="text1"/>
          <w:u w:val="single"/>
        </w:rPr>
      </w:pPr>
      <w:r w:rsidRPr="00146C69">
        <w:rPr>
          <w:rFonts w:ascii="Arial" w:hAnsi="Arial" w:cs="Arial"/>
          <w:color w:val="000000" w:themeColor="text1"/>
        </w:rPr>
        <w:t>While the iMSN-Drd2HET mice showed suppressed seeking during abstinence, this effect did not appear due them being generally less active.  Analysis of the inactive lever responding showed that both iMSN-Drd2HET mice and littermate controls increased their inactive lever responding on the first seeking day, and then gradually decreased inactive responding over progressive abstinence (2-way ANOVA:  Main effect of abstinence: F</w:t>
      </w:r>
      <w:r w:rsidRPr="00146C69">
        <w:rPr>
          <w:rFonts w:ascii="Arial" w:hAnsi="Arial" w:cs="Arial"/>
          <w:color w:val="000000" w:themeColor="text1"/>
          <w:vertAlign w:val="subscript"/>
        </w:rPr>
        <w:t>3, 96</w:t>
      </w:r>
      <w:r w:rsidRPr="00146C69">
        <w:rPr>
          <w:rFonts w:ascii="Arial" w:hAnsi="Arial" w:cs="Arial"/>
          <w:color w:val="000000" w:themeColor="text1"/>
        </w:rPr>
        <w:t xml:space="preserve"> = 12.14, p &lt; 0.0001). </w:t>
      </w:r>
      <w:r w:rsidR="00C33C96" w:rsidRPr="00146C69">
        <w:rPr>
          <w:rFonts w:ascii="Arial" w:hAnsi="Arial" w:cs="Arial"/>
          <w:color w:val="000000" w:themeColor="text1"/>
        </w:rPr>
        <w:t>Interestingly, neither genotype showed a progressive enhancement in seeking behavior with increased abstinence</w:t>
      </w:r>
      <w:r w:rsidR="00D32EDF" w:rsidRPr="00146C69">
        <w:rPr>
          <w:rFonts w:ascii="Arial" w:hAnsi="Arial" w:cs="Arial"/>
          <w:color w:val="000000" w:themeColor="text1"/>
        </w:rPr>
        <w:t>, as has been reported in previous literature (</w:t>
      </w:r>
      <w:r w:rsidR="00E4669F" w:rsidRPr="00146C69">
        <w:rPr>
          <w:rFonts w:ascii="Arial" w:hAnsi="Arial" w:cs="Arial"/>
          <w:color w:val="000000" w:themeColor="text1"/>
        </w:rPr>
        <w:t>Grimm et al, 2001; Li et al, 2016</w:t>
      </w:r>
      <w:r w:rsidR="00D32EDF" w:rsidRPr="00146C69">
        <w:rPr>
          <w:rFonts w:ascii="Arial" w:hAnsi="Arial" w:cs="Arial"/>
          <w:color w:val="000000" w:themeColor="text1"/>
        </w:rPr>
        <w:t>).  Our finding, however</w:t>
      </w:r>
      <w:r w:rsidR="00C33C96" w:rsidRPr="00146C69">
        <w:rPr>
          <w:rFonts w:ascii="Arial" w:hAnsi="Arial" w:cs="Arial"/>
          <w:color w:val="000000" w:themeColor="text1"/>
        </w:rPr>
        <w:t xml:space="preserve">, </w:t>
      </w:r>
      <w:r w:rsidR="004A0D1B" w:rsidRPr="00146C69">
        <w:rPr>
          <w:rFonts w:ascii="Arial" w:hAnsi="Arial" w:cs="Arial"/>
          <w:color w:val="000000" w:themeColor="text1"/>
        </w:rPr>
        <w:t>is in agreement</w:t>
      </w:r>
      <w:r w:rsidR="00C33C96" w:rsidRPr="00146C69">
        <w:rPr>
          <w:rFonts w:ascii="Arial" w:hAnsi="Arial" w:cs="Arial"/>
          <w:color w:val="000000" w:themeColor="text1"/>
        </w:rPr>
        <w:t xml:space="preserve"> with recent data in mice showing </w:t>
      </w:r>
      <w:r w:rsidR="00D32EDF" w:rsidRPr="00146C69">
        <w:rPr>
          <w:rFonts w:ascii="Arial" w:hAnsi="Arial" w:cs="Arial"/>
          <w:color w:val="000000" w:themeColor="text1"/>
        </w:rPr>
        <w:t xml:space="preserve">that </w:t>
      </w:r>
      <w:r w:rsidR="00C33C96" w:rsidRPr="00146C69">
        <w:rPr>
          <w:rFonts w:ascii="Arial" w:hAnsi="Arial" w:cs="Arial"/>
          <w:color w:val="000000" w:themeColor="text1"/>
        </w:rPr>
        <w:t xml:space="preserve">incubation of craving only </w:t>
      </w:r>
      <w:r w:rsidR="00D32EDF" w:rsidRPr="00146C69">
        <w:rPr>
          <w:rFonts w:ascii="Arial" w:hAnsi="Arial" w:cs="Arial"/>
          <w:color w:val="000000" w:themeColor="text1"/>
        </w:rPr>
        <w:t xml:space="preserve">occurs </w:t>
      </w:r>
      <w:r w:rsidR="00C33C96" w:rsidRPr="00146C69">
        <w:rPr>
          <w:rFonts w:ascii="Arial" w:hAnsi="Arial" w:cs="Arial"/>
          <w:color w:val="000000" w:themeColor="text1"/>
        </w:rPr>
        <w:t xml:space="preserve">when mice are </w:t>
      </w:r>
      <w:r w:rsidR="004A0D1B" w:rsidRPr="00146C69">
        <w:rPr>
          <w:rFonts w:ascii="Arial" w:hAnsi="Arial" w:cs="Arial"/>
          <w:color w:val="000000" w:themeColor="text1"/>
        </w:rPr>
        <w:t xml:space="preserve">initially </w:t>
      </w:r>
      <w:r w:rsidR="00C33C96" w:rsidRPr="00146C69">
        <w:rPr>
          <w:rFonts w:ascii="Arial" w:hAnsi="Arial" w:cs="Arial"/>
          <w:color w:val="000000" w:themeColor="text1"/>
        </w:rPr>
        <w:t>trained on a higher unit dose of cocaine (1.5 mg/kg;</w:t>
      </w:r>
      <w:r w:rsidR="00EB02A8" w:rsidRPr="00146C69">
        <w:rPr>
          <w:rFonts w:ascii="Arial" w:hAnsi="Arial" w:cs="Arial"/>
          <w:color w:val="000000" w:themeColor="text1"/>
        </w:rPr>
        <w:t xml:space="preserve"> </w:t>
      </w:r>
      <w:r w:rsidR="00EB02A8" w:rsidRPr="00146C69">
        <w:rPr>
          <w:rFonts w:ascii="Arial" w:hAnsi="Arial" w:cs="Arial"/>
          <w:color w:val="000000" w:themeColor="text1"/>
        </w:rPr>
        <w:fldChar w:fldCharType="begin" w:fldLock="1"/>
      </w:r>
      <w:r w:rsidR="0072033F" w:rsidRPr="00146C69">
        <w:rPr>
          <w:rFonts w:ascii="Arial" w:hAnsi="Arial" w:cs="Arial"/>
          <w:color w:val="000000" w:themeColor="text1"/>
        </w:rPr>
        <w:instrText>ADDIN CSL_CITATION { "citationItems" : [ { "id" : "ITEM-1", "itemData" : { "DOI" : "10.1038/npp.2015.345", "ISBN" : "1740-634X (Electronic)\r0893-133X (Linking)", "ISSN" : "1740-634X", "PMID" : "26585289", "abstract" : "Addiction is a behavioral disease, of which core components can be modeled in rodents. Much evidence implicates drug-evoked synaptic plasticity in cocaine-evoked locomotor sensitization, cue-induced cocaine seeking, and incubation of cocaine craving. However, the type of plasticity evoked by different modalities of cocaine administration (eg contingent vs non-contingent) and its role in reshaping circuit function remains largely elusive. Here we exposed mice to various regimens of cocaine and recorded excitatory transmission onto identified medium-sized spiny neurons (MSN, expressing fluorescent proteins under the control of either D1R or D2R dopamine receptor promotor) in the nucleus accumbens at time points when behavioral adaptations are observed. In D1-MSN, we found the presence of GluA2-lacking alpha-amino-3-hydroxy-5-methyl-4-isoxazolepropionic acid receptors (AMPARs) after single or chronic non-contingent exposure to cocaine as well as after cocaine self-administration (SA). We also report an increase in the AMPA/NMDA ratio (A/N) in D1-MSN, which was observed only after repeated passive injections associated with locomotor sensitization as well as in a condition of SA leading to seeking behavior. Remarkably, insertion of GluA2-lacking AMPARs was also detected in D2-MSN after SA of a high dose of cocaine but not regular dose (1.5 vs 0.75 mg/kg), which was the only condition where incubation of cocaine craving was observed in this study. Moreover, synapses containing GluA2-lacking AMPARs belonged to amygdala inputs in D2-MSN and to medial prefrontal cortex inputs in D1-MSN. Taken together this study allows for a refinement of a circuit model of addiction based on specific synaptic changes induced by cocaine.Neuropsychopharmacology advance online publication, 9 December 2015; doi:10.1038/npp.2015.345.", "author" : [ { "dropping-particle" : "", "family" : "Terrier", "given" : "Jean", "non-dropping-particle" : "", "parse-names" : false, "suffix" : "" }, { "dropping-particle" : "", "family" : "Luscher", "given" : "C", "non-dropping-particle" : "", "parse-names" : false, "suffix" : "" }, { "dropping-particle" : "", "family" : "Pascoli", "given" : "Vincent", "non-dropping-particle" : "", "parse-names" : false, "suffix" : "" }, { "dropping-particle" : "", "family" : "L\u00fcscher", "given" : "Christian", "non-dropping-particle" : "", "parse-names" : false, "suffix" : "" }, { "dropping-particle" : "", "family" : "Pascoli", "given" : "Vincent", "non-dropping-particle" : "", "parse-names" : false, "suffix" : "" } ], "container-title" : "Neuropsychopharmacology", "id" : "ITEM-1", "issue" : "7", "issued" : { "date-parts" : [ [ "2015", "6", "20" ] ] }, "note" : "From Duplicate 2 (Cell-Type Specific Insertion of GluA2-Lacking AMPARs with Cocaine Exposure Leading to Sensitization, Cue-Induced Seeking, and Incubation of Craving - Terrier, J; Luscher, C; Pascoli, V)\n\nTerrier, Jean\nLuscher, Christian\nPascoli, Vincent\nENG\n2015/11/21 06:00\nNeuropsychopharmacology. 2015 Nov 20. doi: 10.1038/npp.2015.345.", "page" : "1779-89", "title" : "Cell-Type Specific Insertion of GluA2-Lacking AMPARs with Cocaine Exposure Leading to Sensitization, Cue-Induced Seeking, and Incubation of Craving", "type" : "article-journal", "volume" : "41" }, "uris" : [ "http://www.mendeley.com/documents/?uuid=8d6948dd-18e6-4319-81ef-6224a878325f" ] } ], "mendeley" : { "formattedCitation" : "(Terrier &lt;i&gt;et al&lt;/i&gt;, 2015)", "manualFormatting" : "Terrier et al, 2015)", "plainTextFormattedCitation" : "(Terrier et al, 2015)", "previouslyFormattedCitation" : "(Terrier &lt;i&gt;et al&lt;/i&gt;, 2015)" }, "properties" : {  }, "schema" : "https://github.com/citation-style-language/schema/raw/master/csl-citation.json" }</w:instrText>
      </w:r>
      <w:r w:rsidR="00EB02A8" w:rsidRPr="00146C69">
        <w:rPr>
          <w:rFonts w:ascii="Arial" w:hAnsi="Arial" w:cs="Arial"/>
          <w:color w:val="000000" w:themeColor="text1"/>
        </w:rPr>
        <w:fldChar w:fldCharType="separate"/>
      </w:r>
      <w:r w:rsidR="00EB02A8" w:rsidRPr="00146C69">
        <w:rPr>
          <w:rFonts w:ascii="Arial" w:hAnsi="Arial" w:cs="Arial"/>
          <w:noProof/>
          <w:color w:val="000000" w:themeColor="text1"/>
        </w:rPr>
        <w:t xml:space="preserve">Terrier </w:t>
      </w:r>
      <w:r w:rsidR="00EB02A8" w:rsidRPr="00146C69">
        <w:rPr>
          <w:rFonts w:ascii="Arial" w:hAnsi="Arial" w:cs="Arial"/>
          <w:i/>
          <w:noProof/>
          <w:color w:val="000000" w:themeColor="text1"/>
        </w:rPr>
        <w:t>et al</w:t>
      </w:r>
      <w:r w:rsidR="00EB02A8" w:rsidRPr="00146C69">
        <w:rPr>
          <w:rFonts w:ascii="Arial" w:hAnsi="Arial" w:cs="Arial"/>
          <w:noProof/>
          <w:color w:val="000000" w:themeColor="text1"/>
        </w:rPr>
        <w:t>, 2015)</w:t>
      </w:r>
      <w:r w:rsidR="00EB02A8" w:rsidRPr="00146C69">
        <w:rPr>
          <w:rFonts w:ascii="Arial" w:hAnsi="Arial" w:cs="Arial"/>
          <w:color w:val="000000" w:themeColor="text1"/>
        </w:rPr>
        <w:fldChar w:fldCharType="end"/>
      </w:r>
      <w:r w:rsidR="00C33C96" w:rsidRPr="00146C69">
        <w:rPr>
          <w:rFonts w:ascii="Arial" w:hAnsi="Arial" w:cs="Arial"/>
          <w:color w:val="000000" w:themeColor="text1"/>
        </w:rPr>
        <w:t>.</w:t>
      </w:r>
      <w:r w:rsidR="00751F4E" w:rsidRPr="00146C69">
        <w:rPr>
          <w:i/>
          <w:color w:val="000000" w:themeColor="text1"/>
          <w:u w:val="single"/>
        </w:rPr>
        <w:t xml:space="preserve"> </w:t>
      </w:r>
    </w:p>
    <w:p w14:paraId="103E169C" w14:textId="477810AA" w:rsidR="00EB02A8" w:rsidRPr="00D41C3C" w:rsidRDefault="00D41C3C" w:rsidP="007403FF">
      <w:pPr>
        <w:spacing w:line="480" w:lineRule="auto"/>
        <w:rPr>
          <w:i/>
          <w:color w:val="000000" w:themeColor="text1"/>
          <w:u w:val="single"/>
        </w:rPr>
      </w:pPr>
      <w:bookmarkStart w:id="0" w:name="_GoBack"/>
      <w:bookmarkEnd w:id="0"/>
      <w:r>
        <w:rPr>
          <w:rFonts w:ascii="Arial" w:hAnsi="Arial" w:cs="Arial"/>
          <w:b/>
          <w:color w:val="000000" w:themeColor="text1"/>
        </w:rPr>
        <w:lastRenderedPageBreak/>
        <w:t>S</w:t>
      </w:r>
      <w:r w:rsidR="00EB02A8" w:rsidRPr="00146C69">
        <w:rPr>
          <w:rFonts w:ascii="Arial" w:hAnsi="Arial" w:cs="Arial"/>
          <w:b/>
          <w:color w:val="000000" w:themeColor="text1"/>
        </w:rPr>
        <w:t>upplemental References</w:t>
      </w:r>
    </w:p>
    <w:p w14:paraId="48C54A71" w14:textId="53C5A38C" w:rsidR="0072033F" w:rsidRPr="00146C69" w:rsidRDefault="00EB02A8" w:rsidP="0072033F">
      <w:pPr>
        <w:widowControl w:val="0"/>
        <w:autoSpaceDE w:val="0"/>
        <w:autoSpaceDN w:val="0"/>
        <w:adjustRightInd w:val="0"/>
        <w:spacing w:line="480" w:lineRule="auto"/>
        <w:ind w:left="480" w:hanging="480"/>
        <w:rPr>
          <w:rFonts w:ascii="Arial" w:hAnsi="Arial" w:cs="Arial"/>
          <w:noProof/>
          <w:color w:val="000000" w:themeColor="text1"/>
        </w:rPr>
      </w:pPr>
      <w:r w:rsidRPr="00146C69">
        <w:rPr>
          <w:rFonts w:ascii="Arial" w:hAnsi="Arial" w:cs="Arial"/>
          <w:color w:val="000000" w:themeColor="text1"/>
        </w:rPr>
        <w:fldChar w:fldCharType="begin" w:fldLock="1"/>
      </w:r>
      <w:r w:rsidRPr="00146C69">
        <w:rPr>
          <w:rFonts w:ascii="Arial" w:hAnsi="Arial" w:cs="Arial"/>
          <w:color w:val="000000" w:themeColor="text1"/>
        </w:rPr>
        <w:instrText xml:space="preserve">ADDIN Mendeley Bibliography CSL_BIBLIOGRAPHY </w:instrText>
      </w:r>
      <w:r w:rsidRPr="00146C69">
        <w:rPr>
          <w:rFonts w:ascii="Arial" w:hAnsi="Arial" w:cs="Arial"/>
          <w:color w:val="000000" w:themeColor="text1"/>
        </w:rPr>
        <w:fldChar w:fldCharType="separate"/>
      </w:r>
      <w:r w:rsidR="0072033F" w:rsidRPr="00146C69">
        <w:rPr>
          <w:rFonts w:ascii="Arial" w:hAnsi="Arial" w:cs="Arial"/>
          <w:noProof/>
          <w:color w:val="000000" w:themeColor="text1"/>
          <w:szCs w:val="24"/>
        </w:rPr>
        <w:t xml:space="preserve">Terrier J, Luscher C, Pascoli V, Lüscher C, Pascoli V (2015). Cell-Type Specific Insertion of GluA2-Lacking AMPARs with Cocaine Exposure Leading to Sensitization, Cue-Induced Seeking, and Incubation of Craving. </w:t>
      </w:r>
      <w:r w:rsidR="0072033F" w:rsidRPr="00146C69">
        <w:rPr>
          <w:rFonts w:ascii="Arial" w:hAnsi="Arial" w:cs="Arial"/>
          <w:i/>
          <w:iCs/>
          <w:noProof/>
          <w:color w:val="000000" w:themeColor="text1"/>
          <w:szCs w:val="24"/>
        </w:rPr>
        <w:t>Neuropsychopharmacology</w:t>
      </w:r>
      <w:r w:rsidR="0072033F" w:rsidRPr="00146C69">
        <w:rPr>
          <w:rFonts w:ascii="Arial" w:hAnsi="Arial" w:cs="Arial"/>
          <w:noProof/>
          <w:color w:val="000000" w:themeColor="text1"/>
          <w:szCs w:val="24"/>
        </w:rPr>
        <w:t xml:space="preserve"> </w:t>
      </w:r>
      <w:r w:rsidR="0072033F" w:rsidRPr="00146C69">
        <w:rPr>
          <w:rFonts w:ascii="Arial" w:hAnsi="Arial" w:cs="Arial"/>
          <w:b/>
          <w:bCs/>
          <w:noProof/>
          <w:color w:val="000000" w:themeColor="text1"/>
          <w:szCs w:val="24"/>
        </w:rPr>
        <w:t>41</w:t>
      </w:r>
      <w:r w:rsidR="0072033F" w:rsidRPr="00146C69">
        <w:rPr>
          <w:rFonts w:ascii="Arial" w:hAnsi="Arial" w:cs="Arial"/>
          <w:noProof/>
          <w:color w:val="000000" w:themeColor="text1"/>
          <w:szCs w:val="24"/>
        </w:rPr>
        <w:t>: 1779–89.</w:t>
      </w:r>
    </w:p>
    <w:p w14:paraId="338C8D44" w14:textId="624CB3D9" w:rsidR="00663BEC" w:rsidRPr="00DA7829" w:rsidRDefault="00EB02A8" w:rsidP="00DA7829">
      <w:pPr>
        <w:spacing w:line="480" w:lineRule="auto"/>
        <w:ind w:firstLine="720"/>
        <w:rPr>
          <w:rFonts w:ascii="Arial" w:hAnsi="Arial" w:cs="Arial"/>
          <w:color w:val="000000" w:themeColor="text1"/>
        </w:rPr>
      </w:pPr>
      <w:r w:rsidRPr="00146C69">
        <w:rPr>
          <w:rFonts w:ascii="Arial" w:hAnsi="Arial" w:cs="Arial"/>
          <w:color w:val="000000" w:themeColor="text1"/>
        </w:rPr>
        <w:fldChar w:fldCharType="end"/>
      </w:r>
    </w:p>
    <w:sectPr w:rsidR="00663BEC" w:rsidRPr="00DA78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EA205" w14:textId="77777777" w:rsidR="00751F4E" w:rsidRDefault="00751F4E" w:rsidP="00751F4E">
      <w:pPr>
        <w:spacing w:after="0" w:line="240" w:lineRule="auto"/>
      </w:pPr>
      <w:r>
        <w:separator/>
      </w:r>
    </w:p>
  </w:endnote>
  <w:endnote w:type="continuationSeparator" w:id="0">
    <w:p w14:paraId="493FBEA3" w14:textId="77777777" w:rsidR="00751F4E" w:rsidRDefault="00751F4E" w:rsidP="0075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182943"/>
      <w:docPartObj>
        <w:docPartGallery w:val="Page Numbers (Bottom of Page)"/>
        <w:docPartUnique/>
      </w:docPartObj>
    </w:sdtPr>
    <w:sdtEndPr>
      <w:rPr>
        <w:noProof/>
      </w:rPr>
    </w:sdtEndPr>
    <w:sdtContent>
      <w:p w14:paraId="274DCA71" w14:textId="5CE40CAB" w:rsidR="00751F4E" w:rsidRDefault="00751F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FF3FB5" w14:textId="77777777" w:rsidR="00751F4E" w:rsidRDefault="00751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AE4C3" w14:textId="77777777" w:rsidR="00751F4E" w:rsidRDefault="00751F4E" w:rsidP="00751F4E">
      <w:pPr>
        <w:spacing w:after="0" w:line="240" w:lineRule="auto"/>
      </w:pPr>
      <w:r>
        <w:separator/>
      </w:r>
    </w:p>
  </w:footnote>
  <w:footnote w:type="continuationSeparator" w:id="0">
    <w:p w14:paraId="6F7E6261" w14:textId="77777777" w:rsidR="00751F4E" w:rsidRDefault="00751F4E" w:rsidP="00751F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DC"/>
    <w:rsid w:val="00022CE2"/>
    <w:rsid w:val="00023EF4"/>
    <w:rsid w:val="00057C2C"/>
    <w:rsid w:val="00074DB6"/>
    <w:rsid w:val="000905A7"/>
    <w:rsid w:val="000B2B8D"/>
    <w:rsid w:val="001102BA"/>
    <w:rsid w:val="00123981"/>
    <w:rsid w:val="00136D78"/>
    <w:rsid w:val="00146C69"/>
    <w:rsid w:val="00161B8C"/>
    <w:rsid w:val="001B0287"/>
    <w:rsid w:val="001D531A"/>
    <w:rsid w:val="001F125C"/>
    <w:rsid w:val="00222BCA"/>
    <w:rsid w:val="00276923"/>
    <w:rsid w:val="00290DA0"/>
    <w:rsid w:val="002A7859"/>
    <w:rsid w:val="002C4F1B"/>
    <w:rsid w:val="002D5438"/>
    <w:rsid w:val="00303B2E"/>
    <w:rsid w:val="00323A57"/>
    <w:rsid w:val="00362273"/>
    <w:rsid w:val="003A0F66"/>
    <w:rsid w:val="003A6288"/>
    <w:rsid w:val="003D5A2F"/>
    <w:rsid w:val="003E3DB1"/>
    <w:rsid w:val="003F3701"/>
    <w:rsid w:val="004069D9"/>
    <w:rsid w:val="00434E0C"/>
    <w:rsid w:val="004668C1"/>
    <w:rsid w:val="004A0D1B"/>
    <w:rsid w:val="004E55B0"/>
    <w:rsid w:val="00520248"/>
    <w:rsid w:val="005475E8"/>
    <w:rsid w:val="00551655"/>
    <w:rsid w:val="005802CE"/>
    <w:rsid w:val="005C75E6"/>
    <w:rsid w:val="005D35C1"/>
    <w:rsid w:val="00602BEC"/>
    <w:rsid w:val="00613C96"/>
    <w:rsid w:val="00616218"/>
    <w:rsid w:val="00642745"/>
    <w:rsid w:val="00650BBD"/>
    <w:rsid w:val="00655B83"/>
    <w:rsid w:val="00663BEC"/>
    <w:rsid w:val="006657FF"/>
    <w:rsid w:val="00687158"/>
    <w:rsid w:val="006A3340"/>
    <w:rsid w:val="006D6286"/>
    <w:rsid w:val="0072033F"/>
    <w:rsid w:val="007403FF"/>
    <w:rsid w:val="00751F4E"/>
    <w:rsid w:val="007B2D6B"/>
    <w:rsid w:val="00821913"/>
    <w:rsid w:val="00836700"/>
    <w:rsid w:val="008730C7"/>
    <w:rsid w:val="008A46FD"/>
    <w:rsid w:val="008B1DF3"/>
    <w:rsid w:val="008E6D68"/>
    <w:rsid w:val="008F0BA3"/>
    <w:rsid w:val="00927EA9"/>
    <w:rsid w:val="00984E37"/>
    <w:rsid w:val="009C4076"/>
    <w:rsid w:val="009D26BB"/>
    <w:rsid w:val="009D5D1E"/>
    <w:rsid w:val="009F7023"/>
    <w:rsid w:val="00A1068B"/>
    <w:rsid w:val="00A44443"/>
    <w:rsid w:val="00A67E99"/>
    <w:rsid w:val="00A969B1"/>
    <w:rsid w:val="00B154DC"/>
    <w:rsid w:val="00B27558"/>
    <w:rsid w:val="00B30C05"/>
    <w:rsid w:val="00B776DF"/>
    <w:rsid w:val="00B872EA"/>
    <w:rsid w:val="00B87A66"/>
    <w:rsid w:val="00C133BE"/>
    <w:rsid w:val="00C14F8A"/>
    <w:rsid w:val="00C33C96"/>
    <w:rsid w:val="00CC6F9A"/>
    <w:rsid w:val="00CE5FD6"/>
    <w:rsid w:val="00CF412B"/>
    <w:rsid w:val="00CF7FD8"/>
    <w:rsid w:val="00D32EDF"/>
    <w:rsid w:val="00D41C3C"/>
    <w:rsid w:val="00D53D7E"/>
    <w:rsid w:val="00D726DD"/>
    <w:rsid w:val="00D76F8D"/>
    <w:rsid w:val="00D93D25"/>
    <w:rsid w:val="00DA7829"/>
    <w:rsid w:val="00E21363"/>
    <w:rsid w:val="00E4669F"/>
    <w:rsid w:val="00E61545"/>
    <w:rsid w:val="00EB02A8"/>
    <w:rsid w:val="00EB0371"/>
    <w:rsid w:val="00F208F3"/>
    <w:rsid w:val="00F83BC4"/>
    <w:rsid w:val="00F86AA1"/>
    <w:rsid w:val="00FC3D69"/>
    <w:rsid w:val="00FD05BC"/>
    <w:rsid w:val="00FE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3976"/>
  <w15:chartTrackingRefBased/>
  <w15:docId w15:val="{7A51BAD2-D983-44CE-97AD-ADE492E0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3C96"/>
    <w:rPr>
      <w:sz w:val="16"/>
      <w:szCs w:val="16"/>
    </w:rPr>
  </w:style>
  <w:style w:type="paragraph" w:styleId="CommentText">
    <w:name w:val="annotation text"/>
    <w:basedOn w:val="Normal"/>
    <w:link w:val="CommentTextChar"/>
    <w:uiPriority w:val="99"/>
    <w:semiHidden/>
    <w:unhideWhenUsed/>
    <w:rsid w:val="00C33C96"/>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C33C96"/>
    <w:rPr>
      <w:sz w:val="20"/>
      <w:szCs w:val="20"/>
    </w:rPr>
  </w:style>
  <w:style w:type="paragraph" w:styleId="BalloonText">
    <w:name w:val="Balloon Text"/>
    <w:basedOn w:val="Normal"/>
    <w:link w:val="BalloonTextChar"/>
    <w:uiPriority w:val="99"/>
    <w:semiHidden/>
    <w:unhideWhenUsed/>
    <w:rsid w:val="00C33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C96"/>
    <w:rPr>
      <w:rFonts w:ascii="Segoe UI" w:hAnsi="Segoe UI" w:cs="Segoe UI"/>
      <w:sz w:val="18"/>
      <w:szCs w:val="18"/>
    </w:rPr>
  </w:style>
  <w:style w:type="paragraph" w:styleId="Header">
    <w:name w:val="header"/>
    <w:basedOn w:val="Normal"/>
    <w:link w:val="HeaderChar"/>
    <w:uiPriority w:val="99"/>
    <w:unhideWhenUsed/>
    <w:rsid w:val="00751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F4E"/>
  </w:style>
  <w:style w:type="paragraph" w:styleId="Footer">
    <w:name w:val="footer"/>
    <w:basedOn w:val="Normal"/>
    <w:link w:val="FooterChar"/>
    <w:uiPriority w:val="99"/>
    <w:unhideWhenUsed/>
    <w:rsid w:val="00751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F4E"/>
  </w:style>
  <w:style w:type="paragraph" w:styleId="CommentSubject">
    <w:name w:val="annotation subject"/>
    <w:basedOn w:val="CommentText"/>
    <w:next w:val="CommentText"/>
    <w:link w:val="CommentSubjectChar"/>
    <w:uiPriority w:val="99"/>
    <w:semiHidden/>
    <w:unhideWhenUsed/>
    <w:rsid w:val="00276923"/>
    <w:pPr>
      <w:spacing w:after="160"/>
    </w:pPr>
    <w:rPr>
      <w:b/>
      <w:bCs/>
    </w:rPr>
  </w:style>
  <w:style w:type="character" w:customStyle="1" w:styleId="CommentSubjectChar">
    <w:name w:val="Comment Subject Char"/>
    <w:basedOn w:val="CommentTextChar"/>
    <w:link w:val="CommentSubject"/>
    <w:uiPriority w:val="99"/>
    <w:semiHidden/>
    <w:rsid w:val="00276923"/>
    <w:rPr>
      <w:b/>
      <w:bCs/>
      <w:sz w:val="20"/>
      <w:szCs w:val="20"/>
    </w:rPr>
  </w:style>
  <w:style w:type="paragraph" w:styleId="Quote">
    <w:name w:val="Quote"/>
    <w:basedOn w:val="Normal"/>
    <w:next w:val="Normal"/>
    <w:link w:val="QuoteChar"/>
    <w:uiPriority w:val="29"/>
    <w:qFormat/>
    <w:rsid w:val="00A4444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4444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07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0CC0-5C01-408F-8044-E065E94E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2287</Words>
  <Characters>13041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Dobbs, Lauren (NIH/NIAAA) [F]</dc:creator>
  <cp:keywords/>
  <dc:description/>
  <cp:lastModifiedBy>Alvarez, Veronica (NIH/NIAAA) [E]</cp:lastModifiedBy>
  <cp:revision>5</cp:revision>
  <dcterms:created xsi:type="dcterms:W3CDTF">2018-10-12T14:25:00Z</dcterms:created>
  <dcterms:modified xsi:type="dcterms:W3CDTF">2018-10-12T15:11:00Z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http://www.zotero.org/styles/neuropsychopharmacology</vt:lpwstr>
  </property>
  <property fmtid="{D5CDD505-2E9C-101B-9397-08002B2CF9AE}" pid="4" name="Mendeley Unique User Id_1">
    <vt:lpwstr>37b62871-ba97-39fc-806b-8d5e5998ca00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http://www.zotero.org/styles/neuron</vt:lpwstr>
  </property>
  <property fmtid="{D5CDD505-2E9C-101B-9397-08002B2CF9AE}" pid="22" name="Mendeley Recent Style Name 8_1">
    <vt:lpwstr>Neuron</vt:lpwstr>
  </property>
  <property fmtid="{D5CDD505-2E9C-101B-9397-08002B2CF9AE}" pid="23" name="Mendeley Recent Style Id 9_1">
    <vt:lpwstr>http://www.zotero.org/styles/neuropsychopharmacology</vt:lpwstr>
  </property>
  <property fmtid="{D5CDD505-2E9C-101B-9397-08002B2CF9AE}" pid="24" name="Mendeley Recent Style Name 9_1">
    <vt:lpwstr>Neuropsychopharmacology</vt:lpwstr>
  </property>
</Properties>
</file>