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0B0" w:rsidRDefault="009C2992" w:rsidP="008342F9">
      <w:pPr>
        <w:jc w:val="center"/>
        <w:rPr>
          <w:lang w:val="en-US"/>
        </w:rPr>
      </w:pPr>
      <w:r>
        <w:rPr>
          <w:lang w:val="en-US"/>
        </w:rPr>
        <w:t>Supplementary Information</w:t>
      </w:r>
    </w:p>
    <w:p w:rsidR="008342F9" w:rsidRDefault="008342F9" w:rsidP="008342F9">
      <w:pPr>
        <w:jc w:val="center"/>
        <w:rPr>
          <w:lang w:val="en-US"/>
        </w:rPr>
      </w:pPr>
    </w:p>
    <w:p w:rsidR="008342F9" w:rsidRDefault="008342F9" w:rsidP="008342F9">
      <w:pPr>
        <w:jc w:val="center"/>
        <w:rPr>
          <w:lang w:val="en-US"/>
        </w:rPr>
      </w:pPr>
    </w:p>
    <w:p w:rsidR="009D5423" w:rsidRDefault="009D5423" w:rsidP="009C2992">
      <w:pPr>
        <w:spacing w:line="480" w:lineRule="auto"/>
        <w:rPr>
          <w:b/>
          <w:lang w:val="en-US"/>
        </w:rPr>
      </w:pPr>
      <w:r>
        <w:rPr>
          <w:b/>
          <w:lang w:val="en-US"/>
        </w:rPr>
        <w:t>Supplementary Methods:</w:t>
      </w:r>
    </w:p>
    <w:p w:rsidR="009D5423" w:rsidRDefault="009D5423" w:rsidP="009C2992">
      <w:pPr>
        <w:spacing w:line="480" w:lineRule="auto"/>
        <w:rPr>
          <w:rFonts w:cs="Calibri"/>
        </w:rPr>
      </w:pPr>
      <w:r w:rsidRPr="001159DF">
        <w:rPr>
          <w:lang w:val="en-US"/>
        </w:rPr>
        <w:t xml:space="preserve">Infusions were </w:t>
      </w:r>
      <w:r>
        <w:rPr>
          <w:lang w:val="en-US"/>
        </w:rPr>
        <w:t>as described in the main methods</w:t>
      </w:r>
      <w:r w:rsidRPr="001159DF">
        <w:rPr>
          <w:lang w:val="en-US"/>
        </w:rPr>
        <w:t>.</w:t>
      </w:r>
      <w:r>
        <w:rPr>
          <w:lang w:val="en-US"/>
        </w:rPr>
        <w:t xml:space="preserve"> </w:t>
      </w:r>
      <w:r w:rsidRPr="009D5423">
        <w:rPr>
          <w:rFonts w:cs="Calibri"/>
        </w:rPr>
        <w:t xml:space="preserve">For Experiment 4, the GluN2B </w:t>
      </w:r>
      <w:proofErr w:type="spellStart"/>
      <w:r w:rsidRPr="009D5423">
        <w:rPr>
          <w:rFonts w:cs="Calibri"/>
        </w:rPr>
        <w:t>diheteromeric</w:t>
      </w:r>
      <w:proofErr w:type="spellEnd"/>
      <w:r w:rsidRPr="009D5423">
        <w:rPr>
          <w:rFonts w:cs="Calibri"/>
        </w:rPr>
        <w:t xml:space="preserve"> receptor-selective </w:t>
      </w:r>
      <w:r w:rsidRPr="001159DF">
        <w:rPr>
          <w:rFonts w:cs="Calibri"/>
          <w:lang w:val="en-US"/>
        </w:rPr>
        <w:fldChar w:fldCharType="begin" w:fldLock="1"/>
      </w:r>
      <w:r w:rsidRPr="009D5423">
        <w:rPr>
          <w:rFonts w:cs="Calibri"/>
        </w:rPr>
        <w:instrText>ADDIN CSL_CITATION { "citationItems" : [ { "id" : "ITEM-1", "itemData" : { "DOI" : "7901753", "ISBN" : "0026-895X (Print)\\n0026-895X (Linking)", "ISSN" : "0026-895X", "PMID" : "7901753", "abstract" : "The effects of the atypical N-methyl-D-aspartate (NMDA) receptor antagonist ifenprodil were investigated by voltage-clamp recording of Xenopus oocytes expressing heteromeric NMDA receptors from cloned NR1 and NR2 subunit RNAs. In oocytes voltage-clamped at -70 mV, ifenprodil inhibited NMDA-induced currents at NR1A/NR2B receptors with high affinity (IC50 = 0.34 microM). The affinity of NR1A/NR2A receptors for ifenprodil (IC50 = 146 microM) was 400-fold lower than that of NR1A/NR2B receptors. The rate of onset of inhibition by low concentrations of ifenprodil acting at NR1A/NR2B receptors was considerably slower than the onset of inhibition seen with high concentrations of ifenprodil acting at NR1A/NR2A receptors. The onset and recovery of blockade by ifenprodil at NR1A/NR2B receptors were not activity dependent. The inhibitory effects of low concentrations of ifenprodil at NR1A/NR2B receptors were not voltage dependent. In contrast, the inhibitory effects of high concentrations of ifenprodil at NR1A/NR2A receptors were partially voltage dependent, and a greater inhibition of NMDA-induced currents was seen at hyperpolarized membrane potentials than at depolarized membrane potentials. The reversal potential of NMDA currents was not altered in the presence of ifenprodil. Ifenprodil may act as a weak open-channel blocker of NR1A/N</w:instrText>
      </w:r>
      <w:r w:rsidRPr="004E45B0">
        <w:rPr>
          <w:rFonts w:cs="Calibri"/>
        </w:rPr>
        <w:instrText>R2A receptors. The degree of inhibition seen with 100 microM ifenprodil at NR1A/NR2A receptors was not altered by changes in the concentration of extracellular glycine. However, the inhibitory effect of 1 microM ifenprodil at NR1A/NR2B receptors was reduced by increasing the concentration of glycine. Thus, part of the mechanism of action of ifenprodil at NR1A/NR2B receptors may involve noncompetitive antagonism of the effects of glycine. These results indicate that the mechanism of action of ifenprodil, as well as the potency of this antagonist, is different at NR1A/NR2B and NR1A/NR2A receptors expressed in Xenopus oocytes.", "author" : [ { "dropping-particle" : "", "family" : "Williams", "given" : "K", "non-dropping-particle" : "", "parse-names" : false, "suffix" : "" } ], "container-title" : "Molecular pharmacology", "id" : "ITEM-1", "issue" : "4", "issued" : { "date-parts" : [ [ "1993" ] ] }, "page" : "851-859", "title" : "Ifenprodil discriminates subtypes of the N-methyl-D-aspartate receptor: selectivity and mechanisms at recombinant heteromeric receptors.", "type" : "article-journal", "volume" : "44" }, "uris" : [ "http://www.mendeley.com/documents/?uuid=730e0269-1f7c-446c-9b65-bf27e46adbc8" ] } ], "mendeley" : { "formattedCitation" : "(Williams, 1993)", "plainTextFormattedCitation" : "(Williams, 1993)", "previouslyFormattedCitation" : "(Williams, 1993)" }, "properties" : {  }, "schema" : "https://github.com/citation-style-language/schema/raw/master/csl-citation.json" }</w:instrText>
      </w:r>
      <w:r w:rsidRPr="001159DF">
        <w:rPr>
          <w:rFonts w:cs="Calibri"/>
          <w:lang w:val="en-US"/>
        </w:rPr>
        <w:fldChar w:fldCharType="separate"/>
      </w:r>
      <w:r w:rsidRPr="004E45B0">
        <w:rPr>
          <w:rFonts w:cs="Calibri"/>
          <w:noProof/>
        </w:rPr>
        <w:t>(Williams, 1993)</w:t>
      </w:r>
      <w:r w:rsidRPr="001159DF">
        <w:rPr>
          <w:rFonts w:cs="Calibri"/>
          <w:lang w:val="en-US"/>
        </w:rPr>
        <w:fldChar w:fldCharType="end"/>
      </w:r>
      <w:r w:rsidRPr="004E45B0">
        <w:rPr>
          <w:rFonts w:cs="Calibri"/>
        </w:rPr>
        <w:t xml:space="preserve"> NMDAR antagonist </w:t>
      </w:r>
      <w:proofErr w:type="spellStart"/>
      <w:r w:rsidRPr="004E45B0">
        <w:rPr>
          <w:rFonts w:cs="Calibri"/>
        </w:rPr>
        <w:t>ifenprodil</w:t>
      </w:r>
      <w:proofErr w:type="spellEnd"/>
      <w:r w:rsidRPr="004E45B0">
        <w:rPr>
          <w:rFonts w:cs="Calibri"/>
        </w:rPr>
        <w:t xml:space="preserve"> (Ascent Scientific) was dissolved in PBS at a concentration of 2</w:t>
      </w:r>
      <w:r w:rsidRPr="001159DF">
        <w:rPr>
          <w:rFonts w:cs="Calibri"/>
          <w:lang w:val="en-US"/>
        </w:rPr>
        <w:t>μ</w:t>
      </w:r>
      <w:r w:rsidRPr="004E45B0">
        <w:rPr>
          <w:rFonts w:cs="Calibri"/>
        </w:rPr>
        <w:t>g/</w:t>
      </w:r>
      <w:r w:rsidRPr="001159DF">
        <w:rPr>
          <w:rFonts w:cs="Calibri"/>
          <w:lang w:val="en-US"/>
        </w:rPr>
        <w:t>μ</w:t>
      </w:r>
      <w:r w:rsidRPr="004E45B0">
        <w:rPr>
          <w:rFonts w:cs="Calibri"/>
        </w:rPr>
        <w:t xml:space="preserve">l, this dose has previously been shown to disrupt memory destabilization (Ben </w:t>
      </w:r>
      <w:proofErr w:type="spellStart"/>
      <w:r w:rsidRPr="004E45B0">
        <w:rPr>
          <w:rFonts w:cs="Calibri"/>
        </w:rPr>
        <w:t>Mamou</w:t>
      </w:r>
      <w:proofErr w:type="spellEnd"/>
      <w:r w:rsidRPr="004E45B0">
        <w:rPr>
          <w:rFonts w:cs="Calibri"/>
        </w:rPr>
        <w:t xml:space="preserve"> et al., 2006, Milton et al., 2013). </w:t>
      </w:r>
    </w:p>
    <w:p w:rsidR="009C2992" w:rsidRPr="001159DF" w:rsidRDefault="009C2992" w:rsidP="009C2992">
      <w:pPr>
        <w:spacing w:line="480" w:lineRule="auto"/>
        <w:rPr>
          <w:b/>
          <w:lang w:val="en-US"/>
        </w:rPr>
      </w:pPr>
      <w:r w:rsidRPr="001159DF">
        <w:rPr>
          <w:b/>
          <w:lang w:val="en-US"/>
        </w:rPr>
        <w:t>Antagonism at BLA GluN2B containing NMDARs does not block the retrieval extinction effect</w:t>
      </w:r>
    </w:p>
    <w:p w:rsidR="009C2992" w:rsidRDefault="009C2992" w:rsidP="00357E54">
      <w:pPr>
        <w:spacing w:line="480" w:lineRule="auto"/>
        <w:rPr>
          <w:lang w:val="en-US"/>
        </w:rPr>
      </w:pPr>
      <w:r w:rsidRPr="001159DF">
        <w:rPr>
          <w:lang w:val="en-US"/>
        </w:rPr>
        <w:t xml:space="preserve">The results of Experiment </w:t>
      </w:r>
      <w:r>
        <w:rPr>
          <w:lang w:val="en-US"/>
        </w:rPr>
        <w:t>1</w:t>
      </w:r>
      <w:r w:rsidRPr="001159DF">
        <w:rPr>
          <w:lang w:val="en-US"/>
        </w:rPr>
        <w:t xml:space="preserve"> were counterintuitive, as we failed to replicate the impaired fear memory reacquisition </w:t>
      </w:r>
      <w:r>
        <w:rPr>
          <w:lang w:val="en-US"/>
        </w:rPr>
        <w:t xml:space="preserve">reported by others and </w:t>
      </w:r>
      <w:r w:rsidRPr="001159DF">
        <w:rPr>
          <w:lang w:val="en-US"/>
        </w:rPr>
        <w:t xml:space="preserve">that had been observed in </w:t>
      </w:r>
      <w:proofErr w:type="spellStart"/>
      <w:r w:rsidRPr="001159DF">
        <w:rPr>
          <w:lang w:val="en-US"/>
        </w:rPr>
        <w:t>uncannulated</w:t>
      </w:r>
      <w:proofErr w:type="spellEnd"/>
      <w:r w:rsidRPr="001159DF">
        <w:rPr>
          <w:lang w:val="en-US"/>
        </w:rPr>
        <w:t xml:space="preserve"> animals in </w:t>
      </w:r>
      <w:r>
        <w:rPr>
          <w:lang w:val="en-US"/>
        </w:rPr>
        <w:t xml:space="preserve">our </w:t>
      </w:r>
      <w:r w:rsidRPr="001159DF">
        <w:rPr>
          <w:lang w:val="en-US"/>
        </w:rPr>
        <w:t xml:space="preserve">Experiments </w:t>
      </w:r>
      <w:r>
        <w:rPr>
          <w:lang w:val="en-US"/>
        </w:rPr>
        <w:t>3</w:t>
      </w:r>
      <w:r w:rsidRPr="001159DF">
        <w:rPr>
          <w:lang w:val="en-US"/>
        </w:rPr>
        <w:t xml:space="preserve"> and </w:t>
      </w:r>
      <w:r>
        <w:rPr>
          <w:lang w:val="en-US"/>
        </w:rPr>
        <w:t>4</w:t>
      </w:r>
      <w:r w:rsidRPr="001159DF">
        <w:rPr>
          <w:lang w:val="en-US"/>
        </w:rPr>
        <w:t xml:space="preserve">, and treatment with a dopamine receptor antagonist, which should interfere with </w:t>
      </w:r>
      <w:r>
        <w:rPr>
          <w:lang w:val="en-US"/>
        </w:rPr>
        <w:t>signaling</w:t>
      </w:r>
      <w:r w:rsidRPr="001159DF">
        <w:rPr>
          <w:lang w:val="en-US"/>
        </w:rPr>
        <w:t xml:space="preserve"> of prediction error, appeared to facilitate the impairment in fear memory reacquisition produced by the retrieval-extinction procedure. As these results were unexpected, we used an alternative approach  to assess whether memory </w:t>
      </w:r>
      <w:r>
        <w:rPr>
          <w:lang w:val="en-US"/>
        </w:rPr>
        <w:t>destabilization</w:t>
      </w:r>
      <w:r w:rsidRPr="001159DF">
        <w:rPr>
          <w:lang w:val="en-US"/>
        </w:rPr>
        <w:t xml:space="preserve"> is necessary for the retrieval-extinction effect, targeting the GluN2B-subtype of NMDA receptors that is required for </w:t>
      </w:r>
      <w:r>
        <w:rPr>
          <w:lang w:val="en-US"/>
        </w:rPr>
        <w:t>destabilization</w:t>
      </w:r>
      <w:r w:rsidRPr="001159DF">
        <w:rPr>
          <w:lang w:val="en-US"/>
        </w:rPr>
        <w:t xml:space="preserve"> to occur </w:t>
      </w:r>
      <w:r w:rsidRPr="001159DF">
        <w:rPr>
          <w:lang w:val="en-US"/>
        </w:rPr>
        <w:fldChar w:fldCharType="begin" w:fldLock="1"/>
      </w:r>
      <w:r w:rsidRPr="001159DF">
        <w:rPr>
          <w:lang w:val="en-US"/>
        </w:rPr>
        <w:instrText>ADDIN CSL_CITATION { "citationItems" : [ { "id" : "ITEM-1", "itemData" : { "DOI" : "10.1038/nn1778", "ISSN" : "1097-6256", "PMID" : "16998481", "abstract" : "Memories are dynamic and can change when recalled. The process that returns memories to a labile state during remembering is unclear. We found that the presence of NMDA, but not AMPA, receptor antagonists in the amygdala prior to recall prevented the consolidated fear memory from returning to a labile state. These findings suggest that NMDA receptors in the amygdala are critical for transforming a memory from a fixed to a labile state.", "author" : [ { "dropping-particle" : "", "family" : "Mamou", "given" : "Cyrinne", "non-dropping-particle" : "Ben", "parse-names" : false, "suffix" : "" }, { "dropping-particle" : "", "family" : "Gamache", "given" : "Karine", "non-dropping-particle" : "", "parse-names" : false, "suffix" : "" }, { "dropping-particle" : "", "family" : "Nader", "given" : "Karim", "non-dropping-particle" : "", "parse-names" : false, "suffix" : "" } ], "container-title" : "Nature neuroscience", "id" : "ITEM-1", "issue" : "10", "issued" : { "date-parts" : [ [ "2006", "10" ] ] }, "page" : "1237-9", "title" : "NMDA receptors are critical for unleashing consolidated auditory fear memories.", "type" : "article-journal", "volume" : "9" }, "uris" : [ "http://www.mendeley.com/documents/?uuid=ce8befd4-088c-42b2-bfc0-7f99dd47272d" ] }, { "id" : "ITEM-2", "itemData" : { "DOI" : "10.1523/JNEUROSCI.3273-12.2013", "ISSN" : "0270-6474", "author" : [ { "dropping-particle" : "", "family" : "Milton", "given" : "a. L.", "non-dropping-particle" : "", "parse-names" : false, "suffix" : "" }, { "dropping-particle" : "", "family" : "Merlo", "given" : "E.", "non-dropping-particle" : "", "parse-names" : false, "suffix" : "" }, { "dropping-particle" : "", "family" : "Ratano", "given" : "P.", "non-dropping-particle" : "", "parse-names" : false, "suffix" : "" }, { "dropping-particle" : "", "family" : "Gregory", "given" : "B. L.", "non-dropping-particle" : "", "parse-names" : false, "suffix" : "" }, { "dropping-particle" : "", "family" : "Dumbreck", "given" : "J. K.", "non-dropping-particle" : "", "parse-names" : false, "suffix" : "" }, { "dropping-particle" : "", "family" : "Everitt", "given" : "B. J.", "non-dropping-particle" : "", "parse-names" : false, "suffix" : "" } ], "container-title" : "Journal of Neuroscience", "id" : "ITEM-2", "issue" : "3", "issued" : { "date-parts" : [ [ "2013", "1", "16" ] ] }, "page" : "1109-1115", "title" : "Double Dissociation of the Requirement for GluN2B- and GluN2A-Containing NMDA Receptors in the Destabilization and Restabilization of a Reconsolidating Memory", "type" : "article-journal", "volume" : "33" }, "uris" : [ "http://www.mendeley.com/documents/?uuid=37f917a8-9da8-42cb-b1d8-4a62b7c429bd" ] } ], "mendeley" : { "formattedCitation" : "(Ben Mamou et al., 2006; Milton et al., 2013a)", "plainTextFormattedCitation" : "(Ben Mamou et al., 2006; Milton et al., 2013a)", "previouslyFormattedCitation" : "(Ben Mamou et al., 2006; Milton et al., 2013a)" }, "properties" : {  }, "schema" : "https://github.com/citation-style-language/schema/raw/master/csl-citation.json" }</w:instrText>
      </w:r>
      <w:r w:rsidRPr="001159DF">
        <w:rPr>
          <w:lang w:val="en-US"/>
        </w:rPr>
        <w:fldChar w:fldCharType="separate"/>
      </w:r>
      <w:r w:rsidRPr="001159DF">
        <w:rPr>
          <w:noProof/>
          <w:lang w:val="en-US"/>
        </w:rPr>
        <w:t>(Ben Mamou et al., 2006; Milton et al., 2013)</w:t>
      </w:r>
      <w:r w:rsidRPr="001159DF">
        <w:rPr>
          <w:lang w:val="en-US"/>
        </w:rPr>
        <w:fldChar w:fldCharType="end"/>
      </w:r>
      <w:r w:rsidRPr="001159DF">
        <w:rPr>
          <w:lang w:val="en-US"/>
        </w:rPr>
        <w:t xml:space="preserve">. Experimental procedures and methods were similar to Experiment </w:t>
      </w:r>
      <w:r>
        <w:rPr>
          <w:lang w:val="en-US"/>
        </w:rPr>
        <w:t>1</w:t>
      </w:r>
      <w:r w:rsidRPr="001159DF">
        <w:rPr>
          <w:lang w:val="en-US"/>
        </w:rPr>
        <w:t>, except that animals received either Vehicle (‘</w:t>
      </w:r>
      <w:proofErr w:type="spellStart"/>
      <w:r w:rsidRPr="001159DF">
        <w:rPr>
          <w:lang w:val="en-US"/>
        </w:rPr>
        <w:t>Veh</w:t>
      </w:r>
      <w:proofErr w:type="spellEnd"/>
      <w:r w:rsidRPr="001159DF">
        <w:rPr>
          <w:lang w:val="en-US"/>
        </w:rPr>
        <w:t xml:space="preserve"> Ret’ and ‘</w:t>
      </w:r>
      <w:proofErr w:type="spellStart"/>
      <w:r w:rsidRPr="001159DF">
        <w:rPr>
          <w:lang w:val="en-US"/>
        </w:rPr>
        <w:t>Veh</w:t>
      </w:r>
      <w:proofErr w:type="spellEnd"/>
      <w:r w:rsidRPr="001159DF">
        <w:rPr>
          <w:lang w:val="en-US"/>
        </w:rPr>
        <w:t xml:space="preserve"> </w:t>
      </w:r>
      <w:proofErr w:type="spellStart"/>
      <w:r w:rsidRPr="001159DF">
        <w:rPr>
          <w:lang w:val="en-US"/>
        </w:rPr>
        <w:t>NoRet</w:t>
      </w:r>
      <w:proofErr w:type="spellEnd"/>
      <w:r w:rsidRPr="001159DF">
        <w:rPr>
          <w:lang w:val="en-US"/>
        </w:rPr>
        <w:t xml:space="preserve">’ groups) or the GluN2B-selective NMDA receptor antagonist </w:t>
      </w:r>
      <w:proofErr w:type="spellStart"/>
      <w:r w:rsidRPr="001159DF">
        <w:rPr>
          <w:lang w:val="en-US"/>
        </w:rPr>
        <w:t>ifenprodil</w:t>
      </w:r>
      <w:proofErr w:type="spellEnd"/>
      <w:r w:rsidRPr="001159DF">
        <w:rPr>
          <w:lang w:val="en-US"/>
        </w:rPr>
        <w:t xml:space="preserve"> (‘</w:t>
      </w:r>
      <w:proofErr w:type="spellStart"/>
      <w:r w:rsidRPr="001159DF">
        <w:rPr>
          <w:lang w:val="en-US"/>
        </w:rPr>
        <w:t>Ifen</w:t>
      </w:r>
      <w:proofErr w:type="spellEnd"/>
      <w:r w:rsidRPr="001159DF">
        <w:rPr>
          <w:lang w:val="en-US"/>
        </w:rPr>
        <w:t xml:space="preserve"> Ret’ and ‘</w:t>
      </w:r>
      <w:proofErr w:type="spellStart"/>
      <w:r w:rsidRPr="001159DF">
        <w:rPr>
          <w:lang w:val="en-US"/>
        </w:rPr>
        <w:t>Ifen</w:t>
      </w:r>
      <w:proofErr w:type="spellEnd"/>
      <w:r w:rsidRPr="001159DF">
        <w:rPr>
          <w:lang w:val="en-US"/>
        </w:rPr>
        <w:t xml:space="preserve"> </w:t>
      </w:r>
      <w:proofErr w:type="spellStart"/>
      <w:r w:rsidRPr="001159DF">
        <w:rPr>
          <w:lang w:val="en-US"/>
        </w:rPr>
        <w:t>NoRet</w:t>
      </w:r>
      <w:proofErr w:type="spellEnd"/>
      <w:r w:rsidRPr="001159DF">
        <w:rPr>
          <w:lang w:val="en-US"/>
        </w:rPr>
        <w:t xml:space="preserve">’). All groups acquired fear conditioning (Fig 4B) across CS-US presentations to an equal extent (CS: </w:t>
      </w:r>
      <w:proofErr w:type="gramStart"/>
      <w:r w:rsidRPr="001159DF">
        <w:rPr>
          <w:lang w:val="en-US"/>
        </w:rPr>
        <w:t>F(</w:t>
      </w:r>
      <w:proofErr w:type="gramEnd"/>
      <w:r w:rsidRPr="001159DF">
        <w:rPr>
          <w:vertAlign w:val="subscript"/>
          <w:lang w:val="en-US"/>
        </w:rPr>
        <w:t>1.8, 30.95</w:t>
      </w:r>
      <w:r w:rsidRPr="001159DF">
        <w:rPr>
          <w:lang w:val="en-US"/>
        </w:rPr>
        <w:t>) = 59.6, P&lt;0.0001, ɲ</w:t>
      </w:r>
      <w:r w:rsidRPr="001159DF">
        <w:rPr>
          <w:vertAlign w:val="superscript"/>
          <w:lang w:val="en-US"/>
        </w:rPr>
        <w:t>2</w:t>
      </w:r>
      <w:r w:rsidRPr="001159DF">
        <w:rPr>
          <w:lang w:val="en-US"/>
        </w:rPr>
        <w:t>=0.78) with no differences between the prospective experimental groups from drug treatment  (Drug: F&lt;1) or reactivation (React: F(</w:t>
      </w:r>
      <w:r w:rsidRPr="001159DF">
        <w:rPr>
          <w:vertAlign w:val="subscript"/>
          <w:lang w:val="en-US"/>
        </w:rPr>
        <w:t>1, 17</w:t>
      </w:r>
      <w:r w:rsidRPr="001159DF">
        <w:rPr>
          <w:lang w:val="en-US"/>
        </w:rPr>
        <w:t xml:space="preserve">) = 1.01, P=0.329) nor any interaction (Drug*React: F&lt;1). As before, </w:t>
      </w:r>
      <w:proofErr w:type="spellStart"/>
      <w:r w:rsidRPr="001159DF">
        <w:rPr>
          <w:lang w:val="en-US"/>
        </w:rPr>
        <w:t>Ifenprodil</w:t>
      </w:r>
      <w:proofErr w:type="spellEnd"/>
      <w:r w:rsidRPr="001159DF">
        <w:rPr>
          <w:lang w:val="en-US"/>
        </w:rPr>
        <w:t xml:space="preserve"> or appropriate Vehicle was administered by </w:t>
      </w:r>
      <w:proofErr w:type="spellStart"/>
      <w:r w:rsidRPr="001159DF">
        <w:rPr>
          <w:lang w:val="en-US"/>
        </w:rPr>
        <w:t>microinfusion</w:t>
      </w:r>
      <w:proofErr w:type="spellEnd"/>
      <w:r w:rsidRPr="001159DF">
        <w:rPr>
          <w:lang w:val="en-US"/>
        </w:rPr>
        <w:t xml:space="preserve"> directly into the BLA and animals immediately placed in the experimental chamber (Ret groups) or the home cage (</w:t>
      </w:r>
      <w:proofErr w:type="spellStart"/>
      <w:r w:rsidRPr="001159DF">
        <w:rPr>
          <w:lang w:val="en-US"/>
        </w:rPr>
        <w:t>NoRet</w:t>
      </w:r>
      <w:proofErr w:type="spellEnd"/>
      <w:r w:rsidRPr="001159DF">
        <w:rPr>
          <w:lang w:val="en-US"/>
        </w:rPr>
        <w:t xml:space="preserve"> groups). Both </w:t>
      </w:r>
      <w:proofErr w:type="spellStart"/>
      <w:r w:rsidRPr="001159DF">
        <w:rPr>
          <w:lang w:val="en-US"/>
        </w:rPr>
        <w:t>Veh</w:t>
      </w:r>
      <w:proofErr w:type="spellEnd"/>
      <w:r w:rsidRPr="001159DF">
        <w:rPr>
          <w:lang w:val="en-US"/>
        </w:rPr>
        <w:t xml:space="preserve"> Ret and </w:t>
      </w:r>
      <w:proofErr w:type="spellStart"/>
      <w:r w:rsidRPr="001159DF">
        <w:rPr>
          <w:lang w:val="en-US"/>
        </w:rPr>
        <w:t>Ifen</w:t>
      </w:r>
      <w:proofErr w:type="spellEnd"/>
      <w:r w:rsidRPr="001159DF">
        <w:rPr>
          <w:lang w:val="en-US"/>
        </w:rPr>
        <w:t xml:space="preserve"> Ret groups froze equally to the CS presentation (CS: </w:t>
      </w:r>
      <w:proofErr w:type="gramStart"/>
      <w:r w:rsidRPr="001159DF">
        <w:rPr>
          <w:lang w:val="en-US"/>
        </w:rPr>
        <w:t>F(</w:t>
      </w:r>
      <w:proofErr w:type="gramEnd"/>
      <w:r w:rsidRPr="001159DF">
        <w:rPr>
          <w:vertAlign w:val="subscript"/>
          <w:lang w:val="en-US"/>
        </w:rPr>
        <w:t>1, 16</w:t>
      </w:r>
      <w:r w:rsidRPr="001159DF">
        <w:rPr>
          <w:lang w:val="en-US"/>
        </w:rPr>
        <w:t>) =42.43, P&lt;0.0001, ɲ</w:t>
      </w:r>
      <w:r w:rsidRPr="001159DF">
        <w:rPr>
          <w:vertAlign w:val="superscript"/>
          <w:lang w:val="en-US"/>
        </w:rPr>
        <w:t>2</w:t>
      </w:r>
      <w:r w:rsidRPr="001159DF">
        <w:rPr>
          <w:lang w:val="en-US"/>
        </w:rPr>
        <w:t xml:space="preserve">=0.73) with no effect of the </w:t>
      </w:r>
      <w:proofErr w:type="spellStart"/>
      <w:r w:rsidRPr="001159DF">
        <w:rPr>
          <w:lang w:val="en-US"/>
        </w:rPr>
        <w:t>Ifenprodil</w:t>
      </w:r>
      <w:proofErr w:type="spellEnd"/>
      <w:r w:rsidRPr="001159DF">
        <w:rPr>
          <w:lang w:val="en-US"/>
        </w:rPr>
        <w:t xml:space="preserve"> infusion versus </w:t>
      </w:r>
      <w:r w:rsidRPr="001159DF">
        <w:rPr>
          <w:lang w:val="en-US"/>
        </w:rPr>
        <w:lastRenderedPageBreak/>
        <w:t xml:space="preserve">Vehicle on freezing expression (Drug: F&lt;1). One hour later, all animals underwent extinction training (Fig 4D). For Experiment 4, animals received 19 or 20 CS presentations. For comparison across groups during extinction, the freezing across time for 17 CSs (CS2 to CS18) was considered. All groups extinguished fear across the session (CS: </w:t>
      </w:r>
      <w:proofErr w:type="gramStart"/>
      <w:r w:rsidRPr="001159DF">
        <w:rPr>
          <w:lang w:val="en-US"/>
        </w:rPr>
        <w:t>F(</w:t>
      </w:r>
      <w:proofErr w:type="gramEnd"/>
      <w:r w:rsidRPr="001159DF">
        <w:rPr>
          <w:vertAlign w:val="subscript"/>
          <w:lang w:val="en-US"/>
        </w:rPr>
        <w:t>17, 476</w:t>
      </w:r>
      <w:r w:rsidRPr="001159DF">
        <w:rPr>
          <w:lang w:val="en-US"/>
        </w:rPr>
        <w:t>) = 13.8, P&lt;0.0001, ɲ</w:t>
      </w:r>
      <w:r w:rsidRPr="001159DF">
        <w:rPr>
          <w:vertAlign w:val="superscript"/>
          <w:lang w:val="en-US"/>
        </w:rPr>
        <w:t>2</w:t>
      </w:r>
      <w:r w:rsidRPr="001159DF">
        <w:rPr>
          <w:lang w:val="en-US"/>
        </w:rPr>
        <w:t>=0.33), with no effect of drug treatment (Drug: F&lt;1) but slightly better extinction in the two Ret groups (React: F(</w:t>
      </w:r>
      <w:r w:rsidRPr="001159DF">
        <w:rPr>
          <w:vertAlign w:val="subscript"/>
          <w:lang w:val="en-US"/>
        </w:rPr>
        <w:t>1, 28</w:t>
      </w:r>
      <w:r w:rsidRPr="001159DF">
        <w:rPr>
          <w:lang w:val="en-US"/>
        </w:rPr>
        <w:t>) = 4.44, P=0.044, ɲ</w:t>
      </w:r>
      <w:r w:rsidRPr="001159DF">
        <w:rPr>
          <w:vertAlign w:val="superscript"/>
          <w:lang w:val="en-US"/>
        </w:rPr>
        <w:t>2</w:t>
      </w:r>
      <w:r w:rsidRPr="001159DF">
        <w:rPr>
          <w:lang w:val="en-US"/>
        </w:rPr>
        <w:t xml:space="preserve">=0.14) with no interaction (Drug*React: F(1,28) = 0.951). However, when the last three CS presentations were compared, there was neither an effect of drug treatment (Drug: </w:t>
      </w:r>
      <w:proofErr w:type="gramStart"/>
      <w:r w:rsidRPr="001159DF">
        <w:rPr>
          <w:lang w:val="en-US"/>
        </w:rPr>
        <w:t>F(</w:t>
      </w:r>
      <w:proofErr w:type="gramEnd"/>
      <w:r w:rsidRPr="001159DF">
        <w:rPr>
          <w:vertAlign w:val="subscript"/>
          <w:lang w:val="en-US"/>
        </w:rPr>
        <w:t>1,28</w:t>
      </w:r>
      <w:r w:rsidRPr="001159DF">
        <w:rPr>
          <w:lang w:val="en-US"/>
        </w:rPr>
        <w:t xml:space="preserve">) = 1.98, P=0.170) nor reactivation (React: F &lt;1). The day after extinction (Fig 4E), all groups froze more to the CS than during the </w:t>
      </w:r>
      <w:proofErr w:type="spellStart"/>
      <w:r w:rsidRPr="001159DF">
        <w:rPr>
          <w:lang w:val="en-US"/>
        </w:rPr>
        <w:t>PreCS</w:t>
      </w:r>
      <w:proofErr w:type="spellEnd"/>
      <w:r w:rsidRPr="001159DF">
        <w:rPr>
          <w:lang w:val="en-US"/>
        </w:rPr>
        <w:t xml:space="preserve"> period (</w:t>
      </w:r>
      <w:proofErr w:type="gramStart"/>
      <w:r w:rsidRPr="001159DF">
        <w:rPr>
          <w:lang w:val="en-US"/>
        </w:rPr>
        <w:t>CS:F</w:t>
      </w:r>
      <w:proofErr w:type="gramEnd"/>
      <w:r w:rsidRPr="001159DF">
        <w:rPr>
          <w:lang w:val="en-US"/>
        </w:rPr>
        <w:t>(</w:t>
      </w:r>
      <w:r w:rsidRPr="001159DF">
        <w:rPr>
          <w:vertAlign w:val="subscript"/>
          <w:lang w:val="en-US"/>
        </w:rPr>
        <w:t>1,27</w:t>
      </w:r>
      <w:r w:rsidRPr="001159DF">
        <w:rPr>
          <w:lang w:val="en-US"/>
        </w:rPr>
        <w:t>) = 30.2, P&lt;000.1, ɲ</w:t>
      </w:r>
      <w:r w:rsidRPr="001159DF">
        <w:rPr>
          <w:vertAlign w:val="superscript"/>
          <w:lang w:val="en-US"/>
        </w:rPr>
        <w:t>2</w:t>
      </w:r>
      <w:r w:rsidRPr="001159DF">
        <w:rPr>
          <w:lang w:val="en-US"/>
        </w:rPr>
        <w:t>=0.53), but with no differences between the Ret and No Ret groups (React: F(</w:t>
      </w:r>
      <w:r w:rsidRPr="001159DF">
        <w:rPr>
          <w:vertAlign w:val="subscript"/>
          <w:lang w:val="en-US"/>
        </w:rPr>
        <w:t>1,27</w:t>
      </w:r>
      <w:r w:rsidRPr="001159DF">
        <w:rPr>
          <w:lang w:val="en-US"/>
        </w:rPr>
        <w:t xml:space="preserve">) = 2.62, P=0.117) and no differences between </w:t>
      </w:r>
      <w:proofErr w:type="spellStart"/>
      <w:r w:rsidRPr="001159DF">
        <w:rPr>
          <w:lang w:val="en-US"/>
        </w:rPr>
        <w:t>Veh</w:t>
      </w:r>
      <w:proofErr w:type="spellEnd"/>
      <w:r w:rsidRPr="001159DF">
        <w:rPr>
          <w:lang w:val="en-US"/>
        </w:rPr>
        <w:t xml:space="preserve"> and </w:t>
      </w:r>
      <w:proofErr w:type="spellStart"/>
      <w:r w:rsidRPr="001159DF">
        <w:rPr>
          <w:lang w:val="en-US"/>
        </w:rPr>
        <w:t>Ifen</w:t>
      </w:r>
      <w:proofErr w:type="spellEnd"/>
      <w:r w:rsidRPr="001159DF">
        <w:rPr>
          <w:lang w:val="en-US"/>
        </w:rPr>
        <w:t xml:space="preserve"> groups (Drug: F &lt; 1). The effects of reactivation and/or </w:t>
      </w:r>
      <w:proofErr w:type="spellStart"/>
      <w:r w:rsidRPr="001159DF">
        <w:rPr>
          <w:lang w:val="en-US"/>
        </w:rPr>
        <w:t>Ifen</w:t>
      </w:r>
      <w:proofErr w:type="spellEnd"/>
      <w:r w:rsidRPr="001159DF">
        <w:rPr>
          <w:lang w:val="en-US"/>
        </w:rPr>
        <w:t xml:space="preserve"> on the reacquisition of fear after the shock-CS exposure were tested 24h later (LTM, Fig 4F). All animals froze more to the CS than during the </w:t>
      </w:r>
      <w:proofErr w:type="spellStart"/>
      <w:r w:rsidRPr="001159DF">
        <w:rPr>
          <w:lang w:val="en-US"/>
        </w:rPr>
        <w:t>PreCS</w:t>
      </w:r>
      <w:proofErr w:type="spellEnd"/>
      <w:r w:rsidRPr="001159DF">
        <w:rPr>
          <w:lang w:val="en-US"/>
        </w:rPr>
        <w:t xml:space="preserve"> period (CS: </w:t>
      </w:r>
      <w:proofErr w:type="gramStart"/>
      <w:r w:rsidRPr="001159DF">
        <w:rPr>
          <w:lang w:val="en-US"/>
        </w:rPr>
        <w:t>F(</w:t>
      </w:r>
      <w:proofErr w:type="gramEnd"/>
      <w:r w:rsidRPr="001159DF">
        <w:rPr>
          <w:vertAlign w:val="subscript"/>
          <w:lang w:val="en-US"/>
        </w:rPr>
        <w:t>1,27</w:t>
      </w:r>
      <w:r w:rsidRPr="001159DF">
        <w:rPr>
          <w:lang w:val="en-US"/>
        </w:rPr>
        <w:t>) = 75.4, P&lt;0.0001, ɲ</w:t>
      </w:r>
      <w:r w:rsidRPr="001159DF">
        <w:rPr>
          <w:vertAlign w:val="superscript"/>
          <w:lang w:val="en-US"/>
        </w:rPr>
        <w:t>2</w:t>
      </w:r>
      <w:r w:rsidRPr="001159DF">
        <w:rPr>
          <w:lang w:val="en-US"/>
        </w:rPr>
        <w:t xml:space="preserve">=0.74), but with no main effect of drug treatment (Drug: F&lt;1) or reactivation (React: F&lt; 1) and no interaction (Drug*React F &lt; 1). </w:t>
      </w:r>
      <w:proofErr w:type="spellStart"/>
      <w:r w:rsidRPr="001159DF">
        <w:rPr>
          <w:lang w:val="en-US"/>
        </w:rPr>
        <w:t>Sidak</w:t>
      </w:r>
      <w:proofErr w:type="spellEnd"/>
      <w:r w:rsidRPr="001159DF">
        <w:rPr>
          <w:lang w:val="en-US"/>
        </w:rPr>
        <w:t xml:space="preserve">-corrected pairwise comparisons showed no significant difference between </w:t>
      </w:r>
      <w:proofErr w:type="spellStart"/>
      <w:r w:rsidRPr="001159DF">
        <w:rPr>
          <w:lang w:val="en-US"/>
        </w:rPr>
        <w:t>Veh</w:t>
      </w:r>
      <w:proofErr w:type="spellEnd"/>
      <w:r w:rsidRPr="001159DF">
        <w:rPr>
          <w:lang w:val="en-US"/>
        </w:rPr>
        <w:t xml:space="preserve"> </w:t>
      </w:r>
      <w:proofErr w:type="spellStart"/>
      <w:r w:rsidRPr="001159DF">
        <w:rPr>
          <w:lang w:val="en-US"/>
        </w:rPr>
        <w:t>NoRet</w:t>
      </w:r>
      <w:proofErr w:type="spellEnd"/>
      <w:r w:rsidRPr="001159DF">
        <w:rPr>
          <w:lang w:val="en-US"/>
        </w:rPr>
        <w:t xml:space="preserve"> and </w:t>
      </w:r>
      <w:proofErr w:type="spellStart"/>
      <w:r w:rsidRPr="001159DF">
        <w:rPr>
          <w:lang w:val="en-US"/>
        </w:rPr>
        <w:t>Veh</w:t>
      </w:r>
      <w:proofErr w:type="spellEnd"/>
      <w:r w:rsidRPr="001159DF">
        <w:rPr>
          <w:lang w:val="en-US"/>
        </w:rPr>
        <w:t xml:space="preserve"> Ret (P = 0.490) nor </w:t>
      </w:r>
      <w:proofErr w:type="spellStart"/>
      <w:r w:rsidRPr="001159DF">
        <w:rPr>
          <w:lang w:val="en-US"/>
        </w:rPr>
        <w:t>Ifen</w:t>
      </w:r>
      <w:proofErr w:type="spellEnd"/>
      <w:r w:rsidRPr="001159DF">
        <w:rPr>
          <w:lang w:val="en-US"/>
        </w:rPr>
        <w:t xml:space="preserve"> </w:t>
      </w:r>
      <w:proofErr w:type="spellStart"/>
      <w:r w:rsidRPr="001159DF">
        <w:rPr>
          <w:lang w:val="en-US"/>
        </w:rPr>
        <w:t>NoRet</w:t>
      </w:r>
      <w:proofErr w:type="spellEnd"/>
      <w:r w:rsidRPr="001159DF">
        <w:rPr>
          <w:lang w:val="en-US"/>
        </w:rPr>
        <w:t xml:space="preserve"> and Ret (P = 0.614). In this experiment, again there was no retrieval-extinction effect observed in the vehicle groups. The </w:t>
      </w:r>
      <w:proofErr w:type="spellStart"/>
      <w:r w:rsidRPr="001159DF">
        <w:rPr>
          <w:lang w:val="en-US"/>
        </w:rPr>
        <w:t>Ifen</w:t>
      </w:r>
      <w:proofErr w:type="spellEnd"/>
      <w:r w:rsidRPr="001159DF">
        <w:rPr>
          <w:lang w:val="en-US"/>
        </w:rPr>
        <w:t xml:space="preserve"> Ret group had lower freezing reacquisition than the </w:t>
      </w:r>
      <w:proofErr w:type="spellStart"/>
      <w:r w:rsidRPr="001159DF">
        <w:rPr>
          <w:lang w:val="en-US"/>
        </w:rPr>
        <w:t>Ifen</w:t>
      </w:r>
      <w:proofErr w:type="spellEnd"/>
      <w:r w:rsidRPr="001159DF">
        <w:rPr>
          <w:lang w:val="en-US"/>
        </w:rPr>
        <w:t xml:space="preserve"> </w:t>
      </w:r>
      <w:proofErr w:type="spellStart"/>
      <w:r w:rsidRPr="001159DF">
        <w:rPr>
          <w:lang w:val="en-US"/>
        </w:rPr>
        <w:t>NoRet</w:t>
      </w:r>
      <w:proofErr w:type="spellEnd"/>
      <w:r w:rsidRPr="001159DF">
        <w:rPr>
          <w:lang w:val="en-US"/>
        </w:rPr>
        <w:t xml:space="preserve"> group, which would sup</w:t>
      </w:r>
      <w:r w:rsidR="008342F9">
        <w:rPr>
          <w:lang w:val="en-US"/>
        </w:rPr>
        <w:t>port the findings of Experiment 1</w:t>
      </w:r>
      <w:r w:rsidRPr="001159DF">
        <w:rPr>
          <w:lang w:val="en-US"/>
        </w:rPr>
        <w:t xml:space="preserve">, however this did not reach significance. </w:t>
      </w:r>
    </w:p>
    <w:p w:rsidR="00357E54" w:rsidRPr="00357E54" w:rsidRDefault="00357E54">
      <w:pPr>
        <w:rPr>
          <w:b/>
          <w:lang w:val="en-US"/>
        </w:rPr>
      </w:pPr>
      <w:r w:rsidRPr="00357E54">
        <w:rPr>
          <w:b/>
          <w:lang w:val="en-US"/>
        </w:rPr>
        <w:t>Legends:</w:t>
      </w:r>
    </w:p>
    <w:p w:rsidR="009C2992" w:rsidRDefault="00357E54">
      <w:pPr>
        <w:rPr>
          <w:b/>
          <w:lang w:val="en-US"/>
        </w:rPr>
      </w:pPr>
      <w:r w:rsidRPr="00357E54">
        <w:rPr>
          <w:b/>
          <w:lang w:val="en-US"/>
        </w:rPr>
        <w:t xml:space="preserve">Supplementary Figure </w:t>
      </w:r>
      <w:r>
        <w:rPr>
          <w:b/>
          <w:lang w:val="en-US"/>
        </w:rPr>
        <w:t>1</w:t>
      </w:r>
    </w:p>
    <w:p w:rsidR="00357E54" w:rsidRDefault="00357E54" w:rsidP="00357E54">
      <w:pPr>
        <w:spacing w:line="480" w:lineRule="auto"/>
      </w:pPr>
      <w:r>
        <w:t xml:space="preserve">A: Rats were divided into four groups as </w:t>
      </w:r>
      <w:r>
        <w:t>in Experiment 1</w:t>
      </w:r>
      <w:r>
        <w:t xml:space="preserve">. Two groups received vehicle infusion prior to retrieval (Ret) or were returned to </w:t>
      </w:r>
      <w:proofErr w:type="spellStart"/>
      <w:r>
        <w:t>homecage</w:t>
      </w:r>
      <w:proofErr w:type="spellEnd"/>
      <w:r>
        <w:t xml:space="preserve"> (</w:t>
      </w:r>
      <w:proofErr w:type="spellStart"/>
      <w:r>
        <w:t>NoRet</w:t>
      </w:r>
      <w:proofErr w:type="spellEnd"/>
      <w:r>
        <w:t xml:space="preserve">) and the other two groups received the GluN2B-preferring antagonist </w:t>
      </w:r>
      <w:proofErr w:type="spellStart"/>
      <w:r>
        <w:t>Ifenprodil</w:t>
      </w:r>
      <w:proofErr w:type="spellEnd"/>
      <w:r>
        <w:t xml:space="preserve"> (</w:t>
      </w:r>
      <w:proofErr w:type="spellStart"/>
      <w:r>
        <w:t>Ifen</w:t>
      </w:r>
      <w:proofErr w:type="spellEnd"/>
      <w:r>
        <w:t xml:space="preserve">). </w:t>
      </w:r>
    </w:p>
    <w:p w:rsidR="00357E54" w:rsidRDefault="00357E54" w:rsidP="00357E54">
      <w:pPr>
        <w:spacing w:line="480" w:lineRule="auto"/>
      </w:pPr>
      <w:r>
        <w:t xml:space="preserve">B: All groups acquired fear conditioning across CS-US presentations to an equal extent. </w:t>
      </w:r>
    </w:p>
    <w:p w:rsidR="00357E54" w:rsidRDefault="00357E54" w:rsidP="00357E54">
      <w:pPr>
        <w:spacing w:line="480" w:lineRule="auto"/>
      </w:pPr>
      <w:r>
        <w:lastRenderedPageBreak/>
        <w:t xml:space="preserve">C: Both groups significantly froze in response to the CS presentation at retrieval, with no effect of </w:t>
      </w:r>
      <w:proofErr w:type="spellStart"/>
      <w:r>
        <w:t>Ifen</w:t>
      </w:r>
      <w:proofErr w:type="spellEnd"/>
      <w:r>
        <w:t xml:space="preserve"> on freezing expression.  </w:t>
      </w:r>
    </w:p>
    <w:p w:rsidR="00357E54" w:rsidRPr="00384A1F" w:rsidRDefault="00357E54" w:rsidP="00357E54">
      <w:pPr>
        <w:spacing w:line="480" w:lineRule="auto"/>
      </w:pPr>
      <w:r>
        <w:t>D: All groups extinguished fear across the session</w:t>
      </w:r>
      <w:r>
        <w:rPr>
          <w:lang w:val="en-IE"/>
        </w:rPr>
        <w:t>.</w:t>
      </w:r>
    </w:p>
    <w:p w:rsidR="00357E54" w:rsidRPr="00280ED5" w:rsidRDefault="00357E54" w:rsidP="00357E54">
      <w:pPr>
        <w:spacing w:line="480" w:lineRule="auto"/>
      </w:pPr>
      <w:r>
        <w:t xml:space="preserve">E: All groups had low levels of freezing to the CS during the reacquisition session. </w:t>
      </w:r>
    </w:p>
    <w:p w:rsidR="00357E54" w:rsidRDefault="00357E54" w:rsidP="00357E54">
      <w:pPr>
        <w:spacing w:line="480" w:lineRule="auto"/>
      </w:pPr>
      <w:r>
        <w:t xml:space="preserve">F: All groups reacquired fear the following day at memory test. </w:t>
      </w:r>
    </w:p>
    <w:p w:rsidR="00BF3ED8" w:rsidRDefault="00BF3ED8" w:rsidP="00BF3ED8">
      <w:pPr>
        <w:rPr>
          <w:b/>
          <w:lang w:val="en-US"/>
        </w:rPr>
      </w:pPr>
      <w:r w:rsidRPr="00357E54">
        <w:rPr>
          <w:b/>
          <w:lang w:val="en-US"/>
        </w:rPr>
        <w:t xml:space="preserve">Supplementary Figure </w:t>
      </w:r>
      <w:r>
        <w:rPr>
          <w:b/>
          <w:lang w:val="en-US"/>
        </w:rPr>
        <w:t>2</w:t>
      </w:r>
    </w:p>
    <w:p w:rsidR="00357E54" w:rsidRPr="00357E54" w:rsidRDefault="00BF3ED8" w:rsidP="00BF3ED8">
      <w:pPr>
        <w:spacing w:line="480" w:lineRule="auto"/>
        <w:rPr>
          <w:b/>
          <w:lang w:val="en-US"/>
        </w:rPr>
      </w:pPr>
      <w:r w:rsidRPr="00BF3ED8">
        <w:rPr>
          <w:lang w:val="en-US"/>
        </w:rPr>
        <w:t>Representative image of the cannula pla</w:t>
      </w:r>
      <w:r>
        <w:rPr>
          <w:lang w:val="en-US"/>
        </w:rPr>
        <w:t xml:space="preserve">cement for the infusion of vehicle (left), GluN2B-preferring antagonist </w:t>
      </w:r>
      <w:proofErr w:type="spellStart"/>
      <w:r>
        <w:rPr>
          <w:lang w:val="en-US"/>
        </w:rPr>
        <w:t>ifenprodil</w:t>
      </w:r>
      <w:proofErr w:type="spellEnd"/>
      <w:r>
        <w:rPr>
          <w:lang w:val="en-US"/>
        </w:rPr>
        <w:t xml:space="preserve"> (middle) and D1R antagonist Schering 23390 (right). Darker shades represent the placements for rats that were given a retrieval session prior to extinction and after the infusion, lighter shades (</w:t>
      </w:r>
      <w:proofErr w:type="spellStart"/>
      <w:r>
        <w:rPr>
          <w:lang w:val="en-US"/>
        </w:rPr>
        <w:t>NoRet</w:t>
      </w:r>
      <w:proofErr w:type="spellEnd"/>
      <w:r>
        <w:rPr>
          <w:lang w:val="en-US"/>
        </w:rPr>
        <w:t xml:space="preserve">) were returned to the </w:t>
      </w:r>
      <w:proofErr w:type="spellStart"/>
      <w:r>
        <w:rPr>
          <w:lang w:val="en-US"/>
        </w:rPr>
        <w:t>homecage</w:t>
      </w:r>
      <w:proofErr w:type="spellEnd"/>
      <w:r>
        <w:rPr>
          <w:lang w:val="en-US"/>
        </w:rPr>
        <w:t xml:space="preserve"> post-infusion. </w:t>
      </w:r>
      <w:bookmarkStart w:id="0" w:name="_GoBack"/>
      <w:bookmarkEnd w:id="0"/>
    </w:p>
    <w:sectPr w:rsidR="00357E54" w:rsidRPr="00357E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92"/>
    <w:rsid w:val="00357E54"/>
    <w:rsid w:val="003D6DC5"/>
    <w:rsid w:val="00557E5F"/>
    <w:rsid w:val="00572C4E"/>
    <w:rsid w:val="008342F9"/>
    <w:rsid w:val="009C2992"/>
    <w:rsid w:val="009D5423"/>
    <w:rsid w:val="00BF3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67A0F"/>
  <w15:chartTrackingRefBased/>
  <w15:docId w15:val="{FBCC2474-DBE0-418C-A291-0BA3626F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Cahill</dc:creator>
  <cp:keywords/>
  <dc:description/>
  <cp:lastModifiedBy>Emma</cp:lastModifiedBy>
  <cp:revision>3</cp:revision>
  <dcterms:created xsi:type="dcterms:W3CDTF">2018-12-21T15:11:00Z</dcterms:created>
  <dcterms:modified xsi:type="dcterms:W3CDTF">2018-12-21T15:29:00Z</dcterms:modified>
</cp:coreProperties>
</file>