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2D5E73" w14:textId="77777777" w:rsidR="00C1646F" w:rsidRPr="00A70CD4" w:rsidRDefault="00C1646F" w:rsidP="00C1646F">
      <w:pPr>
        <w:widowControl/>
        <w:jc w:val="left"/>
        <w:rPr>
          <w:rFonts w:ascii="Calibri" w:hAnsi="Calibri" w:cs="Calibri"/>
          <w:noProof/>
          <w:sz w:val="24"/>
        </w:rPr>
      </w:pPr>
      <w:r w:rsidRPr="00A70CD4">
        <w:rPr>
          <w:rFonts w:ascii="Calibri" w:hAnsi="Calibri" w:cs="Calibri"/>
          <w:b/>
          <w:noProof/>
          <w:sz w:val="24"/>
        </w:rPr>
        <w:t>Figure S9.</w:t>
      </w:r>
      <w:r w:rsidRPr="00A70CD4">
        <w:rPr>
          <w:rFonts w:ascii="Calibri" w:hAnsi="Calibri" w:cs="Calibri"/>
          <w:noProof/>
          <w:sz w:val="24"/>
        </w:rPr>
        <w:t xml:space="preserve"> Meta-regression regarding SMD of change in total symptoms in all studies. Data points include both studies of strictly-defined treatment resistant schizophrenia (TRS) and other non-refractory schizophrenia (non-TRS).</w:t>
      </w:r>
    </w:p>
    <w:p w14:paraId="2D8D5505" w14:textId="77777777" w:rsidR="00C1646F" w:rsidRPr="00A70CD4" w:rsidRDefault="00C1646F" w:rsidP="00C1646F">
      <w:pPr>
        <w:widowControl/>
        <w:jc w:val="left"/>
        <w:rPr>
          <w:rFonts w:ascii="Calibri" w:hAnsi="Calibri" w:cs="Calibri"/>
          <w:noProof/>
          <w:sz w:val="24"/>
        </w:rPr>
      </w:pPr>
    </w:p>
    <w:p w14:paraId="22036261" w14:textId="77777777" w:rsidR="00C1646F" w:rsidRPr="00A70CD4" w:rsidRDefault="00C1646F" w:rsidP="00C1646F">
      <w:pPr>
        <w:widowControl/>
        <w:ind w:left="1"/>
        <w:jc w:val="left"/>
        <w:rPr>
          <w:rFonts w:ascii="Calibri" w:hAnsi="Calibri" w:cs="Calibri"/>
          <w:noProof/>
          <w:sz w:val="24"/>
        </w:rPr>
      </w:pPr>
      <w:r w:rsidRPr="00A70CD4">
        <w:rPr>
          <w:rFonts w:ascii="Calibri" w:hAnsi="Calibri" w:cs="Calibri"/>
          <w:noProof/>
          <w:sz w:val="24"/>
        </w:rPr>
        <w:t xml:space="preserve">S9a. Meta-regression of change in total symptoms against the number of items fulfilled in the TRRIP consensus criteria. The results show that TRS studies, and in particular rigorously defined TRS is not a significant moderator of SMD for total symptoms, z=0.911, </w:t>
      </w:r>
      <w:r w:rsidRPr="00A70CD4">
        <w:rPr>
          <w:rFonts w:ascii="Calibri" w:hAnsi="Calibri" w:cs="Calibri"/>
          <w:i/>
          <w:noProof/>
          <w:sz w:val="24"/>
        </w:rPr>
        <w:t>p</w:t>
      </w:r>
      <w:r w:rsidRPr="00A70CD4">
        <w:rPr>
          <w:rFonts w:ascii="Calibri" w:hAnsi="Calibri" w:cs="Calibri"/>
          <w:noProof/>
          <w:sz w:val="24"/>
        </w:rPr>
        <w:t xml:space="preserve">=0.362. </w:t>
      </w:r>
    </w:p>
    <w:p w14:paraId="76E1FA9A" w14:textId="77777777" w:rsidR="00C1646F" w:rsidRPr="00A70CD4" w:rsidRDefault="006A43E7" w:rsidP="00C1646F">
      <w:pPr>
        <w:widowControl/>
        <w:ind w:left="1"/>
        <w:jc w:val="left"/>
        <w:rPr>
          <w:rFonts w:ascii="Calibri" w:hAnsi="Calibri" w:cs="Calibri"/>
          <w:b/>
          <w:noProof/>
          <w:sz w:val="24"/>
        </w:rPr>
      </w:pPr>
      <w:r w:rsidRPr="00A70CD4">
        <w:rPr>
          <w:rFonts w:ascii="Calibri" w:hAnsi="Calibri" w:cs="Calibri"/>
          <w:b/>
          <w:noProof/>
          <w:sz w:val="24"/>
        </w:rPr>
        <w:drawing>
          <wp:inline distT="0" distB="0" distL="0" distR="0" wp14:anchorId="5015D29A" wp14:editId="703D4A4A">
            <wp:extent cx="4700270" cy="3056255"/>
            <wp:effectExtent l="0" t="0" r="0" b="0"/>
            <wp:docPr id="1" name="図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4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0270" cy="3056255"/>
                    </a:xfrm>
                    <a:prstGeom prst="rect">
                      <a:avLst/>
                    </a:prstGeom>
                    <a:noFill/>
                    <a:ln>
                      <a:noFill/>
                    </a:ln>
                  </pic:spPr>
                </pic:pic>
              </a:graphicData>
            </a:graphic>
          </wp:inline>
        </w:drawing>
      </w:r>
    </w:p>
    <w:p w14:paraId="5657DE34" w14:textId="77777777" w:rsidR="00C1646F" w:rsidRPr="00A70CD4" w:rsidRDefault="00C1646F" w:rsidP="00C1646F">
      <w:pPr>
        <w:rPr>
          <w:rFonts w:ascii="Calibri" w:hAnsi="Calibri" w:cs="Calibri"/>
          <w:noProof/>
          <w:sz w:val="24"/>
        </w:rPr>
      </w:pPr>
    </w:p>
    <w:p w14:paraId="03F45F44" w14:textId="77777777" w:rsidR="00C1646F" w:rsidRPr="00A70CD4" w:rsidRDefault="00C1646F" w:rsidP="00C1646F">
      <w:pPr>
        <w:widowControl/>
        <w:ind w:left="120" w:hangingChars="50" w:hanging="120"/>
        <w:jc w:val="left"/>
        <w:rPr>
          <w:rFonts w:ascii="Calibri" w:hAnsi="Calibri" w:cs="Calibri"/>
          <w:noProof/>
          <w:sz w:val="24"/>
        </w:rPr>
      </w:pPr>
      <w:r w:rsidRPr="00A70CD4">
        <w:rPr>
          <w:rFonts w:ascii="Calibri" w:hAnsi="Calibri" w:cs="Calibri"/>
          <w:noProof/>
          <w:sz w:val="24"/>
        </w:rPr>
        <w:t xml:space="preserve">S9b. Meta-regression of change in total symptoms against baseline symptom severity (total PANSS equivalent). The results show that baseline symptom severity is not a significant moderator of SMD for total symptoms, z=1.679, </w:t>
      </w:r>
      <w:r w:rsidRPr="00A70CD4">
        <w:rPr>
          <w:rFonts w:ascii="Calibri" w:hAnsi="Calibri" w:cs="Calibri"/>
          <w:i/>
          <w:noProof/>
          <w:sz w:val="24"/>
        </w:rPr>
        <w:t>p</w:t>
      </w:r>
      <w:r w:rsidRPr="00A70CD4">
        <w:rPr>
          <w:rFonts w:ascii="Calibri" w:hAnsi="Calibri" w:cs="Calibri"/>
          <w:noProof/>
          <w:sz w:val="24"/>
        </w:rPr>
        <w:t>=0.093.</w:t>
      </w:r>
    </w:p>
    <w:p w14:paraId="50F7562B" w14:textId="77777777" w:rsidR="00C1646F" w:rsidRPr="00A70CD4" w:rsidRDefault="006A43E7" w:rsidP="00C1646F">
      <w:pPr>
        <w:widowControl/>
        <w:ind w:left="120" w:hangingChars="50" w:hanging="120"/>
        <w:jc w:val="left"/>
        <w:rPr>
          <w:rFonts w:ascii="Calibri" w:hAnsi="Calibri" w:cs="Calibri"/>
          <w:b/>
          <w:noProof/>
          <w:sz w:val="24"/>
        </w:rPr>
      </w:pPr>
      <w:r w:rsidRPr="00A70CD4">
        <w:rPr>
          <w:rFonts w:ascii="Calibri" w:hAnsi="Calibri" w:cs="Calibri"/>
          <w:b/>
          <w:noProof/>
          <w:sz w:val="24"/>
        </w:rPr>
        <w:drawing>
          <wp:inline distT="0" distB="0" distL="0" distR="0" wp14:anchorId="7A57EBBF" wp14:editId="19FBE9C3">
            <wp:extent cx="4708525" cy="3063875"/>
            <wp:effectExtent l="0" t="0" r="0" b="0"/>
            <wp:docPr id="2" name="図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4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3BB19EBE" w14:textId="77777777" w:rsidR="00C1646F" w:rsidRPr="00A70CD4" w:rsidRDefault="00C1646F" w:rsidP="00C1646F">
      <w:pPr>
        <w:widowControl/>
        <w:jc w:val="left"/>
        <w:rPr>
          <w:rFonts w:ascii="Calibri" w:hAnsi="Calibri" w:cs="Calibri"/>
          <w:noProof/>
          <w:sz w:val="24"/>
        </w:rPr>
      </w:pPr>
      <w:r w:rsidRPr="00A70CD4">
        <w:rPr>
          <w:rFonts w:ascii="Calibri" w:hAnsi="Calibri" w:cs="Calibri"/>
          <w:noProof/>
          <w:sz w:val="24"/>
        </w:rPr>
        <w:lastRenderedPageBreak/>
        <w:t xml:space="preserve">S9c. Meta-regression of change in total symptoms against mean dose of clozapine (mg/day). The results show that </w:t>
      </w:r>
      <w:r w:rsidR="00585FA7" w:rsidRPr="00A70CD4">
        <w:rPr>
          <w:rFonts w:ascii="Calibri" w:hAnsi="Calibri" w:cs="Calibri"/>
          <w:noProof/>
          <w:sz w:val="24"/>
        </w:rPr>
        <w:t xml:space="preserve">a greater </w:t>
      </w:r>
      <w:r w:rsidRPr="00A70CD4">
        <w:rPr>
          <w:rFonts w:ascii="Calibri" w:hAnsi="Calibri" w:cs="Calibri"/>
          <w:noProof/>
          <w:sz w:val="24"/>
        </w:rPr>
        <w:t xml:space="preserve">mean daily dose of clozapine is </w:t>
      </w:r>
      <w:r w:rsidR="00585FA7" w:rsidRPr="00A70CD4">
        <w:rPr>
          <w:rFonts w:ascii="Calibri" w:hAnsi="Calibri" w:cs="Calibri"/>
          <w:noProof/>
          <w:sz w:val="24"/>
        </w:rPr>
        <w:t>associated with greater</w:t>
      </w:r>
      <w:r w:rsidRPr="00A70CD4">
        <w:rPr>
          <w:rFonts w:ascii="Calibri" w:hAnsi="Calibri" w:cs="Calibri"/>
          <w:noProof/>
          <w:sz w:val="24"/>
        </w:rPr>
        <w:t xml:space="preserve"> </w:t>
      </w:r>
      <w:r w:rsidR="00585FA7" w:rsidRPr="00A70CD4">
        <w:rPr>
          <w:rFonts w:ascii="Calibri" w:hAnsi="Calibri" w:cs="Calibri"/>
          <w:noProof/>
          <w:sz w:val="24"/>
        </w:rPr>
        <w:t>improvement of total symptoms with clozapine relative to other antipsychotics</w:t>
      </w:r>
      <w:r w:rsidRPr="00A70CD4">
        <w:rPr>
          <w:rFonts w:ascii="Calibri" w:hAnsi="Calibri" w:cs="Calibri"/>
          <w:noProof/>
          <w:sz w:val="24"/>
        </w:rPr>
        <w:t xml:space="preserve">, z=1.959, </w:t>
      </w:r>
      <w:r w:rsidRPr="00A70CD4">
        <w:rPr>
          <w:rFonts w:ascii="Calibri" w:hAnsi="Calibri" w:cs="Calibri"/>
          <w:b/>
          <w:i/>
          <w:noProof/>
          <w:sz w:val="24"/>
        </w:rPr>
        <w:t>p</w:t>
      </w:r>
      <w:r w:rsidRPr="00A70CD4">
        <w:rPr>
          <w:rFonts w:ascii="Calibri" w:hAnsi="Calibri" w:cs="Calibri"/>
          <w:b/>
          <w:noProof/>
          <w:sz w:val="24"/>
        </w:rPr>
        <w:t>=0.050</w:t>
      </w:r>
      <w:r w:rsidRPr="00A70CD4">
        <w:rPr>
          <w:rFonts w:ascii="Calibri" w:hAnsi="Calibri" w:cs="Calibri"/>
          <w:noProof/>
          <w:sz w:val="24"/>
        </w:rPr>
        <w:t>.</w:t>
      </w:r>
    </w:p>
    <w:p w14:paraId="2823A0D0" w14:textId="77777777" w:rsidR="00C1646F" w:rsidRPr="00A70CD4" w:rsidRDefault="006A43E7" w:rsidP="00C1646F">
      <w:pPr>
        <w:widowControl/>
        <w:jc w:val="left"/>
        <w:rPr>
          <w:rFonts w:ascii="Calibri" w:hAnsi="Calibri" w:cs="Calibri"/>
          <w:noProof/>
          <w:sz w:val="24"/>
        </w:rPr>
      </w:pPr>
      <w:r w:rsidRPr="00A70CD4">
        <w:rPr>
          <w:rFonts w:ascii="Calibri" w:hAnsi="Calibri" w:cs="Calibri"/>
          <w:noProof/>
          <w:sz w:val="24"/>
        </w:rPr>
        <w:drawing>
          <wp:inline distT="0" distB="0" distL="0" distR="0" wp14:anchorId="70439C8D" wp14:editId="6CD9CEB2">
            <wp:extent cx="4708525" cy="3063875"/>
            <wp:effectExtent l="0" t="0" r="0" b="0"/>
            <wp:docPr id="3" name="図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57"/>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79DD1178" w14:textId="77777777" w:rsidR="00C1646F" w:rsidRPr="00A70CD4" w:rsidRDefault="00C1646F" w:rsidP="00C1646F">
      <w:pPr>
        <w:widowControl/>
        <w:jc w:val="left"/>
        <w:rPr>
          <w:rFonts w:ascii="Calibri" w:hAnsi="Calibri" w:cs="Calibri"/>
          <w:noProof/>
          <w:sz w:val="24"/>
        </w:rPr>
      </w:pPr>
    </w:p>
    <w:p w14:paraId="30F4147E" w14:textId="77777777" w:rsidR="00C1646F" w:rsidRPr="00A70CD4" w:rsidRDefault="00C1646F" w:rsidP="00C1646F">
      <w:pPr>
        <w:widowControl/>
        <w:jc w:val="left"/>
        <w:rPr>
          <w:rFonts w:ascii="Calibri" w:hAnsi="Calibri" w:cs="Calibri"/>
          <w:noProof/>
          <w:sz w:val="24"/>
        </w:rPr>
      </w:pPr>
      <w:r w:rsidRPr="00A70CD4">
        <w:rPr>
          <w:rFonts w:ascii="Calibri" w:hAnsi="Calibri" w:cs="Calibri"/>
          <w:noProof/>
          <w:sz w:val="24"/>
        </w:rPr>
        <w:t xml:space="preserve">S9d. Meta-regression of change in total symptoms against difference between chlorpromazine equivalent (CPZE) dose of comparator antipsychotic and clozapine (mg/day). Greater values on the x-axis indicate greater CPZE equivalent doses of comparator antipsychotics relative to clozapine. The results show that difference between CPZE dose of comparator antipsychotic and clozapine is not a significant moderator of SMD for total symptoms, z=1.733, </w:t>
      </w:r>
      <w:r w:rsidRPr="00A70CD4">
        <w:rPr>
          <w:rFonts w:ascii="Calibri" w:hAnsi="Calibri" w:cs="Calibri"/>
          <w:i/>
          <w:noProof/>
          <w:sz w:val="24"/>
        </w:rPr>
        <w:t>p</w:t>
      </w:r>
      <w:r w:rsidRPr="00A70CD4">
        <w:rPr>
          <w:rFonts w:ascii="Calibri" w:hAnsi="Calibri" w:cs="Calibri"/>
          <w:noProof/>
          <w:sz w:val="24"/>
        </w:rPr>
        <w:t>=0.083.</w:t>
      </w:r>
    </w:p>
    <w:p w14:paraId="1EC2EED5" w14:textId="77777777" w:rsidR="00C1646F" w:rsidRPr="00A70CD4" w:rsidRDefault="006A43E7" w:rsidP="00C1646F">
      <w:pPr>
        <w:widowControl/>
        <w:jc w:val="left"/>
        <w:rPr>
          <w:rFonts w:ascii="Calibri" w:hAnsi="Calibri" w:cs="Calibri"/>
          <w:noProof/>
          <w:sz w:val="24"/>
        </w:rPr>
      </w:pPr>
      <w:r w:rsidRPr="00A70CD4">
        <w:rPr>
          <w:rFonts w:ascii="Calibri" w:hAnsi="Calibri" w:cs="Calibri"/>
          <w:noProof/>
          <w:sz w:val="24"/>
        </w:rPr>
        <w:drawing>
          <wp:inline distT="0" distB="0" distL="0" distR="0" wp14:anchorId="7ADB7E11" wp14:editId="518058AC">
            <wp:extent cx="4708525" cy="3063875"/>
            <wp:effectExtent l="0" t="0" r="0" b="0"/>
            <wp:docPr id="4" name="図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3"/>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375118AD" w14:textId="77777777" w:rsidR="00C1646F" w:rsidRPr="00A70CD4" w:rsidRDefault="00C1646F" w:rsidP="00C1646F">
      <w:pPr>
        <w:widowControl/>
        <w:ind w:left="120" w:hangingChars="50" w:hanging="120"/>
        <w:jc w:val="left"/>
        <w:rPr>
          <w:rFonts w:ascii="Calibri" w:hAnsi="Calibri" w:cs="Calibri"/>
          <w:noProof/>
          <w:sz w:val="24"/>
        </w:rPr>
      </w:pPr>
    </w:p>
    <w:p w14:paraId="3D2C80A3" w14:textId="77777777" w:rsidR="00C1646F" w:rsidRPr="00A70CD4" w:rsidRDefault="00C1646F" w:rsidP="00C1646F">
      <w:pPr>
        <w:widowControl/>
        <w:ind w:firstLineChars="8" w:firstLine="19"/>
        <w:jc w:val="left"/>
        <w:rPr>
          <w:rFonts w:ascii="Calibri" w:hAnsi="Calibri" w:cs="Calibri"/>
          <w:noProof/>
          <w:sz w:val="24"/>
        </w:rPr>
      </w:pPr>
      <w:r w:rsidRPr="00A70CD4">
        <w:rPr>
          <w:rFonts w:ascii="Calibri" w:hAnsi="Calibri" w:cs="Calibri"/>
          <w:noProof/>
          <w:sz w:val="24"/>
        </w:rPr>
        <w:lastRenderedPageBreak/>
        <w:t>S9e. Meta-regression of change in total symptoms against duration of intervention (weeks). The</w:t>
      </w:r>
      <w:r w:rsidRPr="00A70CD4">
        <w:rPr>
          <w:rFonts w:ascii="Calibri" w:hAnsi="Calibri" w:cs="Calibri" w:hint="eastAsia"/>
          <w:noProof/>
          <w:sz w:val="24"/>
        </w:rPr>
        <w:t xml:space="preserve"> </w:t>
      </w:r>
      <w:r w:rsidRPr="00A70CD4">
        <w:rPr>
          <w:rFonts w:ascii="Calibri" w:hAnsi="Calibri" w:cs="Calibri"/>
          <w:noProof/>
          <w:sz w:val="24"/>
        </w:rPr>
        <w:t xml:space="preserve">results show that longer duration of double-blind intervention is associated with less improvement of total symptoms with clozapine relative to other antipsychotics, z=-2.169, </w:t>
      </w:r>
      <w:r w:rsidRPr="00A70CD4">
        <w:rPr>
          <w:rFonts w:ascii="Calibri" w:hAnsi="Calibri" w:cs="Calibri"/>
          <w:b/>
          <w:i/>
          <w:noProof/>
          <w:sz w:val="24"/>
        </w:rPr>
        <w:t>p</w:t>
      </w:r>
      <w:r w:rsidRPr="00A70CD4">
        <w:rPr>
          <w:rFonts w:ascii="Calibri" w:hAnsi="Calibri" w:cs="Calibri"/>
          <w:b/>
          <w:noProof/>
          <w:sz w:val="24"/>
        </w:rPr>
        <w:t>=0.030.</w:t>
      </w:r>
    </w:p>
    <w:p w14:paraId="6F4FB43F" w14:textId="77777777" w:rsidR="00C1646F" w:rsidRPr="00A70CD4" w:rsidRDefault="006A43E7" w:rsidP="00C1646F">
      <w:pPr>
        <w:widowControl/>
        <w:ind w:left="120" w:hangingChars="50" w:hanging="120"/>
        <w:jc w:val="left"/>
        <w:rPr>
          <w:rFonts w:ascii="Calibri" w:hAnsi="Calibri" w:cs="Calibri"/>
          <w:b/>
          <w:noProof/>
          <w:sz w:val="24"/>
        </w:rPr>
      </w:pPr>
      <w:r w:rsidRPr="00A70CD4">
        <w:rPr>
          <w:rFonts w:ascii="Calibri" w:hAnsi="Calibri" w:cs="Calibri"/>
          <w:b/>
          <w:noProof/>
          <w:sz w:val="24"/>
        </w:rPr>
        <w:drawing>
          <wp:inline distT="0" distB="0" distL="0" distR="0" wp14:anchorId="43D69A1F" wp14:editId="1AE376B9">
            <wp:extent cx="4708525" cy="3063875"/>
            <wp:effectExtent l="0" t="0" r="0" b="0"/>
            <wp:docPr id="5" name="図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58"/>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5FC2B638" w14:textId="77777777" w:rsidR="00C1646F" w:rsidRPr="00A70CD4" w:rsidRDefault="00C1646F" w:rsidP="00C1646F">
      <w:pPr>
        <w:widowControl/>
        <w:jc w:val="left"/>
        <w:rPr>
          <w:rFonts w:ascii="Calibri" w:hAnsi="Calibri" w:cs="Calibri"/>
          <w:noProof/>
          <w:sz w:val="20"/>
          <w:szCs w:val="20"/>
        </w:rPr>
      </w:pPr>
      <w:r w:rsidRPr="00A70CD4">
        <w:rPr>
          <w:rFonts w:ascii="Calibri" w:hAnsi="Calibri" w:cs="Calibri" w:hint="eastAsia"/>
          <w:noProof/>
          <w:sz w:val="20"/>
          <w:szCs w:val="20"/>
        </w:rPr>
        <w:t>Abbreviations</w:t>
      </w:r>
      <w:r w:rsidRPr="00A70CD4">
        <w:rPr>
          <w:rFonts w:ascii="Calibri" w:hAnsi="Calibri" w:cs="Calibri"/>
          <w:noProof/>
          <w:sz w:val="20"/>
          <w:szCs w:val="20"/>
        </w:rPr>
        <w:t>: PANSS, Positive and Negative Syndrome Scale</w:t>
      </w:r>
    </w:p>
    <w:p w14:paraId="4BD55A62" w14:textId="77777777" w:rsidR="00C1646F" w:rsidRPr="00A70CD4" w:rsidRDefault="00C1646F" w:rsidP="00C1646F">
      <w:pPr>
        <w:widowControl/>
        <w:jc w:val="left"/>
        <w:rPr>
          <w:rFonts w:ascii="Calibri" w:hAnsi="Calibri" w:cs="Calibri"/>
          <w:noProof/>
          <w:sz w:val="24"/>
        </w:rPr>
      </w:pPr>
      <w:r w:rsidRPr="00A70CD4">
        <w:rPr>
          <w:rFonts w:ascii="Calibri" w:hAnsi="Calibri" w:cs="Calibri"/>
          <w:noProof/>
          <w:sz w:val="24"/>
        </w:rPr>
        <w:br w:type="page"/>
      </w:r>
      <w:r w:rsidRPr="00A70CD4">
        <w:rPr>
          <w:rFonts w:ascii="Calibri" w:hAnsi="Calibri" w:cs="Calibri"/>
          <w:b/>
          <w:noProof/>
          <w:sz w:val="24"/>
        </w:rPr>
        <w:lastRenderedPageBreak/>
        <w:t>Figure S10.</w:t>
      </w:r>
      <w:r w:rsidRPr="00A70CD4">
        <w:rPr>
          <w:rFonts w:ascii="Calibri" w:hAnsi="Calibri" w:cs="Calibri"/>
          <w:noProof/>
          <w:sz w:val="24"/>
        </w:rPr>
        <w:t xml:space="preserve"> Meta-regression regarding SMD of change in positive symptoms in all studies. Data points include both studies of strictly-defined treatment resistant schizophrenia (TRS) and other non-refractory schizophrenia (non-TRS).</w:t>
      </w:r>
    </w:p>
    <w:p w14:paraId="52F94BD9" w14:textId="77777777" w:rsidR="00C1646F" w:rsidRPr="00A70CD4" w:rsidRDefault="00C1646F" w:rsidP="00C1646F">
      <w:pPr>
        <w:widowControl/>
        <w:jc w:val="left"/>
        <w:rPr>
          <w:rFonts w:ascii="Calibri" w:hAnsi="Calibri" w:cs="Calibri"/>
          <w:noProof/>
          <w:sz w:val="24"/>
        </w:rPr>
      </w:pPr>
    </w:p>
    <w:p w14:paraId="40DFB367" w14:textId="77777777" w:rsidR="00C1646F" w:rsidRPr="00A70CD4" w:rsidRDefault="00C1646F" w:rsidP="00C1646F">
      <w:pPr>
        <w:widowControl/>
        <w:ind w:left="1"/>
        <w:jc w:val="left"/>
        <w:rPr>
          <w:rFonts w:ascii="Calibri" w:hAnsi="Calibri" w:cs="Calibri"/>
          <w:noProof/>
          <w:sz w:val="24"/>
        </w:rPr>
      </w:pPr>
      <w:r w:rsidRPr="00A70CD4">
        <w:rPr>
          <w:rFonts w:ascii="Calibri" w:hAnsi="Calibri" w:cs="Calibri"/>
          <w:noProof/>
          <w:sz w:val="24"/>
        </w:rPr>
        <w:t xml:space="preserve">S10a. Meta-regression of change in positive symptoms against the number of items fulfilled in the TRRIP consensus criteria. The results show that TRS studies, and in particular more rigorously-defined TRS is associated with greater improvement in positive symptoms with clozapine relative to other antipsychotics, z=2.168, </w:t>
      </w:r>
      <w:r w:rsidRPr="00A70CD4">
        <w:rPr>
          <w:rFonts w:ascii="Calibri" w:hAnsi="Calibri" w:cs="Calibri"/>
          <w:b/>
          <w:i/>
          <w:noProof/>
          <w:sz w:val="24"/>
        </w:rPr>
        <w:t>p</w:t>
      </w:r>
      <w:r w:rsidRPr="00A70CD4">
        <w:rPr>
          <w:rFonts w:ascii="Calibri" w:hAnsi="Calibri" w:cs="Calibri"/>
          <w:b/>
          <w:noProof/>
          <w:sz w:val="24"/>
        </w:rPr>
        <w:t>=0.030</w:t>
      </w:r>
      <w:r w:rsidRPr="00A70CD4">
        <w:rPr>
          <w:rFonts w:ascii="Calibri" w:hAnsi="Calibri" w:cs="Calibri"/>
          <w:noProof/>
          <w:sz w:val="24"/>
        </w:rPr>
        <w:t xml:space="preserve">. </w:t>
      </w:r>
    </w:p>
    <w:p w14:paraId="60F23BA6" w14:textId="77777777" w:rsidR="00C1646F" w:rsidRPr="00A70CD4" w:rsidRDefault="006A43E7" w:rsidP="00C1646F">
      <w:pPr>
        <w:widowControl/>
        <w:ind w:left="1"/>
        <w:jc w:val="left"/>
        <w:rPr>
          <w:rFonts w:ascii="Calibri" w:hAnsi="Calibri" w:cs="Calibri"/>
          <w:b/>
          <w:noProof/>
          <w:sz w:val="24"/>
        </w:rPr>
      </w:pPr>
      <w:r w:rsidRPr="00A70CD4">
        <w:rPr>
          <w:rFonts w:ascii="Calibri" w:hAnsi="Calibri" w:cs="Calibri"/>
          <w:b/>
          <w:noProof/>
          <w:sz w:val="24"/>
        </w:rPr>
        <w:drawing>
          <wp:inline distT="0" distB="0" distL="0" distR="0" wp14:anchorId="234E5A6B" wp14:editId="0FEF9217">
            <wp:extent cx="4539615" cy="2951480"/>
            <wp:effectExtent l="0" t="0" r="0" b="0"/>
            <wp:docPr id="6" name="図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6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9615" cy="2951480"/>
                    </a:xfrm>
                    <a:prstGeom prst="rect">
                      <a:avLst/>
                    </a:prstGeom>
                    <a:noFill/>
                    <a:ln>
                      <a:noFill/>
                    </a:ln>
                  </pic:spPr>
                </pic:pic>
              </a:graphicData>
            </a:graphic>
          </wp:inline>
        </w:drawing>
      </w:r>
    </w:p>
    <w:p w14:paraId="47E74936" w14:textId="77777777" w:rsidR="00C1646F" w:rsidRPr="00A70CD4" w:rsidRDefault="00C1646F" w:rsidP="00C1646F">
      <w:pPr>
        <w:widowControl/>
        <w:jc w:val="left"/>
        <w:rPr>
          <w:rFonts w:ascii="Calibri" w:hAnsi="Calibri" w:cs="Calibri"/>
          <w:noProof/>
          <w:sz w:val="24"/>
        </w:rPr>
      </w:pPr>
    </w:p>
    <w:p w14:paraId="0EF08AC4" w14:textId="77777777" w:rsidR="00C1646F" w:rsidRPr="00A70CD4" w:rsidRDefault="00C1646F" w:rsidP="00C1646F">
      <w:pPr>
        <w:widowControl/>
        <w:ind w:left="120" w:hangingChars="50" w:hanging="120"/>
        <w:jc w:val="left"/>
        <w:rPr>
          <w:rFonts w:ascii="Calibri" w:hAnsi="Calibri" w:cs="Calibri"/>
          <w:noProof/>
          <w:sz w:val="24"/>
        </w:rPr>
      </w:pPr>
      <w:r w:rsidRPr="00A70CD4">
        <w:rPr>
          <w:rFonts w:ascii="Calibri" w:hAnsi="Calibri" w:cs="Calibri"/>
          <w:noProof/>
          <w:sz w:val="24"/>
        </w:rPr>
        <w:t xml:space="preserve">S10b. Meta-regression of change in positive symptoms against baseline symptom severity (total PANSS equivalent). The results show that baseline symptom severity is not a significant moderator of SMD for positive symptoms, z=0.570, </w:t>
      </w:r>
      <w:r w:rsidRPr="00A70CD4">
        <w:rPr>
          <w:rFonts w:ascii="Calibri" w:hAnsi="Calibri" w:cs="Calibri"/>
          <w:i/>
          <w:noProof/>
          <w:sz w:val="24"/>
        </w:rPr>
        <w:t>p</w:t>
      </w:r>
      <w:r w:rsidRPr="00A70CD4">
        <w:rPr>
          <w:rFonts w:ascii="Calibri" w:hAnsi="Calibri" w:cs="Calibri"/>
          <w:noProof/>
          <w:sz w:val="24"/>
        </w:rPr>
        <w:t>=0.569.</w:t>
      </w:r>
    </w:p>
    <w:p w14:paraId="3D083521" w14:textId="77777777" w:rsidR="00C1646F" w:rsidRPr="00A70CD4" w:rsidRDefault="006A43E7" w:rsidP="00C1646F">
      <w:pPr>
        <w:widowControl/>
        <w:ind w:left="120" w:hangingChars="50" w:hanging="120"/>
        <w:jc w:val="left"/>
        <w:rPr>
          <w:rFonts w:ascii="Calibri" w:hAnsi="Calibri" w:cs="Calibri"/>
          <w:noProof/>
          <w:sz w:val="24"/>
        </w:rPr>
      </w:pPr>
      <w:r w:rsidRPr="00A70CD4">
        <w:rPr>
          <w:rFonts w:ascii="Calibri" w:hAnsi="Calibri" w:cs="Calibri"/>
          <w:noProof/>
          <w:sz w:val="24"/>
        </w:rPr>
        <w:drawing>
          <wp:inline distT="0" distB="0" distL="0" distR="0" wp14:anchorId="74C44050" wp14:editId="27E4339A">
            <wp:extent cx="4547870" cy="2951480"/>
            <wp:effectExtent l="0" t="0" r="0" b="0"/>
            <wp:docPr id="7" name="図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63"/>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7870" cy="2951480"/>
                    </a:xfrm>
                    <a:prstGeom prst="rect">
                      <a:avLst/>
                    </a:prstGeom>
                    <a:noFill/>
                    <a:ln>
                      <a:noFill/>
                    </a:ln>
                  </pic:spPr>
                </pic:pic>
              </a:graphicData>
            </a:graphic>
          </wp:inline>
        </w:drawing>
      </w:r>
    </w:p>
    <w:p w14:paraId="7EEB081A" w14:textId="77777777" w:rsidR="00C1646F" w:rsidRPr="00A70CD4" w:rsidRDefault="00C1646F" w:rsidP="00C1646F">
      <w:pPr>
        <w:widowControl/>
        <w:jc w:val="left"/>
        <w:rPr>
          <w:rFonts w:ascii="Calibri" w:hAnsi="Calibri" w:cs="Calibri"/>
          <w:noProof/>
          <w:sz w:val="24"/>
        </w:rPr>
      </w:pPr>
      <w:r w:rsidRPr="00A70CD4">
        <w:rPr>
          <w:rFonts w:ascii="Calibri" w:hAnsi="Calibri" w:cs="Calibri"/>
          <w:noProof/>
          <w:sz w:val="24"/>
        </w:rPr>
        <w:lastRenderedPageBreak/>
        <w:t xml:space="preserve">S10c. Meta-regression of change in positive symptoms against mean dose of clozapine (mg/day). The results show that higher mean dose of clozapine is associated with greater improvement of positive symptoms with clozapine relative to other antipsychotics, z=3.403, </w:t>
      </w:r>
      <w:r w:rsidRPr="00A70CD4">
        <w:rPr>
          <w:rFonts w:ascii="Calibri" w:hAnsi="Calibri" w:cs="Calibri"/>
          <w:b/>
          <w:i/>
          <w:noProof/>
          <w:sz w:val="24"/>
        </w:rPr>
        <w:t>p</w:t>
      </w:r>
      <w:r w:rsidRPr="00A70CD4">
        <w:rPr>
          <w:rFonts w:ascii="Calibri" w:hAnsi="Calibri" w:cs="Calibri"/>
          <w:b/>
          <w:noProof/>
          <w:sz w:val="24"/>
        </w:rPr>
        <w:t>&lt;0.001</w:t>
      </w:r>
      <w:r w:rsidRPr="00A70CD4">
        <w:rPr>
          <w:rFonts w:ascii="Calibri" w:hAnsi="Calibri" w:cs="Calibri"/>
          <w:noProof/>
          <w:sz w:val="24"/>
        </w:rPr>
        <w:t>.</w:t>
      </w:r>
    </w:p>
    <w:p w14:paraId="19A2DAD6" w14:textId="77777777" w:rsidR="00C1646F" w:rsidRPr="00A70CD4" w:rsidRDefault="006A43E7" w:rsidP="00C1646F">
      <w:pPr>
        <w:widowControl/>
        <w:jc w:val="left"/>
        <w:rPr>
          <w:rFonts w:ascii="Calibri" w:hAnsi="Calibri" w:cs="Calibri"/>
          <w:noProof/>
          <w:sz w:val="24"/>
        </w:rPr>
      </w:pPr>
      <w:r w:rsidRPr="00A70CD4">
        <w:rPr>
          <w:rFonts w:ascii="Calibri" w:hAnsi="Calibri" w:cs="Calibri"/>
          <w:noProof/>
          <w:sz w:val="24"/>
        </w:rPr>
        <w:drawing>
          <wp:inline distT="0" distB="0" distL="0" distR="0" wp14:anchorId="789C5C34" wp14:editId="218A3F1D">
            <wp:extent cx="4708525" cy="3063875"/>
            <wp:effectExtent l="0" t="0" r="0" b="0"/>
            <wp:docPr id="8" name="図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64"/>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17B2144B" w14:textId="77777777" w:rsidR="00C1646F" w:rsidRPr="00A70CD4" w:rsidRDefault="00C1646F" w:rsidP="00C1646F">
      <w:pPr>
        <w:widowControl/>
        <w:jc w:val="left"/>
        <w:rPr>
          <w:rFonts w:ascii="Calibri" w:hAnsi="Calibri" w:cs="Calibri"/>
          <w:noProof/>
          <w:sz w:val="24"/>
        </w:rPr>
      </w:pPr>
    </w:p>
    <w:p w14:paraId="25C13ED7" w14:textId="77777777" w:rsidR="00C1646F" w:rsidRPr="00A70CD4" w:rsidRDefault="00C1646F" w:rsidP="00C1646F">
      <w:pPr>
        <w:widowControl/>
        <w:jc w:val="left"/>
        <w:rPr>
          <w:rFonts w:ascii="Calibri" w:hAnsi="Calibri" w:cs="Calibri"/>
          <w:noProof/>
          <w:sz w:val="24"/>
        </w:rPr>
      </w:pPr>
      <w:r w:rsidRPr="00A70CD4">
        <w:rPr>
          <w:rFonts w:ascii="Calibri" w:hAnsi="Calibri" w:cs="Calibri"/>
          <w:noProof/>
          <w:sz w:val="24"/>
        </w:rPr>
        <w:t xml:space="preserve">S10d. Meta-regression of change in positive symptoms against difference between chlorpromazine equivalent (CPZE) dose of comparator antipsychotic and clozapine (mg/day). Greater values on the x-axis indicate greater CPZE equivalent doses of comparator antipsychotics relative to clozapine. The results show that difference between CPZE dose of comparator antipsychotic and clozapine is not a significant moderator of SMD for positive symptoms, z=0.911, </w:t>
      </w:r>
      <w:r w:rsidRPr="00A70CD4">
        <w:rPr>
          <w:rFonts w:ascii="Calibri" w:hAnsi="Calibri" w:cs="Calibri"/>
          <w:i/>
          <w:noProof/>
          <w:sz w:val="24"/>
        </w:rPr>
        <w:t>p</w:t>
      </w:r>
      <w:r w:rsidRPr="00A70CD4">
        <w:rPr>
          <w:rFonts w:ascii="Calibri" w:hAnsi="Calibri" w:cs="Calibri"/>
          <w:noProof/>
          <w:sz w:val="24"/>
        </w:rPr>
        <w:t>=0.362.</w:t>
      </w:r>
    </w:p>
    <w:p w14:paraId="01947D6D" w14:textId="77777777" w:rsidR="00C1646F" w:rsidRPr="00A70CD4" w:rsidRDefault="006A43E7" w:rsidP="00C1646F">
      <w:pPr>
        <w:widowControl/>
        <w:jc w:val="left"/>
        <w:rPr>
          <w:rFonts w:ascii="Calibri" w:hAnsi="Calibri" w:cs="Calibri"/>
          <w:noProof/>
          <w:sz w:val="24"/>
        </w:rPr>
      </w:pPr>
      <w:r w:rsidRPr="00A70CD4">
        <w:rPr>
          <w:rFonts w:ascii="Calibri" w:hAnsi="Calibri" w:cs="Calibri"/>
          <w:noProof/>
          <w:sz w:val="24"/>
        </w:rPr>
        <w:drawing>
          <wp:inline distT="0" distB="0" distL="0" distR="0" wp14:anchorId="4FA3F7B4" wp14:editId="606288C2">
            <wp:extent cx="4708525" cy="3063875"/>
            <wp:effectExtent l="0" t="0" r="0" b="0"/>
            <wp:docPr id="9" name="図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7"/>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389C5E5E" w14:textId="77777777" w:rsidR="00C1646F" w:rsidRPr="00A70CD4" w:rsidRDefault="00C1646F" w:rsidP="00C1646F">
      <w:pPr>
        <w:widowControl/>
        <w:jc w:val="left"/>
        <w:rPr>
          <w:rFonts w:ascii="Calibri" w:hAnsi="Calibri" w:cs="Calibri"/>
          <w:noProof/>
          <w:sz w:val="24"/>
        </w:rPr>
      </w:pPr>
    </w:p>
    <w:p w14:paraId="61DD1696" w14:textId="77777777" w:rsidR="00C1646F" w:rsidRPr="00A70CD4" w:rsidRDefault="00C1646F" w:rsidP="00C1646F">
      <w:pPr>
        <w:widowControl/>
        <w:ind w:left="120" w:hangingChars="50" w:hanging="120"/>
        <w:jc w:val="left"/>
        <w:rPr>
          <w:rFonts w:ascii="Calibri" w:hAnsi="Calibri" w:cs="Calibri"/>
          <w:noProof/>
          <w:sz w:val="24"/>
        </w:rPr>
      </w:pPr>
    </w:p>
    <w:p w14:paraId="79B86702" w14:textId="77777777" w:rsidR="00C1646F" w:rsidRPr="00A70CD4" w:rsidRDefault="00C1646F" w:rsidP="00C1646F">
      <w:pPr>
        <w:widowControl/>
        <w:ind w:left="120" w:hangingChars="50" w:hanging="120"/>
        <w:jc w:val="left"/>
        <w:rPr>
          <w:rFonts w:ascii="Calibri" w:hAnsi="Calibri" w:cs="Calibri"/>
          <w:b/>
          <w:noProof/>
          <w:sz w:val="24"/>
        </w:rPr>
      </w:pPr>
      <w:r w:rsidRPr="00A70CD4">
        <w:rPr>
          <w:rFonts w:ascii="Calibri" w:hAnsi="Calibri" w:cs="Calibri"/>
          <w:noProof/>
          <w:sz w:val="24"/>
        </w:rPr>
        <w:lastRenderedPageBreak/>
        <w:t xml:space="preserve">S10e. Meta-regression of change in positive symptoms against duration of intervention (weeks). The results show that duration of double-blind intervention is not a significant moderator of SMD for positive symptoms, z=-0.431, </w:t>
      </w:r>
      <w:r w:rsidRPr="00A70CD4">
        <w:rPr>
          <w:rFonts w:ascii="Calibri" w:hAnsi="Calibri" w:cs="Calibri"/>
          <w:i/>
          <w:noProof/>
          <w:sz w:val="24"/>
        </w:rPr>
        <w:t>p</w:t>
      </w:r>
      <w:r w:rsidRPr="00A70CD4">
        <w:rPr>
          <w:rFonts w:ascii="Calibri" w:hAnsi="Calibri" w:cs="Calibri"/>
          <w:noProof/>
          <w:sz w:val="24"/>
        </w:rPr>
        <w:t>=0.666</w:t>
      </w:r>
      <w:r w:rsidRPr="00A70CD4">
        <w:rPr>
          <w:rFonts w:ascii="Calibri" w:hAnsi="Calibri" w:cs="Calibri"/>
          <w:b/>
          <w:noProof/>
          <w:sz w:val="24"/>
        </w:rPr>
        <w:t>.</w:t>
      </w:r>
    </w:p>
    <w:p w14:paraId="3254B4DC" w14:textId="77777777" w:rsidR="00C1646F" w:rsidRPr="00A70CD4" w:rsidRDefault="006A43E7" w:rsidP="00C1646F">
      <w:pPr>
        <w:widowControl/>
        <w:jc w:val="left"/>
        <w:rPr>
          <w:rFonts w:ascii="Calibri" w:hAnsi="Calibri" w:cs="Calibri"/>
          <w:noProof/>
          <w:sz w:val="24"/>
        </w:rPr>
      </w:pPr>
      <w:r w:rsidRPr="00A70CD4">
        <w:rPr>
          <w:rFonts w:ascii="Calibri" w:hAnsi="Calibri" w:cs="Calibri"/>
          <w:noProof/>
          <w:sz w:val="24"/>
        </w:rPr>
        <w:drawing>
          <wp:inline distT="0" distB="0" distL="0" distR="0" wp14:anchorId="3F25688C" wp14:editId="1928962F">
            <wp:extent cx="4708525" cy="3063875"/>
            <wp:effectExtent l="0" t="0" r="0" b="0"/>
            <wp:docPr id="10" name="図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65"/>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76AB1C95" w14:textId="77777777" w:rsidR="00C1646F" w:rsidRPr="00A70CD4" w:rsidRDefault="00C1646F" w:rsidP="00C1646F">
      <w:pPr>
        <w:widowControl/>
        <w:jc w:val="left"/>
        <w:rPr>
          <w:rFonts w:ascii="Calibri" w:hAnsi="Calibri" w:cs="Calibri"/>
          <w:noProof/>
          <w:sz w:val="24"/>
        </w:rPr>
      </w:pPr>
      <w:r w:rsidRPr="00A70CD4">
        <w:rPr>
          <w:rFonts w:ascii="Calibri" w:hAnsi="Calibri" w:cs="Calibri" w:hint="eastAsia"/>
          <w:noProof/>
          <w:sz w:val="20"/>
          <w:szCs w:val="20"/>
        </w:rPr>
        <w:t>Abbreviations</w:t>
      </w:r>
      <w:r w:rsidRPr="00A70CD4">
        <w:rPr>
          <w:rFonts w:ascii="Calibri" w:hAnsi="Calibri" w:cs="Calibri"/>
          <w:noProof/>
          <w:sz w:val="20"/>
          <w:szCs w:val="20"/>
        </w:rPr>
        <w:t>: PANSS, Positive and Negative Syndrome Scale</w:t>
      </w:r>
      <w:r w:rsidRPr="00A70CD4">
        <w:rPr>
          <w:rFonts w:ascii="Calibri" w:hAnsi="Calibri" w:cs="Calibri"/>
          <w:noProof/>
          <w:sz w:val="24"/>
        </w:rPr>
        <w:t xml:space="preserve"> </w:t>
      </w:r>
    </w:p>
    <w:p w14:paraId="1D7476F8" w14:textId="77777777" w:rsidR="00C1646F" w:rsidRPr="00A70CD4" w:rsidRDefault="00C1646F" w:rsidP="00C1646F">
      <w:pPr>
        <w:widowControl/>
        <w:jc w:val="left"/>
        <w:rPr>
          <w:rFonts w:ascii="Calibri" w:hAnsi="Calibri" w:cs="Calibri"/>
          <w:noProof/>
          <w:sz w:val="24"/>
        </w:rPr>
      </w:pPr>
      <w:r w:rsidRPr="00A70CD4">
        <w:rPr>
          <w:rFonts w:ascii="Calibri" w:hAnsi="Calibri" w:cs="Calibri"/>
          <w:noProof/>
          <w:sz w:val="24"/>
        </w:rPr>
        <w:br w:type="page"/>
      </w:r>
      <w:r w:rsidRPr="00A70CD4">
        <w:rPr>
          <w:rFonts w:ascii="Calibri" w:hAnsi="Calibri" w:cs="Calibri"/>
          <w:b/>
          <w:noProof/>
          <w:sz w:val="24"/>
        </w:rPr>
        <w:lastRenderedPageBreak/>
        <w:t>Figure S11.</w:t>
      </w:r>
      <w:r w:rsidRPr="00A70CD4">
        <w:rPr>
          <w:rFonts w:ascii="Calibri" w:hAnsi="Calibri" w:cs="Calibri"/>
          <w:noProof/>
          <w:sz w:val="24"/>
        </w:rPr>
        <w:t xml:space="preserve"> Meta-regression regarding SMD of change in negative symptoms in all studies. Data points include both studies of strictly-defined treatment resistant schizophrenia (TRS) and other non-refractory schizophrenia (non-TRS).</w:t>
      </w:r>
    </w:p>
    <w:p w14:paraId="1804BEDE" w14:textId="77777777" w:rsidR="00C1646F" w:rsidRPr="00A70CD4" w:rsidRDefault="00C1646F" w:rsidP="00C1646F">
      <w:pPr>
        <w:widowControl/>
        <w:jc w:val="left"/>
        <w:rPr>
          <w:rFonts w:ascii="Calibri" w:hAnsi="Calibri" w:cs="Calibri"/>
          <w:noProof/>
          <w:sz w:val="24"/>
        </w:rPr>
      </w:pPr>
    </w:p>
    <w:p w14:paraId="091B1C06" w14:textId="77777777" w:rsidR="00C1646F" w:rsidRPr="00A70CD4" w:rsidRDefault="00C1646F" w:rsidP="00C1646F">
      <w:pPr>
        <w:widowControl/>
        <w:ind w:left="1"/>
        <w:jc w:val="left"/>
        <w:rPr>
          <w:rFonts w:ascii="Calibri" w:hAnsi="Calibri" w:cs="Calibri"/>
          <w:b/>
          <w:noProof/>
          <w:sz w:val="24"/>
        </w:rPr>
      </w:pPr>
      <w:r w:rsidRPr="00A70CD4">
        <w:rPr>
          <w:rFonts w:ascii="Calibri" w:hAnsi="Calibri" w:cs="Calibri"/>
          <w:noProof/>
          <w:sz w:val="24"/>
        </w:rPr>
        <w:t>S11a. Meta-regression of change in negative symptoms against the number of items fulfilled in the TRRIP consensus criteria. The results show that TRS studies, and in particular more rigorously-defined TRS is not a significant moderator of SMD for negative symptoms</w:t>
      </w:r>
      <w:r w:rsidRPr="00A70CD4" w:rsidDel="00AE1249">
        <w:rPr>
          <w:rFonts w:ascii="Calibri" w:hAnsi="Calibri" w:cs="Calibri"/>
          <w:noProof/>
          <w:sz w:val="24"/>
        </w:rPr>
        <w:t xml:space="preserve"> </w:t>
      </w:r>
      <w:r w:rsidRPr="00A70CD4">
        <w:rPr>
          <w:rFonts w:ascii="Calibri" w:hAnsi="Calibri" w:cs="Calibri"/>
          <w:noProof/>
          <w:sz w:val="24"/>
        </w:rPr>
        <w:t xml:space="preserve">, z=1.863, </w:t>
      </w:r>
      <w:r w:rsidRPr="00A70CD4">
        <w:rPr>
          <w:rFonts w:ascii="Calibri" w:hAnsi="Calibri" w:cs="Calibri"/>
          <w:i/>
          <w:noProof/>
          <w:sz w:val="24"/>
        </w:rPr>
        <w:t>p</w:t>
      </w:r>
      <w:r w:rsidRPr="00A70CD4">
        <w:rPr>
          <w:rFonts w:ascii="Calibri" w:hAnsi="Calibri" w:cs="Calibri"/>
          <w:noProof/>
          <w:sz w:val="24"/>
        </w:rPr>
        <w:t xml:space="preserve">=0.063. </w:t>
      </w:r>
    </w:p>
    <w:p w14:paraId="700ECFB1" w14:textId="77777777" w:rsidR="00C1646F" w:rsidRPr="00A70CD4" w:rsidRDefault="006A43E7" w:rsidP="00C1646F">
      <w:pPr>
        <w:widowControl/>
        <w:jc w:val="left"/>
        <w:rPr>
          <w:rFonts w:ascii="Calibri" w:hAnsi="Calibri" w:cs="Calibri"/>
          <w:noProof/>
          <w:sz w:val="24"/>
        </w:rPr>
      </w:pPr>
      <w:r w:rsidRPr="00A70CD4">
        <w:rPr>
          <w:rFonts w:ascii="Calibri" w:hAnsi="Calibri" w:cs="Calibri"/>
          <w:noProof/>
          <w:sz w:val="24"/>
        </w:rPr>
        <w:drawing>
          <wp:inline distT="0" distB="0" distL="0" distR="0" wp14:anchorId="45163BF3" wp14:editId="0106BFEF">
            <wp:extent cx="4539615" cy="2951480"/>
            <wp:effectExtent l="0" t="0" r="0" b="0"/>
            <wp:docPr id="11" name="図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66"/>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39615" cy="2951480"/>
                    </a:xfrm>
                    <a:prstGeom prst="rect">
                      <a:avLst/>
                    </a:prstGeom>
                    <a:noFill/>
                    <a:ln>
                      <a:noFill/>
                    </a:ln>
                  </pic:spPr>
                </pic:pic>
              </a:graphicData>
            </a:graphic>
          </wp:inline>
        </w:drawing>
      </w:r>
    </w:p>
    <w:p w14:paraId="0342BE61" w14:textId="77777777" w:rsidR="00C1646F" w:rsidRPr="00A70CD4" w:rsidRDefault="00C1646F" w:rsidP="00C1646F">
      <w:pPr>
        <w:widowControl/>
        <w:jc w:val="left"/>
        <w:rPr>
          <w:rFonts w:ascii="Calibri" w:hAnsi="Calibri" w:cs="Calibri"/>
          <w:noProof/>
          <w:sz w:val="24"/>
        </w:rPr>
      </w:pPr>
    </w:p>
    <w:p w14:paraId="328E3321" w14:textId="77777777" w:rsidR="00C1646F" w:rsidRPr="00A70CD4" w:rsidRDefault="00C1646F" w:rsidP="00C1646F">
      <w:pPr>
        <w:widowControl/>
        <w:ind w:left="120" w:hangingChars="50" w:hanging="120"/>
        <w:jc w:val="left"/>
        <w:rPr>
          <w:rFonts w:ascii="Calibri" w:hAnsi="Calibri" w:cs="Calibri"/>
          <w:noProof/>
          <w:sz w:val="24"/>
        </w:rPr>
      </w:pPr>
      <w:r w:rsidRPr="00A70CD4">
        <w:rPr>
          <w:rFonts w:ascii="Calibri" w:hAnsi="Calibri" w:cs="Calibri"/>
          <w:noProof/>
          <w:sz w:val="24"/>
        </w:rPr>
        <w:t xml:space="preserve">S11b. Meta-regression of change in negative symptoms against baseline symptom severity (total PANSS equivalent). The results show that baseline symptom severity is </w:t>
      </w:r>
      <w:bookmarkStart w:id="0" w:name="OLE_LINK3"/>
      <w:bookmarkStart w:id="1" w:name="OLE_LINK4"/>
      <w:r w:rsidRPr="00A70CD4">
        <w:rPr>
          <w:rFonts w:ascii="Calibri" w:hAnsi="Calibri" w:cs="Calibri"/>
          <w:noProof/>
          <w:sz w:val="24"/>
        </w:rPr>
        <w:t>not a significant moderator of SMD for negative symptoms</w:t>
      </w:r>
      <w:bookmarkEnd w:id="0"/>
      <w:bookmarkEnd w:id="1"/>
      <w:r w:rsidRPr="00A70CD4">
        <w:rPr>
          <w:rFonts w:ascii="Calibri" w:hAnsi="Calibri" w:cs="Calibri"/>
          <w:noProof/>
          <w:sz w:val="24"/>
        </w:rPr>
        <w:t xml:space="preserve">, z=0.200, </w:t>
      </w:r>
      <w:r w:rsidRPr="00A70CD4">
        <w:rPr>
          <w:rFonts w:ascii="Calibri" w:hAnsi="Calibri" w:cs="Calibri"/>
          <w:i/>
          <w:noProof/>
          <w:sz w:val="24"/>
        </w:rPr>
        <w:t>p</w:t>
      </w:r>
      <w:r w:rsidRPr="00A70CD4">
        <w:rPr>
          <w:rFonts w:ascii="Calibri" w:hAnsi="Calibri" w:cs="Calibri"/>
          <w:noProof/>
          <w:sz w:val="24"/>
        </w:rPr>
        <w:t>=0.842.</w:t>
      </w:r>
    </w:p>
    <w:p w14:paraId="144C530F" w14:textId="77777777" w:rsidR="00C1646F" w:rsidRPr="00A70CD4" w:rsidRDefault="006A43E7" w:rsidP="00C1646F">
      <w:pPr>
        <w:widowControl/>
        <w:ind w:left="120" w:hangingChars="50" w:hanging="120"/>
        <w:jc w:val="left"/>
        <w:rPr>
          <w:rFonts w:ascii="Calibri" w:hAnsi="Calibri" w:cs="Calibri"/>
          <w:b/>
          <w:noProof/>
          <w:sz w:val="24"/>
        </w:rPr>
      </w:pPr>
      <w:r w:rsidRPr="00A70CD4">
        <w:rPr>
          <w:rFonts w:ascii="Calibri" w:hAnsi="Calibri" w:cs="Calibri"/>
          <w:b/>
          <w:noProof/>
          <w:sz w:val="24"/>
        </w:rPr>
        <w:drawing>
          <wp:inline distT="0" distB="0" distL="0" distR="0" wp14:anchorId="7AFDE174" wp14:editId="78BF10BB">
            <wp:extent cx="4547870" cy="2951480"/>
            <wp:effectExtent l="0" t="0" r="0" b="0"/>
            <wp:docPr id="12" name="図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67"/>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47870" cy="2951480"/>
                    </a:xfrm>
                    <a:prstGeom prst="rect">
                      <a:avLst/>
                    </a:prstGeom>
                    <a:noFill/>
                    <a:ln>
                      <a:noFill/>
                    </a:ln>
                  </pic:spPr>
                </pic:pic>
              </a:graphicData>
            </a:graphic>
          </wp:inline>
        </w:drawing>
      </w:r>
    </w:p>
    <w:p w14:paraId="4F1B174D" w14:textId="77777777" w:rsidR="00C1646F" w:rsidRPr="00A70CD4" w:rsidRDefault="00C1646F" w:rsidP="00C1646F">
      <w:pPr>
        <w:widowControl/>
        <w:ind w:left="120" w:hangingChars="50" w:hanging="120"/>
        <w:jc w:val="left"/>
        <w:rPr>
          <w:rFonts w:ascii="Calibri" w:hAnsi="Calibri" w:cs="Calibri"/>
          <w:noProof/>
          <w:sz w:val="24"/>
        </w:rPr>
      </w:pPr>
    </w:p>
    <w:p w14:paraId="5D59CF4B" w14:textId="77777777" w:rsidR="00C1646F" w:rsidRPr="00A70CD4" w:rsidRDefault="00C1646F" w:rsidP="00C1646F">
      <w:pPr>
        <w:widowControl/>
        <w:ind w:left="120" w:hangingChars="50" w:hanging="120"/>
        <w:jc w:val="left"/>
        <w:rPr>
          <w:rFonts w:ascii="Calibri" w:hAnsi="Calibri" w:cs="Calibri"/>
          <w:noProof/>
          <w:sz w:val="24"/>
        </w:rPr>
      </w:pPr>
      <w:r w:rsidRPr="00A70CD4">
        <w:rPr>
          <w:rFonts w:ascii="Calibri" w:hAnsi="Calibri" w:cs="Calibri"/>
          <w:noProof/>
          <w:sz w:val="24"/>
        </w:rPr>
        <w:lastRenderedPageBreak/>
        <w:t xml:space="preserve">S11c. Meta-regression of change in negative symptoms against mean dose of clozapine (mg/day). The results show that higher mean dose of clozapine is associated with greater improvement of negative symptoms with clozapine relative to other antipsychotics, z=3.797, </w:t>
      </w:r>
      <w:r w:rsidRPr="00A70CD4">
        <w:rPr>
          <w:rFonts w:ascii="Calibri" w:hAnsi="Calibri" w:cs="Calibri"/>
          <w:b/>
          <w:i/>
          <w:noProof/>
          <w:sz w:val="24"/>
        </w:rPr>
        <w:t>p</w:t>
      </w:r>
      <w:r w:rsidRPr="00A70CD4">
        <w:rPr>
          <w:rFonts w:ascii="Calibri" w:hAnsi="Calibri" w:cs="Calibri"/>
          <w:b/>
          <w:noProof/>
          <w:sz w:val="24"/>
        </w:rPr>
        <w:t>&lt;0.001</w:t>
      </w:r>
      <w:r w:rsidRPr="00A70CD4">
        <w:rPr>
          <w:rFonts w:ascii="Calibri" w:hAnsi="Calibri" w:cs="Calibri"/>
          <w:noProof/>
          <w:sz w:val="24"/>
        </w:rPr>
        <w:t>.</w:t>
      </w:r>
    </w:p>
    <w:p w14:paraId="597266C8" w14:textId="77777777" w:rsidR="00C1646F" w:rsidRPr="00A70CD4" w:rsidRDefault="006A43E7" w:rsidP="00C1646F">
      <w:pPr>
        <w:widowControl/>
        <w:jc w:val="left"/>
        <w:rPr>
          <w:rFonts w:ascii="Calibri" w:hAnsi="Calibri" w:cs="Calibri"/>
          <w:noProof/>
          <w:sz w:val="24"/>
        </w:rPr>
      </w:pPr>
      <w:r w:rsidRPr="00A70CD4">
        <w:rPr>
          <w:rFonts w:ascii="Calibri" w:hAnsi="Calibri" w:cs="Calibri"/>
          <w:noProof/>
          <w:sz w:val="24"/>
        </w:rPr>
        <w:drawing>
          <wp:inline distT="0" distB="0" distL="0" distR="0" wp14:anchorId="54F1C966" wp14:editId="5AC82472">
            <wp:extent cx="4708525" cy="3063875"/>
            <wp:effectExtent l="0" t="0" r="0" b="0"/>
            <wp:docPr id="13" name="図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68"/>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14DDEE23" w14:textId="77777777" w:rsidR="00C1646F" w:rsidRPr="00A70CD4" w:rsidRDefault="00C1646F" w:rsidP="00C1646F">
      <w:pPr>
        <w:widowControl/>
        <w:jc w:val="left"/>
        <w:rPr>
          <w:rFonts w:ascii="Calibri" w:hAnsi="Calibri" w:cs="Calibri"/>
          <w:noProof/>
          <w:sz w:val="24"/>
        </w:rPr>
      </w:pPr>
    </w:p>
    <w:p w14:paraId="21056246" w14:textId="77777777" w:rsidR="00C1646F" w:rsidRPr="00A70CD4" w:rsidRDefault="00C1646F" w:rsidP="00C1646F">
      <w:pPr>
        <w:widowControl/>
        <w:jc w:val="left"/>
        <w:rPr>
          <w:rFonts w:ascii="Calibri" w:hAnsi="Calibri" w:cs="Calibri"/>
          <w:noProof/>
          <w:sz w:val="24"/>
        </w:rPr>
      </w:pPr>
      <w:r w:rsidRPr="00A70CD4">
        <w:rPr>
          <w:rFonts w:ascii="Calibri" w:hAnsi="Calibri" w:cs="Calibri"/>
          <w:noProof/>
          <w:sz w:val="24"/>
        </w:rPr>
        <w:t xml:space="preserve">S11d. Meta-regression of change in negative symptoms against difference between chlorpromazine equivalent (CPZE) dose of comparator antipsychotic and clozapine (mg/day). Greater values on the x-axis indicate greater CPZE equivalent doses of comparator antipsychotics relative to clozapine. The results show that difference between CPZE dose of comparator antipsychotic and clozapine is not a significant moderator of SMD for negative symptoms, z=1.444, </w:t>
      </w:r>
      <w:r w:rsidRPr="00A70CD4">
        <w:rPr>
          <w:rFonts w:ascii="Calibri" w:hAnsi="Calibri" w:cs="Calibri"/>
          <w:i/>
          <w:noProof/>
          <w:sz w:val="24"/>
        </w:rPr>
        <w:t>p</w:t>
      </w:r>
      <w:r w:rsidRPr="00A70CD4">
        <w:rPr>
          <w:rFonts w:ascii="Calibri" w:hAnsi="Calibri" w:cs="Calibri"/>
          <w:noProof/>
          <w:sz w:val="24"/>
        </w:rPr>
        <w:t>=0.149.</w:t>
      </w:r>
    </w:p>
    <w:p w14:paraId="6697DBB0" w14:textId="77777777" w:rsidR="00C1646F" w:rsidRPr="00A70CD4" w:rsidRDefault="006A43E7" w:rsidP="00C1646F">
      <w:pPr>
        <w:widowControl/>
        <w:jc w:val="left"/>
        <w:rPr>
          <w:rFonts w:ascii="Calibri" w:hAnsi="Calibri" w:cs="Calibri"/>
          <w:noProof/>
          <w:sz w:val="24"/>
        </w:rPr>
      </w:pPr>
      <w:r w:rsidRPr="00A70CD4">
        <w:rPr>
          <w:rFonts w:ascii="Calibri" w:hAnsi="Calibri" w:cs="Calibri"/>
          <w:noProof/>
          <w:sz w:val="24"/>
        </w:rPr>
        <w:drawing>
          <wp:inline distT="0" distB="0" distL="0" distR="0" wp14:anchorId="4B2B13D0" wp14:editId="4EA3E9B4">
            <wp:extent cx="4708525" cy="3063875"/>
            <wp:effectExtent l="0" t="0" r="0" b="0"/>
            <wp:docPr id="14" name="図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8"/>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6AD3DAFB" w14:textId="77777777" w:rsidR="00C1646F" w:rsidRPr="00A70CD4" w:rsidRDefault="00C1646F" w:rsidP="00C1646F">
      <w:pPr>
        <w:widowControl/>
        <w:jc w:val="left"/>
        <w:rPr>
          <w:rFonts w:ascii="Calibri" w:hAnsi="Calibri" w:cs="Calibri"/>
          <w:noProof/>
          <w:sz w:val="24"/>
        </w:rPr>
      </w:pPr>
    </w:p>
    <w:p w14:paraId="5C84CC8A" w14:textId="77777777" w:rsidR="00C1646F" w:rsidRPr="00A70CD4" w:rsidRDefault="00C1646F" w:rsidP="00C1646F">
      <w:pPr>
        <w:widowControl/>
        <w:jc w:val="left"/>
        <w:rPr>
          <w:rFonts w:ascii="Calibri" w:hAnsi="Calibri" w:cs="Calibri"/>
          <w:noProof/>
          <w:sz w:val="24"/>
        </w:rPr>
      </w:pPr>
    </w:p>
    <w:p w14:paraId="6DA79FA0" w14:textId="77777777" w:rsidR="00C1646F" w:rsidRPr="00A70CD4" w:rsidRDefault="00C1646F" w:rsidP="00C1646F">
      <w:pPr>
        <w:widowControl/>
        <w:ind w:left="120" w:hangingChars="50" w:hanging="120"/>
        <w:jc w:val="left"/>
        <w:rPr>
          <w:rFonts w:ascii="Calibri" w:hAnsi="Calibri" w:cs="Calibri"/>
          <w:b/>
          <w:noProof/>
          <w:sz w:val="24"/>
        </w:rPr>
      </w:pPr>
      <w:r w:rsidRPr="00A70CD4">
        <w:rPr>
          <w:rFonts w:ascii="Calibri" w:hAnsi="Calibri" w:cs="Calibri"/>
          <w:noProof/>
          <w:sz w:val="24"/>
        </w:rPr>
        <w:lastRenderedPageBreak/>
        <w:t xml:space="preserve">S11e. Meta-regression of change in negative symptoms against duration of intervention (weeks). The results show that duration of double-blind intervention is not a significant moderator of SMD for negative symptoms, z=-0.757, </w:t>
      </w:r>
      <w:r w:rsidRPr="00A70CD4">
        <w:rPr>
          <w:rFonts w:ascii="Calibri" w:hAnsi="Calibri" w:cs="Calibri"/>
          <w:i/>
          <w:noProof/>
          <w:sz w:val="24"/>
        </w:rPr>
        <w:t>p</w:t>
      </w:r>
      <w:r w:rsidRPr="00A70CD4">
        <w:rPr>
          <w:rFonts w:ascii="Calibri" w:hAnsi="Calibri" w:cs="Calibri"/>
          <w:noProof/>
          <w:sz w:val="24"/>
        </w:rPr>
        <w:t>=0.449</w:t>
      </w:r>
      <w:r w:rsidRPr="00A70CD4">
        <w:rPr>
          <w:rFonts w:ascii="Calibri" w:hAnsi="Calibri" w:cs="Calibri"/>
          <w:b/>
          <w:noProof/>
          <w:sz w:val="24"/>
        </w:rPr>
        <w:t>.</w:t>
      </w:r>
    </w:p>
    <w:p w14:paraId="52A3A0A1" w14:textId="77777777" w:rsidR="00C1646F" w:rsidRPr="00A70CD4" w:rsidRDefault="006A43E7" w:rsidP="00C1646F">
      <w:pPr>
        <w:widowControl/>
        <w:jc w:val="left"/>
        <w:rPr>
          <w:rFonts w:ascii="Calibri" w:hAnsi="Calibri" w:cs="Calibri"/>
          <w:noProof/>
          <w:sz w:val="24"/>
        </w:rPr>
      </w:pPr>
      <w:r w:rsidRPr="00A70CD4">
        <w:rPr>
          <w:rFonts w:ascii="Calibri" w:hAnsi="Calibri" w:cs="Calibri"/>
          <w:noProof/>
          <w:sz w:val="24"/>
        </w:rPr>
        <w:drawing>
          <wp:inline distT="0" distB="0" distL="0" distR="0" wp14:anchorId="014981C0" wp14:editId="7C0350AD">
            <wp:extent cx="4708525" cy="3063875"/>
            <wp:effectExtent l="0" t="0" r="0" b="0"/>
            <wp:docPr id="15" name="図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69"/>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08525" cy="3063875"/>
                    </a:xfrm>
                    <a:prstGeom prst="rect">
                      <a:avLst/>
                    </a:prstGeom>
                    <a:noFill/>
                    <a:ln>
                      <a:noFill/>
                    </a:ln>
                  </pic:spPr>
                </pic:pic>
              </a:graphicData>
            </a:graphic>
          </wp:inline>
        </w:drawing>
      </w:r>
    </w:p>
    <w:p w14:paraId="6A5622B8" w14:textId="77777777" w:rsidR="006A43E7" w:rsidRPr="00A70CD4" w:rsidRDefault="00C1646F" w:rsidP="00C1646F">
      <w:pPr>
        <w:widowControl/>
        <w:jc w:val="left"/>
        <w:rPr>
          <w:rFonts w:ascii="Calibri" w:hAnsi="Calibri" w:cs="Calibri"/>
          <w:noProof/>
          <w:sz w:val="20"/>
          <w:szCs w:val="20"/>
        </w:rPr>
      </w:pPr>
      <w:r w:rsidRPr="00A70CD4">
        <w:rPr>
          <w:rFonts w:ascii="Calibri" w:hAnsi="Calibri" w:cs="Calibri" w:hint="eastAsia"/>
          <w:noProof/>
          <w:sz w:val="20"/>
          <w:szCs w:val="20"/>
        </w:rPr>
        <w:t>Abbreviations</w:t>
      </w:r>
      <w:r w:rsidRPr="00A70CD4">
        <w:rPr>
          <w:rFonts w:ascii="Calibri" w:hAnsi="Calibri" w:cs="Calibri"/>
          <w:noProof/>
          <w:sz w:val="20"/>
          <w:szCs w:val="20"/>
        </w:rPr>
        <w:t>: PANSS, Positive and Negative Syndrome Scale</w:t>
      </w:r>
      <w:r w:rsidRPr="00A70CD4" w:rsidDel="00B049F9">
        <w:rPr>
          <w:rFonts w:ascii="Calibri" w:hAnsi="Calibri" w:cs="Calibri"/>
          <w:noProof/>
          <w:sz w:val="20"/>
          <w:szCs w:val="20"/>
        </w:rPr>
        <w:t xml:space="preserve"> </w:t>
      </w:r>
    </w:p>
    <w:p w14:paraId="057ECBB5" w14:textId="77777777" w:rsidR="006A43E7" w:rsidRPr="00A70CD4" w:rsidRDefault="006A43E7" w:rsidP="006A43E7">
      <w:pPr>
        <w:widowControl/>
        <w:jc w:val="left"/>
        <w:rPr>
          <w:rFonts w:ascii="Calibri" w:hAnsi="Calibri" w:cs="Calibri"/>
          <w:noProof/>
          <w:sz w:val="24"/>
        </w:rPr>
      </w:pPr>
      <w:bookmarkStart w:id="2" w:name="_GoBack"/>
      <w:bookmarkEnd w:id="2"/>
      <w:r w:rsidRPr="00A70CD4">
        <w:rPr>
          <w:rFonts w:ascii="Calibri" w:hAnsi="Calibri" w:cs="Calibri"/>
          <w:noProof/>
          <w:sz w:val="20"/>
          <w:szCs w:val="20"/>
        </w:rPr>
        <w:br w:type="page"/>
      </w:r>
      <w:r w:rsidRPr="00A70CD4">
        <w:rPr>
          <w:rFonts w:ascii="Calibri" w:hAnsi="Calibri" w:cs="Calibri"/>
          <w:b/>
          <w:noProof/>
          <w:sz w:val="24"/>
        </w:rPr>
        <w:lastRenderedPageBreak/>
        <w:t>Figure S12.</w:t>
      </w:r>
      <w:r w:rsidRPr="00A70CD4">
        <w:rPr>
          <w:rFonts w:ascii="Calibri" w:hAnsi="Calibri" w:cs="Calibri"/>
          <w:noProof/>
          <w:sz w:val="24"/>
        </w:rPr>
        <w:t xml:space="preserve"> </w:t>
      </w:r>
      <w:r w:rsidRPr="00A70CD4">
        <w:rPr>
          <w:rFonts w:ascii="Calibri" w:hAnsi="Calibri" w:cs="Calibri"/>
          <w:i/>
          <w:noProof/>
          <w:sz w:val="24"/>
        </w:rPr>
        <w:t>Post hoc</w:t>
      </w:r>
      <w:r w:rsidRPr="00A70CD4">
        <w:rPr>
          <w:rFonts w:ascii="Calibri" w:hAnsi="Calibri" w:cs="Calibri"/>
          <w:noProof/>
          <w:sz w:val="24"/>
        </w:rPr>
        <w:t xml:space="preserve"> meta-regression of change in total symptoms against mean duration of illness in non-TRS studies. The results show that </w:t>
      </w:r>
      <w:r w:rsidRPr="00A70CD4">
        <w:rPr>
          <w:rFonts w:ascii="Calibri" w:hAnsi="Calibri" w:cs="Calibri"/>
          <w:spacing w:val="-3"/>
          <w:sz w:val="24"/>
        </w:rPr>
        <w:t>duration of illness in study samples is not a significant moderator of effect size, z</w:t>
      </w:r>
      <w:r w:rsidRPr="00A70CD4">
        <w:rPr>
          <w:rFonts w:ascii="Calibri" w:hAnsi="Calibri"/>
          <w:sz w:val="24"/>
        </w:rPr>
        <w:t xml:space="preserve">=-0.158, </w:t>
      </w:r>
      <w:r w:rsidRPr="00A70CD4">
        <w:rPr>
          <w:rFonts w:ascii="Calibri" w:hAnsi="Calibri"/>
          <w:i/>
          <w:sz w:val="24"/>
        </w:rPr>
        <w:t>p</w:t>
      </w:r>
      <w:r w:rsidRPr="00A70CD4">
        <w:rPr>
          <w:rFonts w:ascii="Calibri" w:hAnsi="Calibri"/>
          <w:sz w:val="24"/>
        </w:rPr>
        <w:t>=0.874</w:t>
      </w:r>
      <w:r w:rsidRPr="00A70CD4">
        <w:rPr>
          <w:rFonts w:ascii="Calibri" w:hAnsi="Calibri" w:cs="Calibri"/>
          <w:spacing w:val="-3"/>
          <w:sz w:val="24"/>
        </w:rPr>
        <w:t>.</w:t>
      </w:r>
    </w:p>
    <w:p w14:paraId="6C599094" w14:textId="77777777" w:rsidR="006A43E7" w:rsidRPr="00A70CD4" w:rsidRDefault="006A43E7" w:rsidP="006A43E7">
      <w:pPr>
        <w:widowControl/>
        <w:jc w:val="left"/>
        <w:rPr>
          <w:rFonts w:ascii="Calibri" w:hAnsi="Calibri" w:cs="Calibri"/>
          <w:noProof/>
          <w:sz w:val="24"/>
        </w:rPr>
      </w:pPr>
    </w:p>
    <w:p w14:paraId="430C75F3" w14:textId="77777777" w:rsidR="00C1646F" w:rsidRPr="00A70CD4" w:rsidRDefault="00731B83" w:rsidP="00C1646F">
      <w:pPr>
        <w:widowControl/>
        <w:jc w:val="left"/>
        <w:rPr>
          <w:rFonts w:ascii="Calibri" w:hAnsi="Calibri" w:cs="Arial"/>
          <w:sz w:val="18"/>
          <w:szCs w:val="18"/>
        </w:rPr>
      </w:pPr>
      <w:r w:rsidRPr="00A70CD4">
        <w:rPr>
          <w:rFonts w:ascii="Calibri" w:hAnsi="Calibri" w:cs="Arial" w:hint="eastAsia"/>
          <w:noProof/>
          <w:sz w:val="18"/>
          <w:szCs w:val="18"/>
        </w:rPr>
        <w:drawing>
          <wp:inline distT="0" distB="0" distL="0" distR="0" wp14:anchorId="263B0A51" wp14:editId="4207820B">
            <wp:extent cx="4706584" cy="3059280"/>
            <wp:effectExtent l="0" t="0" r="5715" b="1905"/>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UI and SMD_total symptoms_2.tiff"/>
                    <pic:cNvPicPr/>
                  </pic:nvPicPr>
                  <pic:blipFill>
                    <a:blip r:embed="rId23">
                      <a:extLst>
                        <a:ext uri="{28A0092B-C50C-407E-A947-70E740481C1C}">
                          <a14:useLocalDpi xmlns:a14="http://schemas.microsoft.com/office/drawing/2010/main" val="0"/>
                        </a:ext>
                      </a:extLst>
                    </a:blip>
                    <a:stretch>
                      <a:fillRect/>
                    </a:stretch>
                  </pic:blipFill>
                  <pic:spPr>
                    <a:xfrm>
                      <a:off x="0" y="0"/>
                      <a:ext cx="4706584" cy="3059280"/>
                    </a:xfrm>
                    <a:prstGeom prst="rect">
                      <a:avLst/>
                    </a:prstGeom>
                  </pic:spPr>
                </pic:pic>
              </a:graphicData>
            </a:graphic>
          </wp:inline>
        </w:drawing>
      </w:r>
    </w:p>
    <w:sectPr w:rsidR="00C1646F" w:rsidRPr="00A70CD4" w:rsidSect="00D64BA7">
      <w:footerReference w:type="default" r:id="rId24"/>
      <w:pgSz w:w="12240" w:h="15840"/>
      <w:pgMar w:top="1440" w:right="1080" w:bottom="1440" w:left="1080" w:header="851" w:footer="992" w:gutter="0"/>
      <w:pgNumType w:start="1"/>
      <w:cols w:space="720"/>
      <w:docGrid w:linePitch="405"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4E6EA" w14:textId="77777777" w:rsidR="00B91412" w:rsidRDefault="00B91412" w:rsidP="00B07D5B">
      <w:r>
        <w:separator/>
      </w:r>
    </w:p>
  </w:endnote>
  <w:endnote w:type="continuationSeparator" w:id="0">
    <w:p w14:paraId="0CA0CA2F" w14:textId="77777777" w:rsidR="00B91412" w:rsidRDefault="00B91412" w:rsidP="00B0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ヒラギノ角ゴ ProN W3">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F1DB0" w14:textId="77777777" w:rsidR="00C1646F" w:rsidRPr="00E63F6F" w:rsidRDefault="00C1646F" w:rsidP="00857297">
    <w:pPr>
      <w:pStyle w:val="Footer"/>
      <w:framePr w:wrap="none" w:vAnchor="text" w:hAnchor="margin" w:xAlign="center" w:y="1"/>
      <w:rPr>
        <w:rStyle w:val="PageNumber"/>
        <w:rFonts w:ascii="Calibri" w:hAnsi="Calibri" w:cs="Calibri"/>
        <w:sz w:val="24"/>
      </w:rPr>
    </w:pPr>
  </w:p>
  <w:p w14:paraId="2582C061" w14:textId="77777777" w:rsidR="00C1646F" w:rsidRDefault="00C164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CD96E" w14:textId="77777777" w:rsidR="00B91412" w:rsidRDefault="00B91412" w:rsidP="00B07D5B">
      <w:r>
        <w:separator/>
      </w:r>
    </w:p>
  </w:footnote>
  <w:footnote w:type="continuationSeparator" w:id="0">
    <w:p w14:paraId="2DFE2C7A" w14:textId="77777777" w:rsidR="00B91412" w:rsidRDefault="00B91412" w:rsidP="00B07D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9649BB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204D65"/>
    <w:multiLevelType w:val="hybridMultilevel"/>
    <w:tmpl w:val="4B186104"/>
    <w:lvl w:ilvl="0" w:tplc="594634B4">
      <w:start w:val="5"/>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13585692"/>
    <w:multiLevelType w:val="hybridMultilevel"/>
    <w:tmpl w:val="AA6459A4"/>
    <w:lvl w:ilvl="0" w:tplc="B13618A4">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8B44E7"/>
    <w:multiLevelType w:val="hybridMultilevel"/>
    <w:tmpl w:val="1C1A73E8"/>
    <w:lvl w:ilvl="0" w:tplc="51C6A936">
      <w:start w:val="5"/>
      <w:numFmt w:val="bullet"/>
      <w:lvlText w:val="・"/>
      <w:lvlJc w:val="left"/>
      <w:pPr>
        <w:ind w:left="360" w:hanging="360"/>
      </w:pPr>
      <w:rPr>
        <w:rFonts w:ascii="MS Gothic" w:eastAsia="MS Gothic" w:hAnsi="MS Gothic"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279D6596"/>
    <w:multiLevelType w:val="hybridMultilevel"/>
    <w:tmpl w:val="C27ECDC4"/>
    <w:lvl w:ilvl="0" w:tplc="A56471EA">
      <w:start w:val="1"/>
      <w:numFmt w:val="lowerLetter"/>
      <w:lvlText w:val="%1."/>
      <w:lvlJc w:val="left"/>
      <w:pPr>
        <w:ind w:left="360" w:hanging="360"/>
      </w:pPr>
      <w:rPr>
        <w:rFonts w:eastAsia="MS Gothic"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15:restartNumberingAfterBreak="0">
    <w:nsid w:val="2D7D5BCD"/>
    <w:multiLevelType w:val="hybridMultilevel"/>
    <w:tmpl w:val="00D64D56"/>
    <w:lvl w:ilvl="0" w:tplc="CE2E30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95E0E00"/>
    <w:multiLevelType w:val="hybridMultilevel"/>
    <w:tmpl w:val="6810BAB2"/>
    <w:lvl w:ilvl="0" w:tplc="0F1892F0">
      <w:start w:val="1"/>
      <w:numFmt w:val="lowerLetter"/>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15:restartNumberingAfterBreak="0">
    <w:nsid w:val="4A6A14D0"/>
    <w:multiLevelType w:val="hybridMultilevel"/>
    <w:tmpl w:val="66ECDDBC"/>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8" w15:restartNumberingAfterBreak="0">
    <w:nsid w:val="52EC631C"/>
    <w:multiLevelType w:val="hybridMultilevel"/>
    <w:tmpl w:val="AD0424CC"/>
    <w:lvl w:ilvl="0" w:tplc="E89C2F02">
      <w:start w:val="1"/>
      <w:numFmt w:val="lowerLetter"/>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61024FDF"/>
    <w:multiLevelType w:val="hybridMultilevel"/>
    <w:tmpl w:val="B32AF46E"/>
    <w:lvl w:ilvl="0" w:tplc="612A009C">
      <w:start w:val="1"/>
      <w:numFmt w:val="lowerLetter"/>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15:restartNumberingAfterBreak="0">
    <w:nsid w:val="67F56316"/>
    <w:multiLevelType w:val="hybridMultilevel"/>
    <w:tmpl w:val="AE5A24C2"/>
    <w:lvl w:ilvl="0" w:tplc="8146D352">
      <w:start w:val="1"/>
      <w:numFmt w:val="lowerLetter"/>
      <w:lvlText w:val="%1."/>
      <w:lvlJc w:val="left"/>
      <w:pPr>
        <w:ind w:left="360" w:hanging="360"/>
      </w:pPr>
      <w:rPr>
        <w:rFonts w:eastAsia="MS Gothic" w:hint="default"/>
        <w:sz w:val="24"/>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15:restartNumberingAfterBreak="0">
    <w:nsid w:val="68FB380C"/>
    <w:multiLevelType w:val="hybridMultilevel"/>
    <w:tmpl w:val="05446086"/>
    <w:lvl w:ilvl="0" w:tplc="C242E1CC">
      <w:start w:val="1"/>
      <w:numFmt w:val="lowerLetter"/>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 w15:restartNumberingAfterBreak="0">
    <w:nsid w:val="6DE715C5"/>
    <w:multiLevelType w:val="hybridMultilevel"/>
    <w:tmpl w:val="1924FB68"/>
    <w:lvl w:ilvl="0" w:tplc="3814A58A">
      <w:start w:val="1"/>
      <w:numFmt w:val="bullet"/>
      <w:lvlText w:val="・"/>
      <w:lvlJc w:val="left"/>
      <w:pPr>
        <w:ind w:left="360" w:hanging="360"/>
      </w:pPr>
      <w:rPr>
        <w:rFonts w:ascii="MS Gothic" w:eastAsia="MS Gothic" w:hAnsi="MS Gothic"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3" w15:restartNumberingAfterBreak="0">
    <w:nsid w:val="6EA9128A"/>
    <w:multiLevelType w:val="hybridMultilevel"/>
    <w:tmpl w:val="AA6459A4"/>
    <w:lvl w:ilvl="0" w:tplc="B13618A4">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1CB3A66"/>
    <w:multiLevelType w:val="hybridMultilevel"/>
    <w:tmpl w:val="E75A10D4"/>
    <w:lvl w:ilvl="0" w:tplc="343EB2EE">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0"/>
  </w:num>
  <w:num w:numId="2">
    <w:abstractNumId w:val="10"/>
  </w:num>
  <w:num w:numId="3">
    <w:abstractNumId w:val="9"/>
  </w:num>
  <w:num w:numId="4">
    <w:abstractNumId w:val="4"/>
  </w:num>
  <w:num w:numId="5">
    <w:abstractNumId w:val="8"/>
  </w:num>
  <w:num w:numId="6">
    <w:abstractNumId w:val="7"/>
  </w:num>
  <w:num w:numId="7">
    <w:abstractNumId w:val="12"/>
  </w:num>
  <w:num w:numId="8">
    <w:abstractNumId w:val="14"/>
  </w:num>
  <w:num w:numId="9">
    <w:abstractNumId w:val="11"/>
  </w:num>
  <w:num w:numId="10">
    <w:abstractNumId w:val="1"/>
  </w:num>
  <w:num w:numId="11">
    <w:abstractNumId w:val="6"/>
  </w:num>
  <w:num w:numId="12">
    <w:abstractNumId w:val="3"/>
  </w:num>
  <w:num w:numId="13">
    <w:abstractNumId w:val="5"/>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40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europsychopharmac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rd9ztfixd9z2e2r5bxpzv2dt5awdxttzxw&quot;&gt;Manuscript_clozapine_variance&lt;record-ids&gt;&lt;item&gt;1&lt;/item&gt;&lt;item&gt;2&lt;/item&gt;&lt;item&gt;3&lt;/item&gt;&lt;item&gt;4&lt;/item&gt;&lt;item&gt;5&lt;/item&gt;&lt;item&gt;6&lt;/item&gt;&lt;item&gt;7&lt;/item&gt;&lt;item&gt;8&lt;/item&gt;&lt;item&gt;9&lt;/item&gt;&lt;item&gt;11&lt;/item&gt;&lt;item&gt;12&lt;/item&gt;&lt;item&gt;13&lt;/item&gt;&lt;item&gt;14&lt;/item&gt;&lt;item&gt;15&lt;/item&gt;&lt;item&gt;16&lt;/item&gt;&lt;item&gt;18&lt;/item&gt;&lt;item&gt;19&lt;/item&gt;&lt;item&gt;22&lt;/item&gt;&lt;item&gt;23&lt;/item&gt;&lt;item&gt;24&lt;/item&gt;&lt;item&gt;27&lt;/item&gt;&lt;item&gt;28&lt;/item&gt;&lt;item&gt;29&lt;/item&gt;&lt;item&gt;30&lt;/item&gt;&lt;item&gt;31&lt;/item&gt;&lt;item&gt;32&lt;/item&gt;&lt;item&gt;33&lt;/item&gt;&lt;item&gt;34&lt;/item&gt;&lt;item&gt;35&lt;/item&gt;&lt;/record-ids&gt;&lt;/item&gt;&lt;/Libraries&gt;"/>
  </w:docVars>
  <w:rsids>
    <w:rsidRoot w:val="00523893"/>
    <w:rsid w:val="00001B04"/>
    <w:rsid w:val="00002030"/>
    <w:rsid w:val="00002969"/>
    <w:rsid w:val="00002E90"/>
    <w:rsid w:val="000033CF"/>
    <w:rsid w:val="00003491"/>
    <w:rsid w:val="00003812"/>
    <w:rsid w:val="00004225"/>
    <w:rsid w:val="00005A02"/>
    <w:rsid w:val="00005DF3"/>
    <w:rsid w:val="00006137"/>
    <w:rsid w:val="000064CD"/>
    <w:rsid w:val="000068CB"/>
    <w:rsid w:val="00010908"/>
    <w:rsid w:val="00010919"/>
    <w:rsid w:val="000110F9"/>
    <w:rsid w:val="000126E1"/>
    <w:rsid w:val="00013CB6"/>
    <w:rsid w:val="0001428D"/>
    <w:rsid w:val="00015C22"/>
    <w:rsid w:val="00016E53"/>
    <w:rsid w:val="000212CC"/>
    <w:rsid w:val="00021967"/>
    <w:rsid w:val="00021E6A"/>
    <w:rsid w:val="0002346C"/>
    <w:rsid w:val="000243CF"/>
    <w:rsid w:val="0002531A"/>
    <w:rsid w:val="00026FE7"/>
    <w:rsid w:val="00030C88"/>
    <w:rsid w:val="00033E61"/>
    <w:rsid w:val="00037644"/>
    <w:rsid w:val="0003778C"/>
    <w:rsid w:val="00042546"/>
    <w:rsid w:val="0004460E"/>
    <w:rsid w:val="0004471E"/>
    <w:rsid w:val="0004552C"/>
    <w:rsid w:val="00047B77"/>
    <w:rsid w:val="00047C8E"/>
    <w:rsid w:val="000524CE"/>
    <w:rsid w:val="00054DB6"/>
    <w:rsid w:val="00056C6F"/>
    <w:rsid w:val="00056D9D"/>
    <w:rsid w:val="00061E65"/>
    <w:rsid w:val="0006463E"/>
    <w:rsid w:val="0006699E"/>
    <w:rsid w:val="00067B42"/>
    <w:rsid w:val="00067BC3"/>
    <w:rsid w:val="000716F3"/>
    <w:rsid w:val="000724D6"/>
    <w:rsid w:val="00072FD5"/>
    <w:rsid w:val="00074CB7"/>
    <w:rsid w:val="00075334"/>
    <w:rsid w:val="00075411"/>
    <w:rsid w:val="0007595F"/>
    <w:rsid w:val="00075DAB"/>
    <w:rsid w:val="000779F1"/>
    <w:rsid w:val="00081FEA"/>
    <w:rsid w:val="000857E6"/>
    <w:rsid w:val="000859FD"/>
    <w:rsid w:val="00085BBF"/>
    <w:rsid w:val="000901C4"/>
    <w:rsid w:val="00091EA3"/>
    <w:rsid w:val="000925C2"/>
    <w:rsid w:val="0009351B"/>
    <w:rsid w:val="0009373C"/>
    <w:rsid w:val="00094D61"/>
    <w:rsid w:val="000950B7"/>
    <w:rsid w:val="000A08B1"/>
    <w:rsid w:val="000A0C5B"/>
    <w:rsid w:val="000A0E1F"/>
    <w:rsid w:val="000A270C"/>
    <w:rsid w:val="000A5D99"/>
    <w:rsid w:val="000A61DF"/>
    <w:rsid w:val="000A6641"/>
    <w:rsid w:val="000A7977"/>
    <w:rsid w:val="000B098B"/>
    <w:rsid w:val="000B0DC6"/>
    <w:rsid w:val="000B1EA4"/>
    <w:rsid w:val="000B2A45"/>
    <w:rsid w:val="000B30C4"/>
    <w:rsid w:val="000B3295"/>
    <w:rsid w:val="000B3E9A"/>
    <w:rsid w:val="000B418C"/>
    <w:rsid w:val="000B490E"/>
    <w:rsid w:val="000B4F09"/>
    <w:rsid w:val="000B5FE3"/>
    <w:rsid w:val="000B704B"/>
    <w:rsid w:val="000C1871"/>
    <w:rsid w:val="000C22E0"/>
    <w:rsid w:val="000C4FF7"/>
    <w:rsid w:val="000C659B"/>
    <w:rsid w:val="000C6726"/>
    <w:rsid w:val="000C6F28"/>
    <w:rsid w:val="000C7E37"/>
    <w:rsid w:val="000D0D92"/>
    <w:rsid w:val="000D107B"/>
    <w:rsid w:val="000D132B"/>
    <w:rsid w:val="000D3CF1"/>
    <w:rsid w:val="000D7498"/>
    <w:rsid w:val="000E0F08"/>
    <w:rsid w:val="000E21FD"/>
    <w:rsid w:val="000E33BD"/>
    <w:rsid w:val="000E3F72"/>
    <w:rsid w:val="000E68A5"/>
    <w:rsid w:val="000E6C48"/>
    <w:rsid w:val="000E73F4"/>
    <w:rsid w:val="000F05A7"/>
    <w:rsid w:val="000F18DF"/>
    <w:rsid w:val="000F2C8D"/>
    <w:rsid w:val="000F35D7"/>
    <w:rsid w:val="000F5961"/>
    <w:rsid w:val="000F7C4C"/>
    <w:rsid w:val="001003FF"/>
    <w:rsid w:val="001016DF"/>
    <w:rsid w:val="00101F94"/>
    <w:rsid w:val="00102915"/>
    <w:rsid w:val="00105A14"/>
    <w:rsid w:val="00106BC9"/>
    <w:rsid w:val="00107D85"/>
    <w:rsid w:val="00110FE5"/>
    <w:rsid w:val="0011115F"/>
    <w:rsid w:val="001127DF"/>
    <w:rsid w:val="00113E6C"/>
    <w:rsid w:val="00115AED"/>
    <w:rsid w:val="001168C7"/>
    <w:rsid w:val="00117216"/>
    <w:rsid w:val="001202FD"/>
    <w:rsid w:val="00122337"/>
    <w:rsid w:val="00122D27"/>
    <w:rsid w:val="00124287"/>
    <w:rsid w:val="001249D5"/>
    <w:rsid w:val="0012508A"/>
    <w:rsid w:val="00125259"/>
    <w:rsid w:val="00125434"/>
    <w:rsid w:val="001275B2"/>
    <w:rsid w:val="00127B01"/>
    <w:rsid w:val="00130C19"/>
    <w:rsid w:val="00130F44"/>
    <w:rsid w:val="0013101C"/>
    <w:rsid w:val="00132215"/>
    <w:rsid w:val="0013233A"/>
    <w:rsid w:val="00133D8B"/>
    <w:rsid w:val="001355EF"/>
    <w:rsid w:val="00136C04"/>
    <w:rsid w:val="00137D63"/>
    <w:rsid w:val="00137DF7"/>
    <w:rsid w:val="0014181D"/>
    <w:rsid w:val="00142B17"/>
    <w:rsid w:val="00145B09"/>
    <w:rsid w:val="00147211"/>
    <w:rsid w:val="00147BA7"/>
    <w:rsid w:val="00150AAC"/>
    <w:rsid w:val="00150B2A"/>
    <w:rsid w:val="00151205"/>
    <w:rsid w:val="0015389B"/>
    <w:rsid w:val="00156422"/>
    <w:rsid w:val="00160034"/>
    <w:rsid w:val="00160B8C"/>
    <w:rsid w:val="00161DC6"/>
    <w:rsid w:val="00165D2F"/>
    <w:rsid w:val="00165D8A"/>
    <w:rsid w:val="001661CA"/>
    <w:rsid w:val="00166CBF"/>
    <w:rsid w:val="00166CDF"/>
    <w:rsid w:val="001670F7"/>
    <w:rsid w:val="00171067"/>
    <w:rsid w:val="00171649"/>
    <w:rsid w:val="0017184E"/>
    <w:rsid w:val="00171C21"/>
    <w:rsid w:val="00171D18"/>
    <w:rsid w:val="0017214E"/>
    <w:rsid w:val="001751A7"/>
    <w:rsid w:val="00176373"/>
    <w:rsid w:val="00177BAB"/>
    <w:rsid w:val="00180C7B"/>
    <w:rsid w:val="00181D88"/>
    <w:rsid w:val="0019252B"/>
    <w:rsid w:val="00192A72"/>
    <w:rsid w:val="00193563"/>
    <w:rsid w:val="0019445C"/>
    <w:rsid w:val="001951AF"/>
    <w:rsid w:val="00195397"/>
    <w:rsid w:val="00195A89"/>
    <w:rsid w:val="001970D7"/>
    <w:rsid w:val="001A0F6E"/>
    <w:rsid w:val="001A17A4"/>
    <w:rsid w:val="001A3242"/>
    <w:rsid w:val="001A62AE"/>
    <w:rsid w:val="001B0868"/>
    <w:rsid w:val="001B0AC0"/>
    <w:rsid w:val="001B1412"/>
    <w:rsid w:val="001B5403"/>
    <w:rsid w:val="001B6A9B"/>
    <w:rsid w:val="001C0915"/>
    <w:rsid w:val="001C1770"/>
    <w:rsid w:val="001C252A"/>
    <w:rsid w:val="001C375A"/>
    <w:rsid w:val="001C3FE3"/>
    <w:rsid w:val="001C57CD"/>
    <w:rsid w:val="001C7131"/>
    <w:rsid w:val="001C750E"/>
    <w:rsid w:val="001D471C"/>
    <w:rsid w:val="001D4F77"/>
    <w:rsid w:val="001D5E80"/>
    <w:rsid w:val="001D6724"/>
    <w:rsid w:val="001E0007"/>
    <w:rsid w:val="001E1363"/>
    <w:rsid w:val="001E16A8"/>
    <w:rsid w:val="001E1AE6"/>
    <w:rsid w:val="001E2B5A"/>
    <w:rsid w:val="001E4B69"/>
    <w:rsid w:val="001E6767"/>
    <w:rsid w:val="001F02D5"/>
    <w:rsid w:val="001F6F35"/>
    <w:rsid w:val="00200797"/>
    <w:rsid w:val="002021FF"/>
    <w:rsid w:val="00203D10"/>
    <w:rsid w:val="00206120"/>
    <w:rsid w:val="00206E8E"/>
    <w:rsid w:val="00206FE2"/>
    <w:rsid w:val="00212D1C"/>
    <w:rsid w:val="00213EF4"/>
    <w:rsid w:val="002144A3"/>
    <w:rsid w:val="00216292"/>
    <w:rsid w:val="00216C34"/>
    <w:rsid w:val="00216D0C"/>
    <w:rsid w:val="0021737A"/>
    <w:rsid w:val="00217882"/>
    <w:rsid w:val="00217CB1"/>
    <w:rsid w:val="002222F3"/>
    <w:rsid w:val="00222BE2"/>
    <w:rsid w:val="00222C54"/>
    <w:rsid w:val="00222E6D"/>
    <w:rsid w:val="0022453B"/>
    <w:rsid w:val="002257AE"/>
    <w:rsid w:val="00231F4D"/>
    <w:rsid w:val="0023237A"/>
    <w:rsid w:val="0023363C"/>
    <w:rsid w:val="00237B9A"/>
    <w:rsid w:val="00237BAD"/>
    <w:rsid w:val="002408C2"/>
    <w:rsid w:val="00240CA8"/>
    <w:rsid w:val="0024149B"/>
    <w:rsid w:val="0024160D"/>
    <w:rsid w:val="00246A31"/>
    <w:rsid w:val="00247F0A"/>
    <w:rsid w:val="002529ED"/>
    <w:rsid w:val="002566E1"/>
    <w:rsid w:val="0026001D"/>
    <w:rsid w:val="00261EE5"/>
    <w:rsid w:val="00261F96"/>
    <w:rsid w:val="00263CCF"/>
    <w:rsid w:val="00267181"/>
    <w:rsid w:val="00267655"/>
    <w:rsid w:val="00267868"/>
    <w:rsid w:val="00267B8A"/>
    <w:rsid w:val="00270C2D"/>
    <w:rsid w:val="00270E92"/>
    <w:rsid w:val="002723D6"/>
    <w:rsid w:val="00272609"/>
    <w:rsid w:val="00274565"/>
    <w:rsid w:val="00275E8B"/>
    <w:rsid w:val="002822E9"/>
    <w:rsid w:val="00282E52"/>
    <w:rsid w:val="00282F01"/>
    <w:rsid w:val="00283ED7"/>
    <w:rsid w:val="00285867"/>
    <w:rsid w:val="00286AB8"/>
    <w:rsid w:val="002900DB"/>
    <w:rsid w:val="002920B8"/>
    <w:rsid w:val="00294B3A"/>
    <w:rsid w:val="00295208"/>
    <w:rsid w:val="002A0349"/>
    <w:rsid w:val="002A04CB"/>
    <w:rsid w:val="002A39E5"/>
    <w:rsid w:val="002A42B5"/>
    <w:rsid w:val="002A5068"/>
    <w:rsid w:val="002A580B"/>
    <w:rsid w:val="002A6399"/>
    <w:rsid w:val="002A6A8C"/>
    <w:rsid w:val="002B3B23"/>
    <w:rsid w:val="002B5651"/>
    <w:rsid w:val="002B5887"/>
    <w:rsid w:val="002B5B0B"/>
    <w:rsid w:val="002B693D"/>
    <w:rsid w:val="002B7523"/>
    <w:rsid w:val="002B7EB7"/>
    <w:rsid w:val="002C088A"/>
    <w:rsid w:val="002C1D0A"/>
    <w:rsid w:val="002C28F0"/>
    <w:rsid w:val="002C3315"/>
    <w:rsid w:val="002C36A0"/>
    <w:rsid w:val="002C50FE"/>
    <w:rsid w:val="002C5E2C"/>
    <w:rsid w:val="002C6D61"/>
    <w:rsid w:val="002D0407"/>
    <w:rsid w:val="002D0434"/>
    <w:rsid w:val="002D2A7F"/>
    <w:rsid w:val="002D3318"/>
    <w:rsid w:val="002D3642"/>
    <w:rsid w:val="002D4BAC"/>
    <w:rsid w:val="002D543E"/>
    <w:rsid w:val="002D77FA"/>
    <w:rsid w:val="002D79F4"/>
    <w:rsid w:val="002E0D19"/>
    <w:rsid w:val="002E3093"/>
    <w:rsid w:val="002E328C"/>
    <w:rsid w:val="002E42FB"/>
    <w:rsid w:val="002E5F6E"/>
    <w:rsid w:val="002E6892"/>
    <w:rsid w:val="002E6A66"/>
    <w:rsid w:val="002E799E"/>
    <w:rsid w:val="002F04B2"/>
    <w:rsid w:val="002F0C2C"/>
    <w:rsid w:val="002F290B"/>
    <w:rsid w:val="002F3143"/>
    <w:rsid w:val="002F3936"/>
    <w:rsid w:val="002F4ACF"/>
    <w:rsid w:val="002F4B86"/>
    <w:rsid w:val="002F4FB0"/>
    <w:rsid w:val="002F67A0"/>
    <w:rsid w:val="002F6CFC"/>
    <w:rsid w:val="002F7788"/>
    <w:rsid w:val="003000A1"/>
    <w:rsid w:val="003004E4"/>
    <w:rsid w:val="00303275"/>
    <w:rsid w:val="00304D62"/>
    <w:rsid w:val="0030569D"/>
    <w:rsid w:val="00305CAF"/>
    <w:rsid w:val="00306410"/>
    <w:rsid w:val="0030736C"/>
    <w:rsid w:val="00310DCB"/>
    <w:rsid w:val="003142F3"/>
    <w:rsid w:val="00317AA6"/>
    <w:rsid w:val="00322965"/>
    <w:rsid w:val="003259FB"/>
    <w:rsid w:val="003260D9"/>
    <w:rsid w:val="003269A9"/>
    <w:rsid w:val="00326B08"/>
    <w:rsid w:val="0033241C"/>
    <w:rsid w:val="003346E7"/>
    <w:rsid w:val="00334C8D"/>
    <w:rsid w:val="0033508C"/>
    <w:rsid w:val="00335C1B"/>
    <w:rsid w:val="003361D8"/>
    <w:rsid w:val="003363B6"/>
    <w:rsid w:val="0034148D"/>
    <w:rsid w:val="0034285A"/>
    <w:rsid w:val="00342D0C"/>
    <w:rsid w:val="00347835"/>
    <w:rsid w:val="00347994"/>
    <w:rsid w:val="00347A8E"/>
    <w:rsid w:val="00347EAE"/>
    <w:rsid w:val="00350C6B"/>
    <w:rsid w:val="003511CC"/>
    <w:rsid w:val="0035154A"/>
    <w:rsid w:val="00353258"/>
    <w:rsid w:val="00355935"/>
    <w:rsid w:val="003564D8"/>
    <w:rsid w:val="0036121E"/>
    <w:rsid w:val="003643E6"/>
    <w:rsid w:val="00364EA4"/>
    <w:rsid w:val="0036622A"/>
    <w:rsid w:val="0037012E"/>
    <w:rsid w:val="00370504"/>
    <w:rsid w:val="00372515"/>
    <w:rsid w:val="003728A2"/>
    <w:rsid w:val="00372F0D"/>
    <w:rsid w:val="00375EB2"/>
    <w:rsid w:val="00377A71"/>
    <w:rsid w:val="003809A1"/>
    <w:rsid w:val="00381813"/>
    <w:rsid w:val="00383610"/>
    <w:rsid w:val="00383658"/>
    <w:rsid w:val="003839A4"/>
    <w:rsid w:val="003863E6"/>
    <w:rsid w:val="003866DD"/>
    <w:rsid w:val="00387207"/>
    <w:rsid w:val="0039063F"/>
    <w:rsid w:val="0039115F"/>
    <w:rsid w:val="003918FA"/>
    <w:rsid w:val="00392A8A"/>
    <w:rsid w:val="003934CB"/>
    <w:rsid w:val="003954FE"/>
    <w:rsid w:val="003966C7"/>
    <w:rsid w:val="00396E00"/>
    <w:rsid w:val="003A0F60"/>
    <w:rsid w:val="003A1870"/>
    <w:rsid w:val="003A391B"/>
    <w:rsid w:val="003A410B"/>
    <w:rsid w:val="003A4689"/>
    <w:rsid w:val="003A4768"/>
    <w:rsid w:val="003A59CA"/>
    <w:rsid w:val="003A5CB4"/>
    <w:rsid w:val="003A7197"/>
    <w:rsid w:val="003A780A"/>
    <w:rsid w:val="003B146F"/>
    <w:rsid w:val="003B4426"/>
    <w:rsid w:val="003B6D64"/>
    <w:rsid w:val="003C05EE"/>
    <w:rsid w:val="003C42A2"/>
    <w:rsid w:val="003C691E"/>
    <w:rsid w:val="003C73C4"/>
    <w:rsid w:val="003C7C7F"/>
    <w:rsid w:val="003D049F"/>
    <w:rsid w:val="003D1933"/>
    <w:rsid w:val="003D2050"/>
    <w:rsid w:val="003D207C"/>
    <w:rsid w:val="003D4282"/>
    <w:rsid w:val="003D4414"/>
    <w:rsid w:val="003D47C2"/>
    <w:rsid w:val="003D52FE"/>
    <w:rsid w:val="003D6ED0"/>
    <w:rsid w:val="003D7EE1"/>
    <w:rsid w:val="003E07DA"/>
    <w:rsid w:val="003E0BCF"/>
    <w:rsid w:val="003E2879"/>
    <w:rsid w:val="003E2E64"/>
    <w:rsid w:val="003E33EB"/>
    <w:rsid w:val="003E4B64"/>
    <w:rsid w:val="003E5401"/>
    <w:rsid w:val="003E5996"/>
    <w:rsid w:val="003E6C33"/>
    <w:rsid w:val="003E7FE0"/>
    <w:rsid w:val="003F0E77"/>
    <w:rsid w:val="003F0F36"/>
    <w:rsid w:val="003F1726"/>
    <w:rsid w:val="003F3E52"/>
    <w:rsid w:val="003F4C7A"/>
    <w:rsid w:val="003F703F"/>
    <w:rsid w:val="003F7392"/>
    <w:rsid w:val="0040059C"/>
    <w:rsid w:val="00402088"/>
    <w:rsid w:val="004026A3"/>
    <w:rsid w:val="00406C1A"/>
    <w:rsid w:val="00410932"/>
    <w:rsid w:val="00412A94"/>
    <w:rsid w:val="00413C59"/>
    <w:rsid w:val="00413CF0"/>
    <w:rsid w:val="004141A4"/>
    <w:rsid w:val="0041420C"/>
    <w:rsid w:val="00414603"/>
    <w:rsid w:val="0041461C"/>
    <w:rsid w:val="004157C7"/>
    <w:rsid w:val="00415A46"/>
    <w:rsid w:val="00415E82"/>
    <w:rsid w:val="004166CD"/>
    <w:rsid w:val="00417C5F"/>
    <w:rsid w:val="00420935"/>
    <w:rsid w:val="00420F98"/>
    <w:rsid w:val="004213D4"/>
    <w:rsid w:val="004217E9"/>
    <w:rsid w:val="00421DED"/>
    <w:rsid w:val="0042209A"/>
    <w:rsid w:val="004224A9"/>
    <w:rsid w:val="00422EEE"/>
    <w:rsid w:val="00423074"/>
    <w:rsid w:val="004254B2"/>
    <w:rsid w:val="0042556B"/>
    <w:rsid w:val="00431DCC"/>
    <w:rsid w:val="0043203A"/>
    <w:rsid w:val="0043465A"/>
    <w:rsid w:val="0043570D"/>
    <w:rsid w:val="004357E1"/>
    <w:rsid w:val="004368B7"/>
    <w:rsid w:val="004404F8"/>
    <w:rsid w:val="00444E05"/>
    <w:rsid w:val="0044520C"/>
    <w:rsid w:val="004454BF"/>
    <w:rsid w:val="004464F0"/>
    <w:rsid w:val="004473BC"/>
    <w:rsid w:val="004473FF"/>
    <w:rsid w:val="004506DB"/>
    <w:rsid w:val="0045219A"/>
    <w:rsid w:val="004522C1"/>
    <w:rsid w:val="00453AF9"/>
    <w:rsid w:val="0045499A"/>
    <w:rsid w:val="00454BB3"/>
    <w:rsid w:val="0045641D"/>
    <w:rsid w:val="00457E72"/>
    <w:rsid w:val="00461FE9"/>
    <w:rsid w:val="00464AE5"/>
    <w:rsid w:val="00465F9B"/>
    <w:rsid w:val="00466AE5"/>
    <w:rsid w:val="00466D25"/>
    <w:rsid w:val="00467850"/>
    <w:rsid w:val="00470585"/>
    <w:rsid w:val="00471416"/>
    <w:rsid w:val="00471594"/>
    <w:rsid w:val="004718FC"/>
    <w:rsid w:val="00471A97"/>
    <w:rsid w:val="00472FA9"/>
    <w:rsid w:val="004732B1"/>
    <w:rsid w:val="0047499D"/>
    <w:rsid w:val="00475FA8"/>
    <w:rsid w:val="00476F70"/>
    <w:rsid w:val="00477C44"/>
    <w:rsid w:val="00477C72"/>
    <w:rsid w:val="00481113"/>
    <w:rsid w:val="004814A2"/>
    <w:rsid w:val="004840ED"/>
    <w:rsid w:val="00484895"/>
    <w:rsid w:val="00485A8A"/>
    <w:rsid w:val="00487656"/>
    <w:rsid w:val="004879B3"/>
    <w:rsid w:val="00490ED0"/>
    <w:rsid w:val="00492CB2"/>
    <w:rsid w:val="00493773"/>
    <w:rsid w:val="00494D0D"/>
    <w:rsid w:val="0049551F"/>
    <w:rsid w:val="00496219"/>
    <w:rsid w:val="00497E10"/>
    <w:rsid w:val="004A019C"/>
    <w:rsid w:val="004A15D4"/>
    <w:rsid w:val="004A3826"/>
    <w:rsid w:val="004A3DE0"/>
    <w:rsid w:val="004A4054"/>
    <w:rsid w:val="004A47B6"/>
    <w:rsid w:val="004A4B20"/>
    <w:rsid w:val="004A4EA6"/>
    <w:rsid w:val="004A698B"/>
    <w:rsid w:val="004A719C"/>
    <w:rsid w:val="004A7665"/>
    <w:rsid w:val="004B0055"/>
    <w:rsid w:val="004B04FF"/>
    <w:rsid w:val="004B1088"/>
    <w:rsid w:val="004B1DB8"/>
    <w:rsid w:val="004B3A64"/>
    <w:rsid w:val="004B3F13"/>
    <w:rsid w:val="004C101A"/>
    <w:rsid w:val="004C1B0A"/>
    <w:rsid w:val="004C2834"/>
    <w:rsid w:val="004C2BBE"/>
    <w:rsid w:val="004C3EA8"/>
    <w:rsid w:val="004C4051"/>
    <w:rsid w:val="004C4947"/>
    <w:rsid w:val="004C51A9"/>
    <w:rsid w:val="004C67DE"/>
    <w:rsid w:val="004D1D71"/>
    <w:rsid w:val="004D31FD"/>
    <w:rsid w:val="004D365C"/>
    <w:rsid w:val="004D3A69"/>
    <w:rsid w:val="004D5154"/>
    <w:rsid w:val="004D6855"/>
    <w:rsid w:val="004D7DA1"/>
    <w:rsid w:val="004E01CF"/>
    <w:rsid w:val="004E21C8"/>
    <w:rsid w:val="004E2AFC"/>
    <w:rsid w:val="004E4106"/>
    <w:rsid w:val="004F02F7"/>
    <w:rsid w:val="004F16D7"/>
    <w:rsid w:val="004F16DE"/>
    <w:rsid w:val="004F217D"/>
    <w:rsid w:val="004F2D60"/>
    <w:rsid w:val="004F2FF5"/>
    <w:rsid w:val="004F38A0"/>
    <w:rsid w:val="004F4308"/>
    <w:rsid w:val="004F500F"/>
    <w:rsid w:val="004F5057"/>
    <w:rsid w:val="004F62E3"/>
    <w:rsid w:val="0050064A"/>
    <w:rsid w:val="00501A13"/>
    <w:rsid w:val="00501D25"/>
    <w:rsid w:val="005032BE"/>
    <w:rsid w:val="005033C4"/>
    <w:rsid w:val="005035CB"/>
    <w:rsid w:val="00504061"/>
    <w:rsid w:val="00507EF0"/>
    <w:rsid w:val="00510837"/>
    <w:rsid w:val="00510905"/>
    <w:rsid w:val="00511054"/>
    <w:rsid w:val="00512D1C"/>
    <w:rsid w:val="00513BE6"/>
    <w:rsid w:val="00514CDB"/>
    <w:rsid w:val="00517904"/>
    <w:rsid w:val="00522560"/>
    <w:rsid w:val="00523893"/>
    <w:rsid w:val="00524609"/>
    <w:rsid w:val="00525935"/>
    <w:rsid w:val="00525A4B"/>
    <w:rsid w:val="00526A4F"/>
    <w:rsid w:val="00530176"/>
    <w:rsid w:val="0053067E"/>
    <w:rsid w:val="00531006"/>
    <w:rsid w:val="005325F7"/>
    <w:rsid w:val="00532EAC"/>
    <w:rsid w:val="005336C3"/>
    <w:rsid w:val="005365FA"/>
    <w:rsid w:val="005373B4"/>
    <w:rsid w:val="0054231D"/>
    <w:rsid w:val="00542764"/>
    <w:rsid w:val="005429D8"/>
    <w:rsid w:val="00550CA0"/>
    <w:rsid w:val="00553BD1"/>
    <w:rsid w:val="0055418A"/>
    <w:rsid w:val="00555210"/>
    <w:rsid w:val="00557B8B"/>
    <w:rsid w:val="005629DD"/>
    <w:rsid w:val="00562E8B"/>
    <w:rsid w:val="0056516D"/>
    <w:rsid w:val="00565438"/>
    <w:rsid w:val="005701C4"/>
    <w:rsid w:val="00570E96"/>
    <w:rsid w:val="00571CC9"/>
    <w:rsid w:val="00571D22"/>
    <w:rsid w:val="00573855"/>
    <w:rsid w:val="0057410A"/>
    <w:rsid w:val="0057629A"/>
    <w:rsid w:val="005815F7"/>
    <w:rsid w:val="00583602"/>
    <w:rsid w:val="005855D2"/>
    <w:rsid w:val="00585FA7"/>
    <w:rsid w:val="005909A3"/>
    <w:rsid w:val="00590C89"/>
    <w:rsid w:val="00591019"/>
    <w:rsid w:val="005915C8"/>
    <w:rsid w:val="00592566"/>
    <w:rsid w:val="00595351"/>
    <w:rsid w:val="00596783"/>
    <w:rsid w:val="005973AA"/>
    <w:rsid w:val="00597DCD"/>
    <w:rsid w:val="005A14AD"/>
    <w:rsid w:val="005A386F"/>
    <w:rsid w:val="005A67CF"/>
    <w:rsid w:val="005B3CB3"/>
    <w:rsid w:val="005B7FC2"/>
    <w:rsid w:val="005C0651"/>
    <w:rsid w:val="005C0AC4"/>
    <w:rsid w:val="005C2346"/>
    <w:rsid w:val="005C2FA3"/>
    <w:rsid w:val="005C3DFC"/>
    <w:rsid w:val="005C600C"/>
    <w:rsid w:val="005C61AF"/>
    <w:rsid w:val="005C63AA"/>
    <w:rsid w:val="005C7184"/>
    <w:rsid w:val="005D5CC9"/>
    <w:rsid w:val="005D5E85"/>
    <w:rsid w:val="005D6FF0"/>
    <w:rsid w:val="005E1B9B"/>
    <w:rsid w:val="005E21C6"/>
    <w:rsid w:val="005E3073"/>
    <w:rsid w:val="005E3251"/>
    <w:rsid w:val="005E68BE"/>
    <w:rsid w:val="005F2254"/>
    <w:rsid w:val="005F238E"/>
    <w:rsid w:val="005F2A73"/>
    <w:rsid w:val="005F2B21"/>
    <w:rsid w:val="005F314B"/>
    <w:rsid w:val="005F41A7"/>
    <w:rsid w:val="005F50ED"/>
    <w:rsid w:val="005F5364"/>
    <w:rsid w:val="005F6FEA"/>
    <w:rsid w:val="005F7FF6"/>
    <w:rsid w:val="0060180F"/>
    <w:rsid w:val="00601910"/>
    <w:rsid w:val="00603296"/>
    <w:rsid w:val="0060742A"/>
    <w:rsid w:val="00607A40"/>
    <w:rsid w:val="006126AE"/>
    <w:rsid w:val="006138FC"/>
    <w:rsid w:val="0061465C"/>
    <w:rsid w:val="00614E5A"/>
    <w:rsid w:val="00615AAD"/>
    <w:rsid w:val="00615B27"/>
    <w:rsid w:val="00616C63"/>
    <w:rsid w:val="006227C7"/>
    <w:rsid w:val="00624A97"/>
    <w:rsid w:val="00624DA4"/>
    <w:rsid w:val="006268D2"/>
    <w:rsid w:val="00630D5A"/>
    <w:rsid w:val="00633B1D"/>
    <w:rsid w:val="0063686C"/>
    <w:rsid w:val="00636F89"/>
    <w:rsid w:val="0064003E"/>
    <w:rsid w:val="00640B3D"/>
    <w:rsid w:val="006418D1"/>
    <w:rsid w:val="0064255E"/>
    <w:rsid w:val="00643B04"/>
    <w:rsid w:val="00644B72"/>
    <w:rsid w:val="0064500E"/>
    <w:rsid w:val="00645EC6"/>
    <w:rsid w:val="00651B5A"/>
    <w:rsid w:val="00653B84"/>
    <w:rsid w:val="00654444"/>
    <w:rsid w:val="00654B87"/>
    <w:rsid w:val="00654F2B"/>
    <w:rsid w:val="00657577"/>
    <w:rsid w:val="006577A4"/>
    <w:rsid w:val="006643B8"/>
    <w:rsid w:val="0066616F"/>
    <w:rsid w:val="00667892"/>
    <w:rsid w:val="006762B5"/>
    <w:rsid w:val="00676BAA"/>
    <w:rsid w:val="0068039A"/>
    <w:rsid w:val="00681095"/>
    <w:rsid w:val="00682E2A"/>
    <w:rsid w:val="00683231"/>
    <w:rsid w:val="006834CA"/>
    <w:rsid w:val="006843DB"/>
    <w:rsid w:val="0068619D"/>
    <w:rsid w:val="00687AC7"/>
    <w:rsid w:val="006911B0"/>
    <w:rsid w:val="00691439"/>
    <w:rsid w:val="00691683"/>
    <w:rsid w:val="00692C1E"/>
    <w:rsid w:val="00693482"/>
    <w:rsid w:val="006954BF"/>
    <w:rsid w:val="00696FA8"/>
    <w:rsid w:val="006A04F3"/>
    <w:rsid w:val="006A14DB"/>
    <w:rsid w:val="006A2040"/>
    <w:rsid w:val="006A2396"/>
    <w:rsid w:val="006A3941"/>
    <w:rsid w:val="006A43E7"/>
    <w:rsid w:val="006B0231"/>
    <w:rsid w:val="006B19CE"/>
    <w:rsid w:val="006B2B5B"/>
    <w:rsid w:val="006B3DA0"/>
    <w:rsid w:val="006B3E5C"/>
    <w:rsid w:val="006B4F97"/>
    <w:rsid w:val="006B658C"/>
    <w:rsid w:val="006B6F8F"/>
    <w:rsid w:val="006B6FA0"/>
    <w:rsid w:val="006C2AA7"/>
    <w:rsid w:val="006C3978"/>
    <w:rsid w:val="006C4B7F"/>
    <w:rsid w:val="006C5536"/>
    <w:rsid w:val="006C7561"/>
    <w:rsid w:val="006D02C7"/>
    <w:rsid w:val="006D0E60"/>
    <w:rsid w:val="006D442A"/>
    <w:rsid w:val="006D7AF4"/>
    <w:rsid w:val="006D7C10"/>
    <w:rsid w:val="006E05DA"/>
    <w:rsid w:val="006E0EC7"/>
    <w:rsid w:val="006E364C"/>
    <w:rsid w:val="006E3D8F"/>
    <w:rsid w:val="006E3E8A"/>
    <w:rsid w:val="006E58A7"/>
    <w:rsid w:val="006E6453"/>
    <w:rsid w:val="006F1951"/>
    <w:rsid w:val="006F2086"/>
    <w:rsid w:val="006F2897"/>
    <w:rsid w:val="006F2A24"/>
    <w:rsid w:val="006F4928"/>
    <w:rsid w:val="006F4C3C"/>
    <w:rsid w:val="006F6DF2"/>
    <w:rsid w:val="006F77C1"/>
    <w:rsid w:val="0070003C"/>
    <w:rsid w:val="00700CAF"/>
    <w:rsid w:val="007011B5"/>
    <w:rsid w:val="00701A7B"/>
    <w:rsid w:val="00702E25"/>
    <w:rsid w:val="00704EAC"/>
    <w:rsid w:val="007055E0"/>
    <w:rsid w:val="00712A81"/>
    <w:rsid w:val="00714AF0"/>
    <w:rsid w:val="00715249"/>
    <w:rsid w:val="007163CE"/>
    <w:rsid w:val="00716B03"/>
    <w:rsid w:val="00717F1D"/>
    <w:rsid w:val="00720478"/>
    <w:rsid w:val="0072060C"/>
    <w:rsid w:val="00720EBF"/>
    <w:rsid w:val="007221F8"/>
    <w:rsid w:val="007229DF"/>
    <w:rsid w:val="00722E4B"/>
    <w:rsid w:val="00722EB6"/>
    <w:rsid w:val="00723B9C"/>
    <w:rsid w:val="00724437"/>
    <w:rsid w:val="00726E58"/>
    <w:rsid w:val="0072721B"/>
    <w:rsid w:val="00731B83"/>
    <w:rsid w:val="00731D76"/>
    <w:rsid w:val="0073201A"/>
    <w:rsid w:val="0073293F"/>
    <w:rsid w:val="00732957"/>
    <w:rsid w:val="007336C2"/>
    <w:rsid w:val="00736346"/>
    <w:rsid w:val="00737604"/>
    <w:rsid w:val="00737AA2"/>
    <w:rsid w:val="00737FF8"/>
    <w:rsid w:val="0074293D"/>
    <w:rsid w:val="00742E3E"/>
    <w:rsid w:val="0074526A"/>
    <w:rsid w:val="00746ADF"/>
    <w:rsid w:val="00747714"/>
    <w:rsid w:val="00750107"/>
    <w:rsid w:val="00750C94"/>
    <w:rsid w:val="00751B36"/>
    <w:rsid w:val="00753EB0"/>
    <w:rsid w:val="00753F0F"/>
    <w:rsid w:val="00754389"/>
    <w:rsid w:val="007572F0"/>
    <w:rsid w:val="00760DD0"/>
    <w:rsid w:val="0076176C"/>
    <w:rsid w:val="00762BC4"/>
    <w:rsid w:val="00762DBE"/>
    <w:rsid w:val="00763ECB"/>
    <w:rsid w:val="007649AB"/>
    <w:rsid w:val="00764D0C"/>
    <w:rsid w:val="00765080"/>
    <w:rsid w:val="00765A24"/>
    <w:rsid w:val="00766462"/>
    <w:rsid w:val="0077065F"/>
    <w:rsid w:val="007726F2"/>
    <w:rsid w:val="007730FB"/>
    <w:rsid w:val="00775D18"/>
    <w:rsid w:val="00775F5B"/>
    <w:rsid w:val="00776735"/>
    <w:rsid w:val="007770B4"/>
    <w:rsid w:val="00780153"/>
    <w:rsid w:val="00782540"/>
    <w:rsid w:val="00782971"/>
    <w:rsid w:val="00782CC3"/>
    <w:rsid w:val="00783114"/>
    <w:rsid w:val="00783168"/>
    <w:rsid w:val="0078368F"/>
    <w:rsid w:val="00786185"/>
    <w:rsid w:val="0078646C"/>
    <w:rsid w:val="00790FF1"/>
    <w:rsid w:val="00792BD8"/>
    <w:rsid w:val="00793771"/>
    <w:rsid w:val="007942CB"/>
    <w:rsid w:val="00796101"/>
    <w:rsid w:val="007A0BAA"/>
    <w:rsid w:val="007A0D74"/>
    <w:rsid w:val="007A2A46"/>
    <w:rsid w:val="007A3B46"/>
    <w:rsid w:val="007A4265"/>
    <w:rsid w:val="007A494B"/>
    <w:rsid w:val="007A5689"/>
    <w:rsid w:val="007B0AF1"/>
    <w:rsid w:val="007B2930"/>
    <w:rsid w:val="007B5A55"/>
    <w:rsid w:val="007B62CA"/>
    <w:rsid w:val="007B6386"/>
    <w:rsid w:val="007B6E0E"/>
    <w:rsid w:val="007C09FF"/>
    <w:rsid w:val="007C2139"/>
    <w:rsid w:val="007C3422"/>
    <w:rsid w:val="007C4F79"/>
    <w:rsid w:val="007D0375"/>
    <w:rsid w:val="007D0BD1"/>
    <w:rsid w:val="007D3878"/>
    <w:rsid w:val="007D6D7F"/>
    <w:rsid w:val="007D70EA"/>
    <w:rsid w:val="007E0E92"/>
    <w:rsid w:val="007E16CA"/>
    <w:rsid w:val="007E2F04"/>
    <w:rsid w:val="007E3608"/>
    <w:rsid w:val="007E515E"/>
    <w:rsid w:val="007E69CB"/>
    <w:rsid w:val="007F4772"/>
    <w:rsid w:val="007F6FDF"/>
    <w:rsid w:val="00801B0F"/>
    <w:rsid w:val="00801B6C"/>
    <w:rsid w:val="008022BE"/>
    <w:rsid w:val="00802C43"/>
    <w:rsid w:val="008037C4"/>
    <w:rsid w:val="008039CB"/>
    <w:rsid w:val="0080428F"/>
    <w:rsid w:val="00806E1E"/>
    <w:rsid w:val="00812049"/>
    <w:rsid w:val="008126A3"/>
    <w:rsid w:val="00813836"/>
    <w:rsid w:val="008140E7"/>
    <w:rsid w:val="008143C1"/>
    <w:rsid w:val="00814FC9"/>
    <w:rsid w:val="0081798A"/>
    <w:rsid w:val="008216C2"/>
    <w:rsid w:val="008226CD"/>
    <w:rsid w:val="00822E6B"/>
    <w:rsid w:val="00822FCC"/>
    <w:rsid w:val="008242A1"/>
    <w:rsid w:val="00824370"/>
    <w:rsid w:val="008256C2"/>
    <w:rsid w:val="008300CF"/>
    <w:rsid w:val="00830639"/>
    <w:rsid w:val="00834534"/>
    <w:rsid w:val="00837299"/>
    <w:rsid w:val="00840C09"/>
    <w:rsid w:val="00845662"/>
    <w:rsid w:val="00846107"/>
    <w:rsid w:val="00847E95"/>
    <w:rsid w:val="00850098"/>
    <w:rsid w:val="008517A4"/>
    <w:rsid w:val="00852250"/>
    <w:rsid w:val="00853735"/>
    <w:rsid w:val="00856CBE"/>
    <w:rsid w:val="00857297"/>
    <w:rsid w:val="00857C70"/>
    <w:rsid w:val="008614B4"/>
    <w:rsid w:val="0086211E"/>
    <w:rsid w:val="008638BA"/>
    <w:rsid w:val="00865B00"/>
    <w:rsid w:val="008677EA"/>
    <w:rsid w:val="00867BB6"/>
    <w:rsid w:val="00870F31"/>
    <w:rsid w:val="00871006"/>
    <w:rsid w:val="00876363"/>
    <w:rsid w:val="008812F8"/>
    <w:rsid w:val="008825E0"/>
    <w:rsid w:val="00882956"/>
    <w:rsid w:val="0088300D"/>
    <w:rsid w:val="00883C12"/>
    <w:rsid w:val="008869E6"/>
    <w:rsid w:val="00886E90"/>
    <w:rsid w:val="00886F76"/>
    <w:rsid w:val="00890BE0"/>
    <w:rsid w:val="00894FD9"/>
    <w:rsid w:val="00895CF9"/>
    <w:rsid w:val="00897A74"/>
    <w:rsid w:val="008A0515"/>
    <w:rsid w:val="008A20B5"/>
    <w:rsid w:val="008A2ADD"/>
    <w:rsid w:val="008A635B"/>
    <w:rsid w:val="008A6C38"/>
    <w:rsid w:val="008A7488"/>
    <w:rsid w:val="008A7830"/>
    <w:rsid w:val="008B09FF"/>
    <w:rsid w:val="008B182E"/>
    <w:rsid w:val="008B20BB"/>
    <w:rsid w:val="008B581F"/>
    <w:rsid w:val="008B5FF0"/>
    <w:rsid w:val="008B6A63"/>
    <w:rsid w:val="008B703A"/>
    <w:rsid w:val="008B7E26"/>
    <w:rsid w:val="008C0411"/>
    <w:rsid w:val="008C0624"/>
    <w:rsid w:val="008C4E5D"/>
    <w:rsid w:val="008D0E38"/>
    <w:rsid w:val="008D2FCF"/>
    <w:rsid w:val="008D3269"/>
    <w:rsid w:val="008D3C3C"/>
    <w:rsid w:val="008D3E8F"/>
    <w:rsid w:val="008D6456"/>
    <w:rsid w:val="008D7117"/>
    <w:rsid w:val="008E3D57"/>
    <w:rsid w:val="008E5CFD"/>
    <w:rsid w:val="008E6349"/>
    <w:rsid w:val="008F1E87"/>
    <w:rsid w:val="008F1E98"/>
    <w:rsid w:val="008F370B"/>
    <w:rsid w:val="008F4679"/>
    <w:rsid w:val="008F59AB"/>
    <w:rsid w:val="008F7442"/>
    <w:rsid w:val="008F7AF8"/>
    <w:rsid w:val="008F7EA5"/>
    <w:rsid w:val="00900461"/>
    <w:rsid w:val="00901299"/>
    <w:rsid w:val="00901AB5"/>
    <w:rsid w:val="00901EC3"/>
    <w:rsid w:val="00902650"/>
    <w:rsid w:val="00902EE8"/>
    <w:rsid w:val="00903615"/>
    <w:rsid w:val="00903DA4"/>
    <w:rsid w:val="00904301"/>
    <w:rsid w:val="0090432F"/>
    <w:rsid w:val="009051F8"/>
    <w:rsid w:val="009059A0"/>
    <w:rsid w:val="0090742E"/>
    <w:rsid w:val="00907F98"/>
    <w:rsid w:val="00910454"/>
    <w:rsid w:val="00910801"/>
    <w:rsid w:val="00910C11"/>
    <w:rsid w:val="00912D35"/>
    <w:rsid w:val="00913A16"/>
    <w:rsid w:val="00915E11"/>
    <w:rsid w:val="009162A5"/>
    <w:rsid w:val="00917851"/>
    <w:rsid w:val="00920020"/>
    <w:rsid w:val="009201A0"/>
    <w:rsid w:val="00920559"/>
    <w:rsid w:val="00920F33"/>
    <w:rsid w:val="00925CF0"/>
    <w:rsid w:val="00930A89"/>
    <w:rsid w:val="009311D3"/>
    <w:rsid w:val="009324E7"/>
    <w:rsid w:val="00932769"/>
    <w:rsid w:val="00932ED2"/>
    <w:rsid w:val="00934194"/>
    <w:rsid w:val="00934235"/>
    <w:rsid w:val="00934449"/>
    <w:rsid w:val="00934812"/>
    <w:rsid w:val="00934CD7"/>
    <w:rsid w:val="00934DF9"/>
    <w:rsid w:val="00935DB6"/>
    <w:rsid w:val="00935FF1"/>
    <w:rsid w:val="0094065E"/>
    <w:rsid w:val="00940B89"/>
    <w:rsid w:val="0094274A"/>
    <w:rsid w:val="00943E9A"/>
    <w:rsid w:val="009456F2"/>
    <w:rsid w:val="00945C06"/>
    <w:rsid w:val="00945CC6"/>
    <w:rsid w:val="009519DF"/>
    <w:rsid w:val="00952DAF"/>
    <w:rsid w:val="009533E9"/>
    <w:rsid w:val="00953827"/>
    <w:rsid w:val="00953996"/>
    <w:rsid w:val="009564A7"/>
    <w:rsid w:val="00963133"/>
    <w:rsid w:val="0096375D"/>
    <w:rsid w:val="00963CD6"/>
    <w:rsid w:val="009657E7"/>
    <w:rsid w:val="0096637C"/>
    <w:rsid w:val="00966E82"/>
    <w:rsid w:val="00970068"/>
    <w:rsid w:val="009702CB"/>
    <w:rsid w:val="0097125C"/>
    <w:rsid w:val="0097140C"/>
    <w:rsid w:val="00972725"/>
    <w:rsid w:val="0097310F"/>
    <w:rsid w:val="0097338C"/>
    <w:rsid w:val="00974898"/>
    <w:rsid w:val="00976DBF"/>
    <w:rsid w:val="009811E3"/>
    <w:rsid w:val="0098185F"/>
    <w:rsid w:val="00982496"/>
    <w:rsid w:val="0098256A"/>
    <w:rsid w:val="00982780"/>
    <w:rsid w:val="0098419A"/>
    <w:rsid w:val="00985B49"/>
    <w:rsid w:val="00986FF6"/>
    <w:rsid w:val="00987BC2"/>
    <w:rsid w:val="00990730"/>
    <w:rsid w:val="009908A3"/>
    <w:rsid w:val="00991054"/>
    <w:rsid w:val="00992AC6"/>
    <w:rsid w:val="00995886"/>
    <w:rsid w:val="00996026"/>
    <w:rsid w:val="009960BE"/>
    <w:rsid w:val="009A039F"/>
    <w:rsid w:val="009A1DD8"/>
    <w:rsid w:val="009A3A48"/>
    <w:rsid w:val="009A7661"/>
    <w:rsid w:val="009A7D99"/>
    <w:rsid w:val="009B0851"/>
    <w:rsid w:val="009B26FA"/>
    <w:rsid w:val="009B2733"/>
    <w:rsid w:val="009B4537"/>
    <w:rsid w:val="009B6C6E"/>
    <w:rsid w:val="009B70F7"/>
    <w:rsid w:val="009B7EA3"/>
    <w:rsid w:val="009C0ABF"/>
    <w:rsid w:val="009C234A"/>
    <w:rsid w:val="009C28CE"/>
    <w:rsid w:val="009C40CA"/>
    <w:rsid w:val="009C5586"/>
    <w:rsid w:val="009C60CC"/>
    <w:rsid w:val="009C62D8"/>
    <w:rsid w:val="009C699F"/>
    <w:rsid w:val="009C6AFB"/>
    <w:rsid w:val="009C7DFA"/>
    <w:rsid w:val="009D1267"/>
    <w:rsid w:val="009D68A7"/>
    <w:rsid w:val="009D6E6A"/>
    <w:rsid w:val="009D72F5"/>
    <w:rsid w:val="009D77A9"/>
    <w:rsid w:val="009E0180"/>
    <w:rsid w:val="009F100C"/>
    <w:rsid w:val="009F32DD"/>
    <w:rsid w:val="009F3331"/>
    <w:rsid w:val="009F501B"/>
    <w:rsid w:val="009F7300"/>
    <w:rsid w:val="00A002D9"/>
    <w:rsid w:val="00A011A4"/>
    <w:rsid w:val="00A01DCA"/>
    <w:rsid w:val="00A02B75"/>
    <w:rsid w:val="00A04008"/>
    <w:rsid w:val="00A05F0A"/>
    <w:rsid w:val="00A06828"/>
    <w:rsid w:val="00A07893"/>
    <w:rsid w:val="00A10552"/>
    <w:rsid w:val="00A11D3A"/>
    <w:rsid w:val="00A147B4"/>
    <w:rsid w:val="00A150A2"/>
    <w:rsid w:val="00A21023"/>
    <w:rsid w:val="00A22ACE"/>
    <w:rsid w:val="00A25AED"/>
    <w:rsid w:val="00A25D6C"/>
    <w:rsid w:val="00A301D9"/>
    <w:rsid w:val="00A30B87"/>
    <w:rsid w:val="00A30F3E"/>
    <w:rsid w:val="00A3144C"/>
    <w:rsid w:val="00A31D2C"/>
    <w:rsid w:val="00A321ED"/>
    <w:rsid w:val="00A32FC1"/>
    <w:rsid w:val="00A356F1"/>
    <w:rsid w:val="00A37C6D"/>
    <w:rsid w:val="00A4400F"/>
    <w:rsid w:val="00A45C57"/>
    <w:rsid w:val="00A4621A"/>
    <w:rsid w:val="00A47D12"/>
    <w:rsid w:val="00A508FA"/>
    <w:rsid w:val="00A51A90"/>
    <w:rsid w:val="00A52E5D"/>
    <w:rsid w:val="00A53257"/>
    <w:rsid w:val="00A54899"/>
    <w:rsid w:val="00A55FF6"/>
    <w:rsid w:val="00A5690B"/>
    <w:rsid w:val="00A60A80"/>
    <w:rsid w:val="00A61ED4"/>
    <w:rsid w:val="00A6248B"/>
    <w:rsid w:val="00A6344D"/>
    <w:rsid w:val="00A63DCE"/>
    <w:rsid w:val="00A65ADA"/>
    <w:rsid w:val="00A70672"/>
    <w:rsid w:val="00A70CD4"/>
    <w:rsid w:val="00A74356"/>
    <w:rsid w:val="00A74368"/>
    <w:rsid w:val="00A83135"/>
    <w:rsid w:val="00A835FA"/>
    <w:rsid w:val="00A83C26"/>
    <w:rsid w:val="00A85706"/>
    <w:rsid w:val="00A86A6F"/>
    <w:rsid w:val="00A877F3"/>
    <w:rsid w:val="00A9011F"/>
    <w:rsid w:val="00A90649"/>
    <w:rsid w:val="00A9081B"/>
    <w:rsid w:val="00A911F6"/>
    <w:rsid w:val="00A9222C"/>
    <w:rsid w:val="00A923AF"/>
    <w:rsid w:val="00A926DD"/>
    <w:rsid w:val="00A926ED"/>
    <w:rsid w:val="00A92C3D"/>
    <w:rsid w:val="00A92EC4"/>
    <w:rsid w:val="00A95C40"/>
    <w:rsid w:val="00A96614"/>
    <w:rsid w:val="00A96906"/>
    <w:rsid w:val="00AA1246"/>
    <w:rsid w:val="00AA144D"/>
    <w:rsid w:val="00AA1C1E"/>
    <w:rsid w:val="00AA1CAF"/>
    <w:rsid w:val="00AA233D"/>
    <w:rsid w:val="00AA32D9"/>
    <w:rsid w:val="00AA6BD0"/>
    <w:rsid w:val="00AB02B8"/>
    <w:rsid w:val="00AB0F71"/>
    <w:rsid w:val="00AB207C"/>
    <w:rsid w:val="00AB245E"/>
    <w:rsid w:val="00AB32BF"/>
    <w:rsid w:val="00AB54A0"/>
    <w:rsid w:val="00AB58C0"/>
    <w:rsid w:val="00AC66D0"/>
    <w:rsid w:val="00AC77C0"/>
    <w:rsid w:val="00AC794C"/>
    <w:rsid w:val="00AD2FEE"/>
    <w:rsid w:val="00AD5281"/>
    <w:rsid w:val="00AE1249"/>
    <w:rsid w:val="00AE19AA"/>
    <w:rsid w:val="00AE19C2"/>
    <w:rsid w:val="00AE24BC"/>
    <w:rsid w:val="00AE2878"/>
    <w:rsid w:val="00AE2E87"/>
    <w:rsid w:val="00AE3A05"/>
    <w:rsid w:val="00AE56E6"/>
    <w:rsid w:val="00AE7CFD"/>
    <w:rsid w:val="00AF03F6"/>
    <w:rsid w:val="00AF0B65"/>
    <w:rsid w:val="00AF10D4"/>
    <w:rsid w:val="00AF192D"/>
    <w:rsid w:val="00AF274F"/>
    <w:rsid w:val="00AF347C"/>
    <w:rsid w:val="00AF4622"/>
    <w:rsid w:val="00AF4E94"/>
    <w:rsid w:val="00B0070B"/>
    <w:rsid w:val="00B008C1"/>
    <w:rsid w:val="00B031EF"/>
    <w:rsid w:val="00B049F9"/>
    <w:rsid w:val="00B06DC2"/>
    <w:rsid w:val="00B07D5B"/>
    <w:rsid w:val="00B07FC8"/>
    <w:rsid w:val="00B11636"/>
    <w:rsid w:val="00B12922"/>
    <w:rsid w:val="00B12AB1"/>
    <w:rsid w:val="00B13617"/>
    <w:rsid w:val="00B138B4"/>
    <w:rsid w:val="00B14A01"/>
    <w:rsid w:val="00B16529"/>
    <w:rsid w:val="00B16939"/>
    <w:rsid w:val="00B2030B"/>
    <w:rsid w:val="00B20625"/>
    <w:rsid w:val="00B211B6"/>
    <w:rsid w:val="00B214A7"/>
    <w:rsid w:val="00B2197F"/>
    <w:rsid w:val="00B21C8C"/>
    <w:rsid w:val="00B22724"/>
    <w:rsid w:val="00B245FC"/>
    <w:rsid w:val="00B24933"/>
    <w:rsid w:val="00B2623A"/>
    <w:rsid w:val="00B26EC3"/>
    <w:rsid w:val="00B279B4"/>
    <w:rsid w:val="00B307DD"/>
    <w:rsid w:val="00B32743"/>
    <w:rsid w:val="00B33378"/>
    <w:rsid w:val="00B33D95"/>
    <w:rsid w:val="00B34A33"/>
    <w:rsid w:val="00B34E7E"/>
    <w:rsid w:val="00B3554F"/>
    <w:rsid w:val="00B35FA6"/>
    <w:rsid w:val="00B369C9"/>
    <w:rsid w:val="00B36CF4"/>
    <w:rsid w:val="00B37BD5"/>
    <w:rsid w:val="00B41D43"/>
    <w:rsid w:val="00B427C8"/>
    <w:rsid w:val="00B43E82"/>
    <w:rsid w:val="00B44379"/>
    <w:rsid w:val="00B458C7"/>
    <w:rsid w:val="00B5279C"/>
    <w:rsid w:val="00B54637"/>
    <w:rsid w:val="00B61EA5"/>
    <w:rsid w:val="00B63747"/>
    <w:rsid w:val="00B639F2"/>
    <w:rsid w:val="00B769CA"/>
    <w:rsid w:val="00B80321"/>
    <w:rsid w:val="00B80C1B"/>
    <w:rsid w:val="00B811A0"/>
    <w:rsid w:val="00B833EE"/>
    <w:rsid w:val="00B85874"/>
    <w:rsid w:val="00B86B12"/>
    <w:rsid w:val="00B871AD"/>
    <w:rsid w:val="00B90B25"/>
    <w:rsid w:val="00B91412"/>
    <w:rsid w:val="00B92907"/>
    <w:rsid w:val="00B947F6"/>
    <w:rsid w:val="00B94AE2"/>
    <w:rsid w:val="00B95C60"/>
    <w:rsid w:val="00B976BC"/>
    <w:rsid w:val="00BA20FA"/>
    <w:rsid w:val="00BA2BB1"/>
    <w:rsid w:val="00BA2C5D"/>
    <w:rsid w:val="00BA2CA7"/>
    <w:rsid w:val="00BA3695"/>
    <w:rsid w:val="00BA444C"/>
    <w:rsid w:val="00BA51BA"/>
    <w:rsid w:val="00BA6675"/>
    <w:rsid w:val="00BB10CD"/>
    <w:rsid w:val="00BB1339"/>
    <w:rsid w:val="00BB265F"/>
    <w:rsid w:val="00BB2ADA"/>
    <w:rsid w:val="00BB626C"/>
    <w:rsid w:val="00BB65C0"/>
    <w:rsid w:val="00BB6D1D"/>
    <w:rsid w:val="00BC2869"/>
    <w:rsid w:val="00BC455C"/>
    <w:rsid w:val="00BC4B1E"/>
    <w:rsid w:val="00BD10D6"/>
    <w:rsid w:val="00BD4774"/>
    <w:rsid w:val="00BD50E0"/>
    <w:rsid w:val="00BD5720"/>
    <w:rsid w:val="00BD5ADC"/>
    <w:rsid w:val="00BD5B25"/>
    <w:rsid w:val="00BD63E9"/>
    <w:rsid w:val="00BD7383"/>
    <w:rsid w:val="00BE2D05"/>
    <w:rsid w:val="00BE4B4A"/>
    <w:rsid w:val="00BE5015"/>
    <w:rsid w:val="00BE57CC"/>
    <w:rsid w:val="00BE60E8"/>
    <w:rsid w:val="00BE668D"/>
    <w:rsid w:val="00BE6B05"/>
    <w:rsid w:val="00BE6DBE"/>
    <w:rsid w:val="00BF1041"/>
    <w:rsid w:val="00BF1AFD"/>
    <w:rsid w:val="00BF3575"/>
    <w:rsid w:val="00BF40F9"/>
    <w:rsid w:val="00BF7B65"/>
    <w:rsid w:val="00BF7BE4"/>
    <w:rsid w:val="00BF7F07"/>
    <w:rsid w:val="00C00924"/>
    <w:rsid w:val="00C01942"/>
    <w:rsid w:val="00C02189"/>
    <w:rsid w:val="00C03A6D"/>
    <w:rsid w:val="00C05EDA"/>
    <w:rsid w:val="00C0752A"/>
    <w:rsid w:val="00C10235"/>
    <w:rsid w:val="00C10295"/>
    <w:rsid w:val="00C1118A"/>
    <w:rsid w:val="00C118E4"/>
    <w:rsid w:val="00C1646F"/>
    <w:rsid w:val="00C16BB8"/>
    <w:rsid w:val="00C2024A"/>
    <w:rsid w:val="00C22335"/>
    <w:rsid w:val="00C2248B"/>
    <w:rsid w:val="00C23318"/>
    <w:rsid w:val="00C23C2A"/>
    <w:rsid w:val="00C24918"/>
    <w:rsid w:val="00C25450"/>
    <w:rsid w:val="00C258BA"/>
    <w:rsid w:val="00C25902"/>
    <w:rsid w:val="00C2607D"/>
    <w:rsid w:val="00C267A6"/>
    <w:rsid w:val="00C2696B"/>
    <w:rsid w:val="00C31059"/>
    <w:rsid w:val="00C336B7"/>
    <w:rsid w:val="00C34015"/>
    <w:rsid w:val="00C3427E"/>
    <w:rsid w:val="00C344D3"/>
    <w:rsid w:val="00C359CA"/>
    <w:rsid w:val="00C369A0"/>
    <w:rsid w:val="00C4187C"/>
    <w:rsid w:val="00C42177"/>
    <w:rsid w:val="00C421F1"/>
    <w:rsid w:val="00C426D0"/>
    <w:rsid w:val="00C42A72"/>
    <w:rsid w:val="00C434C9"/>
    <w:rsid w:val="00C45348"/>
    <w:rsid w:val="00C46D37"/>
    <w:rsid w:val="00C50C06"/>
    <w:rsid w:val="00C51EF3"/>
    <w:rsid w:val="00C527CC"/>
    <w:rsid w:val="00C52B2C"/>
    <w:rsid w:val="00C554DD"/>
    <w:rsid w:val="00C55819"/>
    <w:rsid w:val="00C56723"/>
    <w:rsid w:val="00C571D2"/>
    <w:rsid w:val="00C57239"/>
    <w:rsid w:val="00C61B33"/>
    <w:rsid w:val="00C6321B"/>
    <w:rsid w:val="00C64518"/>
    <w:rsid w:val="00C65EB4"/>
    <w:rsid w:val="00C70419"/>
    <w:rsid w:val="00C70A17"/>
    <w:rsid w:val="00C70CCB"/>
    <w:rsid w:val="00C70FD2"/>
    <w:rsid w:val="00C710C6"/>
    <w:rsid w:val="00C71923"/>
    <w:rsid w:val="00C719C5"/>
    <w:rsid w:val="00C72AAC"/>
    <w:rsid w:val="00C74AA4"/>
    <w:rsid w:val="00C74D51"/>
    <w:rsid w:val="00C75D14"/>
    <w:rsid w:val="00C81B6C"/>
    <w:rsid w:val="00C820B4"/>
    <w:rsid w:val="00C8212A"/>
    <w:rsid w:val="00C82290"/>
    <w:rsid w:val="00C846E4"/>
    <w:rsid w:val="00C85983"/>
    <w:rsid w:val="00C86105"/>
    <w:rsid w:val="00C871F5"/>
    <w:rsid w:val="00C95A94"/>
    <w:rsid w:val="00CA0184"/>
    <w:rsid w:val="00CA0259"/>
    <w:rsid w:val="00CA06D4"/>
    <w:rsid w:val="00CA0A77"/>
    <w:rsid w:val="00CA2B4F"/>
    <w:rsid w:val="00CA35F7"/>
    <w:rsid w:val="00CA3740"/>
    <w:rsid w:val="00CA7549"/>
    <w:rsid w:val="00CB1D50"/>
    <w:rsid w:val="00CB21A5"/>
    <w:rsid w:val="00CB4414"/>
    <w:rsid w:val="00CB54CE"/>
    <w:rsid w:val="00CB694E"/>
    <w:rsid w:val="00CB721D"/>
    <w:rsid w:val="00CC0C38"/>
    <w:rsid w:val="00CC4612"/>
    <w:rsid w:val="00CC51E6"/>
    <w:rsid w:val="00CC68E8"/>
    <w:rsid w:val="00CC7A48"/>
    <w:rsid w:val="00CD183E"/>
    <w:rsid w:val="00CD2041"/>
    <w:rsid w:val="00CD24ED"/>
    <w:rsid w:val="00CD3929"/>
    <w:rsid w:val="00CD4406"/>
    <w:rsid w:val="00CD4536"/>
    <w:rsid w:val="00CD4AB7"/>
    <w:rsid w:val="00CD54BF"/>
    <w:rsid w:val="00CD5526"/>
    <w:rsid w:val="00CD7510"/>
    <w:rsid w:val="00CE01C7"/>
    <w:rsid w:val="00CE2910"/>
    <w:rsid w:val="00CE4315"/>
    <w:rsid w:val="00CE7A38"/>
    <w:rsid w:val="00CE7BE3"/>
    <w:rsid w:val="00CF0981"/>
    <w:rsid w:val="00CF2456"/>
    <w:rsid w:val="00CF2551"/>
    <w:rsid w:val="00CF2D4F"/>
    <w:rsid w:val="00CF3159"/>
    <w:rsid w:val="00CF323F"/>
    <w:rsid w:val="00CF5006"/>
    <w:rsid w:val="00CF52AD"/>
    <w:rsid w:val="00CF611C"/>
    <w:rsid w:val="00CF7800"/>
    <w:rsid w:val="00D01CBE"/>
    <w:rsid w:val="00D02841"/>
    <w:rsid w:val="00D03A02"/>
    <w:rsid w:val="00D05438"/>
    <w:rsid w:val="00D06ECA"/>
    <w:rsid w:val="00D078ED"/>
    <w:rsid w:val="00D109E6"/>
    <w:rsid w:val="00D1123B"/>
    <w:rsid w:val="00D11E49"/>
    <w:rsid w:val="00D14F64"/>
    <w:rsid w:val="00D15CB5"/>
    <w:rsid w:val="00D174A9"/>
    <w:rsid w:val="00D215B9"/>
    <w:rsid w:val="00D24AFA"/>
    <w:rsid w:val="00D25D13"/>
    <w:rsid w:val="00D25F31"/>
    <w:rsid w:val="00D31887"/>
    <w:rsid w:val="00D32A3D"/>
    <w:rsid w:val="00D33A7C"/>
    <w:rsid w:val="00D351D6"/>
    <w:rsid w:val="00D36CEA"/>
    <w:rsid w:val="00D411CC"/>
    <w:rsid w:val="00D42D3A"/>
    <w:rsid w:val="00D42E59"/>
    <w:rsid w:val="00D43E5C"/>
    <w:rsid w:val="00D4669C"/>
    <w:rsid w:val="00D46DA8"/>
    <w:rsid w:val="00D46E42"/>
    <w:rsid w:val="00D472BF"/>
    <w:rsid w:val="00D475D7"/>
    <w:rsid w:val="00D475E0"/>
    <w:rsid w:val="00D47A5C"/>
    <w:rsid w:val="00D47E16"/>
    <w:rsid w:val="00D50961"/>
    <w:rsid w:val="00D50F6A"/>
    <w:rsid w:val="00D51CC2"/>
    <w:rsid w:val="00D52581"/>
    <w:rsid w:val="00D52CFA"/>
    <w:rsid w:val="00D55007"/>
    <w:rsid w:val="00D567A7"/>
    <w:rsid w:val="00D61343"/>
    <w:rsid w:val="00D61944"/>
    <w:rsid w:val="00D6266B"/>
    <w:rsid w:val="00D630D4"/>
    <w:rsid w:val="00D64786"/>
    <w:rsid w:val="00D648F7"/>
    <w:rsid w:val="00D64BA7"/>
    <w:rsid w:val="00D65BDB"/>
    <w:rsid w:val="00D66A77"/>
    <w:rsid w:val="00D67DA4"/>
    <w:rsid w:val="00D67DC9"/>
    <w:rsid w:val="00D71F70"/>
    <w:rsid w:val="00D73511"/>
    <w:rsid w:val="00D744BF"/>
    <w:rsid w:val="00D75A6D"/>
    <w:rsid w:val="00D75ED5"/>
    <w:rsid w:val="00D77056"/>
    <w:rsid w:val="00D8324D"/>
    <w:rsid w:val="00D84273"/>
    <w:rsid w:val="00D84B24"/>
    <w:rsid w:val="00D84BBD"/>
    <w:rsid w:val="00D86485"/>
    <w:rsid w:val="00D91937"/>
    <w:rsid w:val="00D9258A"/>
    <w:rsid w:val="00D93333"/>
    <w:rsid w:val="00D966BA"/>
    <w:rsid w:val="00DB28B2"/>
    <w:rsid w:val="00DB556D"/>
    <w:rsid w:val="00DB65F7"/>
    <w:rsid w:val="00DC0570"/>
    <w:rsid w:val="00DC1337"/>
    <w:rsid w:val="00DC24B3"/>
    <w:rsid w:val="00DC38E1"/>
    <w:rsid w:val="00DC451E"/>
    <w:rsid w:val="00DC4F72"/>
    <w:rsid w:val="00DC561F"/>
    <w:rsid w:val="00DC67F5"/>
    <w:rsid w:val="00DD042E"/>
    <w:rsid w:val="00DD0F37"/>
    <w:rsid w:val="00DD3901"/>
    <w:rsid w:val="00DD53C7"/>
    <w:rsid w:val="00DD79C7"/>
    <w:rsid w:val="00DE0749"/>
    <w:rsid w:val="00DE1363"/>
    <w:rsid w:val="00DE154F"/>
    <w:rsid w:val="00DE1AEF"/>
    <w:rsid w:val="00DE3E46"/>
    <w:rsid w:val="00DE44E4"/>
    <w:rsid w:val="00DE4598"/>
    <w:rsid w:val="00DE4A6B"/>
    <w:rsid w:val="00DE5182"/>
    <w:rsid w:val="00DE6980"/>
    <w:rsid w:val="00DE6ED5"/>
    <w:rsid w:val="00DF10A4"/>
    <w:rsid w:val="00DF2AFA"/>
    <w:rsid w:val="00DF3CD1"/>
    <w:rsid w:val="00DF49C5"/>
    <w:rsid w:val="00DF69D5"/>
    <w:rsid w:val="00DF7880"/>
    <w:rsid w:val="00E023CB"/>
    <w:rsid w:val="00E037A6"/>
    <w:rsid w:val="00E040B1"/>
    <w:rsid w:val="00E0505E"/>
    <w:rsid w:val="00E06228"/>
    <w:rsid w:val="00E070F2"/>
    <w:rsid w:val="00E076FD"/>
    <w:rsid w:val="00E11E44"/>
    <w:rsid w:val="00E130AC"/>
    <w:rsid w:val="00E14A12"/>
    <w:rsid w:val="00E14B7A"/>
    <w:rsid w:val="00E16069"/>
    <w:rsid w:val="00E1628F"/>
    <w:rsid w:val="00E20067"/>
    <w:rsid w:val="00E245FA"/>
    <w:rsid w:val="00E275C4"/>
    <w:rsid w:val="00E31AF6"/>
    <w:rsid w:val="00E342BE"/>
    <w:rsid w:val="00E35889"/>
    <w:rsid w:val="00E37003"/>
    <w:rsid w:val="00E37DF5"/>
    <w:rsid w:val="00E40550"/>
    <w:rsid w:val="00E413AD"/>
    <w:rsid w:val="00E41B7A"/>
    <w:rsid w:val="00E41E35"/>
    <w:rsid w:val="00E463E7"/>
    <w:rsid w:val="00E4678D"/>
    <w:rsid w:val="00E47C13"/>
    <w:rsid w:val="00E50589"/>
    <w:rsid w:val="00E50CD8"/>
    <w:rsid w:val="00E5255E"/>
    <w:rsid w:val="00E53BB8"/>
    <w:rsid w:val="00E55905"/>
    <w:rsid w:val="00E55BAE"/>
    <w:rsid w:val="00E567A7"/>
    <w:rsid w:val="00E60529"/>
    <w:rsid w:val="00E618AB"/>
    <w:rsid w:val="00E63F6F"/>
    <w:rsid w:val="00E642E2"/>
    <w:rsid w:val="00E65972"/>
    <w:rsid w:val="00E65DEA"/>
    <w:rsid w:val="00E65E25"/>
    <w:rsid w:val="00E67FEA"/>
    <w:rsid w:val="00E70967"/>
    <w:rsid w:val="00E748B0"/>
    <w:rsid w:val="00E75B57"/>
    <w:rsid w:val="00E771D3"/>
    <w:rsid w:val="00E808E0"/>
    <w:rsid w:val="00E80BB4"/>
    <w:rsid w:val="00E82D3F"/>
    <w:rsid w:val="00E84EDA"/>
    <w:rsid w:val="00E85937"/>
    <w:rsid w:val="00E91931"/>
    <w:rsid w:val="00E92F69"/>
    <w:rsid w:val="00E93ED7"/>
    <w:rsid w:val="00E94B3A"/>
    <w:rsid w:val="00E94C00"/>
    <w:rsid w:val="00E95249"/>
    <w:rsid w:val="00EA04BA"/>
    <w:rsid w:val="00EA0AA9"/>
    <w:rsid w:val="00EA1053"/>
    <w:rsid w:val="00EA42B2"/>
    <w:rsid w:val="00EA4E59"/>
    <w:rsid w:val="00EA5CE0"/>
    <w:rsid w:val="00EA74BB"/>
    <w:rsid w:val="00EB06BA"/>
    <w:rsid w:val="00EB4DCF"/>
    <w:rsid w:val="00EC0D5F"/>
    <w:rsid w:val="00EC1923"/>
    <w:rsid w:val="00EC264E"/>
    <w:rsid w:val="00EC2C05"/>
    <w:rsid w:val="00EC3BEF"/>
    <w:rsid w:val="00EC7386"/>
    <w:rsid w:val="00EC792D"/>
    <w:rsid w:val="00ED3162"/>
    <w:rsid w:val="00ED5680"/>
    <w:rsid w:val="00ED7C90"/>
    <w:rsid w:val="00EE0507"/>
    <w:rsid w:val="00EE1FC0"/>
    <w:rsid w:val="00EE3D13"/>
    <w:rsid w:val="00EE59FF"/>
    <w:rsid w:val="00EE5C17"/>
    <w:rsid w:val="00EE6970"/>
    <w:rsid w:val="00EE699B"/>
    <w:rsid w:val="00EE6E9A"/>
    <w:rsid w:val="00EE7B8D"/>
    <w:rsid w:val="00EE7E47"/>
    <w:rsid w:val="00EF10AA"/>
    <w:rsid w:val="00EF14FD"/>
    <w:rsid w:val="00EF1894"/>
    <w:rsid w:val="00EF4243"/>
    <w:rsid w:val="00EF458F"/>
    <w:rsid w:val="00EF483A"/>
    <w:rsid w:val="00EF5D5D"/>
    <w:rsid w:val="00EF643A"/>
    <w:rsid w:val="00EF6E99"/>
    <w:rsid w:val="00EF7A85"/>
    <w:rsid w:val="00EF7CED"/>
    <w:rsid w:val="00F006F3"/>
    <w:rsid w:val="00F0095E"/>
    <w:rsid w:val="00F01A8C"/>
    <w:rsid w:val="00F02B83"/>
    <w:rsid w:val="00F03062"/>
    <w:rsid w:val="00F041BE"/>
    <w:rsid w:val="00F04BEB"/>
    <w:rsid w:val="00F06225"/>
    <w:rsid w:val="00F07C97"/>
    <w:rsid w:val="00F105CE"/>
    <w:rsid w:val="00F10885"/>
    <w:rsid w:val="00F12084"/>
    <w:rsid w:val="00F122B7"/>
    <w:rsid w:val="00F124EC"/>
    <w:rsid w:val="00F13027"/>
    <w:rsid w:val="00F17033"/>
    <w:rsid w:val="00F20E55"/>
    <w:rsid w:val="00F22574"/>
    <w:rsid w:val="00F23207"/>
    <w:rsid w:val="00F23F52"/>
    <w:rsid w:val="00F25971"/>
    <w:rsid w:val="00F26E04"/>
    <w:rsid w:val="00F30E3C"/>
    <w:rsid w:val="00F30F03"/>
    <w:rsid w:val="00F325B1"/>
    <w:rsid w:val="00F33C18"/>
    <w:rsid w:val="00F358F1"/>
    <w:rsid w:val="00F35D10"/>
    <w:rsid w:val="00F36419"/>
    <w:rsid w:val="00F364AB"/>
    <w:rsid w:val="00F36559"/>
    <w:rsid w:val="00F36C97"/>
    <w:rsid w:val="00F3712C"/>
    <w:rsid w:val="00F37AD3"/>
    <w:rsid w:val="00F37C85"/>
    <w:rsid w:val="00F40145"/>
    <w:rsid w:val="00F4163E"/>
    <w:rsid w:val="00F434EB"/>
    <w:rsid w:val="00F43EB2"/>
    <w:rsid w:val="00F43FE2"/>
    <w:rsid w:val="00F44665"/>
    <w:rsid w:val="00F4642C"/>
    <w:rsid w:val="00F47AE0"/>
    <w:rsid w:val="00F51CBB"/>
    <w:rsid w:val="00F526BC"/>
    <w:rsid w:val="00F53037"/>
    <w:rsid w:val="00F540E5"/>
    <w:rsid w:val="00F54868"/>
    <w:rsid w:val="00F61C53"/>
    <w:rsid w:val="00F62312"/>
    <w:rsid w:val="00F66F11"/>
    <w:rsid w:val="00F67837"/>
    <w:rsid w:val="00F67B4B"/>
    <w:rsid w:val="00F70549"/>
    <w:rsid w:val="00F70992"/>
    <w:rsid w:val="00F71442"/>
    <w:rsid w:val="00F744CA"/>
    <w:rsid w:val="00F76114"/>
    <w:rsid w:val="00F76848"/>
    <w:rsid w:val="00F801C9"/>
    <w:rsid w:val="00F81B70"/>
    <w:rsid w:val="00F825DE"/>
    <w:rsid w:val="00F842F1"/>
    <w:rsid w:val="00F853C0"/>
    <w:rsid w:val="00F86FDD"/>
    <w:rsid w:val="00F8726C"/>
    <w:rsid w:val="00F875E1"/>
    <w:rsid w:val="00F91C47"/>
    <w:rsid w:val="00F91DC5"/>
    <w:rsid w:val="00F92175"/>
    <w:rsid w:val="00F92415"/>
    <w:rsid w:val="00F92CD5"/>
    <w:rsid w:val="00F93C7A"/>
    <w:rsid w:val="00F93F4B"/>
    <w:rsid w:val="00F96F02"/>
    <w:rsid w:val="00F9795A"/>
    <w:rsid w:val="00FA14B1"/>
    <w:rsid w:val="00FA2217"/>
    <w:rsid w:val="00FA2D3F"/>
    <w:rsid w:val="00FA3783"/>
    <w:rsid w:val="00FA48D5"/>
    <w:rsid w:val="00FA56D9"/>
    <w:rsid w:val="00FB2D12"/>
    <w:rsid w:val="00FB3C54"/>
    <w:rsid w:val="00FB542D"/>
    <w:rsid w:val="00FB60CD"/>
    <w:rsid w:val="00FB6456"/>
    <w:rsid w:val="00FB6B2D"/>
    <w:rsid w:val="00FB701E"/>
    <w:rsid w:val="00FB7281"/>
    <w:rsid w:val="00FC1891"/>
    <w:rsid w:val="00FC2747"/>
    <w:rsid w:val="00FC4463"/>
    <w:rsid w:val="00FC4DB8"/>
    <w:rsid w:val="00FC66A3"/>
    <w:rsid w:val="00FC699A"/>
    <w:rsid w:val="00FC71CD"/>
    <w:rsid w:val="00FD0048"/>
    <w:rsid w:val="00FD0A93"/>
    <w:rsid w:val="00FD1DF5"/>
    <w:rsid w:val="00FD33B5"/>
    <w:rsid w:val="00FD41A3"/>
    <w:rsid w:val="00FD55C3"/>
    <w:rsid w:val="00FD6E9C"/>
    <w:rsid w:val="00FD777B"/>
    <w:rsid w:val="00FE08BC"/>
    <w:rsid w:val="00FE0940"/>
    <w:rsid w:val="00FE09EA"/>
    <w:rsid w:val="00FE0C68"/>
    <w:rsid w:val="00FE12A9"/>
    <w:rsid w:val="00FE1886"/>
    <w:rsid w:val="00FE2793"/>
    <w:rsid w:val="00FE4C7B"/>
    <w:rsid w:val="00FE5103"/>
    <w:rsid w:val="00FE6715"/>
    <w:rsid w:val="00FE75F7"/>
    <w:rsid w:val="00FF1592"/>
    <w:rsid w:val="00FF1763"/>
    <w:rsid w:val="00FF2AEE"/>
    <w:rsid w:val="00FF49E3"/>
    <w:rsid w:val="00FF7B9E"/>
    <w:rsid w:val="00FF7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CB8785A"/>
  <w15:chartTrackingRefBased/>
  <w15:docId w15:val="{E0C980C2-7FAF-BB46-A116-AD6295B6F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66A3"/>
    <w:pPr>
      <w:widowControl w:val="0"/>
      <w:jc w:val="both"/>
    </w:pPr>
    <w:rPr>
      <w:kern w:val="2"/>
      <w:sz w:val="21"/>
      <w:szCs w:val="24"/>
    </w:rPr>
  </w:style>
  <w:style w:type="paragraph" w:styleId="Heading2">
    <w:name w:val="heading 2"/>
    <w:basedOn w:val="Normal"/>
    <w:next w:val="Normal"/>
    <w:link w:val="Heading2Char"/>
    <w:qFormat/>
    <w:rsid w:val="005701C4"/>
    <w:pPr>
      <w:keepNext/>
      <w:keepLines/>
      <w:widowControl/>
      <w:spacing w:before="40" w:line="259" w:lineRule="auto"/>
      <w:jc w:val="left"/>
      <w:outlineLvl w:val="1"/>
    </w:pPr>
    <w:rPr>
      <w:rFonts w:ascii="Calibri Light" w:eastAsia="MS Gothic" w:hAnsi="Calibri Light"/>
      <w:color w:val="2E74B5"/>
      <w:kern w:val="0"/>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523893"/>
  </w:style>
  <w:style w:type="character" w:customStyle="1" w:styleId="apple-style-span">
    <w:name w:val="apple-style-span"/>
    <w:rsid w:val="00523893"/>
  </w:style>
  <w:style w:type="character" w:styleId="Hyperlink">
    <w:name w:val="Hyperlink"/>
    <w:uiPriority w:val="99"/>
    <w:unhideWhenUsed/>
    <w:rsid w:val="00EE5C17"/>
    <w:rPr>
      <w:color w:val="0000FF"/>
      <w:u w:val="single"/>
    </w:rPr>
  </w:style>
  <w:style w:type="character" w:styleId="FollowedHyperlink">
    <w:name w:val="FollowedHyperlink"/>
    <w:rsid w:val="00C70FD2"/>
    <w:rPr>
      <w:color w:val="800080"/>
      <w:u w:val="single"/>
    </w:rPr>
  </w:style>
  <w:style w:type="paragraph" w:styleId="BalloonText">
    <w:name w:val="Balloon Text"/>
    <w:basedOn w:val="Normal"/>
    <w:link w:val="BalloonTextChar"/>
    <w:rsid w:val="00C03A6D"/>
    <w:rPr>
      <w:rFonts w:ascii="ヒラギノ角ゴ ProN W3" w:eastAsia="ヒラギノ角ゴ ProN W3"/>
      <w:sz w:val="18"/>
      <w:szCs w:val="18"/>
    </w:rPr>
  </w:style>
  <w:style w:type="character" w:customStyle="1" w:styleId="BalloonTextChar">
    <w:name w:val="Balloon Text Char"/>
    <w:link w:val="BalloonText"/>
    <w:rsid w:val="00C03A6D"/>
    <w:rPr>
      <w:rFonts w:ascii="ヒラギノ角ゴ ProN W3" w:eastAsia="ヒラギノ角ゴ ProN W3"/>
      <w:kern w:val="2"/>
      <w:sz w:val="18"/>
      <w:szCs w:val="18"/>
    </w:rPr>
  </w:style>
  <w:style w:type="character" w:styleId="CommentReference">
    <w:name w:val="annotation reference"/>
    <w:rsid w:val="00B07D5B"/>
    <w:rPr>
      <w:sz w:val="18"/>
      <w:szCs w:val="18"/>
    </w:rPr>
  </w:style>
  <w:style w:type="paragraph" w:styleId="CommentText">
    <w:name w:val="annotation text"/>
    <w:basedOn w:val="Normal"/>
    <w:link w:val="CommentTextChar"/>
    <w:rsid w:val="00B07D5B"/>
    <w:pPr>
      <w:jc w:val="left"/>
    </w:pPr>
  </w:style>
  <w:style w:type="character" w:customStyle="1" w:styleId="CommentTextChar">
    <w:name w:val="Comment Text Char"/>
    <w:link w:val="CommentText"/>
    <w:rsid w:val="00B07D5B"/>
    <w:rPr>
      <w:kern w:val="2"/>
      <w:sz w:val="21"/>
      <w:szCs w:val="24"/>
    </w:rPr>
  </w:style>
  <w:style w:type="paragraph" w:styleId="CommentSubject">
    <w:name w:val="annotation subject"/>
    <w:basedOn w:val="CommentText"/>
    <w:next w:val="CommentText"/>
    <w:link w:val="CommentSubjectChar"/>
    <w:rsid w:val="00B07D5B"/>
    <w:rPr>
      <w:b/>
      <w:bCs/>
    </w:rPr>
  </w:style>
  <w:style w:type="character" w:customStyle="1" w:styleId="CommentSubjectChar">
    <w:name w:val="Comment Subject Char"/>
    <w:link w:val="CommentSubject"/>
    <w:rsid w:val="00B07D5B"/>
    <w:rPr>
      <w:b/>
      <w:bCs/>
      <w:kern w:val="2"/>
      <w:sz w:val="21"/>
      <w:szCs w:val="24"/>
    </w:rPr>
  </w:style>
  <w:style w:type="paragraph" w:styleId="Header">
    <w:name w:val="header"/>
    <w:basedOn w:val="Normal"/>
    <w:link w:val="HeaderChar"/>
    <w:rsid w:val="00B07D5B"/>
    <w:pPr>
      <w:tabs>
        <w:tab w:val="center" w:pos="4252"/>
        <w:tab w:val="right" w:pos="8504"/>
      </w:tabs>
      <w:snapToGrid w:val="0"/>
    </w:pPr>
  </w:style>
  <w:style w:type="character" w:customStyle="1" w:styleId="HeaderChar">
    <w:name w:val="Header Char"/>
    <w:link w:val="Header"/>
    <w:rsid w:val="00B07D5B"/>
    <w:rPr>
      <w:kern w:val="2"/>
      <w:sz w:val="21"/>
      <w:szCs w:val="24"/>
    </w:rPr>
  </w:style>
  <w:style w:type="paragraph" w:styleId="Footer">
    <w:name w:val="footer"/>
    <w:basedOn w:val="Normal"/>
    <w:link w:val="FooterChar"/>
    <w:uiPriority w:val="99"/>
    <w:rsid w:val="00B07D5B"/>
    <w:pPr>
      <w:tabs>
        <w:tab w:val="center" w:pos="4252"/>
        <w:tab w:val="right" w:pos="8504"/>
      </w:tabs>
      <w:snapToGrid w:val="0"/>
    </w:pPr>
  </w:style>
  <w:style w:type="character" w:customStyle="1" w:styleId="FooterChar">
    <w:name w:val="Footer Char"/>
    <w:link w:val="Footer"/>
    <w:uiPriority w:val="99"/>
    <w:rsid w:val="00B07D5B"/>
    <w:rPr>
      <w:kern w:val="2"/>
      <w:sz w:val="21"/>
      <w:szCs w:val="24"/>
    </w:rPr>
  </w:style>
  <w:style w:type="paragraph" w:customStyle="1" w:styleId="EndNoteBibliography">
    <w:name w:val="EndNote Bibliography"/>
    <w:basedOn w:val="Normal"/>
    <w:rsid w:val="00BA20FA"/>
    <w:pPr>
      <w:jc w:val="left"/>
    </w:pPr>
    <w:rPr>
      <w:rFonts w:ascii="Calibri" w:hAnsi="Calibri" w:cs="Calibri"/>
      <w:sz w:val="24"/>
    </w:rPr>
  </w:style>
  <w:style w:type="paragraph" w:customStyle="1" w:styleId="EndNoteBibliographyTitle">
    <w:name w:val="EndNote Bibliography Title"/>
    <w:basedOn w:val="Normal"/>
    <w:rsid w:val="00206120"/>
    <w:pPr>
      <w:jc w:val="center"/>
    </w:pPr>
    <w:rPr>
      <w:rFonts w:ascii="Calibri" w:hAnsi="Calibri" w:cs="Calibri"/>
      <w:sz w:val="24"/>
    </w:rPr>
  </w:style>
  <w:style w:type="character" w:customStyle="1" w:styleId="Heading2Char">
    <w:name w:val="Heading 2 Char"/>
    <w:link w:val="Heading2"/>
    <w:rsid w:val="005701C4"/>
    <w:rPr>
      <w:rFonts w:ascii="Calibri Light" w:eastAsia="MS Gothic" w:hAnsi="Calibri Light"/>
      <w:color w:val="2E74B5"/>
      <w:sz w:val="26"/>
      <w:szCs w:val="26"/>
      <w:lang w:val="en-GB" w:eastAsia="en-US"/>
    </w:rPr>
  </w:style>
  <w:style w:type="character" w:styleId="PageNumber">
    <w:name w:val="page number"/>
    <w:basedOn w:val="DefaultParagraphFont"/>
    <w:rsid w:val="00762BC4"/>
  </w:style>
  <w:style w:type="character" w:styleId="UnresolvedMention">
    <w:name w:val="Unresolved Mention"/>
    <w:uiPriority w:val="99"/>
    <w:semiHidden/>
    <w:unhideWhenUsed/>
    <w:rsid w:val="00C2607D"/>
    <w:rPr>
      <w:color w:val="808080"/>
      <w:shd w:val="clear" w:color="auto" w:fill="E6E6E6"/>
    </w:rPr>
  </w:style>
  <w:style w:type="character" w:styleId="PlaceholderText">
    <w:name w:val="Placeholder Text"/>
    <w:uiPriority w:val="99"/>
    <w:semiHidden/>
    <w:rsid w:val="00953827"/>
    <w:rPr>
      <w:color w:val="808080"/>
    </w:rPr>
  </w:style>
  <w:style w:type="paragraph" w:styleId="ListParagraph">
    <w:name w:val="List Paragraph"/>
    <w:basedOn w:val="Normal"/>
    <w:uiPriority w:val="34"/>
    <w:qFormat/>
    <w:rsid w:val="009C60CC"/>
    <w:pPr>
      <w:ind w:leftChars="400" w:left="960"/>
    </w:pPr>
  </w:style>
  <w:style w:type="table" w:styleId="TableGrid">
    <w:name w:val="Table Grid"/>
    <w:basedOn w:val="TableNormal"/>
    <w:rsid w:val="009C2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065F"/>
    <w:pPr>
      <w:widowControl w:val="0"/>
      <w:autoSpaceDE w:val="0"/>
      <w:autoSpaceDN w:val="0"/>
      <w:adjustRightInd w:val="0"/>
    </w:pPr>
    <w:rPr>
      <w:rFonts w:ascii="Calibri" w:eastAsia="Yu Mincho" w:hAnsi="Calibri" w:cs="Calibri"/>
      <w:color w:val="000000"/>
      <w:sz w:val="24"/>
      <w:szCs w:val="24"/>
      <w:lang w:val="en-CA" w:eastAsia="en-CA"/>
    </w:rPr>
  </w:style>
  <w:style w:type="paragraph" w:styleId="Revision">
    <w:name w:val="Revision"/>
    <w:hidden/>
    <w:uiPriority w:val="99"/>
    <w:semiHidden/>
    <w:rsid w:val="0081798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930806">
      <w:bodyDiv w:val="1"/>
      <w:marLeft w:val="0"/>
      <w:marRight w:val="0"/>
      <w:marTop w:val="0"/>
      <w:marBottom w:val="0"/>
      <w:divBdr>
        <w:top w:val="none" w:sz="0" w:space="0" w:color="auto"/>
        <w:left w:val="none" w:sz="0" w:space="0" w:color="auto"/>
        <w:bottom w:val="none" w:sz="0" w:space="0" w:color="auto"/>
        <w:right w:val="none" w:sz="0" w:space="0" w:color="auto"/>
      </w:divBdr>
      <w:divsChild>
        <w:div w:id="620226">
          <w:marLeft w:val="0"/>
          <w:marRight w:val="0"/>
          <w:marTop w:val="0"/>
          <w:marBottom w:val="0"/>
          <w:divBdr>
            <w:top w:val="none" w:sz="0" w:space="0" w:color="auto"/>
            <w:left w:val="none" w:sz="0" w:space="0" w:color="auto"/>
            <w:bottom w:val="none" w:sz="0" w:space="0" w:color="auto"/>
            <w:right w:val="none" w:sz="0" w:space="0" w:color="auto"/>
          </w:divBdr>
        </w:div>
        <w:div w:id="18513472">
          <w:marLeft w:val="0"/>
          <w:marRight w:val="0"/>
          <w:marTop w:val="0"/>
          <w:marBottom w:val="0"/>
          <w:divBdr>
            <w:top w:val="none" w:sz="0" w:space="0" w:color="auto"/>
            <w:left w:val="none" w:sz="0" w:space="0" w:color="auto"/>
            <w:bottom w:val="none" w:sz="0" w:space="0" w:color="auto"/>
            <w:right w:val="none" w:sz="0" w:space="0" w:color="auto"/>
          </w:divBdr>
        </w:div>
        <w:div w:id="43023522">
          <w:marLeft w:val="0"/>
          <w:marRight w:val="0"/>
          <w:marTop w:val="0"/>
          <w:marBottom w:val="0"/>
          <w:divBdr>
            <w:top w:val="none" w:sz="0" w:space="0" w:color="auto"/>
            <w:left w:val="none" w:sz="0" w:space="0" w:color="auto"/>
            <w:bottom w:val="none" w:sz="0" w:space="0" w:color="auto"/>
            <w:right w:val="none" w:sz="0" w:space="0" w:color="auto"/>
          </w:divBdr>
        </w:div>
        <w:div w:id="92282189">
          <w:marLeft w:val="0"/>
          <w:marRight w:val="0"/>
          <w:marTop w:val="0"/>
          <w:marBottom w:val="0"/>
          <w:divBdr>
            <w:top w:val="none" w:sz="0" w:space="0" w:color="auto"/>
            <w:left w:val="none" w:sz="0" w:space="0" w:color="auto"/>
            <w:bottom w:val="none" w:sz="0" w:space="0" w:color="auto"/>
            <w:right w:val="none" w:sz="0" w:space="0" w:color="auto"/>
          </w:divBdr>
        </w:div>
        <w:div w:id="150172369">
          <w:marLeft w:val="0"/>
          <w:marRight w:val="0"/>
          <w:marTop w:val="0"/>
          <w:marBottom w:val="0"/>
          <w:divBdr>
            <w:top w:val="none" w:sz="0" w:space="0" w:color="auto"/>
            <w:left w:val="none" w:sz="0" w:space="0" w:color="auto"/>
            <w:bottom w:val="none" w:sz="0" w:space="0" w:color="auto"/>
            <w:right w:val="none" w:sz="0" w:space="0" w:color="auto"/>
          </w:divBdr>
        </w:div>
        <w:div w:id="339966619">
          <w:marLeft w:val="0"/>
          <w:marRight w:val="0"/>
          <w:marTop w:val="0"/>
          <w:marBottom w:val="0"/>
          <w:divBdr>
            <w:top w:val="none" w:sz="0" w:space="0" w:color="auto"/>
            <w:left w:val="none" w:sz="0" w:space="0" w:color="auto"/>
            <w:bottom w:val="none" w:sz="0" w:space="0" w:color="auto"/>
            <w:right w:val="none" w:sz="0" w:space="0" w:color="auto"/>
          </w:divBdr>
        </w:div>
        <w:div w:id="416827742">
          <w:marLeft w:val="0"/>
          <w:marRight w:val="0"/>
          <w:marTop w:val="0"/>
          <w:marBottom w:val="0"/>
          <w:divBdr>
            <w:top w:val="none" w:sz="0" w:space="0" w:color="auto"/>
            <w:left w:val="none" w:sz="0" w:space="0" w:color="auto"/>
            <w:bottom w:val="none" w:sz="0" w:space="0" w:color="auto"/>
            <w:right w:val="none" w:sz="0" w:space="0" w:color="auto"/>
          </w:divBdr>
        </w:div>
        <w:div w:id="599531058">
          <w:marLeft w:val="0"/>
          <w:marRight w:val="0"/>
          <w:marTop w:val="0"/>
          <w:marBottom w:val="0"/>
          <w:divBdr>
            <w:top w:val="none" w:sz="0" w:space="0" w:color="auto"/>
            <w:left w:val="none" w:sz="0" w:space="0" w:color="auto"/>
            <w:bottom w:val="none" w:sz="0" w:space="0" w:color="auto"/>
            <w:right w:val="none" w:sz="0" w:space="0" w:color="auto"/>
          </w:divBdr>
        </w:div>
        <w:div w:id="600573747">
          <w:marLeft w:val="0"/>
          <w:marRight w:val="0"/>
          <w:marTop w:val="0"/>
          <w:marBottom w:val="0"/>
          <w:divBdr>
            <w:top w:val="none" w:sz="0" w:space="0" w:color="auto"/>
            <w:left w:val="none" w:sz="0" w:space="0" w:color="auto"/>
            <w:bottom w:val="none" w:sz="0" w:space="0" w:color="auto"/>
            <w:right w:val="none" w:sz="0" w:space="0" w:color="auto"/>
          </w:divBdr>
        </w:div>
        <w:div w:id="729697232">
          <w:marLeft w:val="0"/>
          <w:marRight w:val="0"/>
          <w:marTop w:val="0"/>
          <w:marBottom w:val="0"/>
          <w:divBdr>
            <w:top w:val="none" w:sz="0" w:space="0" w:color="auto"/>
            <w:left w:val="none" w:sz="0" w:space="0" w:color="auto"/>
            <w:bottom w:val="none" w:sz="0" w:space="0" w:color="auto"/>
            <w:right w:val="none" w:sz="0" w:space="0" w:color="auto"/>
          </w:divBdr>
        </w:div>
        <w:div w:id="751315113">
          <w:marLeft w:val="0"/>
          <w:marRight w:val="0"/>
          <w:marTop w:val="0"/>
          <w:marBottom w:val="0"/>
          <w:divBdr>
            <w:top w:val="none" w:sz="0" w:space="0" w:color="auto"/>
            <w:left w:val="none" w:sz="0" w:space="0" w:color="auto"/>
            <w:bottom w:val="none" w:sz="0" w:space="0" w:color="auto"/>
            <w:right w:val="none" w:sz="0" w:space="0" w:color="auto"/>
          </w:divBdr>
        </w:div>
        <w:div w:id="789785720">
          <w:marLeft w:val="0"/>
          <w:marRight w:val="0"/>
          <w:marTop w:val="0"/>
          <w:marBottom w:val="0"/>
          <w:divBdr>
            <w:top w:val="none" w:sz="0" w:space="0" w:color="auto"/>
            <w:left w:val="none" w:sz="0" w:space="0" w:color="auto"/>
            <w:bottom w:val="none" w:sz="0" w:space="0" w:color="auto"/>
            <w:right w:val="none" w:sz="0" w:space="0" w:color="auto"/>
          </w:divBdr>
        </w:div>
        <w:div w:id="846287935">
          <w:marLeft w:val="0"/>
          <w:marRight w:val="0"/>
          <w:marTop w:val="0"/>
          <w:marBottom w:val="0"/>
          <w:divBdr>
            <w:top w:val="none" w:sz="0" w:space="0" w:color="auto"/>
            <w:left w:val="none" w:sz="0" w:space="0" w:color="auto"/>
            <w:bottom w:val="none" w:sz="0" w:space="0" w:color="auto"/>
            <w:right w:val="none" w:sz="0" w:space="0" w:color="auto"/>
          </w:divBdr>
        </w:div>
        <w:div w:id="850222305">
          <w:marLeft w:val="0"/>
          <w:marRight w:val="0"/>
          <w:marTop w:val="0"/>
          <w:marBottom w:val="0"/>
          <w:divBdr>
            <w:top w:val="none" w:sz="0" w:space="0" w:color="auto"/>
            <w:left w:val="none" w:sz="0" w:space="0" w:color="auto"/>
            <w:bottom w:val="none" w:sz="0" w:space="0" w:color="auto"/>
            <w:right w:val="none" w:sz="0" w:space="0" w:color="auto"/>
          </w:divBdr>
          <w:divsChild>
            <w:div w:id="1017777524">
              <w:marLeft w:val="0"/>
              <w:marRight w:val="0"/>
              <w:marTop w:val="0"/>
              <w:marBottom w:val="0"/>
              <w:divBdr>
                <w:top w:val="none" w:sz="0" w:space="0" w:color="auto"/>
                <w:left w:val="none" w:sz="0" w:space="0" w:color="auto"/>
                <w:bottom w:val="none" w:sz="0" w:space="0" w:color="auto"/>
                <w:right w:val="none" w:sz="0" w:space="0" w:color="auto"/>
              </w:divBdr>
            </w:div>
          </w:divsChild>
        </w:div>
        <w:div w:id="922566596">
          <w:marLeft w:val="0"/>
          <w:marRight w:val="0"/>
          <w:marTop w:val="0"/>
          <w:marBottom w:val="0"/>
          <w:divBdr>
            <w:top w:val="none" w:sz="0" w:space="0" w:color="auto"/>
            <w:left w:val="none" w:sz="0" w:space="0" w:color="auto"/>
            <w:bottom w:val="none" w:sz="0" w:space="0" w:color="auto"/>
            <w:right w:val="none" w:sz="0" w:space="0" w:color="auto"/>
          </w:divBdr>
        </w:div>
        <w:div w:id="944189288">
          <w:marLeft w:val="0"/>
          <w:marRight w:val="0"/>
          <w:marTop w:val="0"/>
          <w:marBottom w:val="0"/>
          <w:divBdr>
            <w:top w:val="none" w:sz="0" w:space="0" w:color="auto"/>
            <w:left w:val="none" w:sz="0" w:space="0" w:color="auto"/>
            <w:bottom w:val="none" w:sz="0" w:space="0" w:color="auto"/>
            <w:right w:val="none" w:sz="0" w:space="0" w:color="auto"/>
          </w:divBdr>
        </w:div>
        <w:div w:id="1200438394">
          <w:marLeft w:val="0"/>
          <w:marRight w:val="0"/>
          <w:marTop w:val="0"/>
          <w:marBottom w:val="0"/>
          <w:divBdr>
            <w:top w:val="none" w:sz="0" w:space="0" w:color="auto"/>
            <w:left w:val="none" w:sz="0" w:space="0" w:color="auto"/>
            <w:bottom w:val="none" w:sz="0" w:space="0" w:color="auto"/>
            <w:right w:val="none" w:sz="0" w:space="0" w:color="auto"/>
          </w:divBdr>
        </w:div>
        <w:div w:id="1349138479">
          <w:marLeft w:val="0"/>
          <w:marRight w:val="0"/>
          <w:marTop w:val="0"/>
          <w:marBottom w:val="0"/>
          <w:divBdr>
            <w:top w:val="none" w:sz="0" w:space="0" w:color="auto"/>
            <w:left w:val="none" w:sz="0" w:space="0" w:color="auto"/>
            <w:bottom w:val="none" w:sz="0" w:space="0" w:color="auto"/>
            <w:right w:val="none" w:sz="0" w:space="0" w:color="auto"/>
          </w:divBdr>
        </w:div>
        <w:div w:id="1419207954">
          <w:marLeft w:val="0"/>
          <w:marRight w:val="0"/>
          <w:marTop w:val="0"/>
          <w:marBottom w:val="0"/>
          <w:divBdr>
            <w:top w:val="none" w:sz="0" w:space="0" w:color="auto"/>
            <w:left w:val="none" w:sz="0" w:space="0" w:color="auto"/>
            <w:bottom w:val="none" w:sz="0" w:space="0" w:color="auto"/>
            <w:right w:val="none" w:sz="0" w:space="0" w:color="auto"/>
          </w:divBdr>
        </w:div>
        <w:div w:id="1470980656">
          <w:marLeft w:val="0"/>
          <w:marRight w:val="0"/>
          <w:marTop w:val="0"/>
          <w:marBottom w:val="0"/>
          <w:divBdr>
            <w:top w:val="none" w:sz="0" w:space="0" w:color="auto"/>
            <w:left w:val="none" w:sz="0" w:space="0" w:color="auto"/>
            <w:bottom w:val="none" w:sz="0" w:space="0" w:color="auto"/>
            <w:right w:val="none" w:sz="0" w:space="0" w:color="auto"/>
          </w:divBdr>
        </w:div>
        <w:div w:id="1559785019">
          <w:marLeft w:val="0"/>
          <w:marRight w:val="0"/>
          <w:marTop w:val="0"/>
          <w:marBottom w:val="0"/>
          <w:divBdr>
            <w:top w:val="none" w:sz="0" w:space="0" w:color="auto"/>
            <w:left w:val="none" w:sz="0" w:space="0" w:color="auto"/>
            <w:bottom w:val="none" w:sz="0" w:space="0" w:color="auto"/>
            <w:right w:val="none" w:sz="0" w:space="0" w:color="auto"/>
          </w:divBdr>
        </w:div>
        <w:div w:id="1578318588">
          <w:marLeft w:val="0"/>
          <w:marRight w:val="0"/>
          <w:marTop w:val="0"/>
          <w:marBottom w:val="0"/>
          <w:divBdr>
            <w:top w:val="none" w:sz="0" w:space="0" w:color="auto"/>
            <w:left w:val="none" w:sz="0" w:space="0" w:color="auto"/>
            <w:bottom w:val="none" w:sz="0" w:space="0" w:color="auto"/>
            <w:right w:val="none" w:sz="0" w:space="0" w:color="auto"/>
          </w:divBdr>
        </w:div>
        <w:div w:id="1585066133">
          <w:marLeft w:val="0"/>
          <w:marRight w:val="0"/>
          <w:marTop w:val="0"/>
          <w:marBottom w:val="0"/>
          <w:divBdr>
            <w:top w:val="none" w:sz="0" w:space="0" w:color="auto"/>
            <w:left w:val="none" w:sz="0" w:space="0" w:color="auto"/>
            <w:bottom w:val="none" w:sz="0" w:space="0" w:color="auto"/>
            <w:right w:val="none" w:sz="0" w:space="0" w:color="auto"/>
          </w:divBdr>
        </w:div>
        <w:div w:id="1589734473">
          <w:marLeft w:val="0"/>
          <w:marRight w:val="0"/>
          <w:marTop w:val="0"/>
          <w:marBottom w:val="0"/>
          <w:divBdr>
            <w:top w:val="none" w:sz="0" w:space="0" w:color="auto"/>
            <w:left w:val="none" w:sz="0" w:space="0" w:color="auto"/>
            <w:bottom w:val="none" w:sz="0" w:space="0" w:color="auto"/>
            <w:right w:val="none" w:sz="0" w:space="0" w:color="auto"/>
          </w:divBdr>
        </w:div>
        <w:div w:id="1641229890">
          <w:marLeft w:val="0"/>
          <w:marRight w:val="0"/>
          <w:marTop w:val="0"/>
          <w:marBottom w:val="0"/>
          <w:divBdr>
            <w:top w:val="none" w:sz="0" w:space="0" w:color="auto"/>
            <w:left w:val="none" w:sz="0" w:space="0" w:color="auto"/>
            <w:bottom w:val="none" w:sz="0" w:space="0" w:color="auto"/>
            <w:right w:val="none" w:sz="0" w:space="0" w:color="auto"/>
          </w:divBdr>
        </w:div>
        <w:div w:id="1671249407">
          <w:marLeft w:val="0"/>
          <w:marRight w:val="0"/>
          <w:marTop w:val="0"/>
          <w:marBottom w:val="0"/>
          <w:divBdr>
            <w:top w:val="none" w:sz="0" w:space="0" w:color="auto"/>
            <w:left w:val="none" w:sz="0" w:space="0" w:color="auto"/>
            <w:bottom w:val="none" w:sz="0" w:space="0" w:color="auto"/>
            <w:right w:val="none" w:sz="0" w:space="0" w:color="auto"/>
          </w:divBdr>
        </w:div>
        <w:div w:id="1680619650">
          <w:marLeft w:val="0"/>
          <w:marRight w:val="0"/>
          <w:marTop w:val="0"/>
          <w:marBottom w:val="0"/>
          <w:divBdr>
            <w:top w:val="none" w:sz="0" w:space="0" w:color="auto"/>
            <w:left w:val="none" w:sz="0" w:space="0" w:color="auto"/>
            <w:bottom w:val="none" w:sz="0" w:space="0" w:color="auto"/>
            <w:right w:val="none" w:sz="0" w:space="0" w:color="auto"/>
          </w:divBdr>
        </w:div>
        <w:div w:id="1766806692">
          <w:marLeft w:val="0"/>
          <w:marRight w:val="0"/>
          <w:marTop w:val="0"/>
          <w:marBottom w:val="0"/>
          <w:divBdr>
            <w:top w:val="none" w:sz="0" w:space="0" w:color="auto"/>
            <w:left w:val="none" w:sz="0" w:space="0" w:color="auto"/>
            <w:bottom w:val="none" w:sz="0" w:space="0" w:color="auto"/>
            <w:right w:val="none" w:sz="0" w:space="0" w:color="auto"/>
          </w:divBdr>
        </w:div>
        <w:div w:id="1841391045">
          <w:marLeft w:val="0"/>
          <w:marRight w:val="0"/>
          <w:marTop w:val="0"/>
          <w:marBottom w:val="0"/>
          <w:divBdr>
            <w:top w:val="none" w:sz="0" w:space="0" w:color="auto"/>
            <w:left w:val="none" w:sz="0" w:space="0" w:color="auto"/>
            <w:bottom w:val="none" w:sz="0" w:space="0" w:color="auto"/>
            <w:right w:val="none" w:sz="0" w:space="0" w:color="auto"/>
          </w:divBdr>
        </w:div>
        <w:div w:id="2015573139">
          <w:marLeft w:val="0"/>
          <w:marRight w:val="0"/>
          <w:marTop w:val="0"/>
          <w:marBottom w:val="0"/>
          <w:divBdr>
            <w:top w:val="none" w:sz="0" w:space="0" w:color="auto"/>
            <w:left w:val="none" w:sz="0" w:space="0" w:color="auto"/>
            <w:bottom w:val="none" w:sz="0" w:space="0" w:color="auto"/>
            <w:right w:val="none" w:sz="0" w:space="0" w:color="auto"/>
          </w:divBdr>
        </w:div>
        <w:div w:id="2096976333">
          <w:marLeft w:val="0"/>
          <w:marRight w:val="0"/>
          <w:marTop w:val="0"/>
          <w:marBottom w:val="0"/>
          <w:divBdr>
            <w:top w:val="none" w:sz="0" w:space="0" w:color="auto"/>
            <w:left w:val="none" w:sz="0" w:space="0" w:color="auto"/>
            <w:bottom w:val="none" w:sz="0" w:space="0" w:color="auto"/>
            <w:right w:val="none" w:sz="0" w:space="0" w:color="auto"/>
          </w:divBdr>
        </w:div>
        <w:div w:id="2113167041">
          <w:marLeft w:val="0"/>
          <w:marRight w:val="0"/>
          <w:marTop w:val="0"/>
          <w:marBottom w:val="0"/>
          <w:divBdr>
            <w:top w:val="none" w:sz="0" w:space="0" w:color="auto"/>
            <w:left w:val="none" w:sz="0" w:space="0" w:color="auto"/>
            <w:bottom w:val="none" w:sz="0" w:space="0" w:color="auto"/>
            <w:right w:val="none" w:sz="0" w:space="0" w:color="auto"/>
          </w:divBdr>
        </w:div>
        <w:div w:id="2121142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D5572-F856-4320-84D7-D633ACA82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853</Words>
  <Characters>4867</Characters>
  <Application>Microsoft Office Word</Application>
  <DocSecurity>0</DocSecurity>
  <Lines>40</Lines>
  <Paragraphs>11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Yuya Mizuno</dc:creator>
  <cp:keywords/>
  <dc:description/>
  <cp:lastModifiedBy>Lori Kunath</cp:lastModifiedBy>
  <cp:revision>2</cp:revision>
  <cp:lastPrinted>2019-07-02T14:26:00Z</cp:lastPrinted>
  <dcterms:created xsi:type="dcterms:W3CDTF">2019-11-16T02:34:00Z</dcterms:created>
  <dcterms:modified xsi:type="dcterms:W3CDTF">2019-11-16T02:34:00Z</dcterms:modified>
</cp:coreProperties>
</file>