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1D81B" w14:textId="77777777" w:rsidR="00BA5531" w:rsidRPr="00EC44E6" w:rsidRDefault="00BA5531" w:rsidP="00BA5531">
      <w:pPr>
        <w:rPr>
          <w:b/>
          <w:color w:val="000000" w:themeColor="text1"/>
        </w:rPr>
      </w:pPr>
      <w:r w:rsidRPr="00EC44E6">
        <w:rPr>
          <w:b/>
          <w:color w:val="000000" w:themeColor="text1"/>
        </w:rPr>
        <w:t>Supplemental Information</w:t>
      </w:r>
    </w:p>
    <w:p w14:paraId="705C4F7C" w14:textId="77777777" w:rsidR="00BA5531" w:rsidRPr="00EC44E6" w:rsidRDefault="00BA5531" w:rsidP="00BA5531">
      <w:pPr>
        <w:rPr>
          <w:color w:val="000000" w:themeColor="text1"/>
        </w:rPr>
      </w:pPr>
    </w:p>
    <w:p w14:paraId="2062336C" w14:textId="77777777" w:rsidR="00BA5531" w:rsidRPr="00EC44E6" w:rsidRDefault="00BA5531" w:rsidP="00BA5531">
      <w:pPr>
        <w:rPr>
          <w:color w:val="000000" w:themeColor="text1"/>
        </w:rPr>
      </w:pPr>
      <w:r w:rsidRPr="00EC44E6">
        <w:rPr>
          <w:color w:val="000000" w:themeColor="text1"/>
          <w:u w:val="single"/>
        </w:rPr>
        <w:t>Table S1</w:t>
      </w:r>
      <w:r w:rsidRPr="00EC44E6">
        <w:rPr>
          <w:color w:val="000000" w:themeColor="text1"/>
        </w:rPr>
        <w:t>: vmPFC connectivity at time of feedback in non-psychiatric controls</w:t>
      </w:r>
    </w:p>
    <w:p w14:paraId="725B74F2" w14:textId="77777777" w:rsidR="00BA5531" w:rsidRPr="00EC44E6" w:rsidRDefault="00BA5531" w:rsidP="00BA5531">
      <w:pPr>
        <w:rPr>
          <w:color w:val="000000" w:themeColor="text1"/>
        </w:rPr>
      </w:pPr>
      <w:r w:rsidRPr="00EC44E6">
        <w:rPr>
          <w:color w:val="000000" w:themeColor="text1"/>
          <w:u w:val="single"/>
        </w:rPr>
        <w:t>Table S2</w:t>
      </w:r>
      <w:r w:rsidRPr="00EC44E6">
        <w:rPr>
          <w:color w:val="000000" w:themeColor="text1"/>
        </w:rPr>
        <w:t>: vmPFC connectivity and impulsivity (UPPS Negative Urgency) interaction in non-psychiatric controls</w:t>
      </w:r>
    </w:p>
    <w:p w14:paraId="39A26964" w14:textId="611F0C56" w:rsidR="00BC638B" w:rsidRPr="00EC44E6" w:rsidRDefault="00BC638B" w:rsidP="00BA5531">
      <w:pPr>
        <w:rPr>
          <w:color w:val="000000" w:themeColor="text1"/>
        </w:rPr>
      </w:pPr>
      <w:r w:rsidRPr="00EC44E6">
        <w:rPr>
          <w:color w:val="000000" w:themeColor="text1"/>
          <w:u w:val="single"/>
        </w:rPr>
        <w:t>Figure S1</w:t>
      </w:r>
      <w:r w:rsidRPr="00EC44E6">
        <w:rPr>
          <w:color w:val="000000" w:themeColor="text1"/>
        </w:rPr>
        <w:t>: Task performance by group</w:t>
      </w:r>
    </w:p>
    <w:p w14:paraId="7F293926" w14:textId="6B8254F2" w:rsidR="007B1649" w:rsidRPr="00EC44E6" w:rsidRDefault="007B1649" w:rsidP="00BA5531">
      <w:pPr>
        <w:rPr>
          <w:color w:val="000000" w:themeColor="text1"/>
        </w:rPr>
      </w:pPr>
      <w:r w:rsidRPr="00EC44E6">
        <w:rPr>
          <w:color w:val="000000" w:themeColor="text1"/>
          <w:u w:val="single"/>
        </w:rPr>
        <w:t>Figure S2:</w:t>
      </w:r>
      <w:r w:rsidRPr="00EC44E6">
        <w:rPr>
          <w:color w:val="000000" w:themeColor="text1"/>
        </w:rPr>
        <w:t xml:space="preserve"> Striatal PPI connectivity and moderation by impulsivity.</w:t>
      </w:r>
    </w:p>
    <w:p w14:paraId="25F096B4" w14:textId="77777777" w:rsidR="007B1649" w:rsidRPr="00EC44E6" w:rsidRDefault="00BA5531" w:rsidP="00BA5531">
      <w:pPr>
        <w:rPr>
          <w:color w:val="000000" w:themeColor="text1"/>
        </w:rPr>
      </w:pPr>
      <w:r w:rsidRPr="00EC44E6">
        <w:rPr>
          <w:color w:val="000000" w:themeColor="text1"/>
          <w:u w:val="single"/>
        </w:rPr>
        <w:t>Supplementary text</w:t>
      </w:r>
      <w:r w:rsidRPr="00EC44E6">
        <w:rPr>
          <w:color w:val="000000" w:themeColor="text1"/>
        </w:rPr>
        <w:t xml:space="preserve">: </w:t>
      </w:r>
    </w:p>
    <w:p w14:paraId="45BE6591" w14:textId="0565D480" w:rsidR="007B1649" w:rsidRPr="00EC44E6" w:rsidRDefault="007B1649" w:rsidP="007B1649">
      <w:pPr>
        <w:ind w:firstLine="720"/>
        <w:rPr>
          <w:color w:val="000000" w:themeColor="text1"/>
        </w:rPr>
      </w:pPr>
      <w:r w:rsidRPr="00EC44E6">
        <w:rPr>
          <w:color w:val="000000" w:themeColor="text1"/>
        </w:rPr>
        <w:t>Participant inclusion/exclusion details</w:t>
      </w:r>
    </w:p>
    <w:p w14:paraId="2E95D69E" w14:textId="55B02F27" w:rsidR="007B1649" w:rsidRPr="00EC44E6" w:rsidRDefault="007B1649" w:rsidP="007B1649">
      <w:pPr>
        <w:widowControl w:val="0"/>
        <w:autoSpaceDE w:val="0"/>
        <w:autoSpaceDN w:val="0"/>
        <w:adjustRightInd w:val="0"/>
        <w:ind w:firstLine="720"/>
        <w:rPr>
          <w:rFonts w:ascii="Cambria" w:hAnsi="Cambria" w:cs="Times New Roman"/>
          <w:color w:val="000000" w:themeColor="text1"/>
        </w:rPr>
      </w:pPr>
      <w:r w:rsidRPr="00EC44E6">
        <w:rPr>
          <w:rFonts w:ascii="Cambria" w:hAnsi="Cambria" w:cs="Times New Roman"/>
          <w:color w:val="000000" w:themeColor="text1"/>
        </w:rPr>
        <w:t xml:space="preserve">Measures used in sensitivity analyses. </w:t>
      </w:r>
    </w:p>
    <w:p w14:paraId="66B69457" w14:textId="77777777" w:rsidR="007B1649" w:rsidRPr="00EC44E6" w:rsidRDefault="00BA5531" w:rsidP="007B1649">
      <w:pPr>
        <w:ind w:firstLine="720"/>
        <w:rPr>
          <w:color w:val="000000" w:themeColor="text1"/>
        </w:rPr>
      </w:pPr>
      <w:r w:rsidRPr="00EC44E6">
        <w:rPr>
          <w:color w:val="000000" w:themeColor="text1"/>
        </w:rPr>
        <w:t>Behavioral model fitting and performance</w:t>
      </w:r>
    </w:p>
    <w:p w14:paraId="26B1F660" w14:textId="60937F61" w:rsidR="00BA5531" w:rsidRPr="00EC44E6" w:rsidRDefault="00BA5531" w:rsidP="007B1649">
      <w:pPr>
        <w:ind w:firstLine="720"/>
        <w:rPr>
          <w:color w:val="000000" w:themeColor="text1"/>
        </w:rPr>
      </w:pPr>
      <w:r w:rsidRPr="00EC44E6">
        <w:rPr>
          <w:color w:val="000000" w:themeColor="text1"/>
        </w:rPr>
        <w:t>fMRI data collection</w:t>
      </w:r>
      <w:r w:rsidR="007B1649" w:rsidRPr="00EC44E6">
        <w:rPr>
          <w:color w:val="000000" w:themeColor="text1"/>
        </w:rPr>
        <w:t>,</w:t>
      </w:r>
      <w:r w:rsidRPr="00EC44E6">
        <w:rPr>
          <w:color w:val="000000" w:themeColor="text1"/>
        </w:rPr>
        <w:t xml:space="preserve"> preprocessing</w:t>
      </w:r>
      <w:r w:rsidR="007B1649" w:rsidRPr="00EC44E6">
        <w:rPr>
          <w:color w:val="000000" w:themeColor="text1"/>
        </w:rPr>
        <w:t>, and first-level analysis</w:t>
      </w:r>
    </w:p>
    <w:p w14:paraId="54399CD5" w14:textId="3621F5FE" w:rsidR="00A43E00" w:rsidRPr="00EC44E6" w:rsidRDefault="00A43E00" w:rsidP="00BA5531">
      <w:pPr>
        <w:rPr>
          <w:color w:val="000000" w:themeColor="text1"/>
          <w:u w:val="single"/>
        </w:rPr>
      </w:pPr>
      <w:r w:rsidRPr="00EC44E6">
        <w:rPr>
          <w:color w:val="000000" w:themeColor="text1"/>
          <w:u w:val="single"/>
        </w:rPr>
        <w:t>Supplementary References</w:t>
      </w:r>
    </w:p>
    <w:p w14:paraId="14457A93" w14:textId="77777777" w:rsidR="00BA5531" w:rsidRPr="00EC44E6" w:rsidRDefault="00BA5531" w:rsidP="00BA5531">
      <w:pPr>
        <w:rPr>
          <w:color w:val="000000" w:themeColor="text1"/>
        </w:rPr>
      </w:pPr>
    </w:p>
    <w:p w14:paraId="487C07A2" w14:textId="77777777" w:rsidR="00BA5531" w:rsidRPr="00EC44E6" w:rsidRDefault="00BA5531" w:rsidP="00BA5531">
      <w:pPr>
        <w:rPr>
          <w:color w:val="000000" w:themeColor="text1"/>
        </w:rPr>
      </w:pPr>
    </w:p>
    <w:p w14:paraId="593DAE76" w14:textId="77777777" w:rsidR="00BA5531" w:rsidRPr="00EC44E6" w:rsidRDefault="00BA5531" w:rsidP="00BA5531">
      <w:pPr>
        <w:rPr>
          <w:color w:val="000000" w:themeColor="text1"/>
        </w:rPr>
      </w:pPr>
    </w:p>
    <w:p w14:paraId="2E5AD230" w14:textId="77777777" w:rsidR="00BA5531" w:rsidRPr="00EC44E6" w:rsidRDefault="00BA5531" w:rsidP="00BA5531">
      <w:pPr>
        <w:rPr>
          <w:color w:val="000000" w:themeColor="text1"/>
          <w:u w:val="single"/>
        </w:rPr>
      </w:pPr>
      <w:r w:rsidRPr="00EC44E6">
        <w:rPr>
          <w:color w:val="000000" w:themeColor="text1"/>
          <w:u w:val="single"/>
        </w:rPr>
        <w:t>Table S1. vmPFC connectivity at time of feedback in non-psychiatric controls</w:t>
      </w:r>
    </w:p>
    <w:tbl>
      <w:tblPr>
        <w:tblW w:w="9622" w:type="dxa"/>
        <w:tblInd w:w="93" w:type="dxa"/>
        <w:tblLook w:val="04A0" w:firstRow="1" w:lastRow="0" w:firstColumn="1" w:lastColumn="0" w:noHBand="0" w:noVBand="1"/>
      </w:tblPr>
      <w:tblGrid>
        <w:gridCol w:w="1300"/>
        <w:gridCol w:w="1300"/>
        <w:gridCol w:w="1300"/>
        <w:gridCol w:w="1300"/>
        <w:gridCol w:w="1300"/>
        <w:gridCol w:w="1300"/>
        <w:gridCol w:w="1822"/>
      </w:tblGrid>
      <w:tr w:rsidR="00EC44E6" w:rsidRPr="00EC44E6" w14:paraId="420B3048" w14:textId="77777777" w:rsidTr="007B1649">
        <w:trPr>
          <w:trHeight w:val="300"/>
        </w:trPr>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3E55CC"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Cluster Number</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B6E7590"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Number of Voxels</w:t>
            </w:r>
          </w:p>
        </w:tc>
        <w:tc>
          <w:tcPr>
            <w:tcW w:w="3900" w:type="dxa"/>
            <w:gridSpan w:val="3"/>
            <w:tcBorders>
              <w:top w:val="single" w:sz="4" w:space="0" w:color="auto"/>
              <w:left w:val="nil"/>
              <w:bottom w:val="single" w:sz="4" w:space="0" w:color="auto"/>
              <w:right w:val="single" w:sz="4" w:space="0" w:color="auto"/>
            </w:tcBorders>
            <w:shd w:val="clear" w:color="auto" w:fill="auto"/>
            <w:vAlign w:val="bottom"/>
            <w:hideMark/>
          </w:tcPr>
          <w:p w14:paraId="27A0D1EE"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Peak Coordinates (MNI space)</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FA26F46"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Peak t Value</w:t>
            </w:r>
          </w:p>
        </w:tc>
        <w:tc>
          <w:tcPr>
            <w:tcW w:w="1822" w:type="dxa"/>
            <w:vMerge w:val="restart"/>
            <w:tcBorders>
              <w:top w:val="single" w:sz="4" w:space="0" w:color="auto"/>
              <w:left w:val="single" w:sz="4" w:space="0" w:color="auto"/>
              <w:right w:val="single" w:sz="4" w:space="0" w:color="auto"/>
            </w:tcBorders>
          </w:tcPr>
          <w:p w14:paraId="7593CC22"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Anatomical Label at Peak</w:t>
            </w:r>
          </w:p>
        </w:tc>
      </w:tr>
      <w:tr w:rsidR="00EC44E6" w:rsidRPr="00EC44E6" w14:paraId="0C4290D8" w14:textId="77777777" w:rsidTr="007B164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424824C8" w14:textId="77777777" w:rsidR="000C4B8A" w:rsidRPr="00EC44E6" w:rsidRDefault="000C4B8A" w:rsidP="002B3819">
            <w:pPr>
              <w:rPr>
                <w:rFonts w:ascii="Times New Roman" w:eastAsia="Times New Roman" w:hAnsi="Times New Roman" w:cs="Times New Roman"/>
                <w:b/>
                <w:bCs/>
                <w:color w:val="000000" w:themeColor="text1"/>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64B7D256" w14:textId="77777777" w:rsidR="000C4B8A" w:rsidRPr="00EC44E6" w:rsidRDefault="000C4B8A" w:rsidP="002B3819">
            <w:pPr>
              <w:rPr>
                <w:rFonts w:ascii="Times New Roman" w:eastAsia="Times New Roman" w:hAnsi="Times New Roman" w:cs="Times New Roman"/>
                <w:b/>
                <w:bCs/>
                <w:color w:val="000000" w:themeColor="text1"/>
              </w:rPr>
            </w:pPr>
          </w:p>
        </w:tc>
        <w:tc>
          <w:tcPr>
            <w:tcW w:w="1300" w:type="dxa"/>
            <w:tcBorders>
              <w:top w:val="nil"/>
              <w:left w:val="nil"/>
              <w:bottom w:val="single" w:sz="4" w:space="0" w:color="auto"/>
              <w:right w:val="single" w:sz="4" w:space="0" w:color="auto"/>
            </w:tcBorders>
            <w:shd w:val="clear" w:color="auto" w:fill="auto"/>
            <w:vAlign w:val="bottom"/>
            <w:hideMark/>
          </w:tcPr>
          <w:p w14:paraId="7B0D2A98" w14:textId="77777777" w:rsidR="000C4B8A" w:rsidRPr="00EC44E6" w:rsidRDefault="000C4B8A" w:rsidP="002B3819">
            <w:pP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x</w:t>
            </w:r>
          </w:p>
        </w:tc>
        <w:tc>
          <w:tcPr>
            <w:tcW w:w="1300" w:type="dxa"/>
            <w:tcBorders>
              <w:top w:val="nil"/>
              <w:left w:val="nil"/>
              <w:bottom w:val="single" w:sz="4" w:space="0" w:color="auto"/>
              <w:right w:val="single" w:sz="4" w:space="0" w:color="auto"/>
            </w:tcBorders>
            <w:shd w:val="clear" w:color="auto" w:fill="auto"/>
            <w:vAlign w:val="bottom"/>
            <w:hideMark/>
          </w:tcPr>
          <w:p w14:paraId="43280500" w14:textId="77777777" w:rsidR="000C4B8A" w:rsidRPr="00EC44E6" w:rsidRDefault="000C4B8A" w:rsidP="002B3819">
            <w:pP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y</w:t>
            </w:r>
          </w:p>
        </w:tc>
        <w:tc>
          <w:tcPr>
            <w:tcW w:w="1300" w:type="dxa"/>
            <w:tcBorders>
              <w:top w:val="nil"/>
              <w:left w:val="nil"/>
              <w:bottom w:val="single" w:sz="4" w:space="0" w:color="auto"/>
              <w:right w:val="single" w:sz="4" w:space="0" w:color="auto"/>
            </w:tcBorders>
            <w:shd w:val="clear" w:color="auto" w:fill="auto"/>
            <w:vAlign w:val="bottom"/>
            <w:hideMark/>
          </w:tcPr>
          <w:p w14:paraId="7154AD89" w14:textId="77777777" w:rsidR="000C4B8A" w:rsidRPr="00EC44E6" w:rsidRDefault="000C4B8A" w:rsidP="002B3819">
            <w:pP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z</w:t>
            </w: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5892471F" w14:textId="77777777" w:rsidR="000C4B8A" w:rsidRPr="00EC44E6" w:rsidRDefault="000C4B8A" w:rsidP="002B3819">
            <w:pPr>
              <w:rPr>
                <w:rFonts w:ascii="Times New Roman" w:eastAsia="Times New Roman" w:hAnsi="Times New Roman" w:cs="Times New Roman"/>
                <w:b/>
                <w:bCs/>
                <w:color w:val="000000" w:themeColor="text1"/>
              </w:rPr>
            </w:pPr>
          </w:p>
        </w:tc>
        <w:tc>
          <w:tcPr>
            <w:tcW w:w="1822" w:type="dxa"/>
            <w:vMerge/>
            <w:tcBorders>
              <w:left w:val="single" w:sz="4" w:space="0" w:color="auto"/>
              <w:bottom w:val="single" w:sz="4" w:space="0" w:color="auto"/>
              <w:right w:val="single" w:sz="4" w:space="0" w:color="auto"/>
            </w:tcBorders>
          </w:tcPr>
          <w:p w14:paraId="7EBF4EE5" w14:textId="77777777" w:rsidR="000C4B8A" w:rsidRPr="00EC44E6" w:rsidRDefault="000C4B8A" w:rsidP="002B3819">
            <w:pPr>
              <w:rPr>
                <w:rFonts w:ascii="Times New Roman" w:eastAsia="Times New Roman" w:hAnsi="Times New Roman" w:cs="Times New Roman"/>
                <w:b/>
                <w:bCs/>
                <w:color w:val="000000" w:themeColor="text1"/>
              </w:rPr>
            </w:pPr>
          </w:p>
        </w:tc>
      </w:tr>
      <w:tr w:rsidR="000C4B8A" w:rsidRPr="00EC44E6" w14:paraId="5001F175" w14:textId="77777777" w:rsidTr="007B164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0BB6670"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1</w:t>
            </w:r>
          </w:p>
        </w:tc>
        <w:tc>
          <w:tcPr>
            <w:tcW w:w="1300" w:type="dxa"/>
            <w:tcBorders>
              <w:top w:val="nil"/>
              <w:left w:val="nil"/>
              <w:bottom w:val="single" w:sz="4" w:space="0" w:color="auto"/>
              <w:right w:val="single" w:sz="4" w:space="0" w:color="auto"/>
            </w:tcBorders>
            <w:shd w:val="clear" w:color="auto" w:fill="auto"/>
            <w:noWrap/>
            <w:vAlign w:val="bottom"/>
            <w:hideMark/>
          </w:tcPr>
          <w:p w14:paraId="6055CAD3"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109,993</w:t>
            </w:r>
          </w:p>
        </w:tc>
        <w:tc>
          <w:tcPr>
            <w:tcW w:w="1300" w:type="dxa"/>
            <w:tcBorders>
              <w:top w:val="nil"/>
              <w:left w:val="nil"/>
              <w:bottom w:val="single" w:sz="4" w:space="0" w:color="auto"/>
              <w:right w:val="single" w:sz="4" w:space="0" w:color="auto"/>
            </w:tcBorders>
            <w:shd w:val="clear" w:color="auto" w:fill="auto"/>
            <w:noWrap/>
            <w:vAlign w:val="bottom"/>
            <w:hideMark/>
          </w:tcPr>
          <w:p w14:paraId="5652EF78"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-3</w:t>
            </w:r>
          </w:p>
        </w:tc>
        <w:tc>
          <w:tcPr>
            <w:tcW w:w="1300" w:type="dxa"/>
            <w:tcBorders>
              <w:top w:val="nil"/>
              <w:left w:val="nil"/>
              <w:bottom w:val="single" w:sz="4" w:space="0" w:color="auto"/>
              <w:right w:val="single" w:sz="4" w:space="0" w:color="auto"/>
            </w:tcBorders>
            <w:shd w:val="clear" w:color="auto" w:fill="auto"/>
            <w:noWrap/>
            <w:vAlign w:val="bottom"/>
            <w:hideMark/>
          </w:tcPr>
          <w:p w14:paraId="46B9C13C"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-54</w:t>
            </w:r>
          </w:p>
        </w:tc>
        <w:tc>
          <w:tcPr>
            <w:tcW w:w="1300" w:type="dxa"/>
            <w:tcBorders>
              <w:top w:val="nil"/>
              <w:left w:val="nil"/>
              <w:bottom w:val="single" w:sz="4" w:space="0" w:color="auto"/>
              <w:right w:val="single" w:sz="4" w:space="0" w:color="auto"/>
            </w:tcBorders>
            <w:shd w:val="clear" w:color="auto" w:fill="auto"/>
            <w:noWrap/>
            <w:vAlign w:val="bottom"/>
            <w:hideMark/>
          </w:tcPr>
          <w:p w14:paraId="5F36F130"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26</w:t>
            </w:r>
          </w:p>
        </w:tc>
        <w:tc>
          <w:tcPr>
            <w:tcW w:w="1300" w:type="dxa"/>
            <w:tcBorders>
              <w:top w:val="nil"/>
              <w:left w:val="nil"/>
              <w:bottom w:val="single" w:sz="4" w:space="0" w:color="auto"/>
              <w:right w:val="single" w:sz="4" w:space="0" w:color="auto"/>
            </w:tcBorders>
            <w:shd w:val="clear" w:color="auto" w:fill="auto"/>
            <w:noWrap/>
            <w:vAlign w:val="bottom"/>
            <w:hideMark/>
          </w:tcPr>
          <w:p w14:paraId="59CFA8D6"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13.74</w:t>
            </w:r>
          </w:p>
        </w:tc>
        <w:tc>
          <w:tcPr>
            <w:tcW w:w="1822" w:type="dxa"/>
            <w:tcBorders>
              <w:top w:val="nil"/>
              <w:left w:val="nil"/>
              <w:bottom w:val="single" w:sz="4" w:space="0" w:color="auto"/>
              <w:right w:val="single" w:sz="4" w:space="0" w:color="auto"/>
            </w:tcBorders>
          </w:tcPr>
          <w:p w14:paraId="0E8CF0E3" w14:textId="77777777" w:rsidR="000C4B8A" w:rsidRPr="00EC44E6" w:rsidRDefault="000C4B8A" w:rsidP="007B1649">
            <w:pPr>
              <w:jc w:val="center"/>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Posterior cingulate cortex</w:t>
            </w:r>
          </w:p>
        </w:tc>
      </w:tr>
    </w:tbl>
    <w:p w14:paraId="7598E9CC" w14:textId="77777777" w:rsidR="00BA5531" w:rsidRPr="00EC44E6" w:rsidRDefault="00BA5531" w:rsidP="00BA5531">
      <w:pPr>
        <w:rPr>
          <w:color w:val="000000" w:themeColor="text1"/>
        </w:rPr>
      </w:pPr>
    </w:p>
    <w:p w14:paraId="064E1E37" w14:textId="77777777" w:rsidR="00BA5531" w:rsidRPr="00EC44E6" w:rsidRDefault="00BA5531" w:rsidP="00BA5531">
      <w:pPr>
        <w:rPr>
          <w:color w:val="000000" w:themeColor="text1"/>
        </w:rPr>
      </w:pPr>
    </w:p>
    <w:p w14:paraId="7DE9D50E" w14:textId="77777777" w:rsidR="00BA5531" w:rsidRPr="00EC44E6" w:rsidRDefault="00BA5531" w:rsidP="00BA5531">
      <w:pPr>
        <w:rPr>
          <w:color w:val="000000" w:themeColor="text1"/>
          <w:u w:val="single"/>
        </w:rPr>
      </w:pPr>
      <w:r w:rsidRPr="00EC44E6">
        <w:rPr>
          <w:color w:val="000000" w:themeColor="text1"/>
          <w:u w:val="single"/>
        </w:rPr>
        <w:t>Table S2. vmPFC connectivity and impulsivity (UPPS Negative Urgency) interaction in non-psychiatric controls</w:t>
      </w:r>
    </w:p>
    <w:tbl>
      <w:tblPr>
        <w:tblW w:w="9622" w:type="dxa"/>
        <w:tblInd w:w="93" w:type="dxa"/>
        <w:tblLook w:val="04A0" w:firstRow="1" w:lastRow="0" w:firstColumn="1" w:lastColumn="0" w:noHBand="0" w:noVBand="1"/>
      </w:tblPr>
      <w:tblGrid>
        <w:gridCol w:w="1300"/>
        <w:gridCol w:w="1300"/>
        <w:gridCol w:w="1398"/>
        <w:gridCol w:w="1398"/>
        <w:gridCol w:w="1104"/>
        <w:gridCol w:w="1300"/>
        <w:gridCol w:w="1822"/>
      </w:tblGrid>
      <w:tr w:rsidR="00EC44E6" w:rsidRPr="00EC44E6" w14:paraId="4D2ACC77" w14:textId="77777777" w:rsidTr="007B1649">
        <w:trPr>
          <w:trHeight w:val="300"/>
        </w:trPr>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E9F7951"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Cluster Number</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6FDDC63"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Number of Voxels</w:t>
            </w:r>
          </w:p>
        </w:tc>
        <w:tc>
          <w:tcPr>
            <w:tcW w:w="3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3FC9224"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Peak Coordinates (MNI space)</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B7F3031"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Peak t Value</w:t>
            </w:r>
          </w:p>
        </w:tc>
        <w:tc>
          <w:tcPr>
            <w:tcW w:w="1822" w:type="dxa"/>
            <w:vMerge w:val="restart"/>
            <w:tcBorders>
              <w:top w:val="single" w:sz="4" w:space="0" w:color="auto"/>
              <w:left w:val="single" w:sz="4" w:space="0" w:color="auto"/>
              <w:right w:val="single" w:sz="4" w:space="0" w:color="auto"/>
            </w:tcBorders>
          </w:tcPr>
          <w:p w14:paraId="49689BB8" w14:textId="77777777" w:rsidR="000C4B8A" w:rsidRPr="00EC44E6" w:rsidRDefault="000C4B8A" w:rsidP="002B3819">
            <w:pPr>
              <w:jc w:val="cente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Anatomical Label at Peak</w:t>
            </w:r>
          </w:p>
        </w:tc>
      </w:tr>
      <w:tr w:rsidR="00EC44E6" w:rsidRPr="00EC44E6" w14:paraId="4D40A768" w14:textId="77777777" w:rsidTr="007B1649">
        <w:trPr>
          <w:trHeight w:val="300"/>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7DF2DD46" w14:textId="77777777" w:rsidR="000C4B8A" w:rsidRPr="00EC44E6" w:rsidRDefault="000C4B8A" w:rsidP="002B3819">
            <w:pPr>
              <w:rPr>
                <w:rFonts w:ascii="Times New Roman" w:eastAsia="Times New Roman" w:hAnsi="Times New Roman" w:cs="Times New Roman"/>
                <w:b/>
                <w:bCs/>
                <w:color w:val="000000" w:themeColor="text1"/>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691FC3C8" w14:textId="77777777" w:rsidR="000C4B8A" w:rsidRPr="00EC44E6" w:rsidRDefault="000C4B8A" w:rsidP="002B3819">
            <w:pPr>
              <w:rPr>
                <w:rFonts w:ascii="Times New Roman" w:eastAsia="Times New Roman" w:hAnsi="Times New Roman" w:cs="Times New Roman"/>
                <w:b/>
                <w:bCs/>
                <w:color w:val="000000" w:themeColor="text1"/>
              </w:rPr>
            </w:pPr>
          </w:p>
        </w:tc>
        <w:tc>
          <w:tcPr>
            <w:tcW w:w="1398" w:type="dxa"/>
            <w:tcBorders>
              <w:top w:val="nil"/>
              <w:left w:val="nil"/>
              <w:bottom w:val="single" w:sz="4" w:space="0" w:color="auto"/>
              <w:right w:val="single" w:sz="4" w:space="0" w:color="auto"/>
            </w:tcBorders>
            <w:shd w:val="clear" w:color="auto" w:fill="auto"/>
            <w:noWrap/>
            <w:vAlign w:val="bottom"/>
            <w:hideMark/>
          </w:tcPr>
          <w:p w14:paraId="02A6CB84" w14:textId="77777777" w:rsidR="000C4B8A" w:rsidRPr="00EC44E6" w:rsidRDefault="000C4B8A" w:rsidP="002B3819">
            <w:pP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x</w:t>
            </w:r>
          </w:p>
        </w:tc>
        <w:tc>
          <w:tcPr>
            <w:tcW w:w="1398" w:type="dxa"/>
            <w:tcBorders>
              <w:top w:val="nil"/>
              <w:left w:val="nil"/>
              <w:bottom w:val="single" w:sz="4" w:space="0" w:color="auto"/>
              <w:right w:val="single" w:sz="4" w:space="0" w:color="auto"/>
            </w:tcBorders>
            <w:shd w:val="clear" w:color="auto" w:fill="auto"/>
            <w:noWrap/>
            <w:vAlign w:val="bottom"/>
            <w:hideMark/>
          </w:tcPr>
          <w:p w14:paraId="53DA4418" w14:textId="77777777" w:rsidR="000C4B8A" w:rsidRPr="00EC44E6" w:rsidRDefault="000C4B8A" w:rsidP="002B3819">
            <w:pP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y</w:t>
            </w:r>
          </w:p>
        </w:tc>
        <w:tc>
          <w:tcPr>
            <w:tcW w:w="1104" w:type="dxa"/>
            <w:tcBorders>
              <w:top w:val="nil"/>
              <w:left w:val="nil"/>
              <w:bottom w:val="single" w:sz="4" w:space="0" w:color="auto"/>
              <w:right w:val="single" w:sz="4" w:space="0" w:color="auto"/>
            </w:tcBorders>
            <w:shd w:val="clear" w:color="auto" w:fill="auto"/>
            <w:noWrap/>
            <w:vAlign w:val="bottom"/>
            <w:hideMark/>
          </w:tcPr>
          <w:p w14:paraId="77732EF3" w14:textId="77777777" w:rsidR="000C4B8A" w:rsidRPr="00EC44E6" w:rsidRDefault="000C4B8A" w:rsidP="002B3819">
            <w:pPr>
              <w:rPr>
                <w:rFonts w:ascii="Times New Roman" w:eastAsia="Times New Roman" w:hAnsi="Times New Roman" w:cs="Times New Roman"/>
                <w:b/>
                <w:bCs/>
                <w:color w:val="000000" w:themeColor="text1"/>
              </w:rPr>
            </w:pPr>
            <w:r w:rsidRPr="00EC44E6">
              <w:rPr>
                <w:rFonts w:ascii="Times New Roman" w:eastAsia="Times New Roman" w:hAnsi="Times New Roman" w:cs="Times New Roman"/>
                <w:b/>
                <w:bCs/>
                <w:color w:val="000000" w:themeColor="text1"/>
              </w:rPr>
              <w:t>z</w:t>
            </w:r>
          </w:p>
        </w:tc>
        <w:tc>
          <w:tcPr>
            <w:tcW w:w="1300" w:type="dxa"/>
            <w:vMerge/>
            <w:tcBorders>
              <w:top w:val="single" w:sz="4" w:space="0" w:color="auto"/>
              <w:left w:val="single" w:sz="4" w:space="0" w:color="auto"/>
              <w:bottom w:val="single" w:sz="4" w:space="0" w:color="000000"/>
              <w:right w:val="single" w:sz="4" w:space="0" w:color="auto"/>
            </w:tcBorders>
            <w:vAlign w:val="center"/>
            <w:hideMark/>
          </w:tcPr>
          <w:p w14:paraId="18DD1624" w14:textId="77777777" w:rsidR="000C4B8A" w:rsidRPr="00EC44E6" w:rsidRDefault="000C4B8A" w:rsidP="002B3819">
            <w:pPr>
              <w:rPr>
                <w:rFonts w:ascii="Times New Roman" w:eastAsia="Times New Roman" w:hAnsi="Times New Roman" w:cs="Times New Roman"/>
                <w:b/>
                <w:bCs/>
                <w:color w:val="000000" w:themeColor="text1"/>
              </w:rPr>
            </w:pPr>
          </w:p>
        </w:tc>
        <w:tc>
          <w:tcPr>
            <w:tcW w:w="1822" w:type="dxa"/>
            <w:vMerge/>
            <w:tcBorders>
              <w:left w:val="single" w:sz="4" w:space="0" w:color="auto"/>
              <w:bottom w:val="single" w:sz="4" w:space="0" w:color="000000"/>
              <w:right w:val="single" w:sz="4" w:space="0" w:color="auto"/>
            </w:tcBorders>
          </w:tcPr>
          <w:p w14:paraId="74A73246" w14:textId="77777777" w:rsidR="000C4B8A" w:rsidRPr="00EC44E6" w:rsidRDefault="000C4B8A" w:rsidP="002B3819">
            <w:pPr>
              <w:rPr>
                <w:rFonts w:ascii="Times New Roman" w:eastAsia="Times New Roman" w:hAnsi="Times New Roman" w:cs="Times New Roman"/>
                <w:b/>
                <w:bCs/>
                <w:color w:val="000000" w:themeColor="text1"/>
              </w:rPr>
            </w:pPr>
          </w:p>
        </w:tc>
      </w:tr>
      <w:tr w:rsidR="00EC44E6" w:rsidRPr="00EC44E6" w14:paraId="2D602FFD" w14:textId="77777777" w:rsidTr="007B164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46323E9"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1</w:t>
            </w:r>
          </w:p>
        </w:tc>
        <w:tc>
          <w:tcPr>
            <w:tcW w:w="1300" w:type="dxa"/>
            <w:tcBorders>
              <w:top w:val="nil"/>
              <w:left w:val="nil"/>
              <w:bottom w:val="single" w:sz="4" w:space="0" w:color="auto"/>
              <w:right w:val="single" w:sz="4" w:space="0" w:color="auto"/>
            </w:tcBorders>
            <w:shd w:val="clear" w:color="auto" w:fill="auto"/>
            <w:noWrap/>
            <w:vAlign w:val="bottom"/>
            <w:hideMark/>
          </w:tcPr>
          <w:p w14:paraId="2A658766"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542</w:t>
            </w:r>
          </w:p>
        </w:tc>
        <w:tc>
          <w:tcPr>
            <w:tcW w:w="1398" w:type="dxa"/>
            <w:tcBorders>
              <w:top w:val="nil"/>
              <w:left w:val="nil"/>
              <w:bottom w:val="single" w:sz="4" w:space="0" w:color="auto"/>
              <w:right w:val="single" w:sz="4" w:space="0" w:color="auto"/>
            </w:tcBorders>
            <w:shd w:val="clear" w:color="auto" w:fill="auto"/>
            <w:noWrap/>
            <w:vAlign w:val="bottom"/>
            <w:hideMark/>
          </w:tcPr>
          <w:p w14:paraId="14082129"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31</w:t>
            </w:r>
          </w:p>
        </w:tc>
        <w:tc>
          <w:tcPr>
            <w:tcW w:w="1398" w:type="dxa"/>
            <w:tcBorders>
              <w:top w:val="nil"/>
              <w:left w:val="nil"/>
              <w:bottom w:val="single" w:sz="4" w:space="0" w:color="auto"/>
              <w:right w:val="single" w:sz="4" w:space="0" w:color="auto"/>
            </w:tcBorders>
            <w:shd w:val="clear" w:color="auto" w:fill="auto"/>
            <w:noWrap/>
            <w:vAlign w:val="bottom"/>
            <w:hideMark/>
          </w:tcPr>
          <w:p w14:paraId="16ECD1DA"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-65</w:t>
            </w:r>
          </w:p>
        </w:tc>
        <w:tc>
          <w:tcPr>
            <w:tcW w:w="1104" w:type="dxa"/>
            <w:tcBorders>
              <w:top w:val="nil"/>
              <w:left w:val="nil"/>
              <w:bottom w:val="single" w:sz="4" w:space="0" w:color="auto"/>
              <w:right w:val="single" w:sz="4" w:space="0" w:color="auto"/>
            </w:tcBorders>
            <w:shd w:val="clear" w:color="auto" w:fill="auto"/>
            <w:noWrap/>
            <w:vAlign w:val="bottom"/>
            <w:hideMark/>
          </w:tcPr>
          <w:p w14:paraId="163B5544"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51</w:t>
            </w:r>
          </w:p>
        </w:tc>
        <w:tc>
          <w:tcPr>
            <w:tcW w:w="1300" w:type="dxa"/>
            <w:tcBorders>
              <w:top w:val="nil"/>
              <w:left w:val="nil"/>
              <w:bottom w:val="single" w:sz="4" w:space="0" w:color="auto"/>
              <w:right w:val="single" w:sz="4" w:space="0" w:color="auto"/>
            </w:tcBorders>
            <w:shd w:val="clear" w:color="auto" w:fill="auto"/>
            <w:noWrap/>
            <w:vAlign w:val="bottom"/>
            <w:hideMark/>
          </w:tcPr>
          <w:p w14:paraId="7D42C699"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3.79</w:t>
            </w:r>
          </w:p>
        </w:tc>
        <w:tc>
          <w:tcPr>
            <w:tcW w:w="1822" w:type="dxa"/>
            <w:tcBorders>
              <w:top w:val="nil"/>
              <w:left w:val="nil"/>
              <w:bottom w:val="single" w:sz="4" w:space="0" w:color="auto"/>
              <w:right w:val="single" w:sz="4" w:space="0" w:color="auto"/>
            </w:tcBorders>
          </w:tcPr>
          <w:p w14:paraId="05C9E4EE" w14:textId="77777777" w:rsidR="000C4B8A" w:rsidRPr="00EC44E6" w:rsidRDefault="000A0C4F" w:rsidP="007B1649">
            <w:pPr>
              <w:jc w:val="center"/>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Right superior parietal lobule</w:t>
            </w:r>
          </w:p>
        </w:tc>
      </w:tr>
      <w:tr w:rsidR="00EC44E6" w:rsidRPr="00EC44E6" w14:paraId="17F9A5E6" w14:textId="77777777" w:rsidTr="007B164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E1DD938"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2</w:t>
            </w:r>
          </w:p>
        </w:tc>
        <w:tc>
          <w:tcPr>
            <w:tcW w:w="1300" w:type="dxa"/>
            <w:tcBorders>
              <w:top w:val="nil"/>
              <w:left w:val="nil"/>
              <w:bottom w:val="single" w:sz="4" w:space="0" w:color="auto"/>
              <w:right w:val="single" w:sz="4" w:space="0" w:color="auto"/>
            </w:tcBorders>
            <w:shd w:val="clear" w:color="auto" w:fill="auto"/>
            <w:noWrap/>
            <w:vAlign w:val="bottom"/>
            <w:hideMark/>
          </w:tcPr>
          <w:p w14:paraId="3A233128"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295</w:t>
            </w:r>
          </w:p>
        </w:tc>
        <w:tc>
          <w:tcPr>
            <w:tcW w:w="1398" w:type="dxa"/>
            <w:tcBorders>
              <w:top w:val="nil"/>
              <w:left w:val="nil"/>
              <w:bottom w:val="single" w:sz="4" w:space="0" w:color="auto"/>
              <w:right w:val="single" w:sz="4" w:space="0" w:color="auto"/>
            </w:tcBorders>
            <w:shd w:val="clear" w:color="auto" w:fill="auto"/>
            <w:noWrap/>
            <w:vAlign w:val="bottom"/>
            <w:hideMark/>
          </w:tcPr>
          <w:p w14:paraId="73219003"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-33</w:t>
            </w:r>
          </w:p>
        </w:tc>
        <w:tc>
          <w:tcPr>
            <w:tcW w:w="1398" w:type="dxa"/>
            <w:tcBorders>
              <w:top w:val="nil"/>
              <w:left w:val="nil"/>
              <w:bottom w:val="single" w:sz="4" w:space="0" w:color="auto"/>
              <w:right w:val="single" w:sz="4" w:space="0" w:color="auto"/>
            </w:tcBorders>
            <w:shd w:val="clear" w:color="auto" w:fill="auto"/>
            <w:noWrap/>
            <w:vAlign w:val="bottom"/>
            <w:hideMark/>
          </w:tcPr>
          <w:p w14:paraId="699EC40A"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-65</w:t>
            </w:r>
          </w:p>
        </w:tc>
        <w:tc>
          <w:tcPr>
            <w:tcW w:w="1104" w:type="dxa"/>
            <w:tcBorders>
              <w:top w:val="nil"/>
              <w:left w:val="nil"/>
              <w:bottom w:val="single" w:sz="4" w:space="0" w:color="auto"/>
              <w:right w:val="single" w:sz="4" w:space="0" w:color="auto"/>
            </w:tcBorders>
            <w:shd w:val="clear" w:color="auto" w:fill="auto"/>
            <w:noWrap/>
            <w:vAlign w:val="bottom"/>
            <w:hideMark/>
          </w:tcPr>
          <w:p w14:paraId="0AD3A4B4"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49</w:t>
            </w:r>
          </w:p>
        </w:tc>
        <w:tc>
          <w:tcPr>
            <w:tcW w:w="1300" w:type="dxa"/>
            <w:tcBorders>
              <w:top w:val="nil"/>
              <w:left w:val="nil"/>
              <w:bottom w:val="single" w:sz="4" w:space="0" w:color="auto"/>
              <w:right w:val="single" w:sz="4" w:space="0" w:color="auto"/>
            </w:tcBorders>
            <w:shd w:val="clear" w:color="auto" w:fill="auto"/>
            <w:noWrap/>
            <w:vAlign w:val="bottom"/>
            <w:hideMark/>
          </w:tcPr>
          <w:p w14:paraId="74624489"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3.66</w:t>
            </w:r>
          </w:p>
        </w:tc>
        <w:tc>
          <w:tcPr>
            <w:tcW w:w="1822" w:type="dxa"/>
            <w:tcBorders>
              <w:top w:val="nil"/>
              <w:left w:val="nil"/>
              <w:bottom w:val="single" w:sz="4" w:space="0" w:color="auto"/>
              <w:right w:val="single" w:sz="4" w:space="0" w:color="auto"/>
            </w:tcBorders>
          </w:tcPr>
          <w:p w14:paraId="78EC2FFB" w14:textId="77777777" w:rsidR="000C4B8A" w:rsidRPr="00EC44E6" w:rsidRDefault="000A0C4F" w:rsidP="007B1649">
            <w:pPr>
              <w:jc w:val="center"/>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Left superior parietal lobule</w:t>
            </w:r>
          </w:p>
        </w:tc>
      </w:tr>
      <w:tr w:rsidR="000C4B8A" w:rsidRPr="00EC44E6" w14:paraId="76933BE9" w14:textId="77777777" w:rsidTr="007B164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F5E29D1"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3</w:t>
            </w:r>
          </w:p>
        </w:tc>
        <w:tc>
          <w:tcPr>
            <w:tcW w:w="1300" w:type="dxa"/>
            <w:tcBorders>
              <w:top w:val="nil"/>
              <w:left w:val="nil"/>
              <w:bottom w:val="single" w:sz="4" w:space="0" w:color="auto"/>
              <w:right w:val="single" w:sz="4" w:space="0" w:color="auto"/>
            </w:tcBorders>
            <w:shd w:val="clear" w:color="auto" w:fill="auto"/>
            <w:noWrap/>
            <w:vAlign w:val="bottom"/>
            <w:hideMark/>
          </w:tcPr>
          <w:p w14:paraId="3A7718C8"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275</w:t>
            </w:r>
          </w:p>
        </w:tc>
        <w:tc>
          <w:tcPr>
            <w:tcW w:w="1398" w:type="dxa"/>
            <w:tcBorders>
              <w:top w:val="nil"/>
              <w:left w:val="nil"/>
              <w:bottom w:val="single" w:sz="4" w:space="0" w:color="auto"/>
              <w:right w:val="single" w:sz="4" w:space="0" w:color="auto"/>
            </w:tcBorders>
            <w:shd w:val="clear" w:color="auto" w:fill="auto"/>
            <w:noWrap/>
            <w:vAlign w:val="bottom"/>
            <w:hideMark/>
          </w:tcPr>
          <w:p w14:paraId="05FE930A"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45</w:t>
            </w:r>
          </w:p>
        </w:tc>
        <w:tc>
          <w:tcPr>
            <w:tcW w:w="1398" w:type="dxa"/>
            <w:tcBorders>
              <w:top w:val="nil"/>
              <w:left w:val="nil"/>
              <w:bottom w:val="single" w:sz="4" w:space="0" w:color="auto"/>
              <w:right w:val="single" w:sz="4" w:space="0" w:color="auto"/>
            </w:tcBorders>
            <w:shd w:val="clear" w:color="auto" w:fill="auto"/>
            <w:noWrap/>
            <w:vAlign w:val="bottom"/>
            <w:hideMark/>
          </w:tcPr>
          <w:p w14:paraId="125BAD12"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11</w:t>
            </w:r>
          </w:p>
        </w:tc>
        <w:tc>
          <w:tcPr>
            <w:tcW w:w="1104" w:type="dxa"/>
            <w:tcBorders>
              <w:top w:val="nil"/>
              <w:left w:val="nil"/>
              <w:bottom w:val="single" w:sz="4" w:space="0" w:color="auto"/>
              <w:right w:val="single" w:sz="4" w:space="0" w:color="auto"/>
            </w:tcBorders>
            <w:shd w:val="clear" w:color="auto" w:fill="auto"/>
            <w:noWrap/>
            <w:vAlign w:val="bottom"/>
            <w:hideMark/>
          </w:tcPr>
          <w:p w14:paraId="620B351F"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22</w:t>
            </w:r>
          </w:p>
        </w:tc>
        <w:tc>
          <w:tcPr>
            <w:tcW w:w="1300" w:type="dxa"/>
            <w:tcBorders>
              <w:top w:val="nil"/>
              <w:left w:val="nil"/>
              <w:bottom w:val="single" w:sz="4" w:space="0" w:color="auto"/>
              <w:right w:val="single" w:sz="4" w:space="0" w:color="auto"/>
            </w:tcBorders>
            <w:shd w:val="clear" w:color="auto" w:fill="auto"/>
            <w:noWrap/>
            <w:vAlign w:val="bottom"/>
            <w:hideMark/>
          </w:tcPr>
          <w:p w14:paraId="6301DF32" w14:textId="77777777" w:rsidR="000C4B8A" w:rsidRPr="00EC44E6" w:rsidRDefault="000C4B8A" w:rsidP="002B3819">
            <w:pPr>
              <w:jc w:val="right"/>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3.62</w:t>
            </w:r>
          </w:p>
        </w:tc>
        <w:tc>
          <w:tcPr>
            <w:tcW w:w="1822" w:type="dxa"/>
            <w:tcBorders>
              <w:top w:val="nil"/>
              <w:left w:val="nil"/>
              <w:bottom w:val="single" w:sz="4" w:space="0" w:color="auto"/>
              <w:right w:val="single" w:sz="4" w:space="0" w:color="auto"/>
            </w:tcBorders>
          </w:tcPr>
          <w:p w14:paraId="59DC6172" w14:textId="77777777" w:rsidR="000C4B8A" w:rsidRPr="00EC44E6" w:rsidRDefault="000A0C4F" w:rsidP="007B1649">
            <w:pPr>
              <w:jc w:val="center"/>
              <w:rPr>
                <w:rFonts w:ascii="Times New Roman" w:eastAsia="Times New Roman" w:hAnsi="Times New Roman" w:cs="Times New Roman"/>
                <w:color w:val="000000" w:themeColor="text1"/>
              </w:rPr>
            </w:pPr>
            <w:r w:rsidRPr="00EC44E6">
              <w:rPr>
                <w:rFonts w:ascii="Times New Roman" w:eastAsia="Times New Roman" w:hAnsi="Times New Roman" w:cs="Times New Roman"/>
                <w:color w:val="000000" w:themeColor="text1"/>
              </w:rPr>
              <w:t>Right inferior frontal gyrus</w:t>
            </w:r>
          </w:p>
        </w:tc>
      </w:tr>
    </w:tbl>
    <w:p w14:paraId="096E5042" w14:textId="77777777" w:rsidR="00BA5531" w:rsidRPr="00EC44E6" w:rsidRDefault="00BA5531" w:rsidP="00BA5531">
      <w:pPr>
        <w:rPr>
          <w:color w:val="000000" w:themeColor="text1"/>
        </w:rPr>
      </w:pPr>
    </w:p>
    <w:p w14:paraId="6809BC21" w14:textId="77777777" w:rsidR="00BA5531" w:rsidRPr="00EC44E6" w:rsidRDefault="00BA5531" w:rsidP="00BA5531">
      <w:pPr>
        <w:rPr>
          <w:color w:val="000000" w:themeColor="text1"/>
        </w:rPr>
      </w:pPr>
      <w:r w:rsidRPr="00EC44E6">
        <w:rPr>
          <w:color w:val="000000" w:themeColor="text1"/>
        </w:rPr>
        <w:t xml:space="preserve">All results are reported using a cluster-forming threshold of p &lt; .001 and </w:t>
      </w:r>
      <w:proofErr w:type="spellStart"/>
      <w:r w:rsidRPr="00EC44E6">
        <w:rPr>
          <w:color w:val="000000" w:themeColor="text1"/>
        </w:rPr>
        <w:t>thresholded</w:t>
      </w:r>
      <w:proofErr w:type="spellEnd"/>
      <w:r w:rsidRPr="00EC44E6">
        <w:rPr>
          <w:color w:val="000000" w:themeColor="text1"/>
        </w:rPr>
        <w:t xml:space="preserve"> at p &lt; .05 FWE-corrected for false positives using nonparametric correction. </w:t>
      </w:r>
    </w:p>
    <w:p w14:paraId="58833B1E" w14:textId="77777777" w:rsidR="00BC638B" w:rsidRPr="00EC44E6" w:rsidRDefault="00BC638B" w:rsidP="00BA5531">
      <w:pPr>
        <w:rPr>
          <w:color w:val="000000" w:themeColor="text1"/>
        </w:rPr>
      </w:pPr>
    </w:p>
    <w:p w14:paraId="3D7FD4C7" w14:textId="77777777" w:rsidR="00BC638B" w:rsidRPr="00EC44E6" w:rsidRDefault="00BC638B" w:rsidP="00BA5531">
      <w:pPr>
        <w:rPr>
          <w:color w:val="000000" w:themeColor="text1"/>
        </w:rPr>
      </w:pPr>
    </w:p>
    <w:p w14:paraId="6C1298D4" w14:textId="77777777" w:rsidR="00BC638B" w:rsidRPr="00EC44E6" w:rsidRDefault="00BC638B" w:rsidP="00BA5531">
      <w:pPr>
        <w:rPr>
          <w:color w:val="000000" w:themeColor="text1"/>
        </w:rPr>
      </w:pPr>
      <w:r w:rsidRPr="00EC44E6">
        <w:rPr>
          <w:noProof/>
          <w:color w:val="000000" w:themeColor="text1"/>
        </w:rPr>
        <w:lastRenderedPageBreak/>
        <w:drawing>
          <wp:inline distT="0" distB="0" distL="0" distR="0" wp14:anchorId="68B6B029" wp14:editId="43910A15">
            <wp:extent cx="5095875" cy="3114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4.PNG"/>
                    <pic:cNvPicPr/>
                  </pic:nvPicPr>
                  <pic:blipFill rotWithShape="1">
                    <a:blip r:embed="rId7"/>
                    <a:srcRect l="20387" t="6614" b="6878"/>
                    <a:stretch/>
                  </pic:blipFill>
                  <pic:spPr bwMode="auto">
                    <a:xfrm>
                      <a:off x="0" y="0"/>
                      <a:ext cx="5095875" cy="3114675"/>
                    </a:xfrm>
                    <a:prstGeom prst="rect">
                      <a:avLst/>
                    </a:prstGeom>
                    <a:ln>
                      <a:noFill/>
                    </a:ln>
                    <a:extLst>
                      <a:ext uri="{53640926-AAD7-44D8-BBD7-CCE9431645EC}">
                        <a14:shadowObscured xmlns:a14="http://schemas.microsoft.com/office/drawing/2010/main"/>
                      </a:ext>
                    </a:extLst>
                  </pic:spPr>
                </pic:pic>
              </a:graphicData>
            </a:graphic>
          </wp:inline>
        </w:drawing>
      </w:r>
    </w:p>
    <w:p w14:paraId="207DE23F" w14:textId="77777777" w:rsidR="00BC638B" w:rsidRPr="00EC44E6" w:rsidRDefault="00BC638B" w:rsidP="00BA5531">
      <w:pPr>
        <w:rPr>
          <w:color w:val="000000" w:themeColor="text1"/>
        </w:rPr>
      </w:pPr>
      <w:bookmarkStart w:id="0" w:name="_Hlk25312225"/>
      <w:r w:rsidRPr="00EC44E6">
        <w:rPr>
          <w:color w:val="000000" w:themeColor="text1"/>
          <w:u w:val="single"/>
        </w:rPr>
        <w:t>Figure S1:</w:t>
      </w:r>
      <w:r w:rsidRPr="00EC44E6">
        <w:rPr>
          <w:color w:val="000000" w:themeColor="text1"/>
        </w:rPr>
        <w:t xml:space="preserve"> Task performance by group. This figure displays performance as in Figure 1C, broken down by group. </w:t>
      </w:r>
    </w:p>
    <w:p w14:paraId="185D4DA7" w14:textId="77777777" w:rsidR="00865141" w:rsidRPr="00EC44E6" w:rsidRDefault="00865141" w:rsidP="00BA5531">
      <w:pPr>
        <w:rPr>
          <w:color w:val="000000" w:themeColor="text1"/>
        </w:rPr>
      </w:pPr>
    </w:p>
    <w:p w14:paraId="4E78AD13" w14:textId="77777777" w:rsidR="007647DF" w:rsidRPr="00EC44E6" w:rsidRDefault="007647DF" w:rsidP="00BA5531">
      <w:pPr>
        <w:rPr>
          <w:color w:val="000000" w:themeColor="text1"/>
        </w:rPr>
      </w:pPr>
      <w:r w:rsidRPr="00EC44E6">
        <w:rPr>
          <w:noProof/>
          <w:color w:val="000000" w:themeColor="text1"/>
        </w:rPr>
        <w:drawing>
          <wp:inline distT="0" distB="0" distL="0" distR="0" wp14:anchorId="2E3CB03B" wp14:editId="694190C9">
            <wp:extent cx="6858000" cy="36433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5.PNG"/>
                    <pic:cNvPicPr/>
                  </pic:nvPicPr>
                  <pic:blipFill rotWithShape="1">
                    <a:blip r:embed="rId8"/>
                    <a:srcRect t="5555"/>
                    <a:stretch/>
                  </pic:blipFill>
                  <pic:spPr bwMode="auto">
                    <a:xfrm>
                      <a:off x="0" y="0"/>
                      <a:ext cx="6858000" cy="3643313"/>
                    </a:xfrm>
                    <a:prstGeom prst="rect">
                      <a:avLst/>
                    </a:prstGeom>
                    <a:ln>
                      <a:noFill/>
                    </a:ln>
                    <a:extLst>
                      <a:ext uri="{53640926-AAD7-44D8-BBD7-CCE9431645EC}">
                        <a14:shadowObscured xmlns:a14="http://schemas.microsoft.com/office/drawing/2010/main"/>
                      </a:ext>
                    </a:extLst>
                  </pic:spPr>
                </pic:pic>
              </a:graphicData>
            </a:graphic>
          </wp:inline>
        </w:drawing>
      </w:r>
    </w:p>
    <w:p w14:paraId="06948E98" w14:textId="254B4531" w:rsidR="007647DF" w:rsidRPr="00EC44E6" w:rsidRDefault="00865141" w:rsidP="007647DF">
      <w:pPr>
        <w:rPr>
          <w:color w:val="000000" w:themeColor="text1"/>
        </w:rPr>
      </w:pPr>
      <w:r w:rsidRPr="00EC44E6">
        <w:rPr>
          <w:color w:val="000000" w:themeColor="text1"/>
          <w:u w:val="single"/>
        </w:rPr>
        <w:t>Figure S2:</w:t>
      </w:r>
      <w:r w:rsidRPr="00EC44E6">
        <w:rPr>
          <w:color w:val="000000" w:themeColor="text1"/>
        </w:rPr>
        <w:t xml:space="preserve"> </w:t>
      </w:r>
      <w:r w:rsidR="008158AB" w:rsidRPr="00EC44E6">
        <w:rPr>
          <w:color w:val="000000" w:themeColor="text1"/>
        </w:rPr>
        <w:t>Striatal PPI connectivity</w:t>
      </w:r>
      <w:r w:rsidR="007647DF" w:rsidRPr="00EC44E6">
        <w:rPr>
          <w:color w:val="000000" w:themeColor="text1"/>
        </w:rPr>
        <w:t xml:space="preserve"> and moderation</w:t>
      </w:r>
      <w:r w:rsidR="008158AB" w:rsidRPr="00EC44E6">
        <w:rPr>
          <w:color w:val="000000" w:themeColor="text1"/>
        </w:rPr>
        <w:t xml:space="preserve"> by impulsivity. </w:t>
      </w:r>
      <w:r w:rsidR="007647DF" w:rsidRPr="00EC44E6">
        <w:rPr>
          <w:b/>
          <w:color w:val="000000" w:themeColor="text1"/>
        </w:rPr>
        <w:t>A</w:t>
      </w:r>
      <w:r w:rsidR="007647DF" w:rsidRPr="00EC44E6">
        <w:rPr>
          <w:color w:val="000000" w:themeColor="text1"/>
        </w:rPr>
        <w:t>: Right and left striatal value signals by group. Box plots are grouped by patient group and individual dots represent each participant in the group. Values shown are the average beta value for expected value in meta-analytically defined right and left striatum regions of interest. Striatal value signals did not differ by group in either right or left striatum</w:t>
      </w:r>
      <w:r w:rsidR="00A95ACA" w:rsidRPr="00EC44E6">
        <w:rPr>
          <w:color w:val="000000" w:themeColor="text1"/>
        </w:rPr>
        <w:t xml:space="preserve"> (right striatum: all </w:t>
      </w:r>
      <w:proofErr w:type="spellStart"/>
      <w:r w:rsidR="00A95ACA" w:rsidRPr="00EC44E6">
        <w:rPr>
          <w:color w:val="000000" w:themeColor="text1"/>
        </w:rPr>
        <w:t>ts</w:t>
      </w:r>
      <w:proofErr w:type="spellEnd"/>
      <w:r w:rsidR="00A95ACA" w:rsidRPr="00EC44E6">
        <w:rPr>
          <w:color w:val="000000" w:themeColor="text1"/>
        </w:rPr>
        <w:t xml:space="preserve"> &lt; 1.0, </w:t>
      </w:r>
      <w:proofErr w:type="spellStart"/>
      <w:r w:rsidR="00A95ACA" w:rsidRPr="00EC44E6">
        <w:rPr>
          <w:color w:val="000000" w:themeColor="text1"/>
        </w:rPr>
        <w:t>ps</w:t>
      </w:r>
      <w:proofErr w:type="spellEnd"/>
      <w:r w:rsidR="00A95ACA" w:rsidRPr="00EC44E6">
        <w:rPr>
          <w:color w:val="000000" w:themeColor="text1"/>
        </w:rPr>
        <w:t xml:space="preserve"> &gt; 0.5; F</w:t>
      </w:r>
      <w:r w:rsidR="00A95ACA" w:rsidRPr="00EC44E6">
        <w:rPr>
          <w:color w:val="000000" w:themeColor="text1"/>
          <w:vertAlign w:val="subscript"/>
        </w:rPr>
        <w:t>3,112</w:t>
      </w:r>
      <w:r w:rsidR="00A95ACA" w:rsidRPr="00EC44E6">
        <w:rPr>
          <w:color w:val="000000" w:themeColor="text1"/>
        </w:rPr>
        <w:t xml:space="preserve"> = 0.117, p &gt; .9; </w:t>
      </w:r>
      <w:r w:rsidR="00A95ACA" w:rsidRPr="00EC44E6">
        <w:rPr>
          <w:color w:val="000000" w:themeColor="text1"/>
        </w:rPr>
        <w:lastRenderedPageBreak/>
        <w:t xml:space="preserve">left striatum: all </w:t>
      </w:r>
      <w:proofErr w:type="spellStart"/>
      <w:r w:rsidR="00A95ACA" w:rsidRPr="00EC44E6">
        <w:rPr>
          <w:color w:val="000000" w:themeColor="text1"/>
        </w:rPr>
        <w:t>ts</w:t>
      </w:r>
      <w:proofErr w:type="spellEnd"/>
      <w:r w:rsidR="00A95ACA" w:rsidRPr="00EC44E6">
        <w:rPr>
          <w:color w:val="000000" w:themeColor="text1"/>
        </w:rPr>
        <w:t xml:space="preserve"> &lt; 1.0, </w:t>
      </w:r>
      <w:proofErr w:type="spellStart"/>
      <w:r w:rsidR="00A95ACA" w:rsidRPr="00EC44E6">
        <w:rPr>
          <w:color w:val="000000" w:themeColor="text1"/>
        </w:rPr>
        <w:t>ps</w:t>
      </w:r>
      <w:proofErr w:type="spellEnd"/>
      <w:r w:rsidR="00A95ACA" w:rsidRPr="00EC44E6">
        <w:rPr>
          <w:color w:val="000000" w:themeColor="text1"/>
        </w:rPr>
        <w:t xml:space="preserve"> &gt; 0.5; F- F</w:t>
      </w:r>
      <w:r w:rsidR="00A95ACA" w:rsidRPr="00EC44E6">
        <w:rPr>
          <w:color w:val="000000" w:themeColor="text1"/>
          <w:vertAlign w:val="subscript"/>
        </w:rPr>
        <w:t>3,112</w:t>
      </w:r>
      <w:r w:rsidR="00A95ACA" w:rsidRPr="00EC44E6">
        <w:rPr>
          <w:color w:val="000000" w:themeColor="text1"/>
        </w:rPr>
        <w:t xml:space="preserve"> = 0.123, p &gt; 0.9). </w:t>
      </w:r>
      <w:r w:rsidR="007647DF" w:rsidRPr="00EC44E6">
        <w:rPr>
          <w:color w:val="000000" w:themeColor="text1"/>
        </w:rPr>
        <w:t xml:space="preserve"> </w:t>
      </w:r>
      <w:r w:rsidR="007647DF" w:rsidRPr="00EC44E6">
        <w:rPr>
          <w:b/>
          <w:color w:val="000000" w:themeColor="text1"/>
        </w:rPr>
        <w:t>B</w:t>
      </w:r>
      <w:r w:rsidR="007647DF" w:rsidRPr="00EC44E6">
        <w:rPr>
          <w:color w:val="000000" w:themeColor="text1"/>
        </w:rPr>
        <w:t xml:space="preserve">: Striatal connectivity with value and moderated by impulsivity in nonpsychiatric controls. In controls, striatal signal at time of feedback was significantly correlated with activity in cortical and subcortical brain areas (left); but was not significantly moderated by impulsivity (right; results are shown at a lenient threshold but do not survive correction). </w:t>
      </w:r>
      <w:r w:rsidR="007647DF" w:rsidRPr="00EC44E6">
        <w:rPr>
          <w:b/>
          <w:color w:val="000000" w:themeColor="text1"/>
        </w:rPr>
        <w:t>C:</w:t>
      </w:r>
      <w:r w:rsidR="007647DF" w:rsidRPr="00EC44E6">
        <w:rPr>
          <w:color w:val="000000" w:themeColor="text1"/>
        </w:rPr>
        <w:t xml:space="preserve"> Moderation of relationship between impulsivity-moderated connectivity with striatum by group. X axis represents impulsivity scores (UPPS Negative Urgency) and Y axis represents connectivity between striatum and region of interest showing altered connectivity with impulsivity in non-psychiatric controls (mask derived from regions shown in Figure 2B at a lenient threshold of t &gt; 2.0). Dots indicate individual participants and lines indicate overall relationship per group; colors indicate patient groups and line types indicate right vs. left striatum seeds. Groups do not significantly differ in modulation of connectivity by impulsivity.  </w:t>
      </w:r>
    </w:p>
    <w:p w14:paraId="0C2F04C9" w14:textId="77777777" w:rsidR="00865141" w:rsidRPr="00EC44E6" w:rsidRDefault="00865141" w:rsidP="00BA5531">
      <w:pPr>
        <w:rPr>
          <w:color w:val="000000" w:themeColor="text1"/>
        </w:rPr>
      </w:pPr>
    </w:p>
    <w:bookmarkEnd w:id="0"/>
    <w:p w14:paraId="02D742E7" w14:textId="77777777" w:rsidR="00BA5531" w:rsidRPr="00EC44E6" w:rsidRDefault="00BA5531" w:rsidP="00BA5531">
      <w:pPr>
        <w:rPr>
          <w:color w:val="000000" w:themeColor="text1"/>
        </w:rPr>
      </w:pPr>
    </w:p>
    <w:p w14:paraId="172E4E05" w14:textId="77777777" w:rsidR="00BA5531" w:rsidRPr="00EC44E6" w:rsidRDefault="00BA5531" w:rsidP="00BA5531">
      <w:pPr>
        <w:rPr>
          <w:color w:val="000000" w:themeColor="text1"/>
        </w:rPr>
      </w:pPr>
    </w:p>
    <w:p w14:paraId="6673CED6" w14:textId="77777777" w:rsidR="00BA5531" w:rsidRPr="00EC44E6" w:rsidRDefault="00BA5531" w:rsidP="00BA5531">
      <w:pPr>
        <w:rPr>
          <w:color w:val="000000" w:themeColor="text1"/>
          <w:u w:val="single"/>
        </w:rPr>
      </w:pPr>
      <w:r w:rsidRPr="00EC44E6">
        <w:rPr>
          <w:color w:val="000000" w:themeColor="text1"/>
          <w:u w:val="single"/>
        </w:rPr>
        <w:t>Supplementary text</w:t>
      </w:r>
    </w:p>
    <w:p w14:paraId="03D2E15B" w14:textId="77777777" w:rsidR="00865141" w:rsidRPr="00EC44E6" w:rsidRDefault="00865141" w:rsidP="00BA5531">
      <w:pPr>
        <w:rPr>
          <w:color w:val="000000" w:themeColor="text1"/>
          <w:u w:val="single"/>
        </w:rPr>
      </w:pPr>
    </w:p>
    <w:p w14:paraId="4C1C0BF7" w14:textId="77777777" w:rsidR="00865141" w:rsidRPr="00EC44E6" w:rsidRDefault="00865141" w:rsidP="00BA5531">
      <w:pPr>
        <w:rPr>
          <w:color w:val="000000" w:themeColor="text1"/>
          <w:u w:val="single"/>
        </w:rPr>
      </w:pPr>
      <w:r w:rsidRPr="00EC44E6">
        <w:rPr>
          <w:color w:val="000000" w:themeColor="text1"/>
          <w:u w:val="single"/>
        </w:rPr>
        <w:t xml:space="preserve">Participant inclusion/exclusion details. </w:t>
      </w:r>
    </w:p>
    <w:p w14:paraId="6B03ED80" w14:textId="77777777" w:rsidR="00865141" w:rsidRPr="00EC44E6" w:rsidRDefault="00865141" w:rsidP="00BA5531">
      <w:pPr>
        <w:rPr>
          <w:color w:val="000000" w:themeColor="text1"/>
        </w:rPr>
      </w:pPr>
    </w:p>
    <w:p w14:paraId="10BB417D" w14:textId="688A6ACE" w:rsidR="00865141" w:rsidRPr="00EC44E6" w:rsidRDefault="00865141" w:rsidP="00BA5531">
      <w:pPr>
        <w:rPr>
          <w:rFonts w:ascii="Cambria" w:hAnsi="Cambria" w:cs="Times New Roman"/>
          <w:color w:val="000000" w:themeColor="text1"/>
        </w:rPr>
      </w:pPr>
      <w:r w:rsidRPr="00EC44E6">
        <w:rPr>
          <w:rFonts w:ascii="Cambria" w:hAnsi="Cambria"/>
          <w:color w:val="000000" w:themeColor="text1"/>
        </w:rPr>
        <w:t xml:space="preserve">Exclusion criteria for all participants included: clinical dementia, as indicated by a diagnosis or score &lt; 24 on the Mini-Mental State Examination </w:t>
      </w:r>
      <w:r w:rsidRPr="00EC44E6">
        <w:rPr>
          <w:rFonts w:ascii="Cambria" w:hAnsi="Cambria"/>
          <w:color w:val="000000" w:themeColor="text1"/>
        </w:rPr>
        <w:fldChar w:fldCharType="begin" w:fldLock="1"/>
      </w:r>
      <w:r w:rsidR="00A43E00" w:rsidRPr="00EC44E6">
        <w:rPr>
          <w:rFonts w:ascii="Cambria" w:hAnsi="Cambria"/>
          <w:color w:val="000000" w:themeColor="text1"/>
        </w:rPr>
        <w:instrText>ADDIN CSL_CITATION {"citationID":"ezn3zpJN","citationItems":[{"id":"ITEM-1","itemData":{"author":[{"dropping-particle":"","family":"Folstein","given":"Marshal F","non-dropping-particle":"","parse-names":false,"suffix":""},{"dropping-particle":"","family":"Robins","given":"Lee N","non-dropping-particle":"","parse-names":false,"suffix":""},{"dropping-particle":"","family":"Helzer","given":"John E","non-dropping-particle":"","parse-names":false,"suffix":""}],"container-title":"Archives of General Psychiatry","id":"ITEM-1","issued":{"date-parts":[["1983"]]},"page":"812","title":"The Mini-Mental State Examination","type":"article-journal","volume":"40"},"uri":["http://www.mendeley.com/documents/?uuid=7fea708b-1a81-43fa-8321-1c0d146dc1ed"],"uris":["http://www.mendeley.com/documents/?uuid=7fea708b-1a81-43fa-8321-1c0d146dc1ed"]}],"mendeley":{"formattedCitation":"&lt;span style=\"baseline\"&gt;[1]&lt;/span&gt;","plainTextFormattedCitation":"[1]","previouslyFormattedCitation":"&lt;span style=\"baseline\"&gt;[1]&lt;/span&gt;"},"properties":{"formattedCitation":"(Folstein et al., 1983)","noteIndex":0,"plainCitation":"(Folstein et al., 1983)"},"schema":"https://github.com/citation-style-language/schema/raw/master/csl-citation.json"}</w:instrText>
      </w:r>
      <w:r w:rsidRPr="00EC44E6">
        <w:rPr>
          <w:rFonts w:ascii="Cambria" w:hAnsi="Cambria"/>
          <w:color w:val="000000" w:themeColor="text1"/>
        </w:rPr>
        <w:fldChar w:fldCharType="separate"/>
      </w:r>
      <w:r w:rsidR="00A43E00" w:rsidRPr="00EC44E6">
        <w:rPr>
          <w:rFonts w:ascii="Cambria" w:hAnsi="Cambria"/>
          <w:noProof/>
          <w:color w:val="000000" w:themeColor="text1"/>
        </w:rPr>
        <w:t>[1]</w:t>
      </w:r>
      <w:r w:rsidRPr="00EC44E6">
        <w:rPr>
          <w:rFonts w:ascii="Cambria" w:hAnsi="Cambria"/>
          <w:color w:val="000000" w:themeColor="text1"/>
        </w:rPr>
        <w:fldChar w:fldCharType="end"/>
      </w:r>
      <w:r w:rsidRPr="00EC44E6">
        <w:rPr>
          <w:rFonts w:ascii="Cambria" w:hAnsi="Cambria"/>
          <w:color w:val="000000" w:themeColor="text1"/>
        </w:rPr>
        <w:t xml:space="preserve">, inability to perform a learning task, as indicated by </w:t>
      </w:r>
      <w:r w:rsidRPr="00EC44E6">
        <w:rPr>
          <w:rFonts w:ascii="Cambria" w:hAnsi="Cambria" w:cs="Times New Roman"/>
          <w:color w:val="000000" w:themeColor="text1"/>
        </w:rPr>
        <w:t>a history of neurological disorder, delirium, or sensory disorder, and inability to undergo MR scanning, as indicated by the presence of ferrous metal, use of a pacemaker, or claustrophobia or other issues tolerating the scanning environment.</w:t>
      </w:r>
    </w:p>
    <w:p w14:paraId="7ACC00CB" w14:textId="77777777" w:rsidR="00865141" w:rsidRPr="00EC44E6" w:rsidRDefault="00865141" w:rsidP="00BA5531">
      <w:pPr>
        <w:rPr>
          <w:color w:val="000000" w:themeColor="text1"/>
        </w:rPr>
      </w:pPr>
    </w:p>
    <w:p w14:paraId="7F476846" w14:textId="2FE7B9BD" w:rsidR="00865141" w:rsidRPr="00EC44E6" w:rsidRDefault="00865141" w:rsidP="00865141">
      <w:pPr>
        <w:widowControl w:val="0"/>
        <w:autoSpaceDE w:val="0"/>
        <w:autoSpaceDN w:val="0"/>
        <w:adjustRightInd w:val="0"/>
        <w:rPr>
          <w:rFonts w:ascii="Cambria" w:hAnsi="Cambria" w:cs="Times New Roman"/>
          <w:color w:val="000000" w:themeColor="text1"/>
        </w:rPr>
      </w:pPr>
      <w:r w:rsidRPr="00EC44E6">
        <w:rPr>
          <w:color w:val="000000" w:themeColor="text1"/>
        </w:rPr>
        <w:t xml:space="preserve">For participants with a history of suicide attempts, </w:t>
      </w:r>
      <w:r w:rsidRPr="00EC44E6">
        <w:rPr>
          <w:rFonts w:ascii="Cambria" w:hAnsi="Cambria" w:cs="Times New Roman"/>
          <w:color w:val="000000" w:themeColor="text1"/>
        </w:rPr>
        <w:t xml:space="preserve">suicide attempt history was verified by a psychiatrist (AYD or KS) using all available information: the participant’s report, medical records, and information from the treatment team, family, and friends. If significant discrepancies existed between sources, the participant was excluded. There was no relationship between the length of time since the most recent attempt and current ideation (r = 0.068, p &gt; 0.1). </w:t>
      </w:r>
      <w:bookmarkStart w:id="1" w:name="_Hlk25489798"/>
      <w:r w:rsidR="00C46258" w:rsidRPr="00EC44E6">
        <w:rPr>
          <w:rFonts w:ascii="Cambria" w:hAnsi="Cambria" w:cs="Times New Roman"/>
          <w:color w:val="000000" w:themeColor="text1"/>
        </w:rPr>
        <w:t>Twelve participants (seven non-psychiatric controls, three depressed controls, and two attempters) had also participated in our previous study on value-based decision-making in suicide</w:t>
      </w:r>
      <w:r w:rsidR="00A43E00" w:rsidRPr="00EC44E6">
        <w:rPr>
          <w:rFonts w:ascii="Cambria" w:hAnsi="Cambria" w:cs="Times New Roman"/>
          <w:color w:val="000000" w:themeColor="text1"/>
        </w:rPr>
        <w:t xml:space="preserve"> </w:t>
      </w:r>
      <w:r w:rsidR="00A43E00" w:rsidRPr="00EC44E6">
        <w:rPr>
          <w:rFonts w:ascii="Cambria" w:hAnsi="Cambria" w:cs="Times New Roman"/>
          <w:color w:val="000000" w:themeColor="text1"/>
        </w:rPr>
        <w:fldChar w:fldCharType="begin" w:fldLock="1"/>
      </w:r>
      <w:r w:rsidR="00570D8E" w:rsidRPr="00EC44E6">
        <w:rPr>
          <w:rFonts w:ascii="Cambria" w:hAnsi="Cambria" w:cs="Times New Roman"/>
          <w:color w:val="000000" w:themeColor="text1"/>
        </w:rPr>
        <w:instrText>ADDIN CSL_CITATION {"citationItems":[{"id":"ITEM-1","itemData":{"DOI":"10.1001/jamapsychiatry.2013.75","ISSN":"2168-6238","PMID":"23925710","abstract":"IMPORTANCE Suicide can be viewed as an escape from unendurable punishment at the cost of any future rewards. Could faulty estimation of these outcomes predispose to suicidal behavior? In behavioral studies, many of those who have attempted suicide misestimate expected rewards on gambling and probabilistic learning tasks. OBJECTIVES To describe the neural circuit abnormalities that underlie disadvantageous choices in people at risk for suicide and to relate these abnormalities to impulsivity, which is one of the components of vulnerability to suicide. DESIGN Case-control functional magnetic resonance imaging study of reward learning using a reinforcement learning model. SETTING University hospital and outpatient clinic. PATIENTS Fifty-three participants 60 years or older, including 15 depressed patients who had attempted suicide, 18 depressed patients who had never attempted suicide (depressed control subjects), and 20 psychiatrically healthy controls. MAIN OUTCOMES AND MEASURES Components of the cortical blood oxygenation level-dependent response tracking expected and unpredicted rewards. RESULTS Depressed elderly participants displayed 2 distinct disruptions of control over reward-guided behavior. First, impulsivity and a history of suicide attempts (particularly poorly planned ones) were associated with a weakened expected reward signal in the paralimbic cortex, which in turn predicted the behavioral insensitivity to contingency change. Second, depression was associated with disrupted corticostriatothalamic encoding of unpredicted rewards, which in turn predicted the behavioral oversensitivity to punishment. These results were robust to the effects of possible brain damage from suicide attempts, depressive severity, co-occurring substance use and anxiety disorders, antidepressant and anticholinergic exposure, lifetime exposure to electroconvulsive therapy, vascular illness, and incipient dementia. CONCLUSIONS AND RELEVANCE Altered paralimbic reward signals and impulsivity and/or carelessness may facilitate unplanned suicidal acts. This pattern, also seen in gambling and cocaine use, may reflect a primary deficit in the paralimbic cortex or in its mesolimbic input. The overreactivity to punishment in depression may be caused in part by a disruption of appetitive learning in the corticostriatothalamic circuits.","author":[{"dropping-particle":"","family":"Dombrovski","given":"Alexandre Y","non-dropping-particle":"","parse-names":false,"suffix":""},{"dropping-particle":"","family":"Szanto","given":"Katalin","non-dropping-particle":"","parse-names":false,"suffix":""},{"dropping-particle":"","family":"Clark","given":"Luke","non-dropping-particle":"","parse-names":false,"suffix":""},{"dropping-particle":"","family":"Reynolds","given":"Charles F","non-dropping-particle":"","parse-names":false,"suffix":""},{"dropping-particle":"","family":"Siegle","given":"Greg J","non-dropping-particle":"","parse-names":false,"suffix":""}],"container-title":"JAMA Psychiatry","id":"ITEM-1","issued":{"date-parts":[["2013","8","7"]]},"note":"From Duplicate 2 (Reward signals, attempted suicide, and impulsivity in late-life depression. - Dombrovski, Alexandre Y; Szanto, Katalin; Clark, Luke; Reynolds, Charles F; Siegle, Greg J)\n\nFrom Duplicate 1 (Reward signals, attempted suicide, and impulsivity in late-life depression. - Dombrovski, Alexandre Y; Szanto, Katalin; Clark, Luke; Reynolds, Charles F; Siegle, Greg J)\n\nFrom Duplicate 2 ( \n\nReward signals, attempted suicide, and impulsivity in late-life depression.\n\n- Dombrovski, Alexandre Y; Szanto, Katalin; Clark, Luke; Reynolds, Charles F; Siegle, Greg J )\n\n\n\n\nFrom Duplicate 2 ( \n\n\nReward signals, attempted suicide, and impulsivity in late-life depression.\n\n\n- Dombrovski, Alexandre Y; Szanto, Katalin; Clark, Luke; Reynolds, Charles F; Siegle, Greg J )\n\n\n\nFrom Duplicate 2 (Reward signals, attempted suicide, and impulsivity in late-life depression. - Dombrovski, Alexandre Y; Szanto, Katalin; Clark, Luke; Reynolds, Charles F; Siegle, Greg J)\n\nFrom Duplicate 2 (Reward signals, attempted suicide, and impulsivity in late-life depression. - Dombrovski, Alexandre Y; Szanto, Katalin; Clark, Luke; Reynolds, Charles F; Siegle, Greg J)\n\nFrom Duplicate 1 ( \n\n\nReward signals, attempted suicide, and impulsivity in late-life depression.\n\n\n- Dombrovski, Alexandre Y; Szanto, Katalin; Clark, Luke; Reynolds, Charles F; Siegle, Greg J )\n\n\n\n\nFrom Duplicate 2 ( \n\n\nReward signals, attempted suicide, and impulsivity in late-life depression.\n\n\n- Dombrovski, Alexandre Y; Szanto, Katalin; Clark, Luke; Reynolds, Charles F; Siegle, Greg J )\n\n\n\n\nFrom Duplicate 2 ( \n\n\nReward signals, attempted suicide, and impulsivity in late-life depression.\n\n\n- Dombrovski, Alexandre Y; Szanto, Katalin; Clark, Luke; Reynolds, Charles F; Siegle, Greg J )\n\n","title":"Reward signals, attempted suicide, and impulsivity in late-life depression.","type":"article-journal","volume":"15213"},"uris":["http://www.mendeley.com/documents/?uuid=2494f12b-587b-491b-89a3-5f92813cc069"]}],"mendeley":{"formattedCitation":"&lt;span style=\"baseline\"&gt;[2]&lt;/span&gt;","plainTextFormattedCitation":"[2]","previouslyFormattedCitation":"&lt;span style=\"baseline\"&gt;[2]&lt;/span&gt;"},"properties":{"noteIndex":0},"schema":"https://github.com/citation-style-language/schema/raw/master/csl-citation.json"}</w:instrText>
      </w:r>
      <w:r w:rsidR="00A43E00" w:rsidRPr="00EC44E6">
        <w:rPr>
          <w:rFonts w:ascii="Cambria" w:hAnsi="Cambria" w:cs="Times New Roman"/>
          <w:color w:val="000000" w:themeColor="text1"/>
        </w:rPr>
        <w:fldChar w:fldCharType="separate"/>
      </w:r>
      <w:r w:rsidR="00A43E00" w:rsidRPr="00EC44E6">
        <w:rPr>
          <w:rFonts w:ascii="Cambria" w:hAnsi="Cambria" w:cs="Times New Roman"/>
          <w:noProof/>
          <w:color w:val="000000" w:themeColor="text1"/>
        </w:rPr>
        <w:t>[2]</w:t>
      </w:r>
      <w:r w:rsidR="00A43E00" w:rsidRPr="00EC44E6">
        <w:rPr>
          <w:rFonts w:ascii="Cambria" w:hAnsi="Cambria" w:cs="Times New Roman"/>
          <w:color w:val="000000" w:themeColor="text1"/>
        </w:rPr>
        <w:fldChar w:fldCharType="end"/>
      </w:r>
      <w:r w:rsidR="00AC719A" w:rsidRPr="00EC44E6">
        <w:rPr>
          <w:rFonts w:ascii="Cambria" w:hAnsi="Cambria" w:cs="Times New Roman"/>
          <w:color w:val="000000" w:themeColor="text1"/>
        </w:rPr>
        <w:t>; excluding these participants did not meaningfully change results</w:t>
      </w:r>
      <w:r w:rsidR="00C46258" w:rsidRPr="00EC44E6">
        <w:rPr>
          <w:rFonts w:ascii="Cambria" w:hAnsi="Cambria" w:cs="Times New Roman"/>
          <w:color w:val="000000" w:themeColor="text1"/>
        </w:rPr>
        <w:t xml:space="preserve">. </w:t>
      </w:r>
      <w:bookmarkEnd w:id="1"/>
      <w:r w:rsidRPr="00EC44E6">
        <w:rPr>
          <w:rFonts w:ascii="Cambria" w:hAnsi="Cambria" w:cs="Times New Roman"/>
          <w:color w:val="000000" w:themeColor="text1"/>
        </w:rPr>
        <w:t>No participants had documented brain damage from suicide attempts, but as medical record review could not rule out brain damage in 3/35 attempters, sensitivity analyses excluded these participants</w:t>
      </w:r>
      <w:bookmarkStart w:id="2" w:name="_Hlk25496284"/>
      <w:r w:rsidRPr="00EC44E6">
        <w:rPr>
          <w:rFonts w:ascii="Cambria" w:hAnsi="Cambria" w:cs="Times New Roman"/>
          <w:color w:val="000000" w:themeColor="text1"/>
        </w:rPr>
        <w:t xml:space="preserve">. Additional sensitivity analyses excluded participants taking antipsychotic medications or with current or lifetime substance abuse and assessed effects of lethality of attempts, early versus late onset of suicidal behavior (defined as first attempt before versus after age 50), length of time since the last reported attempt, number of attempts, and time between baseline and scanning assessments. </w:t>
      </w:r>
    </w:p>
    <w:p w14:paraId="7178416F" w14:textId="77777777" w:rsidR="00872AC7" w:rsidRPr="00EC44E6" w:rsidRDefault="00872AC7" w:rsidP="00865141">
      <w:pPr>
        <w:widowControl w:val="0"/>
        <w:autoSpaceDE w:val="0"/>
        <w:autoSpaceDN w:val="0"/>
        <w:adjustRightInd w:val="0"/>
        <w:rPr>
          <w:rFonts w:ascii="Cambria" w:hAnsi="Cambria" w:cs="Times New Roman"/>
          <w:color w:val="000000" w:themeColor="text1"/>
        </w:rPr>
      </w:pPr>
    </w:p>
    <w:bookmarkEnd w:id="2"/>
    <w:p w14:paraId="2D7330D8" w14:textId="77777777" w:rsidR="00872AC7" w:rsidRPr="00EC44E6" w:rsidRDefault="00872AC7" w:rsidP="00865141">
      <w:pPr>
        <w:widowControl w:val="0"/>
        <w:autoSpaceDE w:val="0"/>
        <w:autoSpaceDN w:val="0"/>
        <w:adjustRightInd w:val="0"/>
        <w:rPr>
          <w:rFonts w:ascii="Cambria" w:hAnsi="Cambria" w:cs="Times New Roman"/>
          <w:color w:val="000000" w:themeColor="text1"/>
          <w:u w:val="single"/>
        </w:rPr>
      </w:pPr>
      <w:r w:rsidRPr="00EC44E6">
        <w:rPr>
          <w:rFonts w:ascii="Cambria" w:hAnsi="Cambria" w:cs="Times New Roman"/>
          <w:color w:val="000000" w:themeColor="text1"/>
          <w:u w:val="single"/>
        </w:rPr>
        <w:t xml:space="preserve">Measures used in sensitivity analyses. </w:t>
      </w:r>
    </w:p>
    <w:p w14:paraId="37258923" w14:textId="77777777" w:rsidR="00872AC7" w:rsidRPr="00EC44E6" w:rsidRDefault="00872AC7" w:rsidP="00865141">
      <w:pPr>
        <w:widowControl w:val="0"/>
        <w:autoSpaceDE w:val="0"/>
        <w:autoSpaceDN w:val="0"/>
        <w:adjustRightInd w:val="0"/>
        <w:rPr>
          <w:rFonts w:ascii="Cambria" w:hAnsi="Cambria" w:cs="Times New Roman"/>
          <w:color w:val="000000" w:themeColor="text1"/>
          <w:u w:val="single"/>
        </w:rPr>
      </w:pPr>
    </w:p>
    <w:p w14:paraId="360AE62C" w14:textId="32BDEBF5" w:rsidR="00872AC7" w:rsidRPr="00EC44E6" w:rsidRDefault="00872AC7" w:rsidP="00865141">
      <w:pPr>
        <w:widowControl w:val="0"/>
        <w:autoSpaceDE w:val="0"/>
        <w:autoSpaceDN w:val="0"/>
        <w:adjustRightInd w:val="0"/>
        <w:rPr>
          <w:rFonts w:ascii="Cambria" w:hAnsi="Cambria" w:cs="Times New Roman"/>
          <w:color w:val="000000" w:themeColor="text1"/>
        </w:rPr>
      </w:pPr>
      <w:r w:rsidRPr="00EC44E6">
        <w:rPr>
          <w:rFonts w:ascii="Cambria" w:hAnsi="Cambria" w:cs="Times New Roman"/>
          <w:color w:val="000000" w:themeColor="text1"/>
        </w:rPr>
        <w:t xml:space="preserve">The medical seriousness of attempts was assessed using the Beck Lethality Scale (BLS; </w:t>
      </w:r>
      <w:r w:rsidRPr="00EC44E6">
        <w:rPr>
          <w:rFonts w:ascii="Cambria" w:hAnsi="Cambria" w:cs="Times New Roman"/>
          <w:color w:val="000000" w:themeColor="text1"/>
        </w:rPr>
        <w:fldChar w:fldCharType="begin" w:fldLock="1"/>
      </w:r>
      <w:r w:rsidR="00570D8E" w:rsidRPr="00EC44E6">
        <w:rPr>
          <w:rFonts w:ascii="Cambria" w:hAnsi="Cambria" w:cs="Times New Roman"/>
          <w:color w:val="000000" w:themeColor="text1"/>
        </w:rPr>
        <w:instrText>ADDIN CSL_CITATION {"citationID":"8lNCyHCm","citationItems":[{"id":"ITEM-1","itemData":{"author":[{"dropping-particle":"","family":"Beck","given":"Aaron T","non-dropping-particle":"","parse-names":false,"suffix":""},{"dropping-particle":"","family":"Beck","given":"Roy","non-dropping-particle":"","parse-names":false,"suffix":""},{"dropping-particle":"","family":"Kovacs","given":"Maria","non-dropping-particle":"","parse-names":false,"suffix":""}],"container-title":"American Journal of Psychiatry","id":"ITEM-1","issue":"3","issued":{"date-parts":[["1975"]]},"page":"285-287","title":"Classification of suicidal behaviors: I. Quantifying intent and medical lethality","type":"article-journal","volume":"132"},"uri":["http://www.mendeley.com/documents/?uuid=d3935b22-f8b3-4b98-9638-1676c4e1841f"],"uris":["http://www.mendeley.com/documents/?uuid=d3935b22-f8b3-4b98-9638-1676c4e1841f"]}],"mendeley":{"formattedCitation":"&lt;span style=\"baseline\"&gt;[3]&lt;/span&gt;","plainTextFormattedCitation":"[3]","previouslyFormattedCitation":"&lt;span style=\"baseline\"&gt;[3]&lt;/span&gt;"},"properties":{"formattedCitation":"(Beck et al., 1975)","noteIndex":0,"plainCitation":"(Beck et al., 1975)"},"schema":"https://github.com/citation-style-language/schema/raw/master/csl-citation.json"}</w:instrText>
      </w:r>
      <w:r w:rsidRPr="00EC44E6">
        <w:rPr>
          <w:rFonts w:ascii="Cambria" w:hAnsi="Cambria" w:cs="Times New Roman"/>
          <w:color w:val="000000" w:themeColor="text1"/>
        </w:rPr>
        <w:fldChar w:fldCharType="separate"/>
      </w:r>
      <w:r w:rsidR="00A43E00" w:rsidRPr="00EC44E6">
        <w:rPr>
          <w:rFonts w:ascii="Cambria" w:hAnsi="Cambria" w:cs="Times New Roman"/>
          <w:noProof/>
          <w:color w:val="000000" w:themeColor="text1"/>
        </w:rPr>
        <w:t>[3]</w:t>
      </w:r>
      <w:r w:rsidRPr="00EC44E6">
        <w:rPr>
          <w:rFonts w:ascii="Cambria" w:hAnsi="Cambria" w:cs="Times New Roman"/>
          <w:color w:val="000000" w:themeColor="text1"/>
        </w:rPr>
        <w:fldChar w:fldCharType="end"/>
      </w:r>
      <w:r w:rsidRPr="00EC44E6">
        <w:rPr>
          <w:rFonts w:ascii="Cambria" w:hAnsi="Cambria" w:cs="Times New Roman"/>
          <w:color w:val="000000" w:themeColor="text1"/>
        </w:rPr>
        <w:t xml:space="preserve">); for participants with multiple attempts, data for the highest-lethality attempt were used. Eight of 35 included participants with a history of suicide attempts had at least one high-lethality attempt (BLS score ≥ 4), with high-lethality attempts resulting in coma, need for resuscitation, unstable vital signs, penetrating wounds of abdomen or chest, third-degree burns, or major bleeding. </w:t>
      </w:r>
      <w:r w:rsidRPr="00EC44E6">
        <w:rPr>
          <w:rFonts w:ascii="Cambria" w:hAnsi="Cambria" w:cs="Times New Roman"/>
          <w:color w:val="000000" w:themeColor="text1"/>
        </w:rPr>
        <w:lastRenderedPageBreak/>
        <w:t xml:space="preserve">Dementia severity was assessed with the Mattis Dementia Rating Scale </w:t>
      </w:r>
      <w:r w:rsidRPr="00EC44E6">
        <w:rPr>
          <w:rFonts w:ascii="Cambria" w:hAnsi="Cambria" w:cs="Times New Roman"/>
          <w:color w:val="000000" w:themeColor="text1"/>
        </w:rPr>
        <w:fldChar w:fldCharType="begin" w:fldLock="1"/>
      </w:r>
      <w:r w:rsidR="00570D8E" w:rsidRPr="00EC44E6">
        <w:rPr>
          <w:rFonts w:ascii="Cambria" w:hAnsi="Cambria" w:cs="Times New Roman"/>
          <w:color w:val="000000" w:themeColor="text1"/>
        </w:rPr>
        <w:instrText>ADDIN CSL_CITATION {"citationID":"jwYeKP8u","citationItems":[{"id":"ITEM-1","itemData":{"author":[{"dropping-particle":"","family":"Mattis","given":"S","non-dropping-particle":"","parse-names":false,"suffix":""}],"id":"ITEM-1","issued":{"date-parts":[["1988"]]},"publisher":"Psychological Assessment Resources","publisher-place":"Odessa, FL","title":"Dementia Rating Scale (DRS)","type":"book"},"uri":["http://www.mendeley.com/documents/?uuid=cdc885c1-dc02-4f63-ae6b-c856a22da52a"],"uris":["http://www.mendeley.com/documents/?uuid=cdc885c1-dc02-4f63-ae6b-c856a22da52a"]}],"mendeley":{"formattedCitation":"&lt;span style=\"baseline\"&gt;[4]&lt;/span&gt;","plainTextFormattedCitation":"[4]","previouslyFormattedCitation":"&lt;span style=\"baseline\"&gt;[4]&lt;/span&gt;"},"properties":{"formattedCitation":"(Mattis, n.d.)","noteIndex":0,"plainCitation":"(Mattis, n.d.)"},"schema":"https://github.com/citation-style-language/schema/raw/master/csl-citation.json"}</w:instrText>
      </w:r>
      <w:r w:rsidRPr="00EC44E6">
        <w:rPr>
          <w:rFonts w:ascii="Cambria" w:hAnsi="Cambria" w:cs="Times New Roman"/>
          <w:color w:val="000000" w:themeColor="text1"/>
        </w:rPr>
        <w:fldChar w:fldCharType="separate"/>
      </w:r>
      <w:r w:rsidR="00A43E00" w:rsidRPr="00EC44E6">
        <w:rPr>
          <w:rFonts w:ascii="Cambria" w:hAnsi="Cambria" w:cs="Times New Roman"/>
          <w:noProof/>
          <w:color w:val="000000" w:themeColor="text1"/>
        </w:rPr>
        <w:t>[4]</w:t>
      </w:r>
      <w:r w:rsidRPr="00EC44E6">
        <w:rPr>
          <w:rFonts w:ascii="Cambria" w:hAnsi="Cambria" w:cs="Times New Roman"/>
          <w:color w:val="000000" w:themeColor="text1"/>
        </w:rPr>
        <w:fldChar w:fldCharType="end"/>
      </w:r>
      <w:r w:rsidRPr="00EC44E6">
        <w:rPr>
          <w:rFonts w:ascii="Cambria" w:hAnsi="Cambria" w:cs="Times New Roman"/>
          <w:color w:val="000000" w:themeColor="text1"/>
        </w:rPr>
        <w:t xml:space="preserve"> and cognitive control function with the Exit Interview </w:t>
      </w:r>
      <w:r w:rsidRPr="00EC44E6">
        <w:rPr>
          <w:rFonts w:ascii="Cambria" w:hAnsi="Cambria" w:cs="Times New Roman"/>
          <w:color w:val="000000" w:themeColor="text1"/>
        </w:rPr>
        <w:fldChar w:fldCharType="begin" w:fldLock="1"/>
      </w:r>
      <w:r w:rsidR="00570D8E" w:rsidRPr="00EC44E6">
        <w:rPr>
          <w:rFonts w:ascii="Cambria" w:hAnsi="Cambria" w:cs="Times New Roman"/>
          <w:color w:val="000000" w:themeColor="text1"/>
        </w:rPr>
        <w:instrText>ADDIN CSL_CITATION {"citationID":"dXnzMNAU","citationItems":[{"id":"ITEM-1","itemData":{"DOI":"10.1111/j.1532-5415.1992.tb03646.x","ISBN":"0002-8614","ISSN":"15325415","PMID":"1447438","abstract":"Objective: This study is a pilot validation of the Executive Interview (EXIT), a novel instrument designed to assess executive cognitive function (ECF) at the bedside. Design: Inter-rater reliability testing and validation using inter-group comparisons across levels of care and measures of cognition and behavior. Participants: Forty elderly subjects randomly selected across four levels of care. Setting: Settings ranged from independent living apartments to designated Alzheimer's Special Care units in a single 537-bed retirement community. Measurements: The EXIT: a 10-minute, 25-item interview scored from 0-50 (higher scores = greater executive dyscontrol) was administered by a physician. Subjects were also administered the Mini-Mental State Exam (MMSE) and traditional tests of \"frontal\" executive function by a neuropsychologist, and the Nursing Home Behavior Problem Scale (NHBPS) by Licensed Vocational Nurses. Results: Interrater reliability was high (r = .90). EXIT scores correlated well with other measures of ECF. The interview discriminated among residents at each level of care. In contrast, the MMSE did not discriminate apartment-dwelling from residential care residents, or residential care from nursing home residents. The EXIT was highly correlated with disruptive behaviors as measured by the NHBPS (r = .79). Conclusions: These preliminary findings suggest that the EXIT is a valid and reliable instrument for the assessment of executive impairment at the bedside. It correlates well with level of care and problem behavior. It discriminates residents at earlier stages of cognitive impairment than the MMSE.","author":[{"dropping-particle":"","family":"Royall","given":"Donald R","non-dropping-particle":"","parse-names":false,"suffix":""},{"dropping-particle":"","family":"Mahurin","given":"Roderick K","non-dropping-particle":"","parse-names":false,"suffix":""},{"dropping-particle":"","family":"Gray","given":"Kevin F","non-dropping-particle":"","parse-names":false,"suffix":""}],"container-title":"Journal of the American Geriatrics Society","id":"ITEM-1","issue":"12","issued":{"date-parts":[["1992"]]},"page":"1221-1226","title":"Bedside Assessment of Executive Cognitive Impairment: The Executive Interview","type":"article-journal","volume":"40"},"uri":["http://www.mendeley.com/documents/?uuid=8d72aa6a-0991-4c46-8bb0-9c6b931a3bde"],"uris":["http://www.mendeley.com/documents/?uuid=8d72aa6a-0991-4c46-8bb0-9c6b931a3bde"]}],"mendeley":{"formattedCitation":"&lt;span style=\"baseline\"&gt;[5]&lt;/span&gt;","plainTextFormattedCitation":"[5]","previouslyFormattedCitation":"&lt;span style=\"baseline\"&gt;[5]&lt;/span&gt;"},"properties":{"formattedCitation":"(Royall et al., 1992)","noteIndex":0,"plainCitation":"(Royall et al., 1992)"},"schema":"https://github.com/citation-style-language/schema/raw/master/csl-citation.json"}</w:instrText>
      </w:r>
      <w:r w:rsidRPr="00EC44E6">
        <w:rPr>
          <w:rFonts w:ascii="Cambria" w:hAnsi="Cambria" w:cs="Times New Roman"/>
          <w:color w:val="000000" w:themeColor="text1"/>
        </w:rPr>
        <w:fldChar w:fldCharType="separate"/>
      </w:r>
      <w:r w:rsidR="00A43E00" w:rsidRPr="00EC44E6">
        <w:rPr>
          <w:rFonts w:ascii="Cambria" w:hAnsi="Cambria" w:cs="Times New Roman"/>
          <w:noProof/>
          <w:color w:val="000000" w:themeColor="text1"/>
        </w:rPr>
        <w:t>[5]</w:t>
      </w:r>
      <w:r w:rsidRPr="00EC44E6">
        <w:rPr>
          <w:rFonts w:ascii="Cambria" w:hAnsi="Cambria" w:cs="Times New Roman"/>
          <w:color w:val="000000" w:themeColor="text1"/>
        </w:rPr>
        <w:fldChar w:fldCharType="end"/>
      </w:r>
      <w:r w:rsidRPr="00EC44E6">
        <w:rPr>
          <w:rFonts w:ascii="Cambria" w:hAnsi="Cambria" w:cs="Times New Roman"/>
          <w:color w:val="000000" w:themeColor="text1"/>
        </w:rPr>
        <w:t>.</w:t>
      </w:r>
    </w:p>
    <w:p w14:paraId="5B2CF362" w14:textId="77777777" w:rsidR="00865141" w:rsidRPr="00EC44E6" w:rsidRDefault="00865141" w:rsidP="00BA5531">
      <w:pPr>
        <w:rPr>
          <w:color w:val="000000" w:themeColor="text1"/>
        </w:rPr>
      </w:pPr>
    </w:p>
    <w:p w14:paraId="6681E8CA" w14:textId="77777777" w:rsidR="00BA5531" w:rsidRPr="00EC44E6" w:rsidRDefault="00BA5531" w:rsidP="00BA5531">
      <w:pPr>
        <w:rPr>
          <w:color w:val="000000" w:themeColor="text1"/>
          <w:u w:val="single"/>
        </w:rPr>
      </w:pPr>
    </w:p>
    <w:p w14:paraId="20CC86B2" w14:textId="77777777" w:rsidR="00BA5531" w:rsidRPr="00EC44E6" w:rsidRDefault="00BA5531" w:rsidP="00BA5531">
      <w:pPr>
        <w:rPr>
          <w:color w:val="000000" w:themeColor="text1"/>
          <w:u w:val="single"/>
        </w:rPr>
      </w:pPr>
      <w:r w:rsidRPr="00EC44E6">
        <w:rPr>
          <w:color w:val="000000" w:themeColor="text1"/>
          <w:u w:val="single"/>
        </w:rPr>
        <w:t xml:space="preserve">Behavioral model fitting and performance. </w:t>
      </w:r>
    </w:p>
    <w:p w14:paraId="6158110F" w14:textId="77777777" w:rsidR="00BA5531" w:rsidRPr="00EC44E6" w:rsidRDefault="00BA5531" w:rsidP="00BA5531">
      <w:pPr>
        <w:rPr>
          <w:color w:val="000000" w:themeColor="text1"/>
        </w:rPr>
      </w:pPr>
    </w:p>
    <w:p w14:paraId="0A9367B6" w14:textId="77777777" w:rsidR="00BA5531" w:rsidRPr="00EC44E6" w:rsidRDefault="00BA5531" w:rsidP="00BA5531">
      <w:pPr>
        <w:rPr>
          <w:color w:val="000000" w:themeColor="text1"/>
        </w:rPr>
      </w:pPr>
      <w:bookmarkStart w:id="3" w:name="_Hlk25064212"/>
      <w:r w:rsidRPr="00EC44E6">
        <w:rPr>
          <w:color w:val="000000" w:themeColor="text1"/>
        </w:rPr>
        <w:t xml:space="preserve">Summaries of choice behavior showed that all participants were able to learn the task (mean/SD proportion correct by group [chance = 0.33]: attempters 0.538/0.111; </w:t>
      </w:r>
      <w:proofErr w:type="spellStart"/>
      <w:r w:rsidRPr="00EC44E6">
        <w:rPr>
          <w:color w:val="000000" w:themeColor="text1"/>
        </w:rPr>
        <w:t>ideators</w:t>
      </w:r>
      <w:proofErr w:type="spellEnd"/>
      <w:r w:rsidRPr="00EC44E6">
        <w:rPr>
          <w:color w:val="000000" w:themeColor="text1"/>
        </w:rPr>
        <w:t xml:space="preserve"> 0.558/0.096; depressed controls 0.498/0.118; nonpsychiatric controls 0.571/0.100; F</w:t>
      </w:r>
      <w:r w:rsidRPr="00EC44E6">
        <w:rPr>
          <w:color w:val="000000" w:themeColor="text1"/>
          <w:vertAlign w:val="subscript"/>
        </w:rPr>
        <w:t>1,99</w:t>
      </w:r>
      <w:r w:rsidRPr="00EC44E6">
        <w:rPr>
          <w:color w:val="000000" w:themeColor="text1"/>
        </w:rPr>
        <w:t xml:space="preserve"> = 0.093, p &gt; 0.1</w:t>
      </w:r>
      <w:r w:rsidR="00501ACB" w:rsidRPr="00EC44E6">
        <w:rPr>
          <w:color w:val="000000" w:themeColor="text1"/>
        </w:rPr>
        <w:t>, where a correct choice was defined as choosing the option with the highest probability of reward</w:t>
      </w:r>
      <w:r w:rsidRPr="00EC44E6">
        <w:rPr>
          <w:color w:val="000000" w:themeColor="text1"/>
        </w:rPr>
        <w:t xml:space="preserve">). </w:t>
      </w:r>
      <w:bookmarkEnd w:id="3"/>
      <w:r w:rsidRPr="00EC44E6">
        <w:rPr>
          <w:color w:val="000000" w:themeColor="text1"/>
        </w:rPr>
        <w:t xml:space="preserve">Participants expected to receive their cumulative wins at the end of the experiment, but to avoid penalizing poorly performing participants, the final payoff was fixed at $15. </w:t>
      </w:r>
    </w:p>
    <w:p w14:paraId="53FE5CE0" w14:textId="6C49878D" w:rsidR="00BA5531" w:rsidRPr="00EC44E6" w:rsidRDefault="00BA5531" w:rsidP="00BA5531">
      <w:pPr>
        <w:rPr>
          <w:rFonts w:eastAsia="Times New Roman"/>
          <w:color w:val="000000" w:themeColor="text1"/>
        </w:rPr>
      </w:pPr>
      <w:r w:rsidRPr="00EC44E6">
        <w:rPr>
          <w:color w:val="000000" w:themeColor="text1"/>
        </w:rPr>
        <w:t xml:space="preserve">Behavioral model fitting followed methods described in </w:t>
      </w:r>
      <w:r w:rsidRPr="00EC44E6">
        <w:rPr>
          <w:color w:val="000000" w:themeColor="text1"/>
        </w:rPr>
        <w:fldChar w:fldCharType="begin" w:fldLock="1"/>
      </w:r>
      <w:r w:rsidR="00570D8E" w:rsidRPr="00EC44E6">
        <w:rPr>
          <w:color w:val="000000" w:themeColor="text1"/>
        </w:rPr>
        <w:instrText>ADDIN CSL_CITATION {"citationItems":[{"id":"ITEM-1","itemData":{"DOI":"10.1016/j.biopsych.2018.10.006","ISSN":"00063223","author":[{"dropping-particle":"","family":"Dombrovski","given":"Alexandre Y","non-dropping-particle":"","parse-names":false,"suffix":""},{"dropping-particle":"","family":"Hallquist","given":"Michael N","non-dropping-particle":"","parse-names":false,"suffix":""},{"dropping-particle":"","family":"Brown","given":"Vanessa M","non-dropping-particle":"","parse-names":false,"suffix":""},{"dropping-particle":"","family":"Wilson","given":"Jonathan","non-dropping-particle":"","parse-names":false,"suffix":""},{"dropping-particle":"","family":"Szanto","given":"Katalin","non-dropping-particle":"","parse-names":false,"suffix":""}],"container-title":"Biological Psychiatry","id":"ITEM-1","issued":{"date-parts":[["2018"]]},"publisher":"Society of Biological Psychiatry","title":"Value-based choice, contingency learning and suicidal behavior in mid-life and late-life depression","type":"article-journal"},"uris":["http://www.mendeley.com/documents/?uuid=c63b38e3-73b2-41ea-9935-4332ac0eded0"]}],"mendeley":{"formattedCitation":"&lt;span style=\"baseline\"&gt;[6]&lt;/span&gt;","plainTextFormattedCitation":"[6]","previouslyFormattedCitation":"&lt;span style=\"baseline\"&gt;[6]&lt;/span&gt;"},"properties":{"noteIndex":0},"schema":"https://github.com/citation-style-language/schema/raw/master/csl-citation.json"}</w:instrText>
      </w:r>
      <w:r w:rsidRPr="00EC44E6">
        <w:rPr>
          <w:color w:val="000000" w:themeColor="text1"/>
        </w:rPr>
        <w:fldChar w:fldCharType="separate"/>
      </w:r>
      <w:r w:rsidR="00A43E00" w:rsidRPr="00EC44E6">
        <w:rPr>
          <w:noProof/>
          <w:color w:val="000000" w:themeColor="text1"/>
        </w:rPr>
        <w:t>[6]</w:t>
      </w:r>
      <w:r w:rsidRPr="00EC44E6">
        <w:rPr>
          <w:color w:val="000000" w:themeColor="text1"/>
        </w:rPr>
        <w:fldChar w:fldCharType="end"/>
      </w:r>
      <w:r w:rsidRPr="00EC44E6">
        <w:rPr>
          <w:color w:val="000000" w:themeColor="text1"/>
        </w:rPr>
        <w:t xml:space="preserve"> and are briefly summarized here. To create trial-wise estimates of learned value, a Q-learning model was estimated from participants’ choices and outcomes using an empirical Bayesian implementation of the Variation Bayesian Approach, using the VBA-MFX approach in the VBA toolbox in </w:t>
      </w:r>
      <w:proofErr w:type="spellStart"/>
      <w:r w:rsidRPr="00EC44E6">
        <w:rPr>
          <w:color w:val="000000" w:themeColor="text1"/>
        </w:rPr>
        <w:t>Matlab</w:t>
      </w:r>
      <w:proofErr w:type="spellEnd"/>
      <w:r w:rsidRPr="00EC44E6">
        <w:rPr>
          <w:color w:val="000000" w:themeColor="text1"/>
        </w:rPr>
        <w:t xml:space="preserve"> </w:t>
      </w:r>
      <w:r w:rsidRPr="00EC44E6">
        <w:rPr>
          <w:rFonts w:eastAsia="Cambria,Times New Roman"/>
          <w:color w:val="000000" w:themeColor="text1"/>
        </w:rPr>
        <w:t>(</w:t>
      </w:r>
      <w:hyperlink r:id="rId9" w:history="1">
        <w:r w:rsidRPr="00EC44E6">
          <w:rPr>
            <w:rStyle w:val="Hyperlink"/>
            <w:rFonts w:eastAsia="Cambria,Times New Roman"/>
            <w:color w:val="000000" w:themeColor="text1"/>
          </w:rPr>
          <w:t>http://mbb-team.github.io/VBA-toolbox/wiki/VBA-MFX/</w:t>
        </w:r>
      </w:hyperlink>
      <w:r w:rsidRPr="00EC44E6">
        <w:rPr>
          <w:rFonts w:eastAsia="Cambria,Times New Roman"/>
          <w:color w:val="000000" w:themeColor="text1"/>
        </w:rPr>
        <w:t>);</w:t>
      </w:r>
      <w:r w:rsidRPr="00EC44E6">
        <w:rPr>
          <w:color w:val="000000" w:themeColor="text1"/>
        </w:rPr>
        <w:t xml:space="preserve"> </w:t>
      </w:r>
      <w:r w:rsidRPr="00EC44E6">
        <w:rPr>
          <w:rFonts w:eastAsia="Times New Roman"/>
          <w:color w:val="000000" w:themeColor="text1"/>
        </w:rPr>
        <w:fldChar w:fldCharType="begin" w:fldLock="1"/>
      </w:r>
      <w:r w:rsidR="00570D8E" w:rsidRPr="00EC44E6">
        <w:rPr>
          <w:rFonts w:eastAsia="Times New Roman"/>
          <w:color w:val="000000" w:themeColor="text1"/>
        </w:rPr>
        <w:instrText>ADDIN CSL_CITATION {"citationID":"a1po9fv18r8","citationItems":[{"id":"ITEM-1","itemData":{"DOI":"10.1371/journal.pcbi.1003441","ISBN":"1553-7358 (Electronic)\\r1553-734X (Linking)","ISSN":"1553734X","PMID":"24465198","abstract":"This work is in line with an on-going effort tending toward a computational (quantitative and refutable) understanding of human neuro-cognitive processes. Many sophisticated models for behavioural and neurobiological data have flourished during the past decade. Most of these models are partly unspecified (i.e. they have unknown parameters) and nonlinear. This makes them difficult to peer with a formal statistical data analysis framework. In turn, this compromises the reproducibility of model-based empirical studies. This work exposes a software toolbox that provides generic, efficient and robust probabilistic solutions to the three problems of model-based analysis of empirical data: (i) data simulation, (ii) parameter estimation/model selection, and (iii) experimental design optimization.","author":[{"dropping-particle":"","family":"Daunizeau","given":"Jean","non-dropping-particle":"","parse-names":false,"suffix":""},{"dropping-particle":"","family":"Adam","given":"Vincent","non-dropping-particle":"","parse-names":false,"suffix":""},{"dropping-particle":"","family":"Rigoux","given":"Lionel","non-dropping-particle":"","parse-names":false,"suffix":""}],"container-title":"PLoS Computational Biology","id":"ITEM-1","issue":"1","issued":{"date-parts":[["2014"]]},"title":"VBA: A probabilistic treatment of nonlinear models for neurobiological and behavioural data","type":"article-journal","volume":"10"},"uris":["http://www.mendeley.com/documents/?uuid=4b7d8651-25a6-44ac-87c6-f982f71c8a4f"]}],"mendeley":{"formattedCitation":"&lt;span style=\"baseline\"&gt;[7]&lt;/span&gt;","plainTextFormattedCitation":"[7]","previouslyFormattedCitation":"&lt;span style=\"baseline\"&gt;[7]&lt;/span&gt;"},"properties":{"formattedCitation":"(23)","noteIndex":0,"plainCitation":"(23)"},"schema":"https://github.com/citation-style-language/schema/raw/master/csl-citation.json"}</w:instrText>
      </w:r>
      <w:r w:rsidRPr="00EC44E6">
        <w:rPr>
          <w:rFonts w:eastAsia="Times New Roman"/>
          <w:color w:val="000000" w:themeColor="text1"/>
        </w:rPr>
        <w:fldChar w:fldCharType="separate"/>
      </w:r>
      <w:r w:rsidR="00A43E00" w:rsidRPr="00EC44E6">
        <w:rPr>
          <w:noProof/>
          <w:color w:val="000000" w:themeColor="text1"/>
        </w:rPr>
        <w:t>[7]</w:t>
      </w:r>
      <w:r w:rsidRPr="00EC44E6">
        <w:rPr>
          <w:rFonts w:eastAsia="Times New Roman"/>
          <w:color w:val="000000" w:themeColor="text1"/>
        </w:rPr>
        <w:fldChar w:fldCharType="end"/>
      </w:r>
      <w:r w:rsidRPr="00EC44E6">
        <w:rPr>
          <w:rFonts w:eastAsia="Times New Roman"/>
          <w:color w:val="000000" w:themeColor="text1"/>
        </w:rPr>
        <w:t xml:space="preserve">. Parameters for all participants were estimated in the same model with one group-level prior. </w:t>
      </w:r>
    </w:p>
    <w:p w14:paraId="603DDA36" w14:textId="77777777" w:rsidR="00BA5531" w:rsidRPr="00EC44E6" w:rsidRDefault="00BA5531" w:rsidP="00BA5531">
      <w:pPr>
        <w:rPr>
          <w:color w:val="000000" w:themeColor="text1"/>
        </w:rPr>
      </w:pPr>
    </w:p>
    <w:p w14:paraId="3FE9257B" w14:textId="7C905CCA" w:rsidR="00BA5531" w:rsidRPr="00EC44E6" w:rsidRDefault="00BA5531" w:rsidP="00BA5531">
      <w:pPr>
        <w:rPr>
          <w:color w:val="000000" w:themeColor="text1"/>
        </w:rPr>
      </w:pPr>
      <w:r w:rsidRPr="00EC44E6">
        <w:rPr>
          <w:color w:val="000000" w:themeColor="text1"/>
        </w:rPr>
        <w:t xml:space="preserve">To determine the best fitting model to behavior, models with and without parameters for 1) separate learning rates for rewards and omissions (positive and negative learning rate), 2) decay of unchosen options, and 3) choice autocorrelation were tested and compared against a null model and a win-stay/lose-shift model. Bayesian model comparison tested the relative fit of each model, allowing for individual heterogeneity in model fits, and the Bayesian Omnibus Risk (BOR) of the probability of the best fitting model was calculated </w:t>
      </w:r>
      <w:r w:rsidRPr="00EC44E6">
        <w:rPr>
          <w:rFonts w:eastAsia="Cambria,Times New Roman"/>
          <w:color w:val="000000" w:themeColor="text1"/>
        </w:rPr>
        <w:fldChar w:fldCharType="begin" w:fldLock="1"/>
      </w:r>
      <w:r w:rsidR="00570D8E" w:rsidRPr="00EC44E6">
        <w:rPr>
          <w:rFonts w:eastAsia="Cambria,Times New Roman"/>
          <w:color w:val="000000" w:themeColor="text1"/>
        </w:rPr>
        <w:instrText>ADDIN CSL_CITATION {"citationID":"n535imfto","citationItems":[{"id":"ITEM-1","itemData":{"DOI":"10.1016/j.neuroimage.2013.08.065","ISBN":"1095-9572 (Electronic)\\r1053-8119 (Linking)","ISSN":"1095-9572","PMID":"24018303","abstract":"In this paper, we revisit the problem of Bayesian model selection (BMS) at the group level. We originally addressed this issue in Stephan et al. (2009), where models are treated as random effects that could differ between subjects, with an unknown population distribution. Here, we extend this work, by (i) introducing the Bayesian omnibus risk (BOR) as a measure of the statistical risk incurred when performing group BMS, (ii) highlighting the difference between random effects BMS and classical random effects analyses of parameter estimates, and (iii) addressing the problem of between group or condition model comparisons. We address the first issue by quantifying the chance likelihood of apparent differences in model frequencies. This leads to the notion of protected exceedance probabilities. The second issue arises when people want to ask \"whether a model parameter is zero or not\" at the group level. Here, we provide guidance as to whether to use a classical second-level analysis of parameter estimates, or random effects BMS. The third issue rests on the evidence for a difference in model labels or frequencies across groups or conditions. Overall, we hope that the material presented in this paper finesses the problems of group-level BMS in the analysis of neuroimaging and behavioral data.","author":[{"dropping-particle":"","family":"Rigoux","given":"Lionel","non-dropping-particle":"","parse-names":false,"suffix":""},{"dropping-particle":"","family":"Stephan","given":"Klaas Enno","non-dropping-particle":"","parse-names":false,"suffix":""},{"dropping-particle":"","family":"Friston","given":"Karl J","non-dropping-particle":"","parse-names":false,"suffix":""},{"dropping-particle":"","family":"Daunizeau","given":"Jean","non-dropping-particle":"","parse-names":false,"suffix":""}],"container-title":"NeuroImage","id":"ITEM-1","issue":"4","issued":{"date-parts":[["2014","9","7"]]},"note":"From Duplicate 1 (Bayesian Model Selection for group studies - Rigoux, L; Stephan, Klaas Enno; Friston, Karl J; Daunizeau, Jean; Penny, Will D; Moran, Rosalyn J)\n\nFrom Duplicate 2 ( \n\n\nBayesian Model Selection for group studies\n\n\n- Stephan, Klaas Enno; Penny, Will D; Daunizeau, Jean; Moran, Rosalyn J; Friston, Karl J )\n\n\n\n\nFrom Duplicate 2 ( \n\n\nBayesian Model Selection for group studies\n\n\n- Stephan, Klaas Enno; Penny, Will D; Daunizeau, Jean; Moran, Rosalyn J; Friston, Karl J; Rigoux, L )\n\n\n\n\nFrom Duplicate 3 ( \n\n\nBayesian Model Selection for group studies\n\n\n- Stephan, Klaas Enno; Penny, Will D; Daunizeau, Jean; Moran, Rosalyn J; Friston, Karl J )\n\n\n\n\nFrom Duplicate 2 ( \n\n\nEurope PMC Funders Group Bayesian Model Selection for Group Studies\n\n\n- Stephan, Klaas Enno; Penny, Will D; Daunizeau, Jean; Moran, Rosalyn J; Karl, J )\n\n\n\n\n\n\n\n\n\n\n\n\n\n\n\n\n\n\n\n\n\n\n\nFrom Duplicate 2 (Bayesian Model Selection for group studies - Stephan, Klaas Enno; Penny, Will D; Daunizeau, Jean; Moran, Rosalyn J; Friston, Karl J)\n\nFrom Duplicate 1 (Bayesian Model Selection for group studies - Stephan, Klaas Enno; Penny, Will D; Daunizeau, Jean; Moran, Rosalyn J; Friston, Karl J)\n\nFrom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)\n\n\n\n\n\n\n\n\n\n\n\n\n\n\n\n\n\n\n\n\n\n\n\n\n\n\n\n\n\n\n\n\n\n\n\n\n\n\n\n\n\n\n\n\n\n\n\n\n\n\n\n\n\n\n\n\n\n\n\n\n\n\n\n\n\n\n\n\n\n\n\n\n\n\n\n\n\n\n\n\n\n\n\n\n\n\n\n\n\n\n\n\n\n\n\n\n\n\n\n\n\n\nFrom Duplicate 2 ( \n\n\n\n\n\n\n\n\n\n\n\n\n\n\n\n\n\n\n\n\n\n\n\n\n\nBayesian Model Selection for group studies\n\n\n\n\n\n\n\n\n\n\n\n\n\n\n\n\n\n\n\n\n\n\n\n\n\n- Rigoux, L; Stephan, Klaas Enno; Friston, Karl J; Daunizeau, Jean; Penny, Will D; Moran, Rosalyn J )\n\n\n\n\n\n\n\n\n\n\n\n\n\n\n\n\n\n\n\n\n\n\nFrom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)\n\n\n\n\n\n\n\n\n\n\n\n\n\n\n\n\n\n\n\n\n\n\n\n\n\n\n\n\n\n\n\n\n\n\n\n\n\n\n\n\n\n\n\n\n\n\n\n\n\n\n\n\n\n\n\n\n\n\n\n\n\n\n\n\n\n\n\n\n\n\n\n\n\n\n\n\n\n\n\n\n\n\n\n\n\n\n\n\n\n\n\n\n\n\n\n\n\n\n\n\n\n\nFrom Duplicate 2 ( \n\n\n\n\n\n\n\n\n\n\n\n\n\n\n\n\n\n\n\n\n\n\n\n\n\nBayesian Model Selection for group studies\n\n\n\n\n\n\n\n\n\n\n\n\n\n\n\n\n\n\n\n\n\n\n\n\n\n- Rigoux, L; Stephan, Klaas Enno; Friston, Karl J; Daunizeau, Jean; Penny, Will D; Moran, Rosalyn J )\n\n\n\n\n\n\n\n\n\n\n\n\n\n\n\n\n\n\n\n\n\n\nFrom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)\n\n\n\n\n\n\n\n\n\nFrom Duplicate 2 (Bayesian Model Selection for group studies - Rigoux, L; Stephan, Klaas Enno; Friston, Karl J; Daunizeau, Jean; Penny, Will D; Daunizeau, Jean; Moran, Rosalyn J; Friston, Karl J; Rigoux, L; Stephan, Klaas Enno; Friston, Karl J; Daunizeau, Jean; Penny, Will D; Moran, Rosalyn J)\n\nFrom Duplicate 1 (Bayesian Model Selection for group studies - Rigoux, L; Stephan, Klaas Enno; Friston, Karl J; Daunizeau, Jean; Penny, Will D; Moran, Rosalyn J)\n\nFrom Duplicate 1 ( Bayesian Model Selection for group studies - Rigoux, L; Stephan, Klaas Enno; Friston, Karl J; Daunizeau, Jean; Penny, Will D; Moran, Rosalyn J )\n\nFrom Duplicate 2 ( Bayesian Model Selection for group studies - Stephan, Klaas Enno; Penny, Will D; Daunizeau, Jean; Moran, Rosalyn J; Friston, Karl J )\n\nFrom Duplicate 2 ( Bayesian Model Selection for group studies - Stephan, Klaas Enno; Penny, Will D; Daunizeau, Jean; Moran, Rosalyn J; Friston, Karl J; Rigoux, L )\n\nFrom Duplicate 3 ( Bayesian Model Selection for group studies - Stephan, Klaas Enno; Penny, Will D; Daunizeau, Jean; Moran, Rosalyn J; Friston, Karl J )\n\nFrom Duplicate 2 ( Europe PMC Funders Group Bayesian Model Selection for Group Studies - Stephan, Klaas Enno; Penny, Will D; Daunizeau, Jean; Moran, Rosalyn J; Karl, J )\n\n\n\n\n\n\n\n\n\n\n\nFrom Duplicate 2 ( Bayesian Model Selection for group studies - Rigoux, L; Stephan, Klaas Enno; Friston, Karl J; Daunizeau, Jean; Penny, Will D; Moran, Rosalyn J )\n\nFrom Duplicate 1 ( Bayesian Model Selection for group studies - Rigoux, L; Stephan, Klaas Enno; Friston, Karl J; Daunizeau, Jean; Penny, Will D; Moran, Rosalyn J )\n\nFrom Duplicate 2 ( Bayesian Model Selection for group studies - Stephan, Klaas Enno; Penny, Will D; Daunizeau, Jean; Moran, Rosalyn J; Friston, Karl J )\n\nFrom Duplicate 2 ( Bayesian Model Selection for group studies - Stephan, Klaas Enno; Penny, Will D; Daunizeau, Jean; Moran, Rosalyn J; Friston, Karl J; Rigoux, L )\n\nFrom Duplicate 3 ( Bayesian Model Selection for group studies - Stephan, Klaas Enno; Penny, Will D; Daunizeau, Jean; Moran, Rosalyn J; Friston, Karl J )\n\nFrom Duplicate 2 ( Europe PMC Funders Group Bayesian Model Selection for Group Studies - Stephan, Klaas Enno; Penny, Will D; Daunizeau, Jean; Moran, Rosalyn J; Karl, J )\n\n\nFrom Duplicate 2 (Bayesian Model Selection for group studies - Stephan, Klaas Enno; Penny, Will D; Daunizeau, Jean; Moran, Rosalyn J; Friston, Karl J)\n\nFrom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)\n\n\n\n\n\n\n\n\n\n\n\n\n\n\n\n\n\n\n\n\n\n\n\n\n\n\n\n\n\n\n\n\n\n\n\n\n\n\n\n\n\n\n\n\n\n\n\n\n\n\n\n\n\n\n\n\n\n\n\n\n\n\n\n\n\n\n\n\n\n\n\n\n\n\n\n\n\n\n\n\n\n\n\n\n\n\n\n\n\n\n\n\n\n\n\n\n\n\n\n\n\n\nFrom Duplicate 2 ( \n\n\n\n\n\n\n\n\n\n\n\n\n\n\n\n\n\n\n\n\n\n\n\n\n\nBayesian Model Selection for group studies\n\n\n\n\n\n\n\n\n\n\n\n\n\n\n\n\n\n\n\n\n\n\n\n\n\n- Rigoux, L; Stephan, Klaas Enno; Friston, Karl J; Daunizeau, Jean; Penny, Will D; Moran, Rosalyn J )\n\n\n\n\n\n\n\n\n\n\n\n\n\n\n\n\n\n\n\n\n\n\nFrom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D;","page":"971-985","publisher":"Elsevier Inc.","title":"Bayesian model selection for group studies - Revisited","type":"article-journal","volume":"84"},"uris":["http://www.mendeley.com/documents/?uuid=1ca0b51f-b88a-47ef-ac04-dd20da8eff36"]}],"mendeley":{"formattedCitation":"&lt;span style=\"baseline\"&gt;[8]&lt;/span&gt;","plainTextFormattedCitation":"[8]","previouslyFormattedCitation":"&lt;span style=\"baseline\"&gt;[8]&lt;/span&gt;"},"properties":{"formattedCitation":"(8)","noteIndex":0,"plainCitation":"(8)"},"schema":"https://github.com/citation-style-language/schema/raw/master/csl-citation.json"}</w:instrText>
      </w:r>
      <w:r w:rsidRPr="00EC44E6">
        <w:rPr>
          <w:rFonts w:eastAsia="Cambria,Times New Roman"/>
          <w:color w:val="000000" w:themeColor="text1"/>
        </w:rPr>
        <w:fldChar w:fldCharType="separate"/>
      </w:r>
      <w:r w:rsidR="00A43E00" w:rsidRPr="00EC44E6">
        <w:rPr>
          <w:noProof/>
          <w:color w:val="000000" w:themeColor="text1"/>
        </w:rPr>
        <w:t>[8]</w:t>
      </w:r>
      <w:r w:rsidRPr="00EC44E6">
        <w:rPr>
          <w:rFonts w:eastAsia="Cambria,Times New Roman"/>
          <w:color w:val="000000" w:themeColor="text1"/>
        </w:rPr>
        <w:fldChar w:fldCharType="end"/>
      </w:r>
      <w:r w:rsidRPr="00EC44E6">
        <w:rPr>
          <w:color w:val="000000" w:themeColor="text1"/>
        </w:rPr>
        <w:t xml:space="preserve">. </w:t>
      </w:r>
    </w:p>
    <w:p w14:paraId="6E4FADAE" w14:textId="77777777" w:rsidR="00BA5531" w:rsidRPr="00EC44E6" w:rsidRDefault="00BA5531" w:rsidP="00BA5531">
      <w:pPr>
        <w:rPr>
          <w:color w:val="000000" w:themeColor="text1"/>
        </w:rPr>
      </w:pPr>
    </w:p>
    <w:p w14:paraId="01C6EFCA" w14:textId="6D020D59" w:rsidR="00BA5531" w:rsidRPr="00EC44E6" w:rsidRDefault="00BA5531" w:rsidP="00BA5531">
      <w:pPr>
        <w:rPr>
          <w:color w:val="000000" w:themeColor="text1"/>
        </w:rPr>
      </w:pPr>
      <w:r w:rsidRPr="00EC44E6">
        <w:rPr>
          <w:rFonts w:eastAsia="Cambria,Times New Roman"/>
          <w:color w:val="000000" w:themeColor="text1"/>
        </w:rPr>
        <w:t xml:space="preserve">The relative evidence for different models can be characterized using random effects </w:t>
      </w:r>
      <w:r w:rsidRPr="00EC44E6">
        <w:rPr>
          <w:color w:val="000000" w:themeColor="text1"/>
        </w:rPr>
        <w:t>Bayesian model comparison</w:t>
      </w:r>
      <w:r w:rsidRPr="00EC44E6">
        <w:rPr>
          <w:rFonts w:eastAsia="Cambria,Times New Roman"/>
          <w:color w:val="000000" w:themeColor="text1"/>
        </w:rPr>
        <w:t xml:space="preserve"> (BMC), while accounting for the full statistical risk incurred (Bayesian omnibus risk, BOR) </w:t>
      </w:r>
      <w:r w:rsidRPr="00EC44E6">
        <w:rPr>
          <w:color w:val="000000" w:themeColor="text1"/>
        </w:rPr>
        <w:fldChar w:fldCharType="begin" w:fldLock="1"/>
      </w:r>
      <w:r w:rsidR="00570D8E" w:rsidRPr="00EC44E6">
        <w:rPr>
          <w:color w:val="000000" w:themeColor="text1"/>
        </w:rPr>
        <w:instrText>ADDIN CSL_CITATION {"citationID":"kRDQfLPN","citationItems":[{"id":"ITEM-1","itemData":{"DOI":"10.1016/j.neuroimage.2009.03.025.Bayesian","ISBN":"1095-9572 (Electronic)\\r1053-8119 (Linking)","ISSN":"1095-9572","PMID":"24018303","abstract":"In this paper, we revisit the problem of Bayesian model selection (BMS) at the group level. We originally addressed this issue in Stephan et al. (2009), where models are treated as random effects that could differ between subjects, with an unknown population distribution. Here, we extend this work, by (i) introducing the Bayesian omnibus risk (BOR) as a measure of the statistical risk incurred when performing group BMS, (ii) highlighting the difference between random effects BMS and classical random effects analyses of parameter estimates, and (iii) addressing the problem of between group or condition model comparisons. We address the first issue by quantifying the chance likelihood of apparent differences in model frequencies. This leads to the notion of protected exceedance probabilities. The second issue arises when people want to ask \"whether a model parameter is zero or not\" at the group level. Here, we provide guidance as to whether to use a classical second-level analysis of parameter estimates, or random effects BMS. The third issue rests on the evidence for a difference in model labels or frequencies across groups or conditions. Overall, we hope that the material presented in this paper finesses the problems of group-level BMS in the analysis of neuroimaging and behavioral data.","author":[{"dropping-particle":"","family":"Rigoux","given":"L","non-dropping-particle":"","parse-names":false,"suffix":""},{"dropping-particle":"","family":"Stephan","given":"Klaas Enno","non-dropping-particle":"","parse-names":false,"suffix":""},{"dropping-particle":"","family":"Friston","given":"Karl J","non-dropping-particle":"","parse-names":false,"suffix":""},{"dropping-particle":"","family":"Daunizeau","given":"Jean","non-dropping-particle":"","parse-names":false,"suffix":""},{"dropping-particle":"","family":"Penny","given":"Will D","non-dropping-particle":"","parse-names":false,"suffix":""},{"dropping-particle":"","family":"Moran","given":"Rosalyn J","non-dropping-particle":"","parse-names":false,"suffix":""}],"container-title":"NeuroImage","id":"ITEM-1","issue":"4","issued":{"date-parts":[["2009","9","7"]]},"note":"From Duplicate 2 ( \n\n\nBayesian Model Selection for group studies\n\n\n- Stephan, Klaas Enno; Penny, Will D; Daunizeau, Jean; Moran, Rosalyn J; Friston, Karl J )\n\n\n\n\nFrom Duplicate 2 ( \n\n\nBayesian Model Selection for group studies\n\n\n- Stephan, Klaas Enno; Penny, Will D; Daunizeau, Jean; Moran, Rosalyn J; Friston, Karl J; Rigoux, L )\n\n\n\n\nFrom Duplicate 3 ( \n\n\nBayesian Model Selection for group studies\n\n\n- Stephan, Klaas Enno; Penny, Will D; Daunizeau, Jean; Moran, Rosalyn J; Friston, Karl J )\n\n\n\n\nFrom Duplicate 2 ( \n\n\nEurope PMC Funders Group Bayesian Model Selection for Group Studies\n\n\n- Stephan, Klaas Enno; Penny, Will D; Daunizeau, Jean; Moran, Rosalyn J; Karl, J )\n\n\n\n\n\n\n\n\n\n\n\n\n\n\n\n\n\n\n\n\n\n\n\nFrom Duplicate 2 (Bayesian Model Selection for group studies - Stephan, Klaas Enno; Penny, Will D; Daunizeau, Jean; Moran, Rosalyn J; Friston, Karl J)\n\nFrom Duplicate 1 (Bayesian Model Selection for group studies - Stephan, Klaas Enno; Penny, Will D; Daunizeau, Jean; Moran, Rosalyn J; Friston, Karl J)\n\nFrom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)\n\n\n\n\n\n\n\n\n\n\n\n\n\n\n\n\n\n\n\n\n\n\n\n\n\n\n\n\n\n\n\n\n\n\n\n\n\n\n\n\n\n\n\n\n\n\n\n\n\n\n\n\n\n\n\n\n\n\n\n\n\n\n\n\n\n\n\n\n\n\n\n\n\n\n\n\n\n\n\n\n\n\n\n\n\n\n\n\n\n\n\n\n\n\n\n\n\n\n\n\n\n\nFrom Duplicate 2 ( \n\n\n\n\n\n\n\n\n\n\n\n\n\n\n\n\n\n\n\n\n\n\n\n\n\nBayesian Model Selection for group studies\n\n\n\n\n\n\n\n\n\n\n\n\n\n\n\n\n\n\n\n\n\n\n\n\n\n- Rigoux, L; Stephan, Klaas Enno; Friston, Karl J; Daunizeau, Jean; Penny, Will D; Moran, Rosalyn J )\n\n\n\n\n\n\n\n\n\n\n\n\n\n\n\n\n\n\n\n\n\n\nFrom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)\n\n\n\n\n\n\n\n\n\n\n\n\n\n\n\n\n\n\n\n\n\n\n\n\n\n\n\n\n\n\n\n\n\n\n\n\n\n\n\n\n\n\n\n\n\n\n\n\n\n\n\n\n\n\n\n\n\n\n\n\n\n\n\n\n\n\n\n\n\n\n\n\n\n\n\n\n\n\n\n\n\n\n\n\n\n\n\n\n\n\n\n\n\n\n\n\n\n\n\n\n\n\nFrom Duplicate 2 ( \n\n\n\n\n\n\n\n\n\n\n\n\n\n\n\n\n\n\n\n\n\n\n\n\n\nBayesian Model Selection for group studies\n\n\n\n\n\n\n\n\n\n\n\n\n\n\n\n\n\n\n\n\n\n\n\n\n\n- Rigoux, L; Stephan, Klaas Enno; Friston, Karl J; Daunizeau, Jean; Penny, Will D; Moran, Rosalyn J )\n\n\n\n\n\n\n\n\n\n\n\n\n\n\n\n\n\n\n\n\n\n\nFrom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)\n\n\n\n\n\n\n\n\n\nFrom Duplicate 2 (Bayesian Model Selection for group studies - Rigoux, L; Stephan, Klaas Enno; Friston, Karl J; Daunizeau, Jean; Penny, Will D; Daunizeau, Jean; Moran, Rosalyn J; Friston, Karl J; Rigoux, L; Stephan, Klaas Enno; Friston, Karl J; Daunizeau, Jean; Penny, Will D; Moran, Rosalyn J)\n\nFrom Duplicate 1 (Bayesian Model Selection for group studies - Rigoux, L; Stephan, Klaas Enno; Friston, Karl J; Daunizeau, Jean; Penny, Will D; Moran, Rosalyn J)\n\nFrom Duplicate 1 ( Bayesian Model Selection for group studies - Rigoux, L; Stephan, Klaas Enno; Friston, Karl J; Daunizeau, Jean; Penny, Will D; Moran, Rosalyn J )\n\nFrom Duplicate 2 ( Bayesian Model Selection for group studies - Stephan, Klaas Enno; Penny, Will D; Daunizeau, Jean; Moran, Rosalyn J; Friston, Karl J )\n\nFrom Duplicate 2 ( Bayesian Model Selection for group studies - Stephan, Klaas Enno; Penny, Will D; Daunizeau, Jean; Moran, Rosalyn J; Friston, Karl J; Rigoux, L )\n\nFrom Duplicate 3 ( Bayesian Model Selection for group studies - Stephan, Klaas Enno; Penny, Will D; Daunizeau, Jean; Moran, Rosalyn J; Friston, Karl J )\n\nFrom Duplicate 2 ( Europe PMC Funders Group Bayesian Model Selection for Group Studies - Stephan, Klaas Enno; Penny, Will D; Daunizeau, Jean; Moran, Rosalyn J; Karl, J )\n\n\n\n\n\n\n\n\n\n\n\nFrom Duplicate 2 ( Bayesian Model Selection for group studies - Rigoux, L; Stephan, Klaas Enno; Friston, Karl J; Daunizeau, Jean; Penny, Will D; Moran, Rosalyn J )\n\nFrom Duplicate 1 ( Bayesian Model Selection for group studies - Rigoux, L; Stephan, Klaas Enno; Friston, Karl J; Daunizeau, Jean; Penny, Will D; Moran, Rosalyn J )\n\nFrom Duplicate 2 ( Bayesian Model Selection for group studies - Stephan, Klaas Enno; Penny, Will D; Daunizeau, Jean; Moran, Rosalyn J; Friston, Karl J )\n\nFrom Duplicate 2 ( Bayesian Model Selection for group studies - Stephan, Klaas Enno; Penny, Will D; Daunizeau, Jean; Moran, Rosalyn J; Friston, Karl J; Rigoux, L )\n\nFrom Duplicate 3 ( Bayesian Model Selection for group studies - Stephan, Klaas Enno; Penny, Will D; Daunizeau, Jean; Moran, Rosalyn J; Friston, Karl J )\n\nFrom Duplicate 2 ( Europe PMC Funders Group Bayesian Model Selection for Group Studies - Stephan, Klaas Enno; Penny, Will D; Daunizeau, Jean; Moran, Rosalyn J; Karl, J )\n\n\nFrom Duplicate 2 (Bayesian Model Selection for group studies - Stephan, Klaas Enno; Penny, Will D; Daunizeau, Jean; Moran, Rosalyn J; Friston, Karl J)\n\nFrom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)\n\n\n\n\n\n\n\n\n\n\n\n\n\n\n\n\n\n\n\n\n\n\n\n\n\n\n\n\n\n\n\n\n\n\n\n\n\n\n\n\n\n\n\n\n\n\n\n\n\n\n\n\n\n\n\n\n\n\n\n\n\n\n\n\n\n\n\n\n\n\n\n\n\n\n\n\n\n\n\n\n\n\n\n\n\n\n\n\n\n\n\n\n\n\n\n\n\n\n\n\n\n\nFrom Duplicate 2 ( \n\n\n\n\n\n\n\n\n\n\n\n\n\n\n\n\n\n\n\n\n\n\n\n\n\nBayesian Model Selection for group studies\n\n\n\n\n\n\n\n\n\n\n\n\n\n\n\n\n\n\n\n\n\n\n\n\n\n- Rigoux, L; Stephan, Klaas Enno; Friston, Karl J; Daunizeau, Jean; Penny, Will D; Moran, Rosalyn J )\n\n\n\n\n\n\n\n\n\n\n\n\n\n\n\n\n\n\n\n\n\n\nFrom Duplicate 1 ( \n\n\n\n\n\n\n\n\n\n\n\n\n\n\n\n\n\n\n\n\n\n\n\n\n\nBayesian Model Selection for group studies\n\n\n\n\n\n\n\n\n\n\n\n\n\n\n\n\n\n\n\n\n\n\n\n\n\n- Rigoux, L; Stephan, Klaas Enno; Friston, Karl J; Daunizeau, Jean; Penny, Will D; Moran, Rosalyn J )\n\n\n\n\n\n\n\n\n\n\n\n\n\n\n\n\n\n\n\n\n\n\nFrom Duplicate 2 ( \n\n\n\n\n\n\n\n\n\n\n\n\n\n\n\n\n\n\n\n\n\n\n\n\n\nBayesian Model Selection for group studies\n\n\n\n\n\n\n\n\n\n\n\n\n\n\n\n\n\n\n\n\n\n\n\n\n\n- Stephan, Klaas Enno; Penny, Will D; Daunizeau, Jean; Moran, Rosalyn J; Friston, Karl J )\n\n\n\n\n\n\n\n\n\n\n\n\n\n\n\n\n\n\n\n\n\n\nFrom Duplicate 2 ( \n\n\n\n\n\n\n\n\n\n\n\n\n\n\n\n\n\n\n\n\n\n\n\n\n\nBayesian Model Selection for group studies\n\n\n\n\n\n\n\n\n\n\n\n\n\n\n\n\n\n\n\n\n\n\n\n\n\n- Stephan, Klaas Enno; Penny, Will D; Daunizeau, Jean; Moran, Rosalyn J; Friston, Karl J; Rigoux, L )\n\n\n\n\n\n\n\n\n\n\n\n\n\n\n\n\n\n\n\n\n\n\nFrom Duplicate 3 ( \n\n\n\n\n\n\n\n\n\n\n\n\n\n\n\n\n\n\n\n\n\n\n\n\n\nBayesian Model Selection for group studies\n\n\n\n\n\n\n\n\n\n\n\n\n\n\n\n\n\n\n\n\n\n\n\n\n\n- Stephan, Klaas Enno; Penny, Will D; Daunizeau, Jean; Moran, Rosalyn J; Friston, Karl J )\n\n\n\n\n\n\n\n\n\n\n\n\n\n\n\n\n\n\n\n\n\n\nFrom Duplicate 2 ( \n\n\n\n\n\n\n\n\n\n\n\n\n\n\n\n\n\n\n\n\n\n\n\n\n\nEurope PMC Funders Group Bayesian Model Selection for Group Studies\n\n\n\n\n\n\n\n\n\n\n\n\n\n\n\n\n\n\n\n\n\n\n\n\n\n- Stephan, Klaas Enno; Penny, Will D; Daunizeau, Jean; Moran, Rosalyn J; Karl, J )\n\n\n\n\n\n\n\n","page":"1004-1017","publisher":"Elsevier Inc.","title":"Bayesian Model Selection for group studies","type":"article-journal","volume":"46"},"uris":["http://www.mendeley.com/documents/?uuid=bd9c4c3a-ea21-43d5-8fb1-3dfb5008ce00"]}],"mendeley":{"formattedCitation":"&lt;span style=\"baseline\"&gt;[9]&lt;/span&gt;","plainTextFormattedCitation":"[9]","previouslyFormattedCitation":"&lt;span style=\"baseline\"&gt;[9]&lt;/span&gt;"},"properties":{"formattedCitation":"(10)","noteIndex":0,"plainCitation":"(10)"},"schema":"https://github.com/citation-style-language/schema/raw/master/csl-citation.json"}</w:instrText>
      </w:r>
      <w:r w:rsidRPr="00EC44E6">
        <w:rPr>
          <w:color w:val="000000" w:themeColor="text1"/>
        </w:rPr>
        <w:fldChar w:fldCharType="separate"/>
      </w:r>
      <w:r w:rsidR="00A43E00" w:rsidRPr="00EC44E6">
        <w:rPr>
          <w:noProof/>
          <w:color w:val="000000" w:themeColor="text1"/>
        </w:rPr>
        <w:t>[9]</w:t>
      </w:r>
      <w:r w:rsidRPr="00EC44E6">
        <w:rPr>
          <w:color w:val="000000" w:themeColor="text1"/>
        </w:rPr>
        <w:fldChar w:fldCharType="end"/>
      </w:r>
      <w:r w:rsidRPr="00EC44E6">
        <w:rPr>
          <w:rFonts w:eastAsia="Cambria,Times New Roman"/>
          <w:color w:val="000000" w:themeColor="text1"/>
        </w:rPr>
        <w:t xml:space="preserve">. The best fitting model is described by the below equations and included parameters for positive and negative learning rates, decay of unchosen options, and choice stochasticity (estimated model frequency = 0.769, BOR </w:t>
      </w:r>
      <w:r w:rsidRPr="00EC44E6">
        <w:rPr>
          <w:color w:val="000000" w:themeColor="text1"/>
        </w:rPr>
        <w:t>&lt; 10</w:t>
      </w:r>
      <w:r w:rsidRPr="00EC44E6">
        <w:rPr>
          <w:color w:val="000000" w:themeColor="text1"/>
          <w:vertAlign w:val="superscript"/>
        </w:rPr>
        <w:t>-31</w:t>
      </w:r>
      <w:r w:rsidRPr="00EC44E6">
        <w:rPr>
          <w:color w:val="000000" w:themeColor="text1"/>
        </w:rPr>
        <w:t>)</w:t>
      </w:r>
      <w:r w:rsidRPr="00EC44E6">
        <w:rPr>
          <w:rFonts w:eastAsia="Cambria,Times New Roman"/>
          <w:color w:val="000000" w:themeColor="text1"/>
        </w:rPr>
        <w:t xml:space="preserve">. </w:t>
      </w:r>
    </w:p>
    <w:p w14:paraId="47E9CA5C" w14:textId="77777777" w:rsidR="00BA5531" w:rsidRPr="00EC44E6" w:rsidRDefault="00BA5531" w:rsidP="00BA5531">
      <w:pPr>
        <w:rPr>
          <w:color w:val="000000" w:themeColor="text1"/>
        </w:rPr>
      </w:pPr>
    </w:p>
    <w:p w14:paraId="6F050B2E" w14:textId="77777777" w:rsidR="00BA5531" w:rsidRPr="00EC44E6" w:rsidRDefault="00BA5531" w:rsidP="00BA5531">
      <w:pPr>
        <w:rPr>
          <w:color w:val="000000" w:themeColor="text1"/>
        </w:rPr>
      </w:pPr>
      <w:r w:rsidRPr="00EC44E6">
        <w:rPr>
          <w:color w:val="000000" w:themeColor="text1"/>
        </w:rPr>
        <w:t xml:space="preserve">Q-learning model: </w:t>
      </w:r>
    </w:p>
    <w:p w14:paraId="2F8AD9CD" w14:textId="77777777" w:rsidR="00BA5531" w:rsidRPr="00EC44E6" w:rsidRDefault="00BA5531" w:rsidP="00BA5531">
      <w:pPr>
        <w:jc w:val="center"/>
        <w:rPr>
          <w:color w:val="000000" w:themeColor="text1"/>
        </w:rPr>
      </w:pPr>
      <w:r w:rsidRPr="00EC44E6">
        <w:rPr>
          <w:noProof/>
          <w:color w:val="000000" w:themeColor="text1"/>
        </w:rPr>
        <w:drawing>
          <wp:inline distT="0" distB="0" distL="0" distR="0" wp14:anchorId="135C688E" wp14:editId="5B23DAE3">
            <wp:extent cx="4229100" cy="198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ndit_supp_eq_corrected_080718.pdf"/>
                    <pic:cNvPicPr/>
                  </pic:nvPicPr>
                  <pic:blipFill>
                    <a:blip r:embed="rId10">
                      <a:extLst>
                        <a:ext uri="{28A0092B-C50C-407E-A947-70E740481C1C}">
                          <a14:useLocalDpi xmlns:a14="http://schemas.microsoft.com/office/drawing/2010/main" val="0"/>
                        </a:ext>
                      </a:extLst>
                    </a:blip>
                    <a:stretch>
                      <a:fillRect/>
                    </a:stretch>
                  </pic:blipFill>
                  <pic:spPr>
                    <a:xfrm>
                      <a:off x="0" y="0"/>
                      <a:ext cx="4229100" cy="1981200"/>
                    </a:xfrm>
                    <a:prstGeom prst="rect">
                      <a:avLst/>
                    </a:prstGeom>
                  </pic:spPr>
                </pic:pic>
              </a:graphicData>
            </a:graphic>
          </wp:inline>
        </w:drawing>
      </w:r>
    </w:p>
    <w:p w14:paraId="7CD24B23" w14:textId="77777777" w:rsidR="00BA5531" w:rsidRPr="00EC44E6" w:rsidRDefault="00BA5531" w:rsidP="00BA5531">
      <w:pPr>
        <w:rPr>
          <w:color w:val="000000" w:themeColor="text1"/>
        </w:rPr>
      </w:pPr>
      <w:r w:rsidRPr="00EC44E6">
        <w:rPr>
          <w:color w:val="000000" w:themeColor="text1"/>
        </w:rPr>
        <w:lastRenderedPageBreak/>
        <w:t xml:space="preserve">where eq. 1 is the standard delta learning rule for updating action values </w:t>
      </w:r>
      <w:r w:rsidRPr="00EC44E6">
        <w:rPr>
          <w:i/>
          <w:color w:val="000000" w:themeColor="text1"/>
        </w:rPr>
        <w:t>Q</w:t>
      </w:r>
      <w:r w:rsidRPr="00EC44E6">
        <w:rPr>
          <w:color w:val="000000" w:themeColor="text1"/>
        </w:rPr>
        <w:t xml:space="preserve"> at time </w:t>
      </w:r>
      <w:r w:rsidRPr="00EC44E6">
        <w:rPr>
          <w:i/>
          <w:color w:val="000000" w:themeColor="text1"/>
        </w:rPr>
        <w:t>t</w:t>
      </w:r>
      <w:r w:rsidRPr="00EC44E6">
        <w:rPr>
          <w:color w:val="000000" w:themeColor="text1"/>
        </w:rPr>
        <w:t xml:space="preserve">; eq. 2 specifies different learning rates for rewards and reward omissions; eq. 3 enables the decay (forgetting) of the values of unchosen stimuli controlled by the decay parameter </w:t>
      </w:r>
      <w:r w:rsidRPr="00EC44E6">
        <w:rPr>
          <w:color w:val="000000" w:themeColor="text1"/>
        </w:rPr>
        <w:sym w:font="Symbol" w:char="F06C"/>
      </w:r>
      <w:r w:rsidRPr="00EC44E6">
        <w:rPr>
          <w:color w:val="000000" w:themeColor="text1"/>
        </w:rPr>
        <w:t xml:space="preserve">; and eq. 4 is the standard softmax choice rule with a temperature (stochasticity) parameter </w:t>
      </w:r>
      <w:r w:rsidRPr="00EC44E6">
        <w:rPr>
          <w:color w:val="000000" w:themeColor="text1"/>
        </w:rPr>
        <w:sym w:font="Symbol" w:char="F062"/>
      </w:r>
      <w:r w:rsidRPr="00EC44E6">
        <w:rPr>
          <w:color w:val="000000" w:themeColor="text1"/>
        </w:rPr>
        <w:t>.</w:t>
      </w:r>
    </w:p>
    <w:p w14:paraId="2A996A5D" w14:textId="77777777" w:rsidR="00BA5531" w:rsidRPr="00EC44E6" w:rsidRDefault="00BA5531" w:rsidP="00BA5531">
      <w:pPr>
        <w:rPr>
          <w:rFonts w:eastAsia="Times New Roman"/>
          <w:color w:val="000000" w:themeColor="text1"/>
        </w:rPr>
      </w:pPr>
    </w:p>
    <w:p w14:paraId="5A9233F2" w14:textId="77777777" w:rsidR="00BA5531" w:rsidRPr="00EC44E6" w:rsidRDefault="00BA5531" w:rsidP="00BA5531">
      <w:pPr>
        <w:rPr>
          <w:rFonts w:eastAsia="Times New Roman"/>
          <w:color w:val="000000" w:themeColor="text1"/>
        </w:rPr>
      </w:pPr>
      <w:r w:rsidRPr="00EC44E6">
        <w:rPr>
          <w:rFonts w:eastAsia="Times New Roman"/>
          <w:color w:val="000000" w:themeColor="text1"/>
        </w:rPr>
        <w:t xml:space="preserve">Participants’ parameters were fit to this model and values of options at each trial were calculated based on these parameters and their history of choices and outcomes. These values were then used as regressors in fMRI analyses described in the main text. </w:t>
      </w:r>
    </w:p>
    <w:p w14:paraId="35DFB3AA" w14:textId="77777777" w:rsidR="00BA5531" w:rsidRPr="00EC44E6" w:rsidRDefault="00BA5531" w:rsidP="00BA5531">
      <w:pPr>
        <w:rPr>
          <w:rFonts w:eastAsia="Times New Roman"/>
          <w:color w:val="000000" w:themeColor="text1"/>
        </w:rPr>
      </w:pPr>
    </w:p>
    <w:p w14:paraId="61FC580C" w14:textId="185B809E" w:rsidR="00BA5531" w:rsidRPr="00EC44E6" w:rsidRDefault="00BA5531" w:rsidP="00BA5531">
      <w:pPr>
        <w:rPr>
          <w:rFonts w:ascii="Cambria" w:hAnsi="Cambria"/>
          <w:color w:val="000000" w:themeColor="text1"/>
          <w:u w:val="single"/>
        </w:rPr>
      </w:pPr>
      <w:r w:rsidRPr="00EC44E6">
        <w:rPr>
          <w:rFonts w:ascii="Cambria" w:hAnsi="Cambria"/>
          <w:color w:val="000000" w:themeColor="text1"/>
          <w:u w:val="single"/>
        </w:rPr>
        <w:t>fMRI Data Collection</w:t>
      </w:r>
      <w:r w:rsidR="00463486" w:rsidRPr="00EC44E6">
        <w:rPr>
          <w:rFonts w:ascii="Cambria" w:hAnsi="Cambria"/>
          <w:color w:val="000000" w:themeColor="text1"/>
          <w:u w:val="single"/>
        </w:rPr>
        <w:t>,</w:t>
      </w:r>
      <w:r w:rsidRPr="00EC44E6">
        <w:rPr>
          <w:rFonts w:ascii="Cambria" w:hAnsi="Cambria"/>
          <w:color w:val="000000" w:themeColor="text1"/>
          <w:u w:val="single"/>
        </w:rPr>
        <w:t xml:space="preserve"> Preprocessing</w:t>
      </w:r>
      <w:r w:rsidR="00463486" w:rsidRPr="00EC44E6">
        <w:rPr>
          <w:rFonts w:ascii="Cambria" w:hAnsi="Cambria"/>
          <w:color w:val="000000" w:themeColor="text1"/>
          <w:u w:val="single"/>
        </w:rPr>
        <w:t>, and First-Level Analysis</w:t>
      </w:r>
    </w:p>
    <w:p w14:paraId="28CAB5A7" w14:textId="77777777" w:rsidR="00BA5531" w:rsidRPr="00EC44E6" w:rsidRDefault="00BA5531" w:rsidP="00BA5531">
      <w:pPr>
        <w:rPr>
          <w:rFonts w:ascii="Cambria" w:hAnsi="Cambria"/>
          <w:color w:val="000000" w:themeColor="text1"/>
        </w:rPr>
      </w:pPr>
    </w:p>
    <w:p w14:paraId="03A793B9" w14:textId="2736D3F7" w:rsidR="005368E7" w:rsidRPr="00EC44E6" w:rsidRDefault="00BA5531" w:rsidP="005368E7">
      <w:pPr>
        <w:rPr>
          <w:rFonts w:ascii="Cambria" w:hAnsi="Cambria"/>
          <w:color w:val="000000" w:themeColor="text1"/>
        </w:rPr>
      </w:pPr>
      <w:bookmarkStart w:id="4" w:name="_Hlk25309408"/>
      <w:r w:rsidRPr="00EC44E6">
        <w:rPr>
          <w:rFonts w:ascii="Cambria" w:hAnsi="Cambria"/>
          <w:color w:val="000000" w:themeColor="text1"/>
        </w:rPr>
        <w:t xml:space="preserve">Participants were scanned on a 3T Siemens </w:t>
      </w:r>
      <w:r w:rsidR="00BD0715" w:rsidRPr="00EC44E6">
        <w:rPr>
          <w:rFonts w:ascii="Cambria" w:hAnsi="Cambria"/>
          <w:color w:val="000000" w:themeColor="text1"/>
        </w:rPr>
        <w:t>Trio</w:t>
      </w:r>
      <w:r w:rsidRPr="00EC44E6">
        <w:rPr>
          <w:rFonts w:ascii="Cambria" w:hAnsi="Cambria"/>
          <w:color w:val="000000" w:themeColor="text1"/>
        </w:rPr>
        <w:t xml:space="preserve"> MR scanner</w:t>
      </w:r>
      <w:r w:rsidR="005368E7" w:rsidRPr="00EC44E6">
        <w:rPr>
          <w:rFonts w:ascii="Cambria" w:hAnsi="Cambria"/>
          <w:color w:val="000000" w:themeColor="text1"/>
        </w:rPr>
        <w:t xml:space="preserve"> fitted with a 32-channel head coil</w:t>
      </w:r>
      <w:r w:rsidRPr="00EC44E6">
        <w:rPr>
          <w:rFonts w:ascii="Cambria" w:hAnsi="Cambria"/>
          <w:color w:val="000000" w:themeColor="text1"/>
        </w:rPr>
        <w:t xml:space="preserve">. Three runs of </w:t>
      </w:r>
      <w:r w:rsidR="005368E7" w:rsidRPr="00EC44E6">
        <w:rPr>
          <w:rFonts w:ascii="Cambria" w:hAnsi="Cambria"/>
          <w:color w:val="000000" w:themeColor="text1"/>
        </w:rPr>
        <w:t xml:space="preserve">simultaneous </w:t>
      </w:r>
      <w:proofErr w:type="spellStart"/>
      <w:r w:rsidRPr="00EC44E6">
        <w:rPr>
          <w:rFonts w:ascii="Cambria" w:hAnsi="Cambria"/>
          <w:color w:val="000000" w:themeColor="text1"/>
        </w:rPr>
        <w:t>multi</w:t>
      </w:r>
      <w:r w:rsidR="005368E7" w:rsidRPr="00EC44E6">
        <w:rPr>
          <w:rFonts w:ascii="Cambria" w:hAnsi="Cambria"/>
          <w:color w:val="000000" w:themeColor="text1"/>
        </w:rPr>
        <w:t>slice</w:t>
      </w:r>
      <w:proofErr w:type="spellEnd"/>
      <w:r w:rsidR="005368E7" w:rsidRPr="00EC44E6">
        <w:rPr>
          <w:rFonts w:ascii="Cambria" w:hAnsi="Cambria"/>
          <w:color w:val="000000" w:themeColor="text1"/>
        </w:rPr>
        <w:t>-accelerated</w:t>
      </w:r>
      <w:r w:rsidRPr="00EC44E6">
        <w:rPr>
          <w:rFonts w:ascii="Cambria" w:hAnsi="Cambria"/>
          <w:color w:val="000000" w:themeColor="text1"/>
        </w:rPr>
        <w:t xml:space="preserve"> echoplanar images (40 slices, voxel size = 3.125 mm</w:t>
      </w:r>
      <w:r w:rsidRPr="00EC44E6">
        <w:rPr>
          <w:rFonts w:ascii="Cambria" w:hAnsi="Cambria"/>
          <w:color w:val="000000" w:themeColor="text1"/>
          <w:vertAlign w:val="superscript"/>
        </w:rPr>
        <w:t>3</w:t>
      </w:r>
      <w:r w:rsidRPr="00EC44E6">
        <w:rPr>
          <w:rFonts w:ascii="Cambria" w:hAnsi="Cambria"/>
          <w:color w:val="000000" w:themeColor="text1"/>
        </w:rPr>
        <w:t xml:space="preserve">, flip angle = 45°, TR = 750 </w:t>
      </w:r>
      <w:proofErr w:type="spellStart"/>
      <w:r w:rsidRPr="00EC44E6">
        <w:rPr>
          <w:rFonts w:ascii="Cambria" w:hAnsi="Cambria"/>
          <w:color w:val="000000" w:themeColor="text1"/>
        </w:rPr>
        <w:t>ms</w:t>
      </w:r>
      <w:proofErr w:type="spellEnd"/>
      <w:r w:rsidRPr="00EC44E6">
        <w:rPr>
          <w:rFonts w:ascii="Cambria" w:hAnsi="Cambria"/>
          <w:color w:val="000000" w:themeColor="text1"/>
        </w:rPr>
        <w:t xml:space="preserve">, TE = 30 </w:t>
      </w:r>
      <w:proofErr w:type="spellStart"/>
      <w:r w:rsidRPr="00EC44E6">
        <w:rPr>
          <w:rFonts w:ascii="Cambria" w:hAnsi="Cambria"/>
          <w:color w:val="000000" w:themeColor="text1"/>
        </w:rPr>
        <w:t>ms</w:t>
      </w:r>
      <w:proofErr w:type="spellEnd"/>
      <w:r w:rsidRPr="00EC44E6">
        <w:rPr>
          <w:rFonts w:ascii="Cambria" w:hAnsi="Cambria"/>
          <w:color w:val="000000" w:themeColor="text1"/>
        </w:rPr>
        <w:t>, FOV = 200 mm, matrix = 64 x 64, multiband acceleration factor of 5</w:t>
      </w:r>
      <w:r w:rsidR="005368E7" w:rsidRPr="00EC44E6">
        <w:rPr>
          <w:rFonts w:ascii="Cambria" w:hAnsi="Cambria"/>
          <w:color w:val="000000" w:themeColor="text1"/>
        </w:rPr>
        <w:t>, anterior-to-posterior phase encoding direction</w:t>
      </w:r>
      <w:r w:rsidRPr="00EC44E6">
        <w:rPr>
          <w:rFonts w:ascii="Cambria" w:hAnsi="Cambria"/>
          <w:color w:val="000000" w:themeColor="text1"/>
        </w:rPr>
        <w:t xml:space="preserve">) were collected at a 30° </w:t>
      </w:r>
      <w:proofErr w:type="spellStart"/>
      <w:r w:rsidRPr="00EC44E6">
        <w:rPr>
          <w:rFonts w:ascii="Cambria" w:hAnsi="Cambria"/>
          <w:color w:val="000000" w:themeColor="text1"/>
        </w:rPr>
        <w:t>hyperangulation</w:t>
      </w:r>
      <w:proofErr w:type="spellEnd"/>
      <w:r w:rsidRPr="00EC44E6">
        <w:rPr>
          <w:rFonts w:ascii="Cambria" w:hAnsi="Cambria"/>
          <w:color w:val="000000" w:themeColor="text1"/>
        </w:rPr>
        <w:t xml:space="preserve"> from the AC-PC line while participants performed the learning task. To aid in registration</w:t>
      </w:r>
      <w:r w:rsidR="005368E7" w:rsidRPr="00EC44E6">
        <w:rPr>
          <w:rFonts w:ascii="Cambria" w:hAnsi="Cambria"/>
          <w:color w:val="000000" w:themeColor="text1"/>
        </w:rPr>
        <w:t xml:space="preserve"> and to quantify local magnetic field inhomogeneity</w:t>
      </w:r>
      <w:r w:rsidRPr="00EC44E6">
        <w:rPr>
          <w:rFonts w:ascii="Cambria" w:hAnsi="Cambria"/>
          <w:color w:val="000000" w:themeColor="text1"/>
        </w:rPr>
        <w:t>, a high-resolution anatomical MPRAGE T1 scan (voxel size = 1 mm</w:t>
      </w:r>
      <w:r w:rsidRPr="00EC44E6">
        <w:rPr>
          <w:rFonts w:ascii="Cambria" w:hAnsi="Cambria"/>
          <w:color w:val="000000" w:themeColor="text1"/>
          <w:vertAlign w:val="superscript"/>
        </w:rPr>
        <w:t>3</w:t>
      </w:r>
      <w:r w:rsidRPr="00EC44E6">
        <w:rPr>
          <w:rFonts w:ascii="Cambria" w:hAnsi="Cambria"/>
          <w:color w:val="000000" w:themeColor="text1"/>
        </w:rPr>
        <w:t xml:space="preserve">, flip angle = 9°, TR = 2.3 s, TE = 3.43 </w:t>
      </w:r>
      <w:proofErr w:type="spellStart"/>
      <w:r w:rsidRPr="00EC44E6">
        <w:rPr>
          <w:rFonts w:ascii="Cambria" w:hAnsi="Cambria"/>
          <w:color w:val="000000" w:themeColor="text1"/>
        </w:rPr>
        <w:t>ms</w:t>
      </w:r>
      <w:proofErr w:type="spellEnd"/>
      <w:r w:rsidRPr="00EC44E6">
        <w:rPr>
          <w:rFonts w:ascii="Cambria" w:hAnsi="Cambria"/>
          <w:color w:val="000000" w:themeColor="text1"/>
        </w:rPr>
        <w:t>, FOV = 256 mm, matrix = 256 x 256)</w:t>
      </w:r>
      <w:r w:rsidR="005368E7" w:rsidRPr="00EC44E6">
        <w:rPr>
          <w:rFonts w:ascii="Cambria" w:hAnsi="Cambria"/>
          <w:color w:val="000000" w:themeColor="text1"/>
        </w:rPr>
        <w:t xml:space="preserve"> and a two-echo gradient echo </w:t>
      </w:r>
      <w:proofErr w:type="spellStart"/>
      <w:r w:rsidR="005368E7" w:rsidRPr="00EC44E6">
        <w:rPr>
          <w:rFonts w:ascii="Cambria" w:hAnsi="Cambria"/>
          <w:color w:val="000000" w:themeColor="text1"/>
        </w:rPr>
        <w:t>fieldmap</w:t>
      </w:r>
      <w:proofErr w:type="spellEnd"/>
      <w:r w:rsidR="005368E7" w:rsidRPr="00EC44E6">
        <w:rPr>
          <w:rFonts w:ascii="Cambria" w:hAnsi="Cambria"/>
          <w:color w:val="000000" w:themeColor="text1"/>
        </w:rPr>
        <w:t xml:space="preserve"> (TE1 = 4.92 </w:t>
      </w:r>
      <w:proofErr w:type="spellStart"/>
      <w:r w:rsidR="005368E7" w:rsidRPr="00EC44E6">
        <w:rPr>
          <w:rFonts w:ascii="Cambria" w:hAnsi="Cambria"/>
          <w:color w:val="000000" w:themeColor="text1"/>
        </w:rPr>
        <w:t>ms</w:t>
      </w:r>
      <w:proofErr w:type="spellEnd"/>
      <w:r w:rsidR="005368E7" w:rsidRPr="00EC44E6">
        <w:rPr>
          <w:rFonts w:ascii="Cambria" w:hAnsi="Cambria"/>
          <w:color w:val="000000" w:themeColor="text1"/>
        </w:rPr>
        <w:t xml:space="preserve">, TE2 = 7.38 </w:t>
      </w:r>
      <w:proofErr w:type="spellStart"/>
      <w:r w:rsidR="005368E7" w:rsidRPr="00EC44E6">
        <w:rPr>
          <w:rFonts w:ascii="Cambria" w:hAnsi="Cambria"/>
          <w:color w:val="000000" w:themeColor="text1"/>
        </w:rPr>
        <w:t>ms</w:t>
      </w:r>
      <w:proofErr w:type="spellEnd"/>
      <w:r w:rsidR="005368E7" w:rsidRPr="00EC44E6">
        <w:rPr>
          <w:rFonts w:ascii="Cambria" w:hAnsi="Cambria"/>
          <w:color w:val="000000" w:themeColor="text1"/>
        </w:rPr>
        <w:t>)</w:t>
      </w:r>
      <w:r w:rsidRPr="00EC44E6">
        <w:rPr>
          <w:rFonts w:ascii="Cambria" w:hAnsi="Cambria"/>
          <w:color w:val="000000" w:themeColor="text1"/>
        </w:rPr>
        <w:t xml:space="preserve"> </w:t>
      </w:r>
      <w:r w:rsidR="005368E7" w:rsidRPr="00EC44E6">
        <w:rPr>
          <w:rFonts w:ascii="Cambria" w:hAnsi="Cambria"/>
          <w:color w:val="000000" w:themeColor="text1"/>
        </w:rPr>
        <w:t>were</w:t>
      </w:r>
      <w:r w:rsidRPr="00EC44E6">
        <w:rPr>
          <w:rFonts w:ascii="Cambria" w:hAnsi="Cambria"/>
          <w:color w:val="000000" w:themeColor="text1"/>
        </w:rPr>
        <w:t xml:space="preserve"> collected. </w:t>
      </w:r>
    </w:p>
    <w:p w14:paraId="4EDAE1B2" w14:textId="77777777" w:rsidR="005368E7" w:rsidRPr="00EC44E6" w:rsidRDefault="005368E7" w:rsidP="005368E7">
      <w:pPr>
        <w:rPr>
          <w:rFonts w:ascii="Cambria" w:hAnsi="Cambria"/>
          <w:color w:val="000000" w:themeColor="text1"/>
        </w:rPr>
      </w:pPr>
    </w:p>
    <w:p w14:paraId="3E113A10" w14:textId="7D6E61A6" w:rsidR="005368E7" w:rsidRPr="00EC44E6" w:rsidRDefault="00BA5531" w:rsidP="005368E7">
      <w:pPr>
        <w:rPr>
          <w:rFonts w:eastAsia="Times New Roman"/>
          <w:color w:val="000000" w:themeColor="text1"/>
        </w:rPr>
      </w:pPr>
      <w:r w:rsidRPr="00EC44E6">
        <w:rPr>
          <w:rFonts w:ascii="Cambria" w:hAnsi="Cambria"/>
          <w:color w:val="000000" w:themeColor="text1"/>
        </w:rPr>
        <w:t xml:space="preserve">Preprocessing was conducted with a custom pipeline using FSL and AFNI and consisted of: slice timing correction, motion correction, co-registration to the structural image, intensity thresholding, normalization and nonlinear transformation to MNI space, smoothing (8 mm FWHM), high-pass filtering, and intensity normalization. </w:t>
      </w:r>
      <w:r w:rsidR="005368E7" w:rsidRPr="00EC44E6">
        <w:rPr>
          <w:rFonts w:eastAsia="Times New Roman"/>
          <w:color w:val="000000" w:themeColor="text1"/>
        </w:rPr>
        <w:t xml:space="preserve">To reduce distortion due to susceptibility artifacts, particularly near the vmPFC, we applied a </w:t>
      </w:r>
      <w:proofErr w:type="spellStart"/>
      <w:r w:rsidR="005368E7" w:rsidRPr="00EC44E6">
        <w:rPr>
          <w:rFonts w:eastAsia="Times New Roman"/>
          <w:color w:val="000000" w:themeColor="text1"/>
        </w:rPr>
        <w:t>fieldmap</w:t>
      </w:r>
      <w:proofErr w:type="spellEnd"/>
      <w:r w:rsidR="005368E7" w:rsidRPr="00EC44E6">
        <w:rPr>
          <w:rFonts w:eastAsia="Times New Roman"/>
          <w:color w:val="000000" w:themeColor="text1"/>
        </w:rPr>
        <w:t xml:space="preserve"> correction implemented in FSL FUGUE to the functional data. This was implemented as part of a one-step interpolation that transformed subjects’ data into MNI152 template space. More specifically, the alignment of subjects’ functional images to their anatomical scan was computed using the white matter segmentation of each image and a boundary-based registration algorithm</w:t>
      </w:r>
      <w:r w:rsidR="00EE5729" w:rsidRPr="00EC44E6">
        <w:rPr>
          <w:rFonts w:eastAsia="Times New Roman"/>
          <w:color w:val="000000" w:themeColor="text1"/>
        </w:rPr>
        <w:t xml:space="preserve"> </w:t>
      </w:r>
      <w:r w:rsidR="00EE5729" w:rsidRPr="00EC44E6">
        <w:rPr>
          <w:rFonts w:eastAsia="Times New Roman"/>
          <w:color w:val="000000" w:themeColor="text1"/>
        </w:rPr>
        <w:fldChar w:fldCharType="begin" w:fldLock="1"/>
      </w:r>
      <w:r w:rsidR="00570D8E" w:rsidRPr="00EC44E6">
        <w:rPr>
          <w:rFonts w:eastAsia="Times New Roman"/>
          <w:color w:val="000000" w:themeColor="text1"/>
        </w:rPr>
        <w:instrText>ADDIN CSL_CITATION {"citationItems":[{"id":"ITEM-1","itemData":{"DOI":"10.1016/j.neuroimage.2009.06.060","ISSN":"10538119","PMID":"19573611","abstract":"The fine spatial scales of the structures in the human brain represent an enormous challenge to the successful integration of information from different images for both within- and between-subject analysis. While many algorithms to register image pairs from the same subject exist, visual inspection shows that their accuracy and robustness to be suspect, particularly when there are strong intensity gradients and/or only part of the brain is imaged. This paper introduces a new algorithm called Boundary-Based Registration, or BBR. The novelty of BBR is that it treats the two images very differently. The reference image must be of sufficient resolution and quality to extract surfaces that separate tissue types. The input image is then aligned to the reference by maximizing the intensity gradient across tissue boundaries. Several lower quality images can be aligned through their alignment with the reference. Visual inspection and fMRI results show that BBR is more accurate than correlation ratio or normalized mutual information and is considerably more robust to even strong intensity inhomogeneities. BBR also excels at aligning partial-brain images to whole-brain images, a domain in which existing registration algorithms frequently fail. Even in the limit of registering a single slice, we show the BBR results to be robust and accurate. © 2009 Elsevier Inc. All rights reserved.","author":[{"dropping-particle":"","family":"Greve","given":"Douglas N.","non-dropping-particle":"","parse-names":false,"suffix":""},{"dropping-particle":"","family":"Fischl","given":"Bruce","non-dropping-particle":"","parse-names":false,"suffix":""}],"container-title":"NeuroImage","id":"ITEM-1","issue":"1","issued":{"date-parts":[["2009"]]},"page":"63-72","publisher":"Elsevier Inc.","title":"Accurate and robust brain image alignment using boundary-based registration","type":"article-journal","volume":"48"},"uris":["http://www.mendeley.com/documents/?uuid=88471163-8832-4d37-b770-c5d99300ffe7"]}],"mendeley":{"formattedCitation":"&lt;span style=\"baseline\"&gt;[10]&lt;/span&gt;","plainTextFormattedCitation":"[10]","previouslyFormattedCitation":"&lt;span style=\"baseline\"&gt;[10]&lt;/span&gt;"},"properties":{"noteIndex":0},"schema":"https://github.com/citation-style-language/schema/raw/master/csl-citation.json"}</w:instrText>
      </w:r>
      <w:r w:rsidR="00EE5729" w:rsidRPr="00EC44E6">
        <w:rPr>
          <w:rFonts w:eastAsia="Times New Roman"/>
          <w:color w:val="000000" w:themeColor="text1"/>
        </w:rPr>
        <w:fldChar w:fldCharType="separate"/>
      </w:r>
      <w:r w:rsidR="00A43E00" w:rsidRPr="00EC44E6">
        <w:rPr>
          <w:rFonts w:eastAsia="Times New Roman"/>
          <w:noProof/>
          <w:color w:val="000000" w:themeColor="text1"/>
        </w:rPr>
        <w:t>[10]</w:t>
      </w:r>
      <w:r w:rsidR="00EE5729" w:rsidRPr="00EC44E6">
        <w:rPr>
          <w:rFonts w:eastAsia="Times New Roman"/>
          <w:color w:val="000000" w:themeColor="text1"/>
        </w:rPr>
        <w:fldChar w:fldCharType="end"/>
      </w:r>
      <w:r w:rsidR="005368E7" w:rsidRPr="00EC44E6">
        <w:rPr>
          <w:rFonts w:eastAsia="Times New Roman"/>
          <w:color w:val="000000" w:themeColor="text1"/>
        </w:rPr>
        <w:t xml:space="preserve">, augmented by </w:t>
      </w:r>
      <w:proofErr w:type="spellStart"/>
      <w:r w:rsidR="005368E7" w:rsidRPr="00EC44E6">
        <w:rPr>
          <w:rFonts w:eastAsia="Times New Roman"/>
          <w:color w:val="000000" w:themeColor="text1"/>
        </w:rPr>
        <w:t>fieldmap</w:t>
      </w:r>
      <w:proofErr w:type="spellEnd"/>
      <w:r w:rsidR="005368E7" w:rsidRPr="00EC44E6">
        <w:rPr>
          <w:rFonts w:eastAsia="Times New Roman"/>
          <w:color w:val="000000" w:themeColor="text1"/>
        </w:rPr>
        <w:t xml:space="preserve"> unwarping coefficients estimated by FUGUE. Given the low contrast between gray and white matter in echoplanar scans with fast repetition times, we first aligned functional scans to a single-band fMRI reference image with better contrast. The reference image was acquired using the same scanning parameters, but without multiband acceleration. Finally, functional scans were warped into MNI152 template space (3mm resolution) in a single step using the concatenation of functional-reference, </w:t>
      </w:r>
      <w:proofErr w:type="spellStart"/>
      <w:r w:rsidR="005368E7" w:rsidRPr="00EC44E6">
        <w:rPr>
          <w:rFonts w:eastAsia="Times New Roman"/>
          <w:color w:val="000000" w:themeColor="text1"/>
        </w:rPr>
        <w:t>fieldmap</w:t>
      </w:r>
      <w:proofErr w:type="spellEnd"/>
      <w:r w:rsidR="005368E7" w:rsidRPr="00EC44E6">
        <w:rPr>
          <w:rFonts w:eastAsia="Times New Roman"/>
          <w:color w:val="000000" w:themeColor="text1"/>
        </w:rPr>
        <w:t xml:space="preserve"> unwarping, reference-structural, and structural-MNI152 transforms.</w:t>
      </w:r>
    </w:p>
    <w:bookmarkEnd w:id="4"/>
    <w:p w14:paraId="35ED4DD5" w14:textId="77777777" w:rsidR="005368E7" w:rsidRPr="00EC44E6" w:rsidRDefault="005368E7" w:rsidP="00BA5531">
      <w:pPr>
        <w:rPr>
          <w:rFonts w:ascii="Cambria" w:hAnsi="Cambria"/>
          <w:color w:val="000000" w:themeColor="text1"/>
        </w:rPr>
      </w:pPr>
    </w:p>
    <w:p w14:paraId="6BCFABEF" w14:textId="1DCDF072" w:rsidR="00BA5531" w:rsidRPr="00EC44E6" w:rsidRDefault="00BA5531" w:rsidP="00BA5531">
      <w:pPr>
        <w:rPr>
          <w:rFonts w:eastAsia="Times New Roman"/>
          <w:color w:val="000000" w:themeColor="text1"/>
        </w:rPr>
      </w:pPr>
      <w:r w:rsidRPr="00EC44E6">
        <w:rPr>
          <w:rFonts w:ascii="Cambria" w:hAnsi="Cambria"/>
          <w:color w:val="000000" w:themeColor="text1"/>
        </w:rPr>
        <w:t xml:space="preserve">Participants with poor fMRI image quality, who were not able to complete the scan due to discomfort, or with data lost due to scanner malfunctions or data collection issues (n = 19) were excluded from analyses. For participants included in analyses, framewise displacement (FD) was calculated and volumes with FD greater than 0.9 mm were censored during analysis </w:t>
      </w:r>
      <w:r w:rsidRPr="00EC44E6">
        <w:rPr>
          <w:rFonts w:ascii="Cambria" w:hAnsi="Cambria"/>
          <w:color w:val="000000" w:themeColor="text1"/>
        </w:rPr>
        <w:fldChar w:fldCharType="begin" w:fldLock="1"/>
      </w:r>
      <w:r w:rsidR="00570D8E" w:rsidRPr="00EC44E6">
        <w:rPr>
          <w:rFonts w:ascii="Cambria" w:hAnsi="Cambria"/>
          <w:color w:val="000000" w:themeColor="text1"/>
        </w:rPr>
        <w:instrText>ADDIN CSL_CITATION {"citationID":"I5WqE6FJ","citationItems":[{"id":"ITEM-1","itemData":{"DOI":"10.1002/hbm.22307","ISSN":"10659471","author":[{"dropping-particle":"","family":"Siegel","given":"Joshua S","non-dropping-particle":"","parse-names":false,"suffix":""},{"dropping-particle":"","family":"Power","given":"Jonathan D","non-dropping-particle":"","parse-names":false,"suffix":""},{"dropping-particle":"","family":"Dubis","given":"Joseph W","non-dropping-particle":"","parse-names":false,"suffix":""},{"dropping-particle":"","family":"Vogel","given":"Alecia C","non-dropping-particle":"","parse-names":false,"suffix":""},{"dropping-particle":"","family":"Church","given":"Jessica A","non-dropping-particle":"","parse-names":false,"suffix":""},{"dropping-particle":"","family":"Schlaggar","given":"Bradley L","non-dropping-particle":"","parse-names":false,"suffix":""},{"dropping-particle":"","family":"Petersen","given":"Steven E","non-dropping-particle":"","parse-names":false,"suffix":""}],"container-title":"Human Brain Mapping","id":"ITEM-1","issue":"April","issued":{"date-parts":[["2014","7","17"]]},"note":"From Duplicate 1 (Statistical improvements in functional magnetic resonance imaging analyses produced by censoring high-motion data points - Siegel, Joshua S; Power, Jonathan D; Dubis, Joseph W; Vogel, Alecia C; Church, Jessica A; Schlaggar, Bradley L; Petersen, Steven E)\n\nFrom Duplicate 1 (Statistical improvements in functional magnetic resonance imaging analyses produced by censoring high-motion data points - Siegel, Joshua S; Power, Jonathan D; Dubis, Joseph W; Vogel, Alecia C; Church, Jessica A; Schlaggar, Bradley L; Petersen, Steven E)\n\nFrom Duplicate 1 ( Statistical improvements in functional magnetic resonance imaging analyses produced by censoring high-motion data points - Siegel, Joshua S; Power, Jonathan D; Dubis, Joseph W; Vogel, Alecia C; Church, Jessica A; Schlaggar, Bradley L; Petersen, Steven E )\n\nFrom Duplicate 2 ( Statistical improvements in functional magnetic resonance imaging analyses produced by censoring high-motion data points - Siegel, Joshua S.; Power, Jonathan D.; Dubis, Joseph W.; Vogel, Alecia C.; Church, Jessica a.; Schlaggar, Bradley L.; Petersen, Steven E. )\n","page":"1981-1996","title":"Statistical improvements in functional magnetic resonance imaging analyses produced by censoring high-motion data points","type":"article-journal","volume":"35"},"uris":["http://www.mendeley.com/documents/?uuid=23fa86a9-8f84-4be2-8e5a-5d4fe2dba860"]}],"mendeley":{"formattedCitation":"&lt;span style=\"baseline\"&gt;[11]&lt;/span&gt;","plainTextFormattedCitation":"[11]","previouslyFormattedCitation":"&lt;span style=\"baseline\"&gt;[11]&lt;/span&gt;"},"properties":{"formattedCitation":"(Siegel et al., 2014)","noteIndex":0,"plainCitation":"(Siegel et al., 2014)"},"schema":"https://github.com/citation-style-language/schema/raw/master/csl-citation.json"}</w:instrText>
      </w:r>
      <w:r w:rsidRPr="00EC44E6">
        <w:rPr>
          <w:rFonts w:ascii="Cambria" w:hAnsi="Cambria"/>
          <w:color w:val="000000" w:themeColor="text1"/>
        </w:rPr>
        <w:fldChar w:fldCharType="separate"/>
      </w:r>
      <w:r w:rsidR="00A43E00" w:rsidRPr="00EC44E6">
        <w:rPr>
          <w:rFonts w:ascii="Cambria" w:hAnsi="Cambria"/>
          <w:noProof/>
          <w:color w:val="000000" w:themeColor="text1"/>
        </w:rPr>
        <w:t>[11]</w:t>
      </w:r>
      <w:r w:rsidRPr="00EC44E6">
        <w:rPr>
          <w:rFonts w:ascii="Cambria" w:hAnsi="Cambria"/>
          <w:color w:val="000000" w:themeColor="text1"/>
        </w:rPr>
        <w:fldChar w:fldCharType="end"/>
      </w:r>
      <w:r w:rsidRPr="00EC44E6">
        <w:rPr>
          <w:rFonts w:ascii="Cambria" w:hAnsi="Cambria"/>
          <w:color w:val="000000" w:themeColor="text1"/>
        </w:rPr>
        <w:t>.</w:t>
      </w:r>
    </w:p>
    <w:p w14:paraId="1903DB93" w14:textId="77777777" w:rsidR="00BA5531" w:rsidRPr="00EC44E6" w:rsidRDefault="00BA5531" w:rsidP="00BA5531">
      <w:pPr>
        <w:rPr>
          <w:color w:val="000000" w:themeColor="text1"/>
        </w:rPr>
      </w:pPr>
    </w:p>
    <w:p w14:paraId="440B51AC" w14:textId="390FED38" w:rsidR="00463486" w:rsidRPr="00EC44E6" w:rsidRDefault="00463486" w:rsidP="00BA5531">
      <w:pPr>
        <w:rPr>
          <w:color w:val="000000" w:themeColor="text1"/>
        </w:rPr>
      </w:pPr>
      <w:proofErr w:type="spellStart"/>
      <w:r w:rsidRPr="00EC44E6">
        <w:rPr>
          <w:color w:val="000000" w:themeColor="text1"/>
        </w:rPr>
        <w:t>Voxelwise</w:t>
      </w:r>
      <w:proofErr w:type="spellEnd"/>
      <w:r w:rsidRPr="00EC44E6">
        <w:rPr>
          <w:color w:val="000000" w:themeColor="text1"/>
        </w:rPr>
        <w:t xml:space="preserve"> general linear models (GLMs) were estimated with AFNI with autocorrelation accounted for by an ARMA(1,1) model. </w:t>
      </w:r>
      <w:bookmarkStart w:id="5" w:name="_Hlk25064706"/>
      <w:r w:rsidRPr="00EC44E6">
        <w:rPr>
          <w:color w:val="000000" w:themeColor="text1"/>
        </w:rPr>
        <w:t>S</w:t>
      </w:r>
      <w:r w:rsidR="00BF1E7E" w:rsidRPr="00EC44E6">
        <w:rPr>
          <w:color w:val="000000" w:themeColor="text1"/>
        </w:rPr>
        <w:t>imilar to previous work</w:t>
      </w:r>
      <w:r w:rsidR="00570D8E" w:rsidRPr="00EC44E6">
        <w:rPr>
          <w:color w:val="000000" w:themeColor="text1"/>
        </w:rPr>
        <w:fldChar w:fldCharType="begin" w:fldLock="1"/>
      </w:r>
      <w:r w:rsidR="00570D8E" w:rsidRPr="00EC44E6">
        <w:rPr>
          <w:color w:val="000000" w:themeColor="text1"/>
        </w:rPr>
        <w:instrText>ADDIN CSL_CITATION {"citationItems":[{"id":"ITEM-1","itemData":{"DOI":"10.1001/jamapsychiatry.2013.75","ISSN":"2168-6238","PMID":"23925710","abstract":"IMPORTANCE Suicide can be viewed as an escape from unendurable punishment at the cost of any future rewards. Could faulty estimation of these outcomes predispose to suicidal behavior? In behavioral studies, many of those who have attempted suicide misestimate expected rewards on gambling and probabilistic learning tasks. OBJECTIVES To describe the neural circuit abnormalities that underlie disadvantageous choices in people at risk for suicide and to relate these abnormalities to impulsivity, which is one of the components of vulnerability to suicide. DESIGN Case-control functional magnetic resonance imaging study of reward learning using a reinforcement learning model. SETTING University hospital and outpatient clinic. PATIENTS Fifty-three participants 60 years or older, including 15 depressed patients who had attempted suicide, 18 depressed patients who had never attempted suicide (depressed control subjects), and 20 psychiatrically healthy controls. MAIN OUTCOMES AND MEASURES Components of the cortical blood oxygenation level-dependent response tracking expected and unpredicted rewards. RESULTS Depressed elderly participants displayed 2 distinct disruptions of control over reward-guided behavior. First, impulsivity and a history of suicide attempts (particularly poorly planned ones) were associated with a weakened expected reward signal in the paralimbic cortex, which in turn predicted the behavioral insensitivity to contingency change. Second, depression was associated with disrupted corticostriatothalamic encoding of unpredicted rewards, which in turn predicted the behavioral oversensitivity to punishment. These results were robust to the effects of possible brain damage from suicide attempts, depressive severity, co-occurring substance use and anxiety disorders, antidepressant and anticholinergic exposure, lifetime exposure to electroconvulsive therapy, vascular illness, and incipient dementia. CONCLUSIONS AND RELEVANCE Altered paralimbic reward signals and impulsivity and/or carelessness may facilitate unplanned suicidal acts. This pattern, also seen in gambling and cocaine use, may reflect a primary deficit in the paralimbic cortex or in its mesolimbic input. The overreactivity to punishment in depression may be caused in part by a disruption of appetitive learning in the corticostriatothalamic circuits.","author":[{"dropping-particle":"","family":"Dombrovski","given":"Alexandre Y","non-dropping-particle":"","parse-names":false,"suffix":""},{"dropping-particle":"","family":"Szanto","given":"Katalin","non-dropping-particle":"","parse-names":false,"suffix":""},{"dropping-particle":"","family":"Clark","given":"Luke","non-dropping-particle":"","parse-names":false,"suffix":""},{"dropping-particle":"","family":"Reynolds","given":"Charles F","non-dropping-particle":"","parse-names":false,"suffix":""},{"dropping-particle":"","family":"Siegle","given":"Greg J","non-dropping-particle":"","parse-names":false,"suffix":""}],"container-title":"JAMA Psychiatry","id":"ITEM-1","issued":{"date-parts":[["2013","8","7"]]},"note":"From Duplicate 2 (Reward signals, attempted suicide, and impulsivity in late-life depression. - Dombrovski, Alexandre Y; Szanto, Katalin; Clark, Luke; Reynolds, Charles F; Siegle, Greg J)\n\nFrom Duplicate 1 (Reward signals, attempted suicide, and impulsivity in late-life depression. - Dombrovski, Alexandre Y; Szanto, Katalin; Clark, Luke; Reynolds, Charles F; Siegle, Greg J)\n\nFrom Duplicate 2 ( \n\nReward signals, attempted suicide, and impulsivity in late-life depression.\n\n- Dombrovski, Alexandre Y; Szanto, Katalin; Clark, Luke; Reynolds, Charles F; Siegle, Greg J )\n\n\n\n\nFrom Duplicate 2 ( \n\n\nReward signals, attempted suicide, and impulsivity in late-life depression.\n\n\n- Dombrovski, Alexandre Y; Szanto, Katalin; Clark, Luke; Reynolds, Charles F; Siegle, Greg J )\n\n\n\nFrom Duplicate 2 (Reward signals, attempted suicide, and impulsivity in late-life depression. - Dombrovski, Alexandre Y; Szanto, Katalin; Clark, Luke; Reynolds, Charles F; Siegle, Greg J)\n\nFrom Duplicate 2 (Reward signals, attempted suicide, and impulsivity in late-life depression. - Dombrovski, Alexandre Y; Szanto, Katalin; Clark, Luke; Reynolds, Charles F; Siegle, Greg J)\n\nFrom Duplicate 1 ( \n\n\nReward signals, attempted suicide, and impulsivity in late-life depression.\n\n\n- Dombrovski, Alexandre Y; Szanto, Katalin; Clark, Luke; Reynolds, Charles F; Siegle, Greg J )\n\n\n\n\nFrom Duplicate 2 ( \n\n\nReward signals, attempted suicide, and impulsivity in late-life depression.\n\n\n- Dombrovski, Alexandre Y; Szanto, Katalin; Clark, Luke; Reynolds, Charles F; Siegle, Greg J )\n\n\n\n\nFrom Duplicate 2 ( \n\n\nReward signals, attempted suicide, and impulsivity in late-life depression.\n\n\n- Dombrovski, Alexandre Y; Szanto, Katalin; Clark, Luke; Reynolds, Charles F; Siegle, Greg J )\n\n","title":"Reward signals, attempted suicide, and impulsivity in late-life depression.","type":"article-journal","volume":"15213"},"uris":["http://www.mendeley.com/documents/?uuid=2494f12b-587b-491b-89a3-5f92813cc069"]}],"mendeley":{"formattedCitation":"&lt;span style=\"baseline\"&gt;[2]&lt;/span&gt;","plainTextFormattedCitation":"[2]"},"properties":{"noteIndex":0},"schema":"https://github.com/citation-style-language/schema/raw/master/csl-citation.json"}</w:instrText>
      </w:r>
      <w:r w:rsidR="00570D8E" w:rsidRPr="00EC44E6">
        <w:rPr>
          <w:color w:val="000000" w:themeColor="text1"/>
        </w:rPr>
        <w:fldChar w:fldCharType="separate"/>
      </w:r>
      <w:r w:rsidR="00570D8E" w:rsidRPr="00EC44E6">
        <w:rPr>
          <w:noProof/>
          <w:color w:val="000000" w:themeColor="text1"/>
        </w:rPr>
        <w:t>[2]</w:t>
      </w:r>
      <w:r w:rsidR="00570D8E" w:rsidRPr="00EC44E6">
        <w:rPr>
          <w:color w:val="000000" w:themeColor="text1"/>
        </w:rPr>
        <w:fldChar w:fldCharType="end"/>
      </w:r>
      <w:r w:rsidR="00BF1E7E" w:rsidRPr="00EC44E6">
        <w:rPr>
          <w:color w:val="000000" w:themeColor="text1"/>
        </w:rPr>
        <w:t>, s</w:t>
      </w:r>
      <w:r w:rsidRPr="00EC44E6">
        <w:rPr>
          <w:color w:val="000000" w:themeColor="text1"/>
        </w:rPr>
        <w:t xml:space="preserve">ubject-level analyses </w:t>
      </w:r>
      <w:r w:rsidRPr="00EC44E6">
        <w:rPr>
          <w:color w:val="000000" w:themeColor="text1"/>
        </w:rPr>
        <w:lastRenderedPageBreak/>
        <w:t>included regressors for expected value (calculated from the computational model described above) as a parametric modulator at the time of feedback as well as regressors for trial onset, button press, run number, and censored high-motion volumes. Using the maximum available value at the time of feedback allowed for assessment of value-related processes at the time value was updated and in a manner that was insensitive to noise in model fitting or in participants’ decisions.</w:t>
      </w:r>
      <w:bookmarkEnd w:id="5"/>
      <w:r w:rsidRPr="00EC44E6">
        <w:rPr>
          <w:color w:val="000000" w:themeColor="text1"/>
        </w:rPr>
        <w:t xml:space="preserve">  </w:t>
      </w:r>
    </w:p>
    <w:p w14:paraId="77C5235D" w14:textId="0BA1E461" w:rsidR="00EE5729" w:rsidRPr="00EC44E6" w:rsidRDefault="00EE5729" w:rsidP="00BA5531">
      <w:pPr>
        <w:rPr>
          <w:color w:val="000000" w:themeColor="text1"/>
        </w:rPr>
      </w:pPr>
      <w:bookmarkStart w:id="6" w:name="_GoBack"/>
      <w:bookmarkEnd w:id="6"/>
    </w:p>
    <w:p w14:paraId="5CC30925" w14:textId="77777777" w:rsidR="00A43E00" w:rsidRPr="00EC44E6" w:rsidRDefault="00A43E00" w:rsidP="00BA5531">
      <w:pPr>
        <w:rPr>
          <w:color w:val="000000" w:themeColor="text1"/>
        </w:rPr>
      </w:pPr>
    </w:p>
    <w:p w14:paraId="252648E2" w14:textId="116BC654" w:rsidR="00EE5729" w:rsidRPr="00EC44E6" w:rsidRDefault="00EE5729" w:rsidP="00BA5531">
      <w:pPr>
        <w:rPr>
          <w:color w:val="000000" w:themeColor="text1"/>
          <w:u w:val="single"/>
        </w:rPr>
      </w:pPr>
      <w:r w:rsidRPr="00EC44E6">
        <w:rPr>
          <w:color w:val="000000" w:themeColor="text1"/>
          <w:u w:val="single"/>
        </w:rPr>
        <w:t>Supplementary References</w:t>
      </w:r>
    </w:p>
    <w:p w14:paraId="6EA44759" w14:textId="2F52226F" w:rsidR="00EE5729" w:rsidRPr="00EC44E6" w:rsidRDefault="00EE5729" w:rsidP="00BA5531">
      <w:pPr>
        <w:rPr>
          <w:color w:val="000000" w:themeColor="text1"/>
        </w:rPr>
      </w:pPr>
      <w:r w:rsidRPr="00EC44E6">
        <w:rPr>
          <w:color w:val="000000" w:themeColor="text1"/>
        </w:rPr>
        <w:t xml:space="preserve"> </w:t>
      </w:r>
    </w:p>
    <w:p w14:paraId="07D5996D" w14:textId="75127945" w:rsidR="00570D8E" w:rsidRPr="00EC44E6" w:rsidRDefault="00A43E00" w:rsidP="00570D8E">
      <w:pPr>
        <w:widowControl w:val="0"/>
        <w:autoSpaceDE w:val="0"/>
        <w:autoSpaceDN w:val="0"/>
        <w:adjustRightInd w:val="0"/>
        <w:ind w:left="640" w:hanging="640"/>
        <w:rPr>
          <w:rFonts w:ascii="Cambria" w:hAnsi="Cambria" w:cs="Times New Roman"/>
          <w:noProof/>
          <w:color w:val="000000" w:themeColor="text1"/>
        </w:rPr>
      </w:pPr>
      <w:r w:rsidRPr="00EC44E6">
        <w:rPr>
          <w:color w:val="000000" w:themeColor="text1"/>
        </w:rPr>
        <w:fldChar w:fldCharType="begin" w:fldLock="1"/>
      </w:r>
      <w:r w:rsidRPr="00EC44E6">
        <w:rPr>
          <w:color w:val="000000" w:themeColor="text1"/>
        </w:rPr>
        <w:instrText xml:space="preserve">ADDIN Mendeley Bibliography CSL_BIBLIOGRAPHY </w:instrText>
      </w:r>
      <w:r w:rsidRPr="00EC44E6">
        <w:rPr>
          <w:color w:val="000000" w:themeColor="text1"/>
        </w:rPr>
        <w:fldChar w:fldCharType="separate"/>
      </w:r>
      <w:r w:rsidR="00570D8E" w:rsidRPr="00EC44E6">
        <w:rPr>
          <w:rFonts w:ascii="Cambria" w:hAnsi="Cambria" w:cs="Times New Roman"/>
          <w:noProof/>
          <w:color w:val="000000" w:themeColor="text1"/>
        </w:rPr>
        <w:t xml:space="preserve">1. </w:t>
      </w:r>
      <w:r w:rsidR="00570D8E" w:rsidRPr="00EC44E6">
        <w:rPr>
          <w:rFonts w:ascii="Cambria" w:hAnsi="Cambria" w:cs="Times New Roman"/>
          <w:noProof/>
          <w:color w:val="000000" w:themeColor="text1"/>
        </w:rPr>
        <w:tab/>
        <w:t>Folstein MF, Robins LN, Helzer JE. The Mini-Mental State Examination. Arch Gen Psychiatry. 1983;40:812.</w:t>
      </w:r>
    </w:p>
    <w:p w14:paraId="286B8FFD"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2. </w:t>
      </w:r>
      <w:r w:rsidRPr="00EC44E6">
        <w:rPr>
          <w:rFonts w:ascii="Cambria" w:hAnsi="Cambria" w:cs="Times New Roman"/>
          <w:noProof/>
          <w:color w:val="000000" w:themeColor="text1"/>
        </w:rPr>
        <w:tab/>
        <w:t>Dombrovski AY, Szanto K, Clark L, Reynolds CF, Siegle GJ. Reward signals, attempted suicide, and impulsivity in late-life depression. JAMA Psychiatry. 2013;15213.</w:t>
      </w:r>
    </w:p>
    <w:p w14:paraId="417FA8E3"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3. </w:t>
      </w:r>
      <w:r w:rsidRPr="00EC44E6">
        <w:rPr>
          <w:rFonts w:ascii="Cambria" w:hAnsi="Cambria" w:cs="Times New Roman"/>
          <w:noProof/>
          <w:color w:val="000000" w:themeColor="text1"/>
        </w:rPr>
        <w:tab/>
        <w:t>Beck AT, Beck R, Kovacs M. Classification of suicidal behaviors: I. Quantifying intent and medical lethality. Am J Psychiatry. 1975;132:285–287.</w:t>
      </w:r>
    </w:p>
    <w:p w14:paraId="597EED59"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4. </w:t>
      </w:r>
      <w:r w:rsidRPr="00EC44E6">
        <w:rPr>
          <w:rFonts w:ascii="Cambria" w:hAnsi="Cambria" w:cs="Times New Roman"/>
          <w:noProof/>
          <w:color w:val="000000" w:themeColor="text1"/>
        </w:rPr>
        <w:tab/>
        <w:t>Mattis S. Dementia Rating Scale (DRS). Odessa, FL: Psychological Assessment Resources; 1988.</w:t>
      </w:r>
    </w:p>
    <w:p w14:paraId="756443D9"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5. </w:t>
      </w:r>
      <w:r w:rsidRPr="00EC44E6">
        <w:rPr>
          <w:rFonts w:ascii="Cambria" w:hAnsi="Cambria" w:cs="Times New Roman"/>
          <w:noProof/>
          <w:color w:val="000000" w:themeColor="text1"/>
        </w:rPr>
        <w:tab/>
        <w:t>Royall DR, Mahurin RK, Gray KF. Bedside Assessment of Executive Cognitive Impairment: The Executive Interview. J Am Geriatr Soc. 1992;40:1221–1226.</w:t>
      </w:r>
    </w:p>
    <w:p w14:paraId="228BD7D7"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6. </w:t>
      </w:r>
      <w:r w:rsidRPr="00EC44E6">
        <w:rPr>
          <w:rFonts w:ascii="Cambria" w:hAnsi="Cambria" w:cs="Times New Roman"/>
          <w:noProof/>
          <w:color w:val="000000" w:themeColor="text1"/>
        </w:rPr>
        <w:tab/>
        <w:t>Dombrovski AY, Hallquist MN, Brown VM, Wilson J, Szanto K. Value-based choice, contingency learning and suicidal behavior in mid-life and late-life depression. Biol Psychiatry. 2018. 2018. https://doi.org/10.1016/j.biopsych.2018.10.006.</w:t>
      </w:r>
    </w:p>
    <w:p w14:paraId="69E41E42"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7. </w:t>
      </w:r>
      <w:r w:rsidRPr="00EC44E6">
        <w:rPr>
          <w:rFonts w:ascii="Cambria" w:hAnsi="Cambria" w:cs="Times New Roman"/>
          <w:noProof/>
          <w:color w:val="000000" w:themeColor="text1"/>
        </w:rPr>
        <w:tab/>
        <w:t>Daunizeau J, Adam V, Rigoux L. VBA: A probabilistic treatment of nonlinear models for neurobiological and behavioural data. PLoS Comput Biol. 2014;10.</w:t>
      </w:r>
    </w:p>
    <w:p w14:paraId="6F69AAEE"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8. </w:t>
      </w:r>
      <w:r w:rsidRPr="00EC44E6">
        <w:rPr>
          <w:rFonts w:ascii="Cambria" w:hAnsi="Cambria" w:cs="Times New Roman"/>
          <w:noProof/>
          <w:color w:val="000000" w:themeColor="text1"/>
        </w:rPr>
        <w:tab/>
        <w:t>Rigoux L, Stephan KE, Friston KJ, Daunizeau J. Bayesian model selection for group studies - Revisited. Neuroimage. 2014;84:971–985.</w:t>
      </w:r>
    </w:p>
    <w:p w14:paraId="43CF6E50"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9. </w:t>
      </w:r>
      <w:r w:rsidRPr="00EC44E6">
        <w:rPr>
          <w:rFonts w:ascii="Cambria" w:hAnsi="Cambria" w:cs="Times New Roman"/>
          <w:noProof/>
          <w:color w:val="000000" w:themeColor="text1"/>
        </w:rPr>
        <w:tab/>
        <w:t>Rigoux L, Stephan KE, Friston KJ, Daunizeau J, Penny WD, Moran RJ. Bayesian Model Selection for group studies. Neuroimage. 2009;46:1004–1017.</w:t>
      </w:r>
    </w:p>
    <w:p w14:paraId="07C7C4AA" w14:textId="77777777" w:rsidR="00570D8E" w:rsidRPr="00EC44E6" w:rsidRDefault="00570D8E" w:rsidP="00570D8E">
      <w:pPr>
        <w:widowControl w:val="0"/>
        <w:autoSpaceDE w:val="0"/>
        <w:autoSpaceDN w:val="0"/>
        <w:adjustRightInd w:val="0"/>
        <w:ind w:left="640" w:hanging="640"/>
        <w:rPr>
          <w:rFonts w:ascii="Cambria" w:hAnsi="Cambria" w:cs="Times New Roman"/>
          <w:noProof/>
          <w:color w:val="000000" w:themeColor="text1"/>
        </w:rPr>
      </w:pPr>
      <w:r w:rsidRPr="00EC44E6">
        <w:rPr>
          <w:rFonts w:ascii="Cambria" w:hAnsi="Cambria" w:cs="Times New Roman"/>
          <w:noProof/>
          <w:color w:val="000000" w:themeColor="text1"/>
        </w:rPr>
        <w:t xml:space="preserve">10. </w:t>
      </w:r>
      <w:r w:rsidRPr="00EC44E6">
        <w:rPr>
          <w:rFonts w:ascii="Cambria" w:hAnsi="Cambria" w:cs="Times New Roman"/>
          <w:noProof/>
          <w:color w:val="000000" w:themeColor="text1"/>
        </w:rPr>
        <w:tab/>
        <w:t>Greve DN, Fischl B. Accurate and robust brain image alignment using boundary-based registration. Neuroimage. 2009;48:63–72.</w:t>
      </w:r>
    </w:p>
    <w:p w14:paraId="15D059D2" w14:textId="77777777" w:rsidR="00570D8E" w:rsidRPr="00EC44E6" w:rsidRDefault="00570D8E" w:rsidP="00570D8E">
      <w:pPr>
        <w:widowControl w:val="0"/>
        <w:autoSpaceDE w:val="0"/>
        <w:autoSpaceDN w:val="0"/>
        <w:adjustRightInd w:val="0"/>
        <w:ind w:left="640" w:hanging="640"/>
        <w:rPr>
          <w:rFonts w:ascii="Cambria" w:hAnsi="Cambria"/>
          <w:noProof/>
          <w:color w:val="000000" w:themeColor="text1"/>
        </w:rPr>
      </w:pPr>
      <w:r w:rsidRPr="00EC44E6">
        <w:rPr>
          <w:rFonts w:ascii="Cambria" w:hAnsi="Cambria" w:cs="Times New Roman"/>
          <w:noProof/>
          <w:color w:val="000000" w:themeColor="text1"/>
        </w:rPr>
        <w:t xml:space="preserve">11. </w:t>
      </w:r>
      <w:r w:rsidRPr="00EC44E6">
        <w:rPr>
          <w:rFonts w:ascii="Cambria" w:hAnsi="Cambria" w:cs="Times New Roman"/>
          <w:noProof/>
          <w:color w:val="000000" w:themeColor="text1"/>
        </w:rPr>
        <w:tab/>
        <w:t>Siegel JS, Power JD, Dubis JW, Vogel AC, Church JA, Schlaggar BL, et al. Statistical improvements in functional magnetic resonance imaging analyses produced by censoring high-motion data points. Hum Brain Mapp. 2014;35:1981–1996.</w:t>
      </w:r>
    </w:p>
    <w:p w14:paraId="014900F7" w14:textId="7C645092" w:rsidR="008643F9" w:rsidRPr="00EC44E6" w:rsidRDefault="00A43E00">
      <w:pPr>
        <w:rPr>
          <w:color w:val="000000" w:themeColor="text1"/>
        </w:rPr>
      </w:pPr>
      <w:r w:rsidRPr="00EC44E6">
        <w:rPr>
          <w:color w:val="000000" w:themeColor="text1"/>
        </w:rPr>
        <w:fldChar w:fldCharType="end"/>
      </w:r>
    </w:p>
    <w:sectPr w:rsidR="008643F9" w:rsidRPr="00EC44E6" w:rsidSect="006F6F3D">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6BDEA" w14:textId="77777777" w:rsidR="00F021EA" w:rsidRDefault="00F021EA">
      <w:r>
        <w:separator/>
      </w:r>
    </w:p>
  </w:endnote>
  <w:endnote w:type="continuationSeparator" w:id="0">
    <w:p w14:paraId="410D1CCD" w14:textId="77777777" w:rsidR="00F021EA" w:rsidRDefault="00F02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Times New Roman">
    <w:altName w:val="Times New Roman"/>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E12AC" w14:textId="77777777" w:rsidR="00806069" w:rsidRDefault="00BA5531">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FD1FD" w14:textId="77777777" w:rsidR="00F021EA" w:rsidRDefault="00F021EA">
      <w:r>
        <w:separator/>
      </w:r>
    </w:p>
  </w:footnote>
  <w:footnote w:type="continuationSeparator" w:id="0">
    <w:p w14:paraId="45BD528B" w14:textId="77777777" w:rsidR="00F021EA" w:rsidRDefault="00F021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531"/>
    <w:rsid w:val="000166BF"/>
    <w:rsid w:val="000775EB"/>
    <w:rsid w:val="000A0C4F"/>
    <w:rsid w:val="000C4B8A"/>
    <w:rsid w:val="00135CF5"/>
    <w:rsid w:val="00246A88"/>
    <w:rsid w:val="00463486"/>
    <w:rsid w:val="00501ACB"/>
    <w:rsid w:val="005143A8"/>
    <w:rsid w:val="005368E7"/>
    <w:rsid w:val="00570D8E"/>
    <w:rsid w:val="007647DF"/>
    <w:rsid w:val="007B1649"/>
    <w:rsid w:val="008158AB"/>
    <w:rsid w:val="008469B5"/>
    <w:rsid w:val="008643F9"/>
    <w:rsid w:val="00865141"/>
    <w:rsid w:val="00872AC7"/>
    <w:rsid w:val="00924D86"/>
    <w:rsid w:val="00A07058"/>
    <w:rsid w:val="00A43E00"/>
    <w:rsid w:val="00A87F9D"/>
    <w:rsid w:val="00A95ACA"/>
    <w:rsid w:val="00AC719A"/>
    <w:rsid w:val="00AF2254"/>
    <w:rsid w:val="00B87F89"/>
    <w:rsid w:val="00BA5531"/>
    <w:rsid w:val="00BC638B"/>
    <w:rsid w:val="00BD0715"/>
    <w:rsid w:val="00BF1E7E"/>
    <w:rsid w:val="00C40F29"/>
    <w:rsid w:val="00C46258"/>
    <w:rsid w:val="00DA1742"/>
    <w:rsid w:val="00E64CFE"/>
    <w:rsid w:val="00EC44E6"/>
    <w:rsid w:val="00EE5729"/>
    <w:rsid w:val="00F02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259632"/>
  <w14:defaultImageDpi w14:val="300"/>
  <w15:docId w15:val="{821EF8EE-89F6-44FD-BD71-37DA2367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5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5531"/>
    <w:rPr>
      <w:color w:val="0000FF" w:themeColor="hyperlink"/>
      <w:u w:val="single"/>
    </w:rPr>
  </w:style>
  <w:style w:type="paragraph" w:styleId="Footer">
    <w:name w:val="footer"/>
    <w:basedOn w:val="Normal"/>
    <w:link w:val="FooterChar"/>
    <w:uiPriority w:val="99"/>
    <w:unhideWhenUsed/>
    <w:rsid w:val="00BA5531"/>
    <w:pPr>
      <w:tabs>
        <w:tab w:val="center" w:pos="4320"/>
        <w:tab w:val="right" w:pos="8640"/>
      </w:tabs>
    </w:pPr>
  </w:style>
  <w:style w:type="character" w:customStyle="1" w:styleId="FooterChar">
    <w:name w:val="Footer Char"/>
    <w:basedOn w:val="DefaultParagraphFont"/>
    <w:link w:val="Footer"/>
    <w:uiPriority w:val="99"/>
    <w:rsid w:val="00BA5531"/>
  </w:style>
  <w:style w:type="character" w:styleId="PageNumber">
    <w:name w:val="page number"/>
    <w:basedOn w:val="DefaultParagraphFont"/>
    <w:uiPriority w:val="99"/>
    <w:semiHidden/>
    <w:unhideWhenUsed/>
    <w:rsid w:val="00BA5531"/>
  </w:style>
  <w:style w:type="paragraph" w:styleId="BalloonText">
    <w:name w:val="Balloon Text"/>
    <w:basedOn w:val="Normal"/>
    <w:link w:val="BalloonTextChar"/>
    <w:uiPriority w:val="99"/>
    <w:semiHidden/>
    <w:unhideWhenUsed/>
    <w:rsid w:val="00BA553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553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05901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http://mbb-team.github.io/VBA-toolbox/wiki/VBA-MF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1B89E-C97D-BA4B-92A3-78988614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10548</Words>
  <Characters>60124</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VTCRI</Company>
  <LinksUpToDate>false</LinksUpToDate>
  <CharactersWithSpaces>70531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Brown</dc:creator>
  <cp:keywords/>
  <dc:description/>
  <cp:lastModifiedBy>Alexandre Dombrovski</cp:lastModifiedBy>
  <cp:revision>2</cp:revision>
  <dcterms:created xsi:type="dcterms:W3CDTF">2019-12-16T23:54:00Z</dcterms:created>
  <dcterms:modified xsi:type="dcterms:W3CDTF">2019-12-16T23:54:00Z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http://csl.mendeley.com/styles/14044273/apacustom-2</vt:lpwstr>
  </property>
  <property fmtid="{D5CDD505-2E9C-101B-9397-08002B2CF9AE}" pid="7" name="Mendeley Recent Style Name 2_1">
    <vt:lpwstr>American Psychological Association 6th edition: custom, 1st author only in text, no doi</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48b60029-2318-390d-a315-2187b12464be</vt:lpwstr>
  </property>
  <property fmtid="{D5CDD505-2E9C-101B-9397-08002B2CF9AE}" pid="24" name="Mendeley Citation Style_1">
    <vt:lpwstr>http://www.zotero.org/styles/neuropsychopharmacology</vt:lpwstr>
  </property>
</Properties>
</file>