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E0CA8" w14:textId="77777777" w:rsidR="00F84330" w:rsidRPr="00F84330" w:rsidRDefault="00F84330" w:rsidP="00F84330">
      <w:pPr>
        <w:shd w:val="clear" w:color="auto" w:fill="FFFFFF"/>
        <w:spacing w:after="0" w:line="480" w:lineRule="auto"/>
        <w:rPr>
          <w:rFonts w:ascii="Times New Roman" w:eastAsia="Times New Roman" w:hAnsi="Times New Roman" w:cs="Times New Roman"/>
          <w:b/>
          <w:color w:val="222222"/>
          <w:sz w:val="24"/>
          <w:szCs w:val="24"/>
          <w:lang w:val="en-US"/>
        </w:rPr>
      </w:pPr>
      <w:r w:rsidRPr="00F84330">
        <w:rPr>
          <w:rFonts w:ascii="Times New Roman" w:eastAsia="Times New Roman" w:hAnsi="Times New Roman" w:cs="Times New Roman"/>
          <w:b/>
          <w:color w:val="222222"/>
          <w:sz w:val="24"/>
          <w:szCs w:val="24"/>
          <w:lang w:val="en-US"/>
        </w:rPr>
        <w:t xml:space="preserve">Supplemental Material </w:t>
      </w:r>
    </w:p>
    <w:p w14:paraId="1E2F08AA" w14:textId="46C9FA4F" w:rsidR="00D1150F" w:rsidRDefault="00690EF7" w:rsidP="00D1150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color w:val="231F20"/>
          <w:sz w:val="24"/>
          <w:szCs w:val="24"/>
          <w:lang w:val="en-US"/>
        </w:rPr>
        <w:t>This study was</w:t>
      </w:r>
      <w:r w:rsidRPr="005349B5">
        <w:rPr>
          <w:rFonts w:ascii="Times New Roman" w:hAnsi="Times New Roman" w:cs="Times New Roman"/>
          <w:color w:val="231F20"/>
          <w:sz w:val="24"/>
          <w:szCs w:val="24"/>
          <w:lang w:val="en-US"/>
        </w:rPr>
        <w:t xml:space="preserve"> </w:t>
      </w:r>
      <w:r w:rsidRPr="005349B5">
        <w:rPr>
          <w:rFonts w:ascii="Times New Roman" w:hAnsi="Times New Roman" w:cs="Times New Roman"/>
          <w:sz w:val="24"/>
          <w:szCs w:val="24"/>
        </w:rPr>
        <w:t xml:space="preserve">part of a larger EU study </w:t>
      </w:r>
      <w:r>
        <w:rPr>
          <w:rFonts w:ascii="Times New Roman" w:hAnsi="Times New Roman" w:cs="Times New Roman"/>
          <w:sz w:val="24"/>
          <w:szCs w:val="24"/>
        </w:rPr>
        <w:t>on</w:t>
      </w:r>
      <w:r w:rsidRPr="005349B5">
        <w:rPr>
          <w:rFonts w:ascii="Times New Roman" w:hAnsi="Times New Roman" w:cs="Times New Roman"/>
          <w:sz w:val="24"/>
          <w:szCs w:val="24"/>
        </w:rPr>
        <w:t xml:space="preserve"> effects of OT in adolescents with CD and adults with ASPD</w:t>
      </w:r>
      <w:r w:rsidR="00A72016">
        <w:rPr>
          <w:rFonts w:ascii="Times New Roman" w:hAnsi="Times New Roman" w:cs="Times New Roman"/>
          <w:sz w:val="24"/>
          <w:szCs w:val="24"/>
        </w:rPr>
        <w:t>.</w:t>
      </w:r>
      <w:r w:rsidR="00206C1A">
        <w:rPr>
          <w:rFonts w:ascii="Times New Roman" w:hAnsi="Times New Roman" w:cs="Times New Roman"/>
          <w:sz w:val="24"/>
          <w:szCs w:val="24"/>
        </w:rPr>
        <w:t xml:space="preserve"> </w:t>
      </w:r>
      <w:r w:rsidR="00D1150F">
        <w:rPr>
          <w:rFonts w:ascii="Times New Roman" w:hAnsi="Times New Roman" w:cs="Times New Roman"/>
          <w:sz w:val="24"/>
          <w:szCs w:val="24"/>
        </w:rPr>
        <w:t xml:space="preserve">It has been registered in the German Clinical Trials Register (DRKS) with registration number DRKS00030625. </w:t>
      </w:r>
      <w:r w:rsidR="00163929">
        <w:rPr>
          <w:rFonts w:ascii="Times New Roman" w:hAnsi="Times New Roman" w:cs="Times New Roman"/>
          <w:sz w:val="24"/>
          <w:szCs w:val="24"/>
        </w:rPr>
        <w:t>The full trial protocol can be accessed at the DRKS.</w:t>
      </w:r>
      <w:r w:rsidR="00D1150F">
        <w:rPr>
          <w:rFonts w:ascii="Times New Roman" w:hAnsi="Times New Roman" w:cs="Times New Roman"/>
          <w:sz w:val="24"/>
          <w:szCs w:val="24"/>
        </w:rPr>
        <w:t xml:space="preserve"> </w:t>
      </w:r>
    </w:p>
    <w:p w14:paraId="0865C4BD" w14:textId="43394154" w:rsidR="00206C1A" w:rsidRDefault="00206C1A" w:rsidP="00206C1A">
      <w:pPr>
        <w:autoSpaceDE w:val="0"/>
        <w:autoSpaceDN w:val="0"/>
        <w:adjustRightInd w:val="0"/>
        <w:spacing w:after="0" w:line="480" w:lineRule="auto"/>
        <w:rPr>
          <w:rFonts w:ascii="Times New Roman" w:hAnsi="Times New Roman" w:cs="Times New Roman"/>
          <w:sz w:val="24"/>
          <w:szCs w:val="24"/>
        </w:rPr>
      </w:pPr>
    </w:p>
    <w:p w14:paraId="068C15FA" w14:textId="59EE97C0" w:rsidR="00206C1A" w:rsidRPr="00206C1A" w:rsidRDefault="00206C1A" w:rsidP="00206C1A">
      <w:pPr>
        <w:autoSpaceDE w:val="0"/>
        <w:autoSpaceDN w:val="0"/>
        <w:adjustRightInd w:val="0"/>
        <w:spacing w:after="0" w:line="480" w:lineRule="auto"/>
        <w:rPr>
          <w:rFonts w:ascii="Times New Roman" w:hAnsi="Times New Roman" w:cs="Times New Roman"/>
          <w:b/>
          <w:sz w:val="24"/>
          <w:szCs w:val="24"/>
        </w:rPr>
      </w:pPr>
      <w:r w:rsidRPr="00206C1A">
        <w:rPr>
          <w:rFonts w:ascii="Times New Roman" w:hAnsi="Times New Roman" w:cs="Times New Roman"/>
          <w:b/>
          <w:sz w:val="24"/>
          <w:szCs w:val="24"/>
        </w:rPr>
        <w:t>Sample size determination</w:t>
      </w:r>
    </w:p>
    <w:p w14:paraId="7916229A" w14:textId="67649A99" w:rsidR="00206C1A" w:rsidRDefault="003B6656" w:rsidP="00206C1A">
      <w:pPr>
        <w:autoSpaceDE w:val="0"/>
        <w:autoSpaceDN w:val="0"/>
        <w:adjustRightInd w:val="0"/>
        <w:spacing w:after="0" w:line="480" w:lineRule="auto"/>
        <w:rPr>
          <w:rFonts w:ascii="Times New Roman" w:hAnsi="Times New Roman" w:cs="Times New Roman"/>
          <w:sz w:val="24"/>
          <w:szCs w:val="24"/>
        </w:rPr>
      </w:pPr>
      <w:r w:rsidRPr="00206C1A">
        <w:rPr>
          <w:rFonts w:ascii="Times New Roman" w:hAnsi="Times New Roman" w:cs="Times New Roman"/>
          <w:sz w:val="24"/>
          <w:szCs w:val="24"/>
        </w:rPr>
        <w:t>According to a sample size plan (GPower</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{"citationItems":[{"id":"ITEM-1","itemData":{"abstract":"GPOWER is a completely interactive, menu-driven program for IBM-compatible and Apple Mac-intosh personal computers. It performs high-precision statistical power analyses for the most common statistical tests in behavioral research, that is, t tests, Ftests, and X 2 tests. GPOWER computes (1) power values for given sample sizes, effect sizes and a levels (post hoc power analyses); (2) sample sizes for given effect sizes, a levels, and power values (a priori power analyses); and (3) a and f3 values for given sample sizes, effect sizes, and f3la ratios (compromise power analyses). The program may be used to display graphically the relation between any two of the relevant variables, and it offers the opportunity to compute the effect size measures from basic parameters defining the alternative hypothesis. This article delineates reasons for the development of GPOWER and describes the program's capabilities and handling.","author":[{"dropping-particle":"","family":"Erdfelder","given":"Edgar","non-dropping-particle":"","parse-names":false,"suffix":""},{"dropping-particle":"","family":"Buchner","given":"Axel","non-dropping-particle":"","parse-names":false,"suffix":""}],"container-title":"Behavior Research Methods, Instruments, &amp; Computers","id":"ITEM-1","issue":"I","issued":{"date-parts":[["1996"]]},"page":"1-11","title":"GPOWER: A general power analysis program","type":"article-journal","volume":"28"},"uris":["http://www.mendeley.com/documents/?uuid=3806a1ab-8a9e-3921-ba71-6d3d5df04f8e"]}],"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rPr>
        <w:fldChar w:fldCharType="separate"/>
      </w:r>
      <w:r w:rsidRPr="00206C1A">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sidRPr="00206C1A">
        <w:rPr>
          <w:rFonts w:ascii="Times New Roman" w:hAnsi="Times New Roman" w:cs="Times New Roman"/>
          <w:sz w:val="24"/>
          <w:szCs w:val="24"/>
        </w:rPr>
        <w:t>), medium-sized population effects (Ω</w:t>
      </w:r>
      <w:r w:rsidRPr="00206C1A">
        <w:rPr>
          <w:rFonts w:ascii="Times New Roman" w:hAnsi="Times New Roman" w:cs="Times New Roman"/>
          <w:sz w:val="24"/>
          <w:szCs w:val="24"/>
          <w:vertAlign w:val="superscript"/>
        </w:rPr>
        <w:t>2</w:t>
      </w:r>
      <w:r w:rsidRPr="00206C1A">
        <w:rPr>
          <w:rFonts w:ascii="Times New Roman" w:hAnsi="Times New Roman" w:cs="Times New Roman"/>
          <w:sz w:val="24"/>
          <w:szCs w:val="24"/>
        </w:rPr>
        <w:t>=.10) with a test strength of 1-ß&gt;.80 can be found with a sample of N=80 subjects in a repeated measures design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{"citationItems":[{"id":"ITEM-1","itemData":{"author":[{"dropping-particle":"","family":"Cohen","given":"Jacob","non-dropping-particle":"","parse-names":false,"suffix":""}],"container-title":"The Journal of Abnormal and Social Psychology","id":"ITEM-1","issue":"3","issued":{"date-parts":[["1962"]]},"page":"145-153","title":"The statistical power of abnormal-social psychological research: A review.","type":"article-journal","volume":"65"},"uris":["http://www.mendeley.com/documents/?uuid=4211d589-da8b-4571-be6b-6c7e1878727b"]}],"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sz w:val="24"/>
          <w:szCs w:val="24"/>
        </w:rPr>
        <w:fldChar w:fldCharType="separate"/>
      </w:r>
      <w:r w:rsidRPr="00206C1A">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sidRPr="00206C1A">
        <w:rPr>
          <w:rFonts w:ascii="Times New Roman" w:hAnsi="Times New Roman" w:cs="Times New Roman"/>
          <w:sz w:val="24"/>
          <w:szCs w:val="24"/>
        </w:rPr>
        <w:t xml:space="preserve">. </w:t>
      </w:r>
      <w:r w:rsidR="00206C1A" w:rsidRPr="00206C1A">
        <w:rPr>
          <w:rFonts w:ascii="Times New Roman" w:hAnsi="Times New Roman" w:cs="Times New Roman"/>
          <w:sz w:val="24"/>
          <w:szCs w:val="24"/>
        </w:rPr>
        <w:t>Th</w:t>
      </w:r>
      <w:r>
        <w:rPr>
          <w:rFonts w:ascii="Times New Roman" w:hAnsi="Times New Roman" w:cs="Times New Roman"/>
          <w:sz w:val="24"/>
          <w:szCs w:val="24"/>
        </w:rPr>
        <w:t>us, the</w:t>
      </w:r>
      <w:r w:rsidR="00206C1A" w:rsidRPr="00206C1A">
        <w:rPr>
          <w:rFonts w:ascii="Times New Roman" w:hAnsi="Times New Roman" w:cs="Times New Roman"/>
          <w:sz w:val="24"/>
          <w:szCs w:val="24"/>
        </w:rPr>
        <w:t xml:space="preserve"> sample should consist of </w:t>
      </w:r>
      <w:r>
        <w:rPr>
          <w:rFonts w:ascii="Times New Roman" w:hAnsi="Times New Roman" w:cs="Times New Roman"/>
          <w:sz w:val="24"/>
          <w:szCs w:val="24"/>
        </w:rPr>
        <w:t>20</w:t>
      </w:r>
      <w:r w:rsidR="00206C1A" w:rsidRPr="00206C1A">
        <w:rPr>
          <w:rFonts w:ascii="Times New Roman" w:hAnsi="Times New Roman" w:cs="Times New Roman"/>
          <w:sz w:val="24"/>
          <w:szCs w:val="24"/>
        </w:rPr>
        <w:t xml:space="preserve"> men and </w:t>
      </w:r>
      <w:r>
        <w:rPr>
          <w:rFonts w:ascii="Times New Roman" w:hAnsi="Times New Roman" w:cs="Times New Roman"/>
          <w:sz w:val="24"/>
          <w:szCs w:val="24"/>
        </w:rPr>
        <w:t>20</w:t>
      </w:r>
      <w:r w:rsidR="00206C1A" w:rsidRPr="00206C1A">
        <w:rPr>
          <w:rFonts w:ascii="Times New Roman" w:hAnsi="Times New Roman" w:cs="Times New Roman"/>
          <w:sz w:val="24"/>
          <w:szCs w:val="24"/>
        </w:rPr>
        <w:t xml:space="preserve"> women with antisocial personality disorder and </w:t>
      </w:r>
      <w:r>
        <w:rPr>
          <w:rFonts w:ascii="Times New Roman" w:hAnsi="Times New Roman" w:cs="Times New Roman"/>
          <w:sz w:val="24"/>
          <w:szCs w:val="24"/>
        </w:rPr>
        <w:t>20</w:t>
      </w:r>
      <w:r w:rsidR="00206C1A" w:rsidRPr="00206C1A">
        <w:rPr>
          <w:rFonts w:ascii="Times New Roman" w:hAnsi="Times New Roman" w:cs="Times New Roman"/>
          <w:sz w:val="24"/>
          <w:szCs w:val="24"/>
        </w:rPr>
        <w:t xml:space="preserve"> healthy men and </w:t>
      </w:r>
      <w:r>
        <w:rPr>
          <w:rFonts w:ascii="Times New Roman" w:hAnsi="Times New Roman" w:cs="Times New Roman"/>
          <w:sz w:val="24"/>
          <w:szCs w:val="24"/>
        </w:rPr>
        <w:t>20</w:t>
      </w:r>
      <w:r w:rsidR="00206C1A" w:rsidRPr="00206C1A">
        <w:rPr>
          <w:rFonts w:ascii="Times New Roman" w:hAnsi="Times New Roman" w:cs="Times New Roman"/>
          <w:sz w:val="24"/>
          <w:szCs w:val="24"/>
        </w:rPr>
        <w:t xml:space="preserve"> healthy women</w:t>
      </w:r>
      <w:r>
        <w:rPr>
          <w:rFonts w:ascii="Times New Roman" w:hAnsi="Times New Roman" w:cs="Times New Roman"/>
          <w:sz w:val="24"/>
          <w:szCs w:val="24"/>
        </w:rPr>
        <w:t xml:space="preserve">. </w:t>
      </w:r>
      <w:r w:rsidR="00206C1A" w:rsidRPr="00206C1A">
        <w:rPr>
          <w:rFonts w:ascii="Times New Roman" w:hAnsi="Times New Roman" w:cs="Times New Roman"/>
          <w:sz w:val="24"/>
          <w:szCs w:val="24"/>
        </w:rPr>
        <w:t xml:space="preserve">Due to the repeated measurement design, a dropout rate of 20% should be expected; there is also an exclusion of 10% due to measurement </w:t>
      </w:r>
      <w:proofErr w:type="spellStart"/>
      <w:r w:rsidR="00206C1A" w:rsidRPr="00206C1A">
        <w:rPr>
          <w:rFonts w:ascii="Times New Roman" w:hAnsi="Times New Roman" w:cs="Times New Roman"/>
          <w:sz w:val="24"/>
          <w:szCs w:val="24"/>
        </w:rPr>
        <w:t>artifacts</w:t>
      </w:r>
      <w:proofErr w:type="spellEnd"/>
      <w:r w:rsidR="00206C1A" w:rsidRPr="00206C1A">
        <w:rPr>
          <w:rFonts w:ascii="Times New Roman" w:hAnsi="Times New Roman" w:cs="Times New Roman"/>
          <w:sz w:val="24"/>
          <w:szCs w:val="24"/>
        </w:rPr>
        <w:t>. In conclusion, we aim for a total sample size of N=104 subjects: N=26 men and women ea</w:t>
      </w:r>
      <w:r w:rsidR="00206C1A">
        <w:rPr>
          <w:rFonts w:ascii="Times New Roman" w:hAnsi="Times New Roman" w:cs="Times New Roman"/>
          <w:sz w:val="24"/>
          <w:szCs w:val="24"/>
        </w:rPr>
        <w:t>c</w:t>
      </w:r>
      <w:r w:rsidR="00206C1A" w:rsidRPr="00206C1A">
        <w:rPr>
          <w:rFonts w:ascii="Times New Roman" w:hAnsi="Times New Roman" w:cs="Times New Roman"/>
          <w:sz w:val="24"/>
          <w:szCs w:val="24"/>
        </w:rPr>
        <w:t>h with antisocial personality disorder and N=26 male and female control subjects.</w:t>
      </w:r>
    </w:p>
    <w:p w14:paraId="0C84A0A2" w14:textId="6E49FBCC" w:rsidR="00690EF7" w:rsidRDefault="00690EF7" w:rsidP="00F84330">
      <w:pPr>
        <w:autoSpaceDE w:val="0"/>
        <w:autoSpaceDN w:val="0"/>
        <w:adjustRightInd w:val="0"/>
        <w:spacing w:after="0" w:line="480" w:lineRule="auto"/>
        <w:rPr>
          <w:rFonts w:ascii="Times New Roman" w:hAnsi="Times New Roman" w:cs="Times New Roman"/>
          <w:b/>
          <w:color w:val="231F20"/>
          <w:sz w:val="24"/>
          <w:szCs w:val="24"/>
        </w:rPr>
      </w:pPr>
    </w:p>
    <w:p w14:paraId="274DA9B6" w14:textId="77777777" w:rsidR="00E86199" w:rsidRDefault="00E86199" w:rsidP="00F84330">
      <w:pPr>
        <w:autoSpaceDE w:val="0"/>
        <w:autoSpaceDN w:val="0"/>
        <w:adjustRightInd w:val="0"/>
        <w:spacing w:after="0" w:line="480" w:lineRule="auto"/>
        <w:rPr>
          <w:rFonts w:ascii="Times New Roman" w:hAnsi="Times New Roman" w:cs="Times New Roman"/>
          <w:b/>
          <w:color w:val="231F20"/>
          <w:sz w:val="24"/>
          <w:szCs w:val="24"/>
        </w:rPr>
      </w:pPr>
    </w:p>
    <w:p w14:paraId="14013510" w14:textId="7C7C6A34" w:rsidR="00F84330" w:rsidRDefault="00F84330" w:rsidP="00F84330">
      <w:pPr>
        <w:autoSpaceDE w:val="0"/>
        <w:autoSpaceDN w:val="0"/>
        <w:adjustRightInd w:val="0"/>
        <w:spacing w:after="0" w:line="480" w:lineRule="auto"/>
        <w:rPr>
          <w:rFonts w:ascii="Times New Roman" w:hAnsi="Times New Roman" w:cs="Times New Roman"/>
          <w:b/>
          <w:color w:val="231F20"/>
          <w:sz w:val="24"/>
          <w:szCs w:val="24"/>
        </w:rPr>
      </w:pPr>
      <w:r>
        <w:rPr>
          <w:rFonts w:ascii="Times New Roman" w:hAnsi="Times New Roman" w:cs="Times New Roman"/>
          <w:b/>
          <w:color w:val="231F20"/>
          <w:sz w:val="24"/>
          <w:szCs w:val="24"/>
        </w:rPr>
        <w:t>Materials and Methods</w:t>
      </w:r>
    </w:p>
    <w:p w14:paraId="4C0351AA" w14:textId="333FDAF7" w:rsidR="00DF6A2D" w:rsidRPr="00F173B0" w:rsidRDefault="00DF6A2D" w:rsidP="00F84330">
      <w:pPr>
        <w:autoSpaceDE w:val="0"/>
        <w:autoSpaceDN w:val="0"/>
        <w:adjustRightInd w:val="0"/>
        <w:spacing w:after="0" w:line="480" w:lineRule="auto"/>
        <w:rPr>
          <w:rFonts w:ascii="Times New Roman" w:hAnsi="Times New Roman" w:cs="Times New Roman"/>
          <w:b/>
          <w:color w:val="231F20"/>
          <w:sz w:val="24"/>
          <w:szCs w:val="24"/>
        </w:rPr>
      </w:pPr>
      <w:r>
        <w:rPr>
          <w:rFonts w:ascii="Times New Roman" w:hAnsi="Times New Roman" w:cs="Times New Roman"/>
          <w:b/>
          <w:color w:val="231F20"/>
          <w:sz w:val="24"/>
          <w:szCs w:val="24"/>
        </w:rPr>
        <w:t>Participants</w:t>
      </w:r>
    </w:p>
    <w:p w14:paraId="0D5D5C8A" w14:textId="63A3647B" w:rsidR="00F84330" w:rsidRPr="005349B5" w:rsidRDefault="00F84330" w:rsidP="00F84330">
      <w:pPr>
        <w:autoSpaceDE w:val="0"/>
        <w:autoSpaceDN w:val="0"/>
        <w:adjustRightInd w:val="0"/>
        <w:spacing w:after="0" w:line="480" w:lineRule="auto"/>
        <w:rPr>
          <w:rFonts w:ascii="Times New Roman" w:hAnsi="Times New Roman" w:cs="Times New Roman"/>
          <w:sz w:val="24"/>
          <w:szCs w:val="24"/>
        </w:rPr>
      </w:pPr>
      <w:r w:rsidRPr="005349B5">
        <w:rPr>
          <w:rFonts w:ascii="Times New Roman" w:hAnsi="Times New Roman" w:cs="Times New Roman"/>
          <w:sz w:val="24"/>
          <w:szCs w:val="24"/>
        </w:rPr>
        <w:t xml:space="preserve">Initially, 102 </w:t>
      </w:r>
      <w:r w:rsidR="00CD315B">
        <w:rPr>
          <w:rFonts w:ascii="Times New Roman" w:hAnsi="Times New Roman" w:cs="Times New Roman"/>
          <w:sz w:val="24"/>
          <w:szCs w:val="24"/>
        </w:rPr>
        <w:t>participant</w:t>
      </w:r>
      <w:r w:rsidRPr="005349B5">
        <w:rPr>
          <w:rFonts w:ascii="Times New Roman" w:hAnsi="Times New Roman" w:cs="Times New Roman"/>
          <w:sz w:val="24"/>
          <w:szCs w:val="24"/>
        </w:rPr>
        <w:t>s took part in th</w:t>
      </w:r>
      <w:r w:rsidR="00690EF7">
        <w:rPr>
          <w:rFonts w:ascii="Times New Roman" w:hAnsi="Times New Roman" w:cs="Times New Roman"/>
          <w:sz w:val="24"/>
          <w:szCs w:val="24"/>
        </w:rPr>
        <w:t>is</w:t>
      </w:r>
      <w:r w:rsidRPr="005349B5">
        <w:rPr>
          <w:rFonts w:ascii="Times New Roman" w:hAnsi="Times New Roman" w:cs="Times New Roman"/>
          <w:sz w:val="24"/>
          <w:szCs w:val="24"/>
        </w:rPr>
        <w:t xml:space="preserve"> study of which 6 </w:t>
      </w:r>
      <w:r w:rsidR="00CD315B">
        <w:rPr>
          <w:rFonts w:ascii="Times New Roman" w:hAnsi="Times New Roman" w:cs="Times New Roman"/>
          <w:sz w:val="24"/>
          <w:szCs w:val="24"/>
        </w:rPr>
        <w:t>participant</w:t>
      </w:r>
      <w:r w:rsidRPr="005349B5">
        <w:rPr>
          <w:rFonts w:ascii="Times New Roman" w:hAnsi="Times New Roman" w:cs="Times New Roman"/>
          <w:sz w:val="24"/>
          <w:szCs w:val="24"/>
        </w:rPr>
        <w:t xml:space="preserve">s (3 ASPD men, 2 HC men, 1 HC woman) dropped out not completing the second measurement, 17 </w:t>
      </w:r>
      <w:r w:rsidR="00CD315B">
        <w:rPr>
          <w:rFonts w:ascii="Times New Roman" w:hAnsi="Times New Roman" w:cs="Times New Roman"/>
          <w:sz w:val="24"/>
          <w:szCs w:val="24"/>
        </w:rPr>
        <w:t>participant</w:t>
      </w:r>
      <w:r w:rsidRPr="005349B5">
        <w:rPr>
          <w:rFonts w:ascii="Times New Roman" w:hAnsi="Times New Roman" w:cs="Times New Roman"/>
          <w:sz w:val="24"/>
          <w:szCs w:val="24"/>
        </w:rPr>
        <w:t xml:space="preserve">s (5 ASPD men, 4 ASPD women, 3 HC men, 5 HC women) had to be excluded from further analyses because of technical artefacts in the scan, and 1 </w:t>
      </w:r>
      <w:r w:rsidR="00CD315B">
        <w:rPr>
          <w:rFonts w:ascii="Times New Roman" w:hAnsi="Times New Roman" w:cs="Times New Roman"/>
          <w:sz w:val="24"/>
          <w:szCs w:val="24"/>
        </w:rPr>
        <w:t>participant</w:t>
      </w:r>
      <w:r w:rsidRPr="005349B5">
        <w:rPr>
          <w:rFonts w:ascii="Times New Roman" w:hAnsi="Times New Roman" w:cs="Times New Roman"/>
          <w:sz w:val="24"/>
          <w:szCs w:val="24"/>
        </w:rPr>
        <w:t xml:space="preserve"> (ASPD woman) was excluded due to an acute neurological finding in the scan. In cases the data </w:t>
      </w:r>
      <w:proofErr w:type="spellStart"/>
      <w:r w:rsidRPr="005349B5">
        <w:rPr>
          <w:rFonts w:ascii="Times New Roman" w:hAnsi="Times New Roman" w:cs="Times New Roman"/>
          <w:sz w:val="24"/>
          <w:szCs w:val="24"/>
        </w:rPr>
        <w:t>preprocessing</w:t>
      </w:r>
      <w:proofErr w:type="spellEnd"/>
      <w:r w:rsidRPr="005349B5">
        <w:rPr>
          <w:rFonts w:ascii="Times New Roman" w:hAnsi="Times New Roman" w:cs="Times New Roman"/>
          <w:sz w:val="24"/>
          <w:szCs w:val="24"/>
        </w:rPr>
        <w:t xml:space="preserve"> of a measurement showed motion artefacts in the scan, we aimed at repetition of the measurement affected since </w:t>
      </w:r>
      <w:r w:rsidRPr="005349B5">
        <w:rPr>
          <w:rFonts w:ascii="Times New Roman" w:hAnsi="Times New Roman" w:cs="Times New Roman"/>
          <w:sz w:val="24"/>
          <w:szCs w:val="24"/>
        </w:rPr>
        <w:lastRenderedPageBreak/>
        <w:t xml:space="preserve">we did not expect </w:t>
      </w:r>
      <w:r w:rsidRPr="005349B5">
        <w:rPr>
          <w:rFonts w:ascii="Times New Roman" w:hAnsi="Times New Roman" w:cs="Times New Roman"/>
          <w:color w:val="000000"/>
          <w:sz w:val="24"/>
          <w:szCs w:val="24"/>
          <w:shd w:val="clear" w:color="auto" w:fill="FFFFFF"/>
        </w:rPr>
        <w:t>learning effects</w:t>
      </w:r>
      <w:r w:rsidRPr="005349B5">
        <w:rPr>
          <w:rFonts w:ascii="Times New Roman" w:hAnsi="Times New Roman" w:cs="Times New Roman"/>
          <w:color w:val="000000"/>
          <w:sz w:val="24"/>
          <w:szCs w:val="24"/>
          <w:shd w:val="clear" w:color="auto" w:fill="FFFFFF"/>
        </w:rPr>
        <w:fldChar w:fldCharType="begin" w:fldLock="1"/>
      </w:r>
      <w:r w:rsidR="00206C1A">
        <w:rPr>
          <w:rFonts w:ascii="Times New Roman" w:hAnsi="Times New Roman" w:cs="Times New Roman"/>
          <w:color w:val="000000"/>
          <w:sz w:val="24"/>
          <w:szCs w:val="24"/>
          <w:shd w:val="clear" w:color="auto" w:fill="FFFFFF"/>
        </w:rPr>
        <w:instrText>ADDIN CSL_CITATION {"citationItems":[{"id":"ITEM-1","itemData":{"DOI":"10.1176/appi.ajp.2013.13020263","ISSN":"1535-7228 (Electronic) 0002-953X (Linking)","abstract":"OBJECTIVE: Patients with borderline personality disorder are characterized by emotional hyperarousal with increased stress levels, anger proneness, and hostile, impulsive behaviors. They tend to ascribe anger to ambiguous facial expressions and exhibit enhanced and prolonged reactions in response to threatening social cues, associated with enhanced and prolonged amygdala responses. Because the intranasal administration of the neuropeptide oxytocin has been shown to improve facial recognition and to shift attention away from negative social information, the authors investigated whether borderline patients would benefit from oxytocin administration. METHOD: In a randomized placebo-controlled double-blind group design, 40 nonmedicated, adult female patients with a current DSM-IV diagnosis of borderline personality disorder (two patients were excluded based on hormonal analyses) and 41 healthy women, matched on age, education, and IQ, took part in an emotion classification task 45 minutes after intranasal administration of 26 IU of oxytocin or placebo. Dependent variables were latencies and number or initial reflexive eye movements measured by eye tracking, manual response latencies, and blood-oxygen-level-dependent responses of the amygdala to angry and fearful compared with happy facial expressions. RESULTS: Borderline patients exhibited more and faster initial fixation changes to the eyes of angry faces combined with increased amygdala activation in response to angry faces compared with the control group. These abnormal behavioral and neural patterns were normalized after oxytocin administration. CONCLUSIONS: Borderline patients exhibit a hypersensitivity to social threat in early, reflexive stages of information processing. Oxytocin may decrease social threat hypersensitivity and thus reduce anger and aggressive behavior in borderline personality disorder or other psychiatric disorders with enhanced threat-driven reactive aggression.","author":[{"dropping-particle":"","family":"Bertsch","given":"K","non-dropping-particle":"","parse-names":false,"suffix":""},{"dropping-particle":"","family":"Gamer","given":"M","non-dropping-particle":"","parse-names":false,"suffix":""},{"dropping-particle":"","family":"Schmidt","given":"B","non-dropping-particle":"","parse-names":false,"suffix":""},{"dropping-particle":"","family":"Schmidinger","given":"I","non-dropping-particle":"","parse-names":false,"suffix":""},{"dropping-particle":"","family":"Walther","given":"S","non-dropping-particle":"","parse-names":false,"suffix":""},{"dropping-particle":"","family":"Kastel","given":"T","non-dropping-particle":"","parse-names":false,"suffix":""},{"dropping-particle":"","family":"Schnell","given":"K","non-dropping-particle":"","parse-names":false,"suffix":""},{"dropping-particle":"","family":"Buchel","given":"C","non-dropping-particle":"","parse-names":false,"suffix":""},{"dropping-particle":"","family":"Domes","given":"G","non-dropping-particle":"","parse-names":false,"suffix":""},{"dropping-particle":"","family":"Herpertz","given":"S C","non-dropping-particle":"","parse-names":false,"suffix":""}],"container-title":"Am J Psychiatry","id":"ITEM-1","issue":"10","issued":{"date-parts":[["2013"]]},"note":"Bertsch, Katja\nGamer, Matthias\nSchmidt, Brigitte\nSchmidinger, Ilinca\nWalther, Stephan\nKastel, Thorsten\nSchnell, Knut\nBuchel, Christian\nDomes, Gregor\nHerpertz, Sabine C\neng\nRandomized Controlled Trial\nResearch Support, Non-U.S. Gov't\n2013/08/29 06:00\nAm J Psychiatry. 2013 Oct 1;170(10):1169-77. doi: 10.1176/appi.ajp.2013.13020263.","page":"1169-1177","title":"Oxytocin and reduction of social threat hypersensitivity in women with borderline personality disorder","type":"article-journal","volume":"170"},"uris":["http://www.mendeley.com/documents/?uuid=293294ed-2c0b-4692-867b-7e861d8eecfa"]}],"mendeley":{"formattedCitation":"&lt;sup&gt;3&lt;/sup&gt;","plainTextFormattedCitation":"3","previouslyFormattedCitation":"&lt;sup&gt;3&lt;/sup&gt;"},"properties":{"noteIndex":0},"schema":"https://github.com/citation-style-language/schema/raw/master/csl-citation.json"}</w:instrText>
      </w:r>
      <w:r w:rsidRPr="005349B5">
        <w:rPr>
          <w:rFonts w:ascii="Times New Roman" w:hAnsi="Times New Roman" w:cs="Times New Roman"/>
          <w:color w:val="000000"/>
          <w:sz w:val="24"/>
          <w:szCs w:val="24"/>
          <w:shd w:val="clear" w:color="auto" w:fill="FFFFFF"/>
        </w:rPr>
        <w:fldChar w:fldCharType="separate"/>
      </w:r>
      <w:r w:rsidR="00206C1A" w:rsidRPr="00206C1A">
        <w:rPr>
          <w:rFonts w:ascii="Times New Roman" w:hAnsi="Times New Roman" w:cs="Times New Roman"/>
          <w:noProof/>
          <w:color w:val="000000"/>
          <w:sz w:val="24"/>
          <w:szCs w:val="24"/>
          <w:shd w:val="clear" w:color="auto" w:fill="FFFFFF"/>
          <w:vertAlign w:val="superscript"/>
        </w:rPr>
        <w:t>3</w:t>
      </w:r>
      <w:r w:rsidRPr="005349B5">
        <w:rPr>
          <w:rFonts w:ascii="Times New Roman" w:hAnsi="Times New Roman" w:cs="Times New Roman"/>
          <w:color w:val="000000"/>
          <w:sz w:val="24"/>
          <w:szCs w:val="24"/>
          <w:shd w:val="clear" w:color="auto" w:fill="FFFFFF"/>
        </w:rPr>
        <w:fldChar w:fldCharType="end"/>
      </w:r>
      <w:r w:rsidRPr="005349B5">
        <w:rPr>
          <w:rFonts w:ascii="Times New Roman" w:hAnsi="Times New Roman" w:cs="Times New Roman"/>
          <w:color w:val="000000"/>
          <w:sz w:val="24"/>
          <w:szCs w:val="24"/>
          <w:shd w:val="clear" w:color="auto" w:fill="FFFFFF"/>
        </w:rPr>
        <w:t xml:space="preserve">. In this way, we could replace otherwise non-evaluable </w:t>
      </w:r>
      <w:r w:rsidRPr="005349B5">
        <w:rPr>
          <w:rFonts w:ascii="Times New Roman" w:hAnsi="Times New Roman" w:cs="Times New Roman"/>
          <w:sz w:val="24"/>
          <w:szCs w:val="24"/>
        </w:rPr>
        <w:t xml:space="preserve">measurements of six individuals (3 ASPD men, 2 HC men, 1 HC women). These measurements took place about one year after the original measurements and were all performed under </w:t>
      </w:r>
      <w:r w:rsidR="00B96F75">
        <w:rPr>
          <w:rFonts w:ascii="Times New Roman" w:hAnsi="Times New Roman" w:cs="Times New Roman"/>
          <w:sz w:val="24"/>
          <w:szCs w:val="24"/>
        </w:rPr>
        <w:t>OT</w:t>
      </w:r>
      <w:r w:rsidRPr="005349B5">
        <w:rPr>
          <w:rFonts w:ascii="Times New Roman" w:hAnsi="Times New Roman" w:cs="Times New Roman"/>
          <w:sz w:val="24"/>
          <w:szCs w:val="24"/>
        </w:rPr>
        <w:t xml:space="preserve"> (double-blind administration). Please note that </w:t>
      </w:r>
      <w:r w:rsidRPr="005349B5">
        <w:rPr>
          <w:rFonts w:ascii="Times New Roman" w:hAnsi="Times New Roman" w:cs="Times New Roman"/>
          <w:color w:val="231F20"/>
          <w:sz w:val="24"/>
          <w:szCs w:val="24"/>
        </w:rPr>
        <w:t>the sample is partially overlapping with our prior study sample</w:t>
      </w:r>
      <w:r w:rsidRPr="005349B5">
        <w:rPr>
          <w:rFonts w:ascii="Times New Roman" w:hAnsi="Times New Roman" w:cs="Times New Roman"/>
          <w:color w:val="231F20"/>
          <w:sz w:val="24"/>
          <w:szCs w:val="24"/>
        </w:rPr>
        <w:fldChar w:fldCharType="begin" w:fldLock="1"/>
      </w:r>
      <w:r w:rsidR="00206C1A">
        <w:rPr>
          <w:rFonts w:ascii="Times New Roman" w:hAnsi="Times New Roman" w:cs="Times New Roman"/>
          <w:color w:val="231F20"/>
          <w:sz w:val="24"/>
          <w:szCs w:val="24"/>
        </w:rPr>
        <w:instrText>ADDIN CSL_CITATION {"citationItems":[{"id":"ITEM-1","itemData":{"DOI":"10.1016/j.psyneuen.2017.07.483","ISSN":"18733360","abstract":"© 2017 Deficient facial emotion recognition has been suggested to underlie aggression in individuals with antisocial personality disorder (ASPD). As the neuropeptide oxytocin (OT) has been shown to improve facial emotion recognition, it might also exert beneficial effects in individuals providing so much harm to the society. In a double-blind, randomized, placebo-controlled crossover trial, 22 individuals with ASPD and 29 healthy control (HC) subjects (matched for age, sex, intelligence, and education) were intranasally administered either OT (24 IU) or a placebo 45 min before participating in an emotion classification paradigm with fearful, angry, and happy faces. We assessed the number of correct classifications and reaction times as indicators of emotion recognition ability. Significant group × substance × emotion interactions were found in correct classifications and reaction times. Compared to HC, individuals with ASPD showed deficits in recognizing fearful and happy faces; these group differences were no longer observable under OT. Additionally, reaction times for angry faces differed significantly between the ASPD and HC group in the placebo condition. This effect was mainly driven by longer reaction times in HC subjects after placebo administration compared to OT administration while individuals with ASPD revealed descriptively the contrary response pattern. Our data indicate an improvement of the recognition of fearful and happy facial expressions by OT in young adults with ASPD. Particularly the increased recognition of facial fear is of high importance since the correct perception of distress signals in others is thought to inhibit aggression. Beneficial effects of OT might be further mediated by improved recognition of facial happiness probably reflecting increased social reward responsiveness.","author":[{"dropping-particle":"","family":"Timmermann","given":"M.","non-dropping-particle":"","parse-names":false,"suffix":""},{"dropping-particle":"","family":"Jeung","given":"H.","non-dropping-particle":"","parse-names":false,"suffix":""},{"dropping-particle":"","family":"Schmitt","given":"R.","non-dropping-particle":"","parse-names":false,"suffix":""},{"dropping-particle":"","family":"Boll","given":"S.","non-dropping-particle":"","parse-names":false,"suffix":""},{"dropping-particle":"","family":"Freitag","given":"C.M.","non-dropping-particle":"","parse-names":false,"suffix":""},{"dropping-particle":"","family":"Bertsch","given":"K.","non-dropping-particle":"","parse-names":false,"suffix":""},{"dropping-particle":"","family":"Herpertz","given":"S.C.","non-dropping-particle":"","parse-names":false,"suffix":""}],"container-title":"Psychoneuroendocrinology","id":"ITEM-1","issued":{"date-parts":[["2017"]]},"title":"Oxytocin improves facial emotion recognition in young adults with antisocial personality disorder","type":"article-journal","volume":"85"},"uris":["http://www.mendeley.com/documents/?uuid=7add6085-93fe-30c5-9923-707729c773e3"]}],"mendeley":{"formattedCitation":"&lt;sup&gt;4&lt;/sup&gt;","plainTextFormattedCitation":"4","previouslyFormattedCitation":"&lt;sup&gt;4&lt;/sup&gt;"},"properties":{"noteIndex":0},"schema":"https://github.com/citation-style-language/schema/raw/master/csl-citation.json"}</w:instrText>
      </w:r>
      <w:r w:rsidRPr="005349B5">
        <w:rPr>
          <w:rFonts w:ascii="Times New Roman" w:hAnsi="Times New Roman" w:cs="Times New Roman"/>
          <w:color w:val="231F20"/>
          <w:sz w:val="24"/>
          <w:szCs w:val="24"/>
        </w:rPr>
        <w:fldChar w:fldCharType="separate"/>
      </w:r>
      <w:r w:rsidR="00206C1A" w:rsidRPr="00206C1A">
        <w:rPr>
          <w:rFonts w:ascii="Times New Roman" w:hAnsi="Times New Roman" w:cs="Times New Roman"/>
          <w:noProof/>
          <w:color w:val="231F20"/>
          <w:sz w:val="24"/>
          <w:szCs w:val="24"/>
          <w:vertAlign w:val="superscript"/>
        </w:rPr>
        <w:t>4</w:t>
      </w:r>
      <w:r w:rsidRPr="005349B5">
        <w:rPr>
          <w:rFonts w:ascii="Times New Roman" w:hAnsi="Times New Roman" w:cs="Times New Roman"/>
          <w:color w:val="231F20"/>
          <w:sz w:val="24"/>
          <w:szCs w:val="24"/>
        </w:rPr>
        <w:fldChar w:fldCharType="end"/>
      </w:r>
      <w:r w:rsidRPr="005349B5">
        <w:rPr>
          <w:rFonts w:ascii="Times New Roman" w:hAnsi="Times New Roman" w:cs="Times New Roman"/>
          <w:color w:val="231F20"/>
          <w:sz w:val="24"/>
          <w:szCs w:val="24"/>
        </w:rPr>
        <w:t xml:space="preserve"> where however no fMRI data were reported. </w:t>
      </w:r>
      <w:r w:rsidR="005C0AE7">
        <w:rPr>
          <w:rFonts w:ascii="Times New Roman" w:hAnsi="Times New Roman" w:cs="Times New Roman"/>
          <w:color w:val="231F20"/>
          <w:sz w:val="24"/>
          <w:szCs w:val="24"/>
        </w:rPr>
        <w:t>Participants were recruited between August 2014 and February 2018.</w:t>
      </w:r>
    </w:p>
    <w:p w14:paraId="70EE1865" w14:textId="765239C6" w:rsidR="00883E59" w:rsidRDefault="00883E59" w:rsidP="00883E59">
      <w:pPr>
        <w:shd w:val="clear" w:color="auto" w:fill="FFFFFF"/>
        <w:spacing w:after="0" w:line="480" w:lineRule="auto"/>
        <w:rPr>
          <w:rFonts w:ascii="Times New Roman" w:eastAsia="Times New Roman" w:hAnsi="Times New Roman" w:cs="Times New Roman"/>
          <w:color w:val="222222"/>
          <w:sz w:val="24"/>
          <w:szCs w:val="24"/>
          <w:lang w:val="en-US"/>
        </w:rPr>
      </w:pPr>
    </w:p>
    <w:p w14:paraId="6CD2F44E" w14:textId="12E9A33E" w:rsidR="00F84330" w:rsidRPr="005349B5" w:rsidRDefault="00F84330" w:rsidP="00F84330">
      <w:pPr>
        <w:autoSpaceDE w:val="0"/>
        <w:autoSpaceDN w:val="0"/>
        <w:adjustRightInd w:val="0"/>
        <w:spacing w:after="0" w:line="480" w:lineRule="auto"/>
        <w:rPr>
          <w:rFonts w:ascii="Times New Roman" w:hAnsi="Times New Roman" w:cs="Times New Roman"/>
          <w:sz w:val="24"/>
          <w:szCs w:val="24"/>
        </w:rPr>
      </w:pPr>
      <w:r w:rsidRPr="005349B5">
        <w:rPr>
          <w:rFonts w:ascii="Times New Roman" w:hAnsi="Times New Roman" w:cs="Times New Roman"/>
          <w:i/>
          <w:iCs/>
          <w:sz w:val="24"/>
          <w:szCs w:val="24"/>
          <w:lang w:val="en-US"/>
        </w:rPr>
        <w:t>Table 1</w:t>
      </w:r>
      <w:r w:rsidRPr="005349B5">
        <w:rPr>
          <w:rFonts w:ascii="Times New Roman" w:hAnsi="Times New Roman" w:cs="Times New Roman"/>
          <w:sz w:val="24"/>
          <w:szCs w:val="24"/>
          <w:lang w:val="en-US"/>
        </w:rPr>
        <w:t xml:space="preserve"> provides detailed information about participants’ demographic and clinical characteristics. As shown, the groups did not differ significantly in age and IQ. </w:t>
      </w:r>
      <w:r w:rsidRPr="005349B5">
        <w:rPr>
          <w:rFonts w:ascii="Times New Roman" w:hAnsi="Times New Roman" w:cs="Times New Roman"/>
          <w:color w:val="000000" w:themeColor="text1"/>
          <w:sz w:val="24"/>
          <w:szCs w:val="24"/>
          <w:shd w:val="clear" w:color="auto" w:fill="FFFFFF"/>
          <w:lang w:val="en-US"/>
        </w:rPr>
        <w:t xml:space="preserve">The ASPD groups scored significantly higher on </w:t>
      </w:r>
      <w:r w:rsidRPr="005349B5">
        <w:rPr>
          <w:rFonts w:ascii="Times New Roman" w:hAnsi="Times New Roman" w:cs="Times New Roman"/>
          <w:color w:val="000000" w:themeColor="text1"/>
          <w:sz w:val="24"/>
          <w:szCs w:val="24"/>
          <w:lang w:val="en-US"/>
        </w:rPr>
        <w:t xml:space="preserve">psychopathy and had a higher proportion of borderline personality disorder (BPD), past major depressive episode (MDE), alcohol abuse, cannabis abuse, multiple substance abuse, and </w:t>
      </w:r>
      <w:r w:rsidRPr="005349B5">
        <w:rPr>
          <w:rFonts w:ascii="Times New Roman" w:hAnsi="Times New Roman" w:cs="Times New Roman"/>
          <w:color w:val="333333"/>
          <w:sz w:val="24"/>
          <w:szCs w:val="24"/>
          <w:lang w:val="en-US"/>
        </w:rPr>
        <w:t>post-traumatic stress disorder (PTSD)</w:t>
      </w:r>
      <w:r w:rsidRPr="005349B5">
        <w:rPr>
          <w:rFonts w:ascii="Times New Roman" w:hAnsi="Times New Roman" w:cs="Times New Roman"/>
          <w:color w:val="000000" w:themeColor="text1"/>
          <w:sz w:val="24"/>
          <w:szCs w:val="24"/>
          <w:lang w:val="en-US"/>
        </w:rPr>
        <w:t xml:space="preserve">. In post-hoc tests, women with ASPD had higher comorbidities with BPD, past MDE, and PTSD than men with ASPD (all </w:t>
      </w:r>
      <w:r w:rsidRPr="005349B5">
        <w:rPr>
          <w:rFonts w:ascii="Times New Roman" w:hAnsi="Times New Roman" w:cs="Times New Roman"/>
          <w:i/>
          <w:iCs/>
          <w:color w:val="000000" w:themeColor="text1"/>
          <w:sz w:val="24"/>
          <w:szCs w:val="24"/>
          <w:lang w:val="en-US"/>
        </w:rPr>
        <w:t>p</w:t>
      </w:r>
      <w:r w:rsidRPr="005349B5">
        <w:rPr>
          <w:rFonts w:ascii="Times New Roman" w:hAnsi="Times New Roman" w:cs="Times New Roman"/>
          <w:color w:val="000000" w:themeColor="text1"/>
          <w:sz w:val="24"/>
          <w:szCs w:val="24"/>
          <w:lang w:val="en-US"/>
        </w:rPr>
        <w:t xml:space="preserve">’s &lt; .05). </w:t>
      </w:r>
      <w:r w:rsidRPr="005349B5">
        <w:rPr>
          <w:rFonts w:ascii="Times New Roman" w:hAnsi="Times New Roman" w:cs="Times New Roman"/>
          <w:sz w:val="24"/>
          <w:szCs w:val="24"/>
        </w:rPr>
        <w:t xml:space="preserve">ASPD </w:t>
      </w:r>
      <w:r w:rsidR="00CD315B">
        <w:rPr>
          <w:rFonts w:ascii="Times New Roman" w:hAnsi="Times New Roman" w:cs="Times New Roman"/>
          <w:sz w:val="24"/>
          <w:szCs w:val="24"/>
        </w:rPr>
        <w:t>participant</w:t>
      </w:r>
      <w:r w:rsidRPr="005349B5">
        <w:rPr>
          <w:rFonts w:ascii="Times New Roman" w:hAnsi="Times New Roman" w:cs="Times New Roman"/>
          <w:sz w:val="24"/>
          <w:szCs w:val="24"/>
        </w:rPr>
        <w:t xml:space="preserve">s had significantly higher </w:t>
      </w:r>
      <w:r w:rsidRPr="005349B5">
        <w:rPr>
          <w:rFonts w:ascii="Times New Roman" w:hAnsi="Times New Roman" w:cs="Times New Roman"/>
          <w:sz w:val="24"/>
          <w:szCs w:val="24"/>
          <w:lang w:val="en-US"/>
        </w:rPr>
        <w:t>SRP and the STAXI</w:t>
      </w:r>
      <w:r w:rsidRPr="005349B5">
        <w:rPr>
          <w:rFonts w:ascii="Times New Roman" w:hAnsi="Times New Roman" w:cs="Times New Roman"/>
          <w:sz w:val="24"/>
          <w:szCs w:val="24"/>
        </w:rPr>
        <w:t xml:space="preserve"> (sub)scores relative to HC </w:t>
      </w:r>
      <w:r w:rsidR="00CD315B">
        <w:rPr>
          <w:rFonts w:ascii="Times New Roman" w:hAnsi="Times New Roman" w:cs="Times New Roman"/>
          <w:sz w:val="24"/>
          <w:szCs w:val="24"/>
        </w:rPr>
        <w:t>participant</w:t>
      </w:r>
      <w:r w:rsidRPr="005349B5">
        <w:rPr>
          <w:rFonts w:ascii="Times New Roman" w:hAnsi="Times New Roman" w:cs="Times New Roman"/>
          <w:sz w:val="24"/>
          <w:szCs w:val="24"/>
        </w:rPr>
        <w:t xml:space="preserve">s. </w:t>
      </w:r>
      <w:r w:rsidRPr="005349B5">
        <w:rPr>
          <w:rFonts w:ascii="Times New Roman" w:hAnsi="Times New Roman" w:cs="Times New Roman"/>
          <w:sz w:val="24"/>
          <w:szCs w:val="24"/>
          <w:lang w:val="en-US"/>
        </w:rPr>
        <w:t>Additionally, the following pairwise differences between the male and female ASPD groups were found in post-hoc analyses: A</w:t>
      </w:r>
      <w:r w:rsidRPr="005349B5">
        <w:rPr>
          <w:rFonts w:ascii="Times New Roman" w:hAnsi="Times New Roman" w:cs="Times New Roman"/>
          <w:color w:val="000000" w:themeColor="text1"/>
          <w:sz w:val="24"/>
          <w:szCs w:val="24"/>
          <w:shd w:val="clear" w:color="auto" w:fill="FFFFFF"/>
          <w:lang w:val="en-US"/>
        </w:rPr>
        <w:t>ntisocial behavior was more present in men than women with ASPD (8.05, 95%-</w:t>
      </w:r>
      <w:proofErr w:type="gramStart"/>
      <w:r w:rsidRPr="005349B5">
        <w:rPr>
          <w:rFonts w:ascii="Times New Roman" w:hAnsi="Times New Roman" w:cs="Times New Roman"/>
          <w:color w:val="000000" w:themeColor="text1"/>
          <w:sz w:val="24"/>
          <w:szCs w:val="24"/>
          <w:shd w:val="clear" w:color="auto" w:fill="FFFFFF"/>
          <w:lang w:val="en-US"/>
        </w:rPr>
        <w:t>CI[</w:t>
      </w:r>
      <w:proofErr w:type="gramEnd"/>
      <w:r w:rsidRPr="005349B5">
        <w:rPr>
          <w:rFonts w:ascii="Times New Roman" w:hAnsi="Times New Roman" w:cs="Times New Roman"/>
          <w:color w:val="000000" w:themeColor="text1"/>
          <w:sz w:val="24"/>
          <w:szCs w:val="24"/>
          <w:shd w:val="clear" w:color="auto" w:fill="FFFFFF"/>
          <w:lang w:val="en-US"/>
        </w:rPr>
        <w:t xml:space="preserve">1.45, 14.65], </w:t>
      </w:r>
      <w:r w:rsidRPr="005349B5">
        <w:rPr>
          <w:rStyle w:val="Emphasis"/>
          <w:rFonts w:ascii="Times New Roman" w:hAnsi="Times New Roman" w:cs="Times New Roman"/>
          <w:color w:val="000000" w:themeColor="text1"/>
          <w:sz w:val="24"/>
          <w:szCs w:val="24"/>
          <w:shd w:val="clear" w:color="auto" w:fill="FFFFFF"/>
          <w:lang w:val="en-US"/>
        </w:rPr>
        <w:t>p</w:t>
      </w:r>
      <w:r w:rsidRPr="005349B5">
        <w:rPr>
          <w:rFonts w:ascii="Times New Roman" w:hAnsi="Times New Roman" w:cs="Times New Roman"/>
          <w:color w:val="000000" w:themeColor="text1"/>
          <w:sz w:val="24"/>
          <w:szCs w:val="24"/>
          <w:shd w:val="clear" w:color="auto" w:fill="FFFFFF"/>
          <w:lang w:val="en-US"/>
        </w:rPr>
        <w:t> = .01). In contrast, trait anger (6.58, 95%-</w:t>
      </w:r>
      <w:proofErr w:type="gramStart"/>
      <w:r w:rsidRPr="005349B5">
        <w:rPr>
          <w:rFonts w:ascii="Times New Roman" w:hAnsi="Times New Roman" w:cs="Times New Roman"/>
          <w:color w:val="000000" w:themeColor="text1"/>
          <w:sz w:val="24"/>
          <w:szCs w:val="24"/>
          <w:shd w:val="clear" w:color="auto" w:fill="FFFFFF"/>
          <w:lang w:val="en-US"/>
        </w:rPr>
        <w:t>CI[</w:t>
      </w:r>
      <w:proofErr w:type="gramEnd"/>
      <w:r w:rsidRPr="005349B5">
        <w:rPr>
          <w:rFonts w:ascii="Times New Roman" w:hAnsi="Times New Roman" w:cs="Times New Roman"/>
          <w:color w:val="000000" w:themeColor="text1"/>
          <w:sz w:val="24"/>
          <w:szCs w:val="24"/>
          <w:shd w:val="clear" w:color="auto" w:fill="FFFFFF"/>
          <w:lang w:val="en-US"/>
        </w:rPr>
        <w:t xml:space="preserve">2.66, 10.49]), anger reaction (3.16, 95%-CI[1.04, 5.28]), and anger temper (3.42, 95%-CI[1.22, 5.63]) was higher in ASPD women than in men with ASPD </w:t>
      </w:r>
      <w:r w:rsidRPr="005349B5">
        <w:rPr>
          <w:rFonts w:ascii="Times New Roman" w:hAnsi="Times New Roman" w:cs="Times New Roman"/>
          <w:sz w:val="24"/>
          <w:szCs w:val="24"/>
          <w:lang w:val="en-US"/>
        </w:rPr>
        <w:t xml:space="preserve">(all </w:t>
      </w:r>
      <w:r w:rsidRPr="005349B5">
        <w:rPr>
          <w:rFonts w:ascii="Times New Roman" w:hAnsi="Times New Roman" w:cs="Times New Roman"/>
          <w:i/>
          <w:iCs/>
          <w:sz w:val="24"/>
          <w:szCs w:val="24"/>
          <w:lang w:val="en-US"/>
        </w:rPr>
        <w:t>p</w:t>
      </w:r>
      <w:r w:rsidRPr="005349B5">
        <w:rPr>
          <w:rFonts w:ascii="Times New Roman" w:hAnsi="Times New Roman" w:cs="Times New Roman"/>
          <w:sz w:val="24"/>
          <w:szCs w:val="24"/>
          <w:lang w:val="en-US"/>
        </w:rPr>
        <w:t xml:space="preserve">’s </w:t>
      </w:r>
      <w:r w:rsidRPr="005349B5">
        <w:rPr>
          <w:rFonts w:ascii="Times New Roman" w:eastAsia="Times New Roman" w:hAnsi="Times New Roman" w:cs="Times New Roman"/>
          <w:color w:val="333333"/>
          <w:kern w:val="36"/>
          <w:sz w:val="24"/>
          <w:szCs w:val="24"/>
          <w:lang w:val="en-US"/>
        </w:rPr>
        <w:t xml:space="preserve">≤ </w:t>
      </w:r>
      <w:r w:rsidRPr="005349B5">
        <w:rPr>
          <w:rFonts w:ascii="Times New Roman" w:hAnsi="Times New Roman" w:cs="Times New Roman"/>
          <w:sz w:val="24"/>
          <w:szCs w:val="24"/>
          <w:lang w:val="en-US"/>
        </w:rPr>
        <w:t xml:space="preserve">.001) and women with ASPD showed less anger control than men with ASPD </w:t>
      </w:r>
      <w:r w:rsidRPr="005349B5">
        <w:rPr>
          <w:rFonts w:ascii="Times New Roman" w:hAnsi="Times New Roman" w:cs="Times New Roman"/>
          <w:color w:val="000000" w:themeColor="text1"/>
          <w:sz w:val="24"/>
          <w:szCs w:val="24"/>
          <w:shd w:val="clear" w:color="auto" w:fill="FFFFFF"/>
          <w:lang w:val="en-US"/>
        </w:rPr>
        <w:t xml:space="preserve">(-4.13, 95%-CI[-8.03, -0.23], </w:t>
      </w:r>
      <w:r w:rsidRPr="005349B5">
        <w:rPr>
          <w:rFonts w:ascii="Times New Roman" w:hAnsi="Times New Roman" w:cs="Times New Roman"/>
          <w:i/>
          <w:iCs/>
          <w:color w:val="000000" w:themeColor="text1"/>
          <w:sz w:val="24"/>
          <w:szCs w:val="24"/>
          <w:shd w:val="clear" w:color="auto" w:fill="FFFFFF"/>
          <w:lang w:val="en-US"/>
        </w:rPr>
        <w:t>p</w:t>
      </w:r>
      <w:r w:rsidRPr="005349B5">
        <w:rPr>
          <w:rFonts w:ascii="Times New Roman" w:hAnsi="Times New Roman" w:cs="Times New Roman"/>
          <w:color w:val="000000" w:themeColor="text1"/>
          <w:sz w:val="24"/>
          <w:szCs w:val="24"/>
          <w:shd w:val="clear" w:color="auto" w:fill="FFFFFF"/>
          <w:lang w:val="en-US"/>
        </w:rPr>
        <w:t xml:space="preserve"> = .033).</w:t>
      </w:r>
      <w:r w:rsidRPr="005349B5">
        <w:rPr>
          <w:rFonts w:ascii="Times New Roman" w:hAnsi="Times New Roman" w:cs="Times New Roman"/>
          <w:sz w:val="24"/>
          <w:szCs w:val="24"/>
        </w:rPr>
        <w:t xml:space="preserve"> </w:t>
      </w:r>
    </w:p>
    <w:p w14:paraId="73F34E77" w14:textId="77777777" w:rsidR="00F84330" w:rsidRPr="005349B5" w:rsidRDefault="00F84330" w:rsidP="00F84330">
      <w:pPr>
        <w:autoSpaceDE w:val="0"/>
        <w:autoSpaceDN w:val="0"/>
        <w:adjustRightInd w:val="0"/>
        <w:spacing w:after="0" w:line="480" w:lineRule="auto"/>
        <w:jc w:val="both"/>
        <w:rPr>
          <w:rFonts w:ascii="Times New Roman" w:hAnsi="Times New Roman" w:cs="Times New Roman"/>
          <w:sz w:val="24"/>
          <w:szCs w:val="24"/>
        </w:rPr>
      </w:pPr>
    </w:p>
    <w:p w14:paraId="58162E6E" w14:textId="49BC3BEE" w:rsidR="00F84330" w:rsidRPr="005349B5" w:rsidRDefault="00F84330" w:rsidP="00F84330">
      <w:pPr>
        <w:autoSpaceDE w:val="0"/>
        <w:autoSpaceDN w:val="0"/>
        <w:adjustRightInd w:val="0"/>
        <w:spacing w:after="0" w:line="480" w:lineRule="auto"/>
        <w:jc w:val="both"/>
        <w:rPr>
          <w:rFonts w:ascii="Times New Roman" w:hAnsi="Times New Roman" w:cs="Times New Roman"/>
          <w:sz w:val="24"/>
          <w:szCs w:val="24"/>
          <w:lang w:val="en-US"/>
        </w:rPr>
      </w:pPr>
      <w:r w:rsidRPr="005349B5">
        <w:rPr>
          <w:rFonts w:ascii="Times New Roman" w:hAnsi="Times New Roman" w:cs="Times New Roman"/>
          <w:i/>
          <w:sz w:val="24"/>
          <w:szCs w:val="24"/>
          <w:lang w:val="en-US"/>
        </w:rPr>
        <w:lastRenderedPageBreak/>
        <w:t>Table 2</w:t>
      </w:r>
      <w:r w:rsidRPr="005349B5">
        <w:rPr>
          <w:rFonts w:ascii="Times New Roman" w:hAnsi="Times New Roman" w:cs="Times New Roman"/>
          <w:sz w:val="24"/>
          <w:szCs w:val="24"/>
          <w:lang w:val="en-US"/>
        </w:rPr>
        <w:t xml:space="preserve"> presents salivary oxytocin (</w:t>
      </w:r>
      <w:r w:rsidR="00B96F75">
        <w:rPr>
          <w:rFonts w:ascii="Times New Roman" w:hAnsi="Times New Roman" w:cs="Times New Roman"/>
          <w:sz w:val="24"/>
          <w:szCs w:val="24"/>
          <w:lang w:val="en-US"/>
        </w:rPr>
        <w:t>OT</w:t>
      </w:r>
      <w:r w:rsidRPr="005349B5">
        <w:rPr>
          <w:rFonts w:ascii="Times New Roman" w:hAnsi="Times New Roman" w:cs="Times New Roman"/>
          <w:sz w:val="24"/>
          <w:szCs w:val="24"/>
          <w:lang w:val="en-US"/>
        </w:rPr>
        <w:t xml:space="preserve">) levels and urinary cannabis positive tests of all participants, and plasma progesterone levels of female participants. Across groups, salivary </w:t>
      </w:r>
      <w:r w:rsidR="00B96F75">
        <w:rPr>
          <w:rFonts w:ascii="Times New Roman" w:hAnsi="Times New Roman" w:cs="Times New Roman"/>
          <w:sz w:val="24"/>
          <w:szCs w:val="24"/>
          <w:lang w:val="en-US"/>
        </w:rPr>
        <w:t>OT</w:t>
      </w:r>
      <w:r w:rsidRPr="005349B5">
        <w:rPr>
          <w:rFonts w:ascii="Times New Roman" w:hAnsi="Times New Roman" w:cs="Times New Roman"/>
          <w:sz w:val="24"/>
          <w:szCs w:val="24"/>
          <w:lang w:val="en-US"/>
        </w:rPr>
        <w:t xml:space="preserve"> levels were higher in women than in men </w:t>
      </w:r>
      <w:r w:rsidRPr="005349B5">
        <w:rPr>
          <w:rFonts w:ascii="Times New Roman" w:hAnsi="Times New Roman" w:cs="Times New Roman"/>
          <w:color w:val="000000" w:themeColor="text1"/>
          <w:sz w:val="24"/>
          <w:szCs w:val="24"/>
          <w:lang w:val="en-US"/>
        </w:rPr>
        <w:t>(</w:t>
      </w:r>
      <w:proofErr w:type="gramStart"/>
      <w:r w:rsidRPr="005349B5">
        <w:rPr>
          <w:rFonts w:ascii="Times New Roman" w:hAnsi="Times New Roman" w:cs="Times New Roman"/>
          <w:i/>
          <w:iCs/>
          <w:color w:val="000000" w:themeColor="text1"/>
          <w:sz w:val="24"/>
          <w:szCs w:val="24"/>
          <w:lang w:val="en-US"/>
        </w:rPr>
        <w:t>F</w:t>
      </w:r>
      <w:r w:rsidRPr="005349B5">
        <w:rPr>
          <w:rFonts w:ascii="Times New Roman" w:hAnsi="Times New Roman" w:cs="Times New Roman"/>
          <w:color w:val="000000" w:themeColor="text1"/>
          <w:sz w:val="24"/>
          <w:szCs w:val="24"/>
          <w:lang w:val="en-US"/>
        </w:rPr>
        <w:t>(</w:t>
      </w:r>
      <w:proofErr w:type="gramEnd"/>
      <w:r w:rsidRPr="005349B5">
        <w:rPr>
          <w:rFonts w:ascii="Times New Roman" w:hAnsi="Times New Roman" w:cs="Times New Roman"/>
          <w:color w:val="000000" w:themeColor="text1"/>
          <w:sz w:val="24"/>
          <w:szCs w:val="24"/>
          <w:lang w:val="en-US"/>
        </w:rPr>
        <w:t xml:space="preserve">1, 55) = 6.85, </w:t>
      </w:r>
      <w:r w:rsidRPr="005349B5">
        <w:rPr>
          <w:rFonts w:ascii="Times New Roman" w:hAnsi="Times New Roman" w:cs="Times New Roman"/>
          <w:i/>
          <w:iCs/>
          <w:color w:val="000000" w:themeColor="text1"/>
          <w:sz w:val="24"/>
          <w:szCs w:val="24"/>
          <w:lang w:val="en-US"/>
        </w:rPr>
        <w:t>p</w:t>
      </w:r>
      <w:r w:rsidRPr="005349B5">
        <w:rPr>
          <w:rFonts w:ascii="Times New Roman" w:hAnsi="Times New Roman" w:cs="Times New Roman"/>
          <w:color w:val="000000" w:themeColor="text1"/>
          <w:sz w:val="24"/>
          <w:szCs w:val="24"/>
          <w:lang w:val="en-US"/>
        </w:rPr>
        <w:t xml:space="preserve"> = .011, </w:t>
      </w:r>
      <w:r w:rsidRPr="005349B5">
        <w:rPr>
          <w:rFonts w:ascii="Times New Roman" w:hAnsi="Times New Roman" w:cs="Times New Roman"/>
          <w:i/>
          <w:iCs/>
          <w:color w:val="000000" w:themeColor="text1"/>
          <w:sz w:val="24"/>
          <w:szCs w:val="24"/>
          <w:shd w:val="clear" w:color="auto" w:fill="FFFFFF"/>
          <w:lang w:val="en-US"/>
        </w:rPr>
        <w:t>η²</w:t>
      </w:r>
      <w:r w:rsidRPr="005349B5">
        <w:rPr>
          <w:rFonts w:ascii="Times New Roman" w:hAnsi="Times New Roman" w:cs="Times New Roman"/>
          <w:color w:val="000000" w:themeColor="text1"/>
          <w:sz w:val="24"/>
          <w:szCs w:val="24"/>
          <w:shd w:val="clear" w:color="auto" w:fill="FFFFFF"/>
          <w:lang w:val="en-US"/>
        </w:rPr>
        <w:t> = .11</w:t>
      </w:r>
      <w:r w:rsidRPr="005349B5">
        <w:rPr>
          <w:rFonts w:ascii="Times New Roman" w:hAnsi="Times New Roman" w:cs="Times New Roman"/>
          <w:color w:val="000000" w:themeColor="text1"/>
          <w:sz w:val="24"/>
          <w:szCs w:val="24"/>
          <w:lang w:val="en-US"/>
        </w:rPr>
        <w:t>).</w:t>
      </w:r>
      <w:r w:rsidRPr="005349B5">
        <w:rPr>
          <w:rFonts w:ascii="Times New Roman" w:hAnsi="Times New Roman" w:cs="Times New Roman"/>
          <w:sz w:val="24"/>
          <w:szCs w:val="24"/>
          <w:lang w:val="en-US"/>
        </w:rPr>
        <w:t xml:space="preserve"> The female HC and ASPD groups did not differ significantly in progesterone levels </w:t>
      </w:r>
      <w:r w:rsidRPr="005349B5">
        <w:rPr>
          <w:rFonts w:ascii="Times New Roman" w:hAnsi="Times New Roman" w:cs="Times New Roman"/>
          <w:color w:val="000000" w:themeColor="text1"/>
          <w:sz w:val="24"/>
          <w:szCs w:val="24"/>
          <w:lang w:val="en-US"/>
        </w:rPr>
        <w:t>(</w:t>
      </w:r>
      <w:proofErr w:type="gramStart"/>
      <w:r w:rsidRPr="005349B5">
        <w:rPr>
          <w:rFonts w:ascii="Times New Roman" w:hAnsi="Times New Roman" w:cs="Times New Roman"/>
          <w:i/>
          <w:iCs/>
          <w:color w:val="000000" w:themeColor="text1"/>
          <w:sz w:val="24"/>
          <w:szCs w:val="24"/>
          <w:lang w:val="en-US"/>
        </w:rPr>
        <w:t>F</w:t>
      </w:r>
      <w:r w:rsidRPr="005349B5">
        <w:rPr>
          <w:rFonts w:ascii="Times New Roman" w:hAnsi="Times New Roman" w:cs="Times New Roman"/>
          <w:color w:val="000000" w:themeColor="text1"/>
          <w:sz w:val="24"/>
          <w:szCs w:val="24"/>
          <w:lang w:val="en-US"/>
        </w:rPr>
        <w:t>(</w:t>
      </w:r>
      <w:proofErr w:type="gramEnd"/>
      <w:r w:rsidRPr="005349B5">
        <w:rPr>
          <w:rFonts w:ascii="Times New Roman" w:hAnsi="Times New Roman" w:cs="Times New Roman"/>
          <w:color w:val="000000" w:themeColor="text1"/>
          <w:sz w:val="24"/>
          <w:szCs w:val="24"/>
          <w:lang w:val="en-US"/>
        </w:rPr>
        <w:t xml:space="preserve">1, 28) = 3.41, </w:t>
      </w:r>
      <w:r w:rsidRPr="005349B5">
        <w:rPr>
          <w:rFonts w:ascii="Times New Roman" w:hAnsi="Times New Roman" w:cs="Times New Roman"/>
          <w:i/>
          <w:iCs/>
          <w:color w:val="000000" w:themeColor="text1"/>
          <w:sz w:val="24"/>
          <w:szCs w:val="24"/>
          <w:lang w:val="en-US"/>
        </w:rPr>
        <w:t>p</w:t>
      </w:r>
      <w:r w:rsidRPr="005349B5">
        <w:rPr>
          <w:rFonts w:ascii="Times New Roman" w:hAnsi="Times New Roman" w:cs="Times New Roman"/>
          <w:color w:val="000000" w:themeColor="text1"/>
          <w:sz w:val="24"/>
          <w:szCs w:val="24"/>
          <w:lang w:val="en-US"/>
        </w:rPr>
        <w:t xml:space="preserve"> = .075, </w:t>
      </w:r>
      <w:r w:rsidRPr="005349B5">
        <w:rPr>
          <w:rFonts w:ascii="Times New Roman" w:hAnsi="Times New Roman" w:cs="Times New Roman"/>
          <w:i/>
          <w:iCs/>
          <w:color w:val="000000" w:themeColor="text1"/>
          <w:sz w:val="24"/>
          <w:szCs w:val="24"/>
          <w:shd w:val="clear" w:color="auto" w:fill="FFFFFF"/>
          <w:lang w:val="en-US"/>
        </w:rPr>
        <w:t>η²</w:t>
      </w:r>
      <w:r w:rsidRPr="005349B5">
        <w:rPr>
          <w:rFonts w:ascii="Times New Roman" w:hAnsi="Times New Roman" w:cs="Times New Roman"/>
          <w:color w:val="000000" w:themeColor="text1"/>
          <w:sz w:val="24"/>
          <w:szCs w:val="24"/>
          <w:shd w:val="clear" w:color="auto" w:fill="FFFFFF"/>
          <w:lang w:val="en-US"/>
        </w:rPr>
        <w:t> = .11</w:t>
      </w:r>
      <w:r w:rsidRPr="005349B5">
        <w:rPr>
          <w:rFonts w:ascii="Times New Roman" w:hAnsi="Times New Roman" w:cs="Times New Roman"/>
          <w:color w:val="000000" w:themeColor="text1"/>
          <w:sz w:val="24"/>
          <w:szCs w:val="24"/>
          <w:lang w:val="en-US"/>
        </w:rPr>
        <w:t xml:space="preserve">). Men with ASPD had more cannabis positive tests than women with ASPD and male and female HCs (all </w:t>
      </w:r>
      <w:r w:rsidRPr="005349B5">
        <w:rPr>
          <w:rFonts w:ascii="Times New Roman" w:hAnsi="Times New Roman" w:cs="Times New Roman"/>
          <w:i/>
          <w:iCs/>
          <w:color w:val="000000" w:themeColor="text1"/>
          <w:sz w:val="24"/>
          <w:szCs w:val="24"/>
          <w:lang w:val="en-US"/>
        </w:rPr>
        <w:t>p</w:t>
      </w:r>
      <w:r w:rsidRPr="005349B5">
        <w:rPr>
          <w:rFonts w:ascii="Times New Roman" w:hAnsi="Times New Roman" w:cs="Times New Roman"/>
          <w:color w:val="000000" w:themeColor="text1"/>
          <w:sz w:val="24"/>
          <w:szCs w:val="24"/>
          <w:lang w:val="en-US"/>
        </w:rPr>
        <w:t>’s &lt; .05).</w:t>
      </w:r>
    </w:p>
    <w:p w14:paraId="4B7F46FB" w14:textId="77777777" w:rsidR="00F84330" w:rsidRPr="005349B5" w:rsidRDefault="00F84330" w:rsidP="00883E59">
      <w:pPr>
        <w:shd w:val="clear" w:color="auto" w:fill="FFFFFF"/>
        <w:spacing w:after="0" w:line="480" w:lineRule="auto"/>
        <w:rPr>
          <w:rFonts w:ascii="Times New Roman" w:eastAsia="Times New Roman" w:hAnsi="Times New Roman" w:cs="Times New Roman"/>
          <w:color w:val="222222"/>
          <w:sz w:val="24"/>
          <w:szCs w:val="24"/>
          <w:lang w:val="en-US"/>
        </w:rPr>
      </w:pPr>
    </w:p>
    <w:p w14:paraId="09D56FC2" w14:textId="77777777" w:rsidR="006249A0" w:rsidRPr="005349B5" w:rsidRDefault="006249A0" w:rsidP="006249A0">
      <w:pPr>
        <w:shd w:val="clear" w:color="auto" w:fill="FFFFFF"/>
        <w:spacing w:after="0" w:line="480" w:lineRule="auto"/>
        <w:rPr>
          <w:rFonts w:ascii="Times New Roman" w:eastAsia="Times New Roman" w:hAnsi="Times New Roman" w:cs="Times New Roman"/>
          <w:color w:val="222222"/>
          <w:sz w:val="24"/>
          <w:szCs w:val="24"/>
          <w:lang w:val="en-US"/>
        </w:rPr>
      </w:pPr>
    </w:p>
    <w:p w14:paraId="4C626A55" w14:textId="77777777" w:rsidR="00E9735D" w:rsidRPr="005349B5" w:rsidRDefault="00E9735D" w:rsidP="00114E4E">
      <w:pPr>
        <w:spacing w:line="259" w:lineRule="auto"/>
        <w:rPr>
          <w:rFonts w:ascii="Times New Roman" w:eastAsia="Times New Roman" w:hAnsi="Times New Roman" w:cs="Times New Roman"/>
          <w:color w:val="222222"/>
          <w:sz w:val="24"/>
          <w:szCs w:val="24"/>
          <w:lang w:val="en-US"/>
        </w:rPr>
      </w:pPr>
      <w:r w:rsidRPr="005349B5">
        <w:rPr>
          <w:rFonts w:ascii="Times New Roman" w:eastAsia="Times New Roman" w:hAnsi="Times New Roman" w:cs="Times New Roman"/>
          <w:color w:val="222222"/>
          <w:sz w:val="24"/>
          <w:szCs w:val="24"/>
          <w:lang w:val="en-US"/>
        </w:rPr>
        <w:br w:type="page"/>
      </w:r>
    </w:p>
    <w:p w14:paraId="0236B70B" w14:textId="77777777" w:rsidR="005408F2" w:rsidRPr="005349B5" w:rsidRDefault="005408F2" w:rsidP="00114E4E">
      <w:pPr>
        <w:shd w:val="clear" w:color="auto" w:fill="FFFFFF"/>
        <w:spacing w:after="0" w:line="480" w:lineRule="auto"/>
        <w:rPr>
          <w:rFonts w:ascii="Times New Roman" w:eastAsia="Times New Roman" w:hAnsi="Times New Roman" w:cs="Times New Roman"/>
          <w:b/>
          <w:color w:val="222222"/>
          <w:sz w:val="24"/>
          <w:szCs w:val="24"/>
          <w:lang w:val="en-US"/>
        </w:rPr>
        <w:sectPr w:rsidR="005408F2" w:rsidRPr="005349B5">
          <w:headerReference w:type="default" r:id="rId8"/>
          <w:pgSz w:w="12240" w:h="15840"/>
          <w:pgMar w:top="1440" w:right="1440" w:bottom="1440" w:left="1440" w:header="720" w:footer="720" w:gutter="0"/>
          <w:cols w:space="720"/>
          <w:docGrid w:linePitch="360"/>
        </w:sectPr>
      </w:pPr>
    </w:p>
    <w:p w14:paraId="38CD8A84" w14:textId="4BED374E" w:rsidR="0003407B" w:rsidRPr="005349B5" w:rsidRDefault="0003407B" w:rsidP="00114E4E">
      <w:pPr>
        <w:shd w:val="clear" w:color="auto" w:fill="FFFFFF"/>
        <w:spacing w:after="0" w:line="480" w:lineRule="auto"/>
        <w:rPr>
          <w:rFonts w:ascii="Times New Roman" w:eastAsia="Times New Roman" w:hAnsi="Times New Roman" w:cs="Times New Roman"/>
          <w:b/>
          <w:color w:val="222222"/>
          <w:sz w:val="24"/>
          <w:szCs w:val="24"/>
          <w:lang w:val="en-US"/>
        </w:rPr>
      </w:pPr>
      <w:r w:rsidRPr="005349B5">
        <w:rPr>
          <w:rFonts w:ascii="Times New Roman" w:eastAsia="Times New Roman" w:hAnsi="Times New Roman" w:cs="Times New Roman"/>
          <w:b/>
          <w:color w:val="222222"/>
          <w:sz w:val="24"/>
          <w:szCs w:val="24"/>
          <w:lang w:val="en-US"/>
        </w:rPr>
        <w:lastRenderedPageBreak/>
        <w:t>Tables</w:t>
      </w:r>
    </w:p>
    <w:p w14:paraId="5E57EC66" w14:textId="77777777" w:rsidR="005408F2" w:rsidRPr="005349B5" w:rsidRDefault="005408F2" w:rsidP="005408F2">
      <w:pPr>
        <w:spacing w:after="0" w:line="480" w:lineRule="auto"/>
        <w:rPr>
          <w:rFonts w:ascii="Times New Roman" w:hAnsi="Times New Roman" w:cs="Times New Roman"/>
          <w:b/>
          <w:bCs/>
          <w:color w:val="000000" w:themeColor="text1"/>
          <w:sz w:val="24"/>
          <w:szCs w:val="24"/>
          <w:lang w:val="de-DE"/>
        </w:rPr>
      </w:pPr>
      <w:r w:rsidRPr="005349B5">
        <w:rPr>
          <w:rFonts w:ascii="Times New Roman" w:hAnsi="Times New Roman" w:cs="Times New Roman"/>
          <w:b/>
          <w:bCs/>
          <w:color w:val="000000" w:themeColor="text1"/>
          <w:sz w:val="24"/>
          <w:szCs w:val="24"/>
          <w:lang w:val="de-DE"/>
        </w:rPr>
        <w:t>Table 1</w:t>
      </w:r>
    </w:p>
    <w:tbl>
      <w:tblPr>
        <w:tblW w:w="13872" w:type="dxa"/>
        <w:tblLook w:val="04A0" w:firstRow="1" w:lastRow="0" w:firstColumn="1" w:lastColumn="0" w:noHBand="0" w:noVBand="1"/>
      </w:tblPr>
      <w:tblGrid>
        <w:gridCol w:w="3136"/>
        <w:gridCol w:w="976"/>
        <w:gridCol w:w="976"/>
        <w:gridCol w:w="976"/>
        <w:gridCol w:w="976"/>
        <w:gridCol w:w="976"/>
        <w:gridCol w:w="976"/>
        <w:gridCol w:w="976"/>
        <w:gridCol w:w="976"/>
        <w:gridCol w:w="976"/>
        <w:gridCol w:w="976"/>
        <w:gridCol w:w="976"/>
      </w:tblGrid>
      <w:tr w:rsidR="005408F2" w:rsidRPr="005349B5" w14:paraId="21B5BBD2" w14:textId="77777777" w:rsidTr="005408F2">
        <w:trPr>
          <w:trHeight w:val="290"/>
        </w:trPr>
        <w:tc>
          <w:tcPr>
            <w:tcW w:w="3136" w:type="dxa"/>
            <w:tcBorders>
              <w:top w:val="nil"/>
              <w:left w:val="nil"/>
              <w:bottom w:val="single" w:sz="4" w:space="0" w:color="auto"/>
              <w:right w:val="nil"/>
            </w:tcBorders>
            <w:shd w:val="clear" w:color="auto" w:fill="auto"/>
            <w:noWrap/>
            <w:vAlign w:val="bottom"/>
            <w:hideMark/>
          </w:tcPr>
          <w:p w14:paraId="6E14EFD3"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vertAlign w:val="superscript"/>
              </w:rPr>
            </w:pPr>
            <w:proofErr w:type="spellStart"/>
            <w:r w:rsidRPr="005349B5">
              <w:rPr>
                <w:rFonts w:ascii="Times New Roman" w:eastAsia="Times New Roman" w:hAnsi="Times New Roman" w:cs="Times New Roman"/>
                <w:b/>
                <w:bCs/>
                <w:color w:val="000000" w:themeColor="text1"/>
                <w:sz w:val="24"/>
                <w:szCs w:val="24"/>
              </w:rPr>
              <w:t>Variable</w:t>
            </w:r>
            <w:r w:rsidRPr="005349B5">
              <w:rPr>
                <w:rFonts w:ascii="Times New Roman" w:eastAsia="Times New Roman" w:hAnsi="Times New Roman" w:cs="Times New Roman"/>
                <w:b/>
                <w:bCs/>
                <w:color w:val="000000" w:themeColor="text1"/>
                <w:sz w:val="24"/>
                <w:szCs w:val="24"/>
                <w:vertAlign w:val="superscript"/>
              </w:rPr>
              <w:t>a</w:t>
            </w:r>
            <w:proofErr w:type="spellEnd"/>
          </w:p>
        </w:tc>
        <w:tc>
          <w:tcPr>
            <w:tcW w:w="976" w:type="dxa"/>
            <w:tcBorders>
              <w:top w:val="nil"/>
              <w:left w:val="nil"/>
              <w:bottom w:val="single" w:sz="4" w:space="0" w:color="auto"/>
              <w:right w:val="nil"/>
            </w:tcBorders>
            <w:shd w:val="clear" w:color="auto" w:fill="auto"/>
            <w:noWrap/>
            <w:vAlign w:val="bottom"/>
            <w:hideMark/>
          </w:tcPr>
          <w:p w14:paraId="34416BA3" w14:textId="77777777" w:rsidR="005408F2" w:rsidRPr="005349B5" w:rsidRDefault="005408F2" w:rsidP="005408F2">
            <w:pPr>
              <w:spacing w:after="0" w:line="480" w:lineRule="auto"/>
              <w:jc w:val="right"/>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ASPD m</w:t>
            </w:r>
          </w:p>
        </w:tc>
        <w:tc>
          <w:tcPr>
            <w:tcW w:w="976" w:type="dxa"/>
            <w:tcBorders>
              <w:top w:val="nil"/>
              <w:left w:val="nil"/>
              <w:bottom w:val="single" w:sz="4" w:space="0" w:color="auto"/>
              <w:right w:val="nil"/>
            </w:tcBorders>
            <w:shd w:val="clear" w:color="auto" w:fill="auto"/>
            <w:noWrap/>
            <w:vAlign w:val="bottom"/>
            <w:hideMark/>
          </w:tcPr>
          <w:p w14:paraId="4CCB1AF7"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(n = 20)</w:t>
            </w:r>
          </w:p>
        </w:tc>
        <w:tc>
          <w:tcPr>
            <w:tcW w:w="976" w:type="dxa"/>
            <w:tcBorders>
              <w:top w:val="nil"/>
              <w:left w:val="nil"/>
              <w:bottom w:val="single" w:sz="4" w:space="0" w:color="auto"/>
              <w:right w:val="nil"/>
            </w:tcBorders>
            <w:shd w:val="clear" w:color="auto" w:fill="auto"/>
            <w:noWrap/>
            <w:vAlign w:val="bottom"/>
            <w:hideMark/>
          </w:tcPr>
          <w:p w14:paraId="26D64BE6" w14:textId="77777777" w:rsidR="005408F2" w:rsidRPr="005349B5" w:rsidRDefault="005408F2" w:rsidP="005408F2">
            <w:pPr>
              <w:spacing w:after="0" w:line="480" w:lineRule="auto"/>
              <w:jc w:val="right"/>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ASPD f</w:t>
            </w:r>
          </w:p>
        </w:tc>
        <w:tc>
          <w:tcPr>
            <w:tcW w:w="976" w:type="dxa"/>
            <w:tcBorders>
              <w:top w:val="nil"/>
              <w:left w:val="nil"/>
              <w:bottom w:val="single" w:sz="4" w:space="0" w:color="auto"/>
              <w:right w:val="nil"/>
            </w:tcBorders>
            <w:shd w:val="clear" w:color="auto" w:fill="auto"/>
            <w:noWrap/>
            <w:vAlign w:val="bottom"/>
            <w:hideMark/>
          </w:tcPr>
          <w:p w14:paraId="062A8C0D"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(n = 18)</w:t>
            </w:r>
          </w:p>
        </w:tc>
        <w:tc>
          <w:tcPr>
            <w:tcW w:w="976" w:type="dxa"/>
            <w:tcBorders>
              <w:top w:val="nil"/>
              <w:left w:val="nil"/>
              <w:bottom w:val="single" w:sz="4" w:space="0" w:color="auto"/>
              <w:right w:val="nil"/>
            </w:tcBorders>
            <w:shd w:val="clear" w:color="auto" w:fill="auto"/>
            <w:noWrap/>
            <w:vAlign w:val="bottom"/>
            <w:hideMark/>
          </w:tcPr>
          <w:p w14:paraId="294B8BDE" w14:textId="238A0DDC" w:rsidR="005408F2" w:rsidRPr="005349B5" w:rsidRDefault="005408F2" w:rsidP="005408F2">
            <w:pPr>
              <w:spacing w:after="0" w:line="480" w:lineRule="auto"/>
              <w:jc w:val="right"/>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m</w:t>
            </w:r>
          </w:p>
        </w:tc>
        <w:tc>
          <w:tcPr>
            <w:tcW w:w="976" w:type="dxa"/>
            <w:tcBorders>
              <w:top w:val="nil"/>
              <w:left w:val="nil"/>
              <w:bottom w:val="single" w:sz="4" w:space="0" w:color="auto"/>
              <w:right w:val="nil"/>
            </w:tcBorders>
            <w:shd w:val="clear" w:color="auto" w:fill="auto"/>
            <w:noWrap/>
            <w:vAlign w:val="bottom"/>
            <w:hideMark/>
          </w:tcPr>
          <w:p w14:paraId="52417F84" w14:textId="78BBDAC0" w:rsidR="005408F2" w:rsidRPr="005349B5" w:rsidRDefault="007A1346" w:rsidP="005948C9">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 xml:space="preserve">HC </w:t>
            </w:r>
            <w:r w:rsidR="005408F2" w:rsidRPr="005349B5">
              <w:rPr>
                <w:rFonts w:ascii="Times New Roman" w:eastAsia="Times New Roman" w:hAnsi="Times New Roman" w:cs="Times New Roman"/>
                <w:b/>
                <w:bCs/>
                <w:color w:val="000000" w:themeColor="text1"/>
                <w:sz w:val="24"/>
                <w:szCs w:val="24"/>
              </w:rPr>
              <w:t>(n = 20)</w:t>
            </w:r>
          </w:p>
        </w:tc>
        <w:tc>
          <w:tcPr>
            <w:tcW w:w="976" w:type="dxa"/>
            <w:tcBorders>
              <w:top w:val="nil"/>
              <w:left w:val="nil"/>
              <w:bottom w:val="single" w:sz="4" w:space="0" w:color="auto"/>
              <w:right w:val="nil"/>
            </w:tcBorders>
            <w:shd w:val="clear" w:color="auto" w:fill="auto"/>
            <w:noWrap/>
            <w:vAlign w:val="bottom"/>
            <w:hideMark/>
          </w:tcPr>
          <w:p w14:paraId="35C5C9D0" w14:textId="02426886" w:rsidR="005408F2" w:rsidRPr="005349B5" w:rsidRDefault="005408F2" w:rsidP="005408F2">
            <w:pPr>
              <w:spacing w:after="0" w:line="480" w:lineRule="auto"/>
              <w:jc w:val="right"/>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f</w:t>
            </w:r>
          </w:p>
        </w:tc>
        <w:tc>
          <w:tcPr>
            <w:tcW w:w="976" w:type="dxa"/>
            <w:tcBorders>
              <w:top w:val="nil"/>
              <w:left w:val="nil"/>
              <w:bottom w:val="single" w:sz="4" w:space="0" w:color="auto"/>
              <w:right w:val="nil"/>
            </w:tcBorders>
            <w:shd w:val="clear" w:color="auto" w:fill="auto"/>
            <w:noWrap/>
            <w:vAlign w:val="bottom"/>
            <w:hideMark/>
          </w:tcPr>
          <w:p w14:paraId="7FDC08C0" w14:textId="77AEA14E" w:rsidR="005408F2" w:rsidRPr="005349B5" w:rsidRDefault="001F32C6"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 xml:space="preserve">HC </w:t>
            </w:r>
            <w:r w:rsidR="005408F2" w:rsidRPr="005349B5">
              <w:rPr>
                <w:rFonts w:ascii="Times New Roman" w:eastAsia="Times New Roman" w:hAnsi="Times New Roman" w:cs="Times New Roman"/>
                <w:b/>
                <w:bCs/>
                <w:color w:val="000000" w:themeColor="text1"/>
                <w:sz w:val="24"/>
                <w:szCs w:val="24"/>
              </w:rPr>
              <w:t>(n = 20)</w:t>
            </w:r>
          </w:p>
        </w:tc>
        <w:tc>
          <w:tcPr>
            <w:tcW w:w="976" w:type="dxa"/>
            <w:tcBorders>
              <w:top w:val="nil"/>
              <w:left w:val="nil"/>
              <w:bottom w:val="single" w:sz="4" w:space="0" w:color="auto"/>
              <w:right w:val="nil"/>
            </w:tcBorders>
          </w:tcPr>
          <w:p w14:paraId="3748A5F0" w14:textId="77777777" w:rsidR="005408F2" w:rsidRPr="005349B5" w:rsidRDefault="005408F2" w:rsidP="005408F2">
            <w:pPr>
              <w:spacing w:after="0" w:line="480" w:lineRule="auto"/>
              <w:jc w:val="right"/>
              <w:rPr>
                <w:rFonts w:ascii="Times New Roman" w:eastAsia="Times New Roman" w:hAnsi="Times New Roman" w:cs="Times New Roman"/>
                <w:b/>
                <w:bCs/>
                <w:iCs/>
                <w:color w:val="000000" w:themeColor="text1"/>
                <w:sz w:val="24"/>
                <w:szCs w:val="24"/>
              </w:rPr>
            </w:pPr>
            <w:r w:rsidRPr="005349B5">
              <w:rPr>
                <w:rFonts w:ascii="Times New Roman" w:eastAsia="Times New Roman" w:hAnsi="Times New Roman" w:cs="Times New Roman"/>
                <w:b/>
                <w:bCs/>
                <w:iCs/>
                <w:color w:val="000000" w:themeColor="text1"/>
                <w:sz w:val="24"/>
                <w:szCs w:val="24"/>
              </w:rPr>
              <w:t>Effects</w:t>
            </w:r>
          </w:p>
        </w:tc>
        <w:tc>
          <w:tcPr>
            <w:tcW w:w="976" w:type="dxa"/>
            <w:tcBorders>
              <w:top w:val="nil"/>
              <w:left w:val="nil"/>
              <w:bottom w:val="single" w:sz="4" w:space="0" w:color="auto"/>
              <w:right w:val="nil"/>
            </w:tcBorders>
          </w:tcPr>
          <w:p w14:paraId="7912A926" w14:textId="77777777" w:rsidR="005408F2" w:rsidRPr="005349B5" w:rsidRDefault="005408F2" w:rsidP="005408F2">
            <w:pPr>
              <w:spacing w:after="0" w:line="480" w:lineRule="auto"/>
              <w:jc w:val="right"/>
              <w:rPr>
                <w:rFonts w:ascii="Times New Roman" w:eastAsia="Times New Roman" w:hAnsi="Times New Roman" w:cs="Times New Roman"/>
                <w:b/>
                <w:bCs/>
                <w:i/>
                <w:iCs/>
                <w:color w:val="000000" w:themeColor="text1"/>
                <w:sz w:val="24"/>
                <w:szCs w:val="24"/>
              </w:rPr>
            </w:pPr>
          </w:p>
        </w:tc>
        <w:tc>
          <w:tcPr>
            <w:tcW w:w="976" w:type="dxa"/>
            <w:tcBorders>
              <w:top w:val="nil"/>
              <w:left w:val="nil"/>
              <w:bottom w:val="single" w:sz="4" w:space="0" w:color="auto"/>
              <w:right w:val="nil"/>
            </w:tcBorders>
            <w:shd w:val="clear" w:color="auto" w:fill="auto"/>
            <w:noWrap/>
            <w:vAlign w:val="bottom"/>
            <w:hideMark/>
          </w:tcPr>
          <w:p w14:paraId="5BF00326" w14:textId="77777777" w:rsidR="005408F2" w:rsidRPr="005349B5" w:rsidRDefault="005408F2" w:rsidP="005408F2">
            <w:pPr>
              <w:spacing w:after="0" w:line="480" w:lineRule="auto"/>
              <w:jc w:val="right"/>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i/>
                <w:iCs/>
                <w:color w:val="000000" w:themeColor="text1"/>
                <w:sz w:val="24"/>
                <w:szCs w:val="24"/>
              </w:rPr>
              <w:t>p</w:t>
            </w:r>
            <w:r w:rsidRPr="005349B5">
              <w:rPr>
                <w:rFonts w:ascii="Times New Roman" w:eastAsia="Times New Roman" w:hAnsi="Times New Roman" w:cs="Times New Roman"/>
                <w:b/>
                <w:bCs/>
                <w:color w:val="000000" w:themeColor="text1"/>
                <w:sz w:val="24"/>
                <w:szCs w:val="24"/>
              </w:rPr>
              <w:t xml:space="preserve"> Value</w:t>
            </w:r>
          </w:p>
        </w:tc>
      </w:tr>
      <w:tr w:rsidR="005408F2" w:rsidRPr="005349B5" w14:paraId="3A568B8C" w14:textId="77777777" w:rsidTr="005408F2">
        <w:trPr>
          <w:trHeight w:val="290"/>
        </w:trPr>
        <w:tc>
          <w:tcPr>
            <w:tcW w:w="3136" w:type="dxa"/>
            <w:tcBorders>
              <w:top w:val="nil"/>
              <w:left w:val="nil"/>
              <w:bottom w:val="nil"/>
              <w:right w:val="nil"/>
            </w:tcBorders>
            <w:shd w:val="clear" w:color="auto" w:fill="auto"/>
            <w:noWrap/>
            <w:vAlign w:val="bottom"/>
            <w:hideMark/>
          </w:tcPr>
          <w:p w14:paraId="53F33A29" w14:textId="77777777" w:rsidR="005408F2" w:rsidRPr="005349B5" w:rsidRDefault="005408F2" w:rsidP="005408F2">
            <w:pPr>
              <w:spacing w:after="0" w:line="480" w:lineRule="auto"/>
              <w:jc w:val="right"/>
              <w:rPr>
                <w:rFonts w:ascii="Times New Roman" w:eastAsia="Times New Roman" w:hAnsi="Times New Roman" w:cs="Times New Roman"/>
                <w:b/>
                <w:bCs/>
                <w:color w:val="000000" w:themeColor="text1"/>
                <w:sz w:val="24"/>
                <w:szCs w:val="24"/>
              </w:rPr>
            </w:pPr>
          </w:p>
        </w:tc>
        <w:tc>
          <w:tcPr>
            <w:tcW w:w="976" w:type="dxa"/>
            <w:tcBorders>
              <w:top w:val="nil"/>
              <w:left w:val="nil"/>
              <w:bottom w:val="nil"/>
              <w:right w:val="nil"/>
            </w:tcBorders>
            <w:shd w:val="clear" w:color="auto" w:fill="auto"/>
            <w:noWrap/>
            <w:vAlign w:val="bottom"/>
            <w:hideMark/>
          </w:tcPr>
          <w:p w14:paraId="350B0CB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03F294F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0C49266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6D52845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11AB2E4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6F1A662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62CEC22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30FA80D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152EC1C8"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3DCCD62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641188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r>
      <w:tr w:rsidR="005408F2" w:rsidRPr="005349B5" w14:paraId="4D8CE6D1" w14:textId="77777777" w:rsidTr="005408F2">
        <w:trPr>
          <w:trHeight w:val="290"/>
        </w:trPr>
        <w:tc>
          <w:tcPr>
            <w:tcW w:w="3136" w:type="dxa"/>
            <w:tcBorders>
              <w:top w:val="nil"/>
              <w:left w:val="nil"/>
              <w:bottom w:val="nil"/>
              <w:right w:val="nil"/>
            </w:tcBorders>
            <w:shd w:val="clear" w:color="auto" w:fill="auto"/>
            <w:noWrap/>
            <w:vAlign w:val="bottom"/>
            <w:hideMark/>
          </w:tcPr>
          <w:p w14:paraId="25343C9F"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Age</w:t>
            </w:r>
          </w:p>
        </w:tc>
        <w:tc>
          <w:tcPr>
            <w:tcW w:w="976" w:type="dxa"/>
            <w:tcBorders>
              <w:top w:val="nil"/>
              <w:left w:val="nil"/>
              <w:bottom w:val="nil"/>
              <w:right w:val="nil"/>
            </w:tcBorders>
            <w:shd w:val="clear" w:color="auto" w:fill="auto"/>
            <w:noWrap/>
            <w:vAlign w:val="bottom"/>
            <w:hideMark/>
          </w:tcPr>
          <w:p w14:paraId="6006738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22.35</w:t>
            </w:r>
          </w:p>
        </w:tc>
        <w:tc>
          <w:tcPr>
            <w:tcW w:w="976" w:type="dxa"/>
            <w:tcBorders>
              <w:top w:val="nil"/>
              <w:left w:val="nil"/>
              <w:bottom w:val="nil"/>
              <w:right w:val="nil"/>
            </w:tcBorders>
            <w:shd w:val="clear" w:color="auto" w:fill="auto"/>
            <w:noWrap/>
            <w:vAlign w:val="bottom"/>
            <w:hideMark/>
          </w:tcPr>
          <w:p w14:paraId="728B051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3.51</w:t>
            </w:r>
          </w:p>
        </w:tc>
        <w:tc>
          <w:tcPr>
            <w:tcW w:w="976" w:type="dxa"/>
            <w:tcBorders>
              <w:top w:val="nil"/>
              <w:left w:val="nil"/>
              <w:bottom w:val="nil"/>
              <w:right w:val="nil"/>
            </w:tcBorders>
            <w:shd w:val="clear" w:color="auto" w:fill="auto"/>
            <w:noWrap/>
            <w:vAlign w:val="bottom"/>
            <w:hideMark/>
          </w:tcPr>
          <w:p w14:paraId="5A4F37A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24.28</w:t>
            </w:r>
          </w:p>
        </w:tc>
        <w:tc>
          <w:tcPr>
            <w:tcW w:w="976" w:type="dxa"/>
            <w:tcBorders>
              <w:top w:val="nil"/>
              <w:left w:val="nil"/>
              <w:bottom w:val="nil"/>
              <w:right w:val="nil"/>
            </w:tcBorders>
            <w:shd w:val="clear" w:color="auto" w:fill="auto"/>
            <w:noWrap/>
            <w:vAlign w:val="bottom"/>
            <w:hideMark/>
          </w:tcPr>
          <w:p w14:paraId="2C168B2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2.82</w:t>
            </w:r>
          </w:p>
        </w:tc>
        <w:tc>
          <w:tcPr>
            <w:tcW w:w="976" w:type="dxa"/>
            <w:tcBorders>
              <w:top w:val="nil"/>
              <w:left w:val="nil"/>
              <w:bottom w:val="nil"/>
              <w:right w:val="nil"/>
            </w:tcBorders>
            <w:shd w:val="clear" w:color="auto" w:fill="auto"/>
            <w:noWrap/>
            <w:vAlign w:val="bottom"/>
            <w:hideMark/>
          </w:tcPr>
          <w:p w14:paraId="77E6668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23.45</w:t>
            </w:r>
          </w:p>
        </w:tc>
        <w:tc>
          <w:tcPr>
            <w:tcW w:w="976" w:type="dxa"/>
            <w:tcBorders>
              <w:top w:val="nil"/>
              <w:left w:val="nil"/>
              <w:bottom w:val="nil"/>
              <w:right w:val="nil"/>
            </w:tcBorders>
            <w:shd w:val="clear" w:color="auto" w:fill="auto"/>
            <w:noWrap/>
            <w:vAlign w:val="bottom"/>
            <w:hideMark/>
          </w:tcPr>
          <w:p w14:paraId="5CF8752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3.71</w:t>
            </w:r>
          </w:p>
        </w:tc>
        <w:tc>
          <w:tcPr>
            <w:tcW w:w="976" w:type="dxa"/>
            <w:tcBorders>
              <w:top w:val="nil"/>
              <w:left w:val="nil"/>
              <w:bottom w:val="nil"/>
              <w:right w:val="nil"/>
            </w:tcBorders>
            <w:shd w:val="clear" w:color="auto" w:fill="auto"/>
            <w:noWrap/>
            <w:vAlign w:val="bottom"/>
            <w:hideMark/>
          </w:tcPr>
          <w:p w14:paraId="42B33BD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22.30</w:t>
            </w:r>
          </w:p>
        </w:tc>
        <w:tc>
          <w:tcPr>
            <w:tcW w:w="976" w:type="dxa"/>
            <w:tcBorders>
              <w:top w:val="nil"/>
              <w:left w:val="nil"/>
              <w:bottom w:val="nil"/>
              <w:right w:val="nil"/>
            </w:tcBorders>
            <w:shd w:val="clear" w:color="auto" w:fill="auto"/>
            <w:noWrap/>
            <w:vAlign w:val="bottom"/>
            <w:hideMark/>
          </w:tcPr>
          <w:p w14:paraId="710BD62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4.31</w:t>
            </w:r>
          </w:p>
        </w:tc>
        <w:tc>
          <w:tcPr>
            <w:tcW w:w="1952" w:type="dxa"/>
            <w:gridSpan w:val="2"/>
            <w:tcBorders>
              <w:top w:val="nil"/>
              <w:left w:val="nil"/>
              <w:bottom w:val="nil"/>
              <w:right w:val="nil"/>
            </w:tcBorders>
          </w:tcPr>
          <w:p w14:paraId="6E22E28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3,74) = 1.30</w:t>
            </w:r>
            <w:r w:rsidRPr="005349B5">
              <w:rPr>
                <w:rFonts w:ascii="Times New Roman" w:eastAsia="Times New Roman" w:hAnsi="Times New Roman" w:cs="Times New Roman"/>
                <w:color w:val="000000" w:themeColor="text1"/>
                <w:sz w:val="24"/>
                <w:szCs w:val="24"/>
                <w:vertAlign w:val="superscript"/>
              </w:rPr>
              <w:t>b</w:t>
            </w:r>
            <w:r w:rsidRPr="005349B5">
              <w:rPr>
                <w:rFonts w:ascii="Times New Roman" w:eastAsia="Times New Roman" w:hAnsi="Times New Roman" w:cs="Times New Roman"/>
                <w:color w:val="000000" w:themeColor="text1"/>
                <w:sz w:val="24"/>
                <w:szCs w:val="24"/>
              </w:rPr>
              <w:t xml:space="preserve"> </w:t>
            </w:r>
          </w:p>
        </w:tc>
        <w:tc>
          <w:tcPr>
            <w:tcW w:w="976" w:type="dxa"/>
            <w:tcBorders>
              <w:top w:val="nil"/>
              <w:left w:val="nil"/>
              <w:bottom w:val="nil"/>
              <w:right w:val="nil"/>
            </w:tcBorders>
            <w:shd w:val="clear" w:color="auto" w:fill="auto"/>
            <w:noWrap/>
            <w:vAlign w:val="bottom"/>
            <w:hideMark/>
          </w:tcPr>
          <w:p w14:paraId="4B59C2A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.286</w:t>
            </w:r>
          </w:p>
        </w:tc>
      </w:tr>
      <w:tr w:rsidR="005408F2" w:rsidRPr="005349B5" w14:paraId="7068E9CD" w14:textId="77777777" w:rsidTr="005408F2">
        <w:trPr>
          <w:trHeight w:val="290"/>
        </w:trPr>
        <w:tc>
          <w:tcPr>
            <w:tcW w:w="3136" w:type="dxa"/>
            <w:tcBorders>
              <w:top w:val="nil"/>
              <w:left w:val="nil"/>
              <w:bottom w:val="nil"/>
              <w:right w:val="nil"/>
            </w:tcBorders>
            <w:shd w:val="clear" w:color="auto" w:fill="auto"/>
            <w:noWrap/>
            <w:vAlign w:val="bottom"/>
            <w:hideMark/>
          </w:tcPr>
          <w:p w14:paraId="317FC694"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IQ (HAWIE-R)</w:t>
            </w:r>
          </w:p>
        </w:tc>
        <w:tc>
          <w:tcPr>
            <w:tcW w:w="976" w:type="dxa"/>
            <w:tcBorders>
              <w:top w:val="nil"/>
              <w:left w:val="nil"/>
              <w:bottom w:val="nil"/>
              <w:right w:val="nil"/>
            </w:tcBorders>
            <w:shd w:val="clear" w:color="auto" w:fill="auto"/>
            <w:noWrap/>
            <w:vAlign w:val="bottom"/>
            <w:hideMark/>
          </w:tcPr>
          <w:p w14:paraId="0DF1EFC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103.40</w:t>
            </w:r>
          </w:p>
        </w:tc>
        <w:tc>
          <w:tcPr>
            <w:tcW w:w="976" w:type="dxa"/>
            <w:tcBorders>
              <w:top w:val="nil"/>
              <w:left w:val="nil"/>
              <w:bottom w:val="nil"/>
              <w:right w:val="nil"/>
            </w:tcBorders>
            <w:shd w:val="clear" w:color="auto" w:fill="auto"/>
            <w:noWrap/>
            <w:vAlign w:val="bottom"/>
            <w:hideMark/>
          </w:tcPr>
          <w:p w14:paraId="1587D71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13.36</w:t>
            </w:r>
          </w:p>
        </w:tc>
        <w:tc>
          <w:tcPr>
            <w:tcW w:w="976" w:type="dxa"/>
            <w:tcBorders>
              <w:top w:val="nil"/>
              <w:left w:val="nil"/>
              <w:bottom w:val="nil"/>
              <w:right w:val="nil"/>
            </w:tcBorders>
            <w:shd w:val="clear" w:color="auto" w:fill="auto"/>
            <w:noWrap/>
            <w:vAlign w:val="bottom"/>
            <w:hideMark/>
          </w:tcPr>
          <w:p w14:paraId="17528F1B"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103.06</w:t>
            </w:r>
          </w:p>
        </w:tc>
        <w:tc>
          <w:tcPr>
            <w:tcW w:w="976" w:type="dxa"/>
            <w:tcBorders>
              <w:top w:val="nil"/>
              <w:left w:val="nil"/>
              <w:bottom w:val="nil"/>
              <w:right w:val="nil"/>
            </w:tcBorders>
            <w:shd w:val="clear" w:color="auto" w:fill="auto"/>
            <w:noWrap/>
            <w:vAlign w:val="bottom"/>
            <w:hideMark/>
          </w:tcPr>
          <w:p w14:paraId="5548AFD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11.96</w:t>
            </w:r>
          </w:p>
        </w:tc>
        <w:tc>
          <w:tcPr>
            <w:tcW w:w="976" w:type="dxa"/>
            <w:tcBorders>
              <w:top w:val="nil"/>
              <w:left w:val="nil"/>
              <w:bottom w:val="nil"/>
              <w:right w:val="nil"/>
            </w:tcBorders>
            <w:shd w:val="clear" w:color="auto" w:fill="auto"/>
            <w:noWrap/>
            <w:vAlign w:val="bottom"/>
            <w:hideMark/>
          </w:tcPr>
          <w:p w14:paraId="608D907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105.65</w:t>
            </w:r>
          </w:p>
        </w:tc>
        <w:tc>
          <w:tcPr>
            <w:tcW w:w="976" w:type="dxa"/>
            <w:tcBorders>
              <w:top w:val="nil"/>
              <w:left w:val="nil"/>
              <w:bottom w:val="nil"/>
              <w:right w:val="nil"/>
            </w:tcBorders>
            <w:shd w:val="clear" w:color="auto" w:fill="auto"/>
            <w:noWrap/>
            <w:vAlign w:val="bottom"/>
            <w:hideMark/>
          </w:tcPr>
          <w:p w14:paraId="31EBC6C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15.76</w:t>
            </w:r>
          </w:p>
        </w:tc>
        <w:tc>
          <w:tcPr>
            <w:tcW w:w="976" w:type="dxa"/>
            <w:tcBorders>
              <w:top w:val="nil"/>
              <w:left w:val="nil"/>
              <w:bottom w:val="nil"/>
              <w:right w:val="nil"/>
            </w:tcBorders>
            <w:shd w:val="clear" w:color="auto" w:fill="auto"/>
            <w:noWrap/>
            <w:vAlign w:val="bottom"/>
            <w:hideMark/>
          </w:tcPr>
          <w:p w14:paraId="3D366856"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103.75</w:t>
            </w:r>
          </w:p>
        </w:tc>
        <w:tc>
          <w:tcPr>
            <w:tcW w:w="976" w:type="dxa"/>
            <w:tcBorders>
              <w:top w:val="nil"/>
              <w:left w:val="nil"/>
              <w:bottom w:val="nil"/>
              <w:right w:val="nil"/>
            </w:tcBorders>
            <w:shd w:val="clear" w:color="auto" w:fill="auto"/>
            <w:noWrap/>
            <w:vAlign w:val="bottom"/>
            <w:hideMark/>
          </w:tcPr>
          <w:p w14:paraId="6B4D781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15.87</w:t>
            </w:r>
          </w:p>
        </w:tc>
        <w:tc>
          <w:tcPr>
            <w:tcW w:w="1952" w:type="dxa"/>
            <w:gridSpan w:val="2"/>
            <w:tcBorders>
              <w:top w:val="nil"/>
              <w:left w:val="nil"/>
              <w:bottom w:val="nil"/>
              <w:right w:val="nil"/>
            </w:tcBorders>
          </w:tcPr>
          <w:p w14:paraId="1605FEA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3,74) = .13</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7F07FC5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.944</w:t>
            </w:r>
          </w:p>
        </w:tc>
      </w:tr>
      <w:tr w:rsidR="005408F2" w:rsidRPr="005349B5" w14:paraId="0714CE25" w14:textId="77777777" w:rsidTr="005408F2">
        <w:trPr>
          <w:trHeight w:val="290"/>
        </w:trPr>
        <w:tc>
          <w:tcPr>
            <w:tcW w:w="3136" w:type="dxa"/>
            <w:tcBorders>
              <w:top w:val="nil"/>
              <w:left w:val="nil"/>
              <w:bottom w:val="nil"/>
              <w:right w:val="nil"/>
            </w:tcBorders>
            <w:shd w:val="clear" w:color="auto" w:fill="auto"/>
            <w:noWrap/>
            <w:vAlign w:val="bottom"/>
            <w:hideMark/>
          </w:tcPr>
          <w:p w14:paraId="03DE46E7"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0152AEE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5C0CF3D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7F2643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28FBFF6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6682EA4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4761FB3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14F0000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563E784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3598B37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3E2A22F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18B464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r>
      <w:tr w:rsidR="005408F2" w:rsidRPr="005349B5" w14:paraId="5DC8BA2C" w14:textId="77777777" w:rsidTr="005408F2">
        <w:trPr>
          <w:trHeight w:val="290"/>
        </w:trPr>
        <w:tc>
          <w:tcPr>
            <w:tcW w:w="3136" w:type="dxa"/>
            <w:tcBorders>
              <w:top w:val="nil"/>
              <w:left w:val="nil"/>
              <w:bottom w:val="nil"/>
              <w:right w:val="nil"/>
            </w:tcBorders>
            <w:shd w:val="clear" w:color="auto" w:fill="A5A5A5" w:themeFill="accent3"/>
            <w:noWrap/>
            <w:vAlign w:val="bottom"/>
            <w:hideMark/>
          </w:tcPr>
          <w:p w14:paraId="443510B9"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Comorbidities</w:t>
            </w:r>
          </w:p>
        </w:tc>
        <w:tc>
          <w:tcPr>
            <w:tcW w:w="976" w:type="dxa"/>
            <w:tcBorders>
              <w:top w:val="nil"/>
              <w:left w:val="nil"/>
              <w:bottom w:val="nil"/>
              <w:right w:val="nil"/>
            </w:tcBorders>
            <w:shd w:val="clear" w:color="auto" w:fill="A5A5A5" w:themeFill="accent3"/>
            <w:noWrap/>
            <w:vAlign w:val="bottom"/>
            <w:hideMark/>
          </w:tcPr>
          <w:p w14:paraId="42CF544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26E14E8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2C8DB0D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52C5D2E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0A3843C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2B8DFA8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00D195F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0373EF8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tcPr>
          <w:p w14:paraId="11B958C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5A5A5" w:themeFill="accent3"/>
          </w:tcPr>
          <w:p w14:paraId="0E90836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5A5A5" w:themeFill="accent3"/>
            <w:noWrap/>
            <w:vAlign w:val="bottom"/>
            <w:hideMark/>
          </w:tcPr>
          <w:p w14:paraId="590CDEB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r>
      <w:tr w:rsidR="005408F2" w:rsidRPr="005349B5" w14:paraId="5C2D7C5D" w14:textId="77777777" w:rsidTr="005408F2">
        <w:trPr>
          <w:trHeight w:val="290"/>
        </w:trPr>
        <w:tc>
          <w:tcPr>
            <w:tcW w:w="3136" w:type="dxa"/>
            <w:tcBorders>
              <w:top w:val="nil"/>
              <w:left w:val="nil"/>
              <w:bottom w:val="nil"/>
              <w:right w:val="nil"/>
            </w:tcBorders>
            <w:shd w:val="clear" w:color="auto" w:fill="auto"/>
            <w:noWrap/>
            <w:vAlign w:val="bottom"/>
            <w:hideMark/>
          </w:tcPr>
          <w:p w14:paraId="789B1607"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Psychopathy (SRP score &gt; 201)</w:t>
            </w:r>
          </w:p>
        </w:tc>
        <w:tc>
          <w:tcPr>
            <w:tcW w:w="976" w:type="dxa"/>
            <w:tcBorders>
              <w:top w:val="nil"/>
              <w:left w:val="nil"/>
              <w:bottom w:val="nil"/>
              <w:right w:val="nil"/>
            </w:tcBorders>
            <w:shd w:val="clear" w:color="auto" w:fill="auto"/>
            <w:noWrap/>
            <w:vAlign w:val="bottom"/>
            <w:hideMark/>
          </w:tcPr>
          <w:p w14:paraId="70A907E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9</w:t>
            </w:r>
          </w:p>
        </w:tc>
        <w:tc>
          <w:tcPr>
            <w:tcW w:w="976" w:type="dxa"/>
            <w:tcBorders>
              <w:top w:val="nil"/>
              <w:left w:val="nil"/>
              <w:bottom w:val="nil"/>
              <w:right w:val="nil"/>
            </w:tcBorders>
            <w:shd w:val="clear" w:color="auto" w:fill="auto"/>
            <w:noWrap/>
            <w:vAlign w:val="bottom"/>
            <w:hideMark/>
          </w:tcPr>
          <w:p w14:paraId="1FA0D80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45.0</w:t>
            </w:r>
          </w:p>
        </w:tc>
        <w:tc>
          <w:tcPr>
            <w:tcW w:w="976" w:type="dxa"/>
            <w:tcBorders>
              <w:top w:val="nil"/>
              <w:left w:val="nil"/>
              <w:bottom w:val="nil"/>
              <w:right w:val="nil"/>
            </w:tcBorders>
            <w:shd w:val="clear" w:color="auto" w:fill="auto"/>
            <w:noWrap/>
            <w:vAlign w:val="bottom"/>
            <w:hideMark/>
          </w:tcPr>
          <w:p w14:paraId="788D27F0"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w:t>
            </w:r>
          </w:p>
        </w:tc>
        <w:tc>
          <w:tcPr>
            <w:tcW w:w="976" w:type="dxa"/>
            <w:tcBorders>
              <w:top w:val="nil"/>
              <w:left w:val="nil"/>
              <w:bottom w:val="nil"/>
              <w:right w:val="nil"/>
            </w:tcBorders>
            <w:shd w:val="clear" w:color="auto" w:fill="auto"/>
            <w:noWrap/>
            <w:vAlign w:val="bottom"/>
            <w:hideMark/>
          </w:tcPr>
          <w:p w14:paraId="5A420B6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38.9</w:t>
            </w:r>
          </w:p>
        </w:tc>
        <w:tc>
          <w:tcPr>
            <w:tcW w:w="976" w:type="dxa"/>
            <w:tcBorders>
              <w:top w:val="nil"/>
              <w:left w:val="nil"/>
              <w:bottom w:val="nil"/>
              <w:right w:val="nil"/>
            </w:tcBorders>
            <w:shd w:val="clear" w:color="auto" w:fill="auto"/>
            <w:noWrap/>
            <w:vAlign w:val="bottom"/>
            <w:hideMark/>
          </w:tcPr>
          <w:p w14:paraId="32BBAFB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655064F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976" w:type="dxa"/>
            <w:tcBorders>
              <w:top w:val="nil"/>
              <w:left w:val="nil"/>
              <w:bottom w:val="nil"/>
              <w:right w:val="nil"/>
            </w:tcBorders>
            <w:shd w:val="clear" w:color="auto" w:fill="auto"/>
            <w:noWrap/>
            <w:vAlign w:val="bottom"/>
            <w:hideMark/>
          </w:tcPr>
          <w:p w14:paraId="583DD94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57C6580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1952" w:type="dxa"/>
            <w:gridSpan w:val="2"/>
            <w:tcBorders>
              <w:top w:val="nil"/>
              <w:left w:val="nil"/>
              <w:bottom w:val="nil"/>
              <w:right w:val="nil"/>
            </w:tcBorders>
          </w:tcPr>
          <w:p w14:paraId="6F2CFF4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H</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 = 21.13</w:t>
            </w:r>
            <w:r w:rsidRPr="005349B5">
              <w:rPr>
                <w:rFonts w:ascii="Times New Roman" w:eastAsia="Times New Roman" w:hAnsi="Times New Roman" w:cs="Times New Roman"/>
                <w:color w:val="000000" w:themeColor="text1"/>
                <w:sz w:val="24"/>
                <w:szCs w:val="24"/>
                <w:vertAlign w:val="superscript"/>
              </w:rPr>
              <w:t>c</w:t>
            </w:r>
            <w:r w:rsidRPr="005349B5">
              <w:rPr>
                <w:rFonts w:ascii="Times New Roman" w:eastAsia="Times New Roman" w:hAnsi="Times New Roman" w:cs="Times New Roman"/>
                <w:color w:val="000000" w:themeColor="text1"/>
                <w:sz w:val="24"/>
                <w:szCs w:val="24"/>
              </w:rPr>
              <w:t xml:space="preserve"> </w:t>
            </w:r>
          </w:p>
        </w:tc>
        <w:tc>
          <w:tcPr>
            <w:tcW w:w="976" w:type="dxa"/>
            <w:tcBorders>
              <w:top w:val="nil"/>
              <w:left w:val="nil"/>
              <w:bottom w:val="nil"/>
              <w:right w:val="nil"/>
            </w:tcBorders>
            <w:shd w:val="clear" w:color="auto" w:fill="auto"/>
            <w:noWrap/>
            <w:vAlign w:val="bottom"/>
            <w:hideMark/>
          </w:tcPr>
          <w:p w14:paraId="2C4B349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3E25E6EA" w14:textId="77777777" w:rsidTr="005408F2">
        <w:trPr>
          <w:trHeight w:val="290"/>
        </w:trPr>
        <w:tc>
          <w:tcPr>
            <w:tcW w:w="3136" w:type="dxa"/>
            <w:tcBorders>
              <w:top w:val="nil"/>
              <w:left w:val="nil"/>
              <w:bottom w:val="nil"/>
              <w:right w:val="nil"/>
            </w:tcBorders>
            <w:shd w:val="clear" w:color="auto" w:fill="auto"/>
            <w:noWrap/>
            <w:vAlign w:val="bottom"/>
            <w:hideMark/>
          </w:tcPr>
          <w:p w14:paraId="5808F11F"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Borderline Personality Disorder</w:t>
            </w:r>
          </w:p>
        </w:tc>
        <w:tc>
          <w:tcPr>
            <w:tcW w:w="976" w:type="dxa"/>
            <w:tcBorders>
              <w:top w:val="nil"/>
              <w:left w:val="nil"/>
              <w:bottom w:val="nil"/>
              <w:right w:val="nil"/>
            </w:tcBorders>
            <w:shd w:val="clear" w:color="auto" w:fill="auto"/>
            <w:noWrap/>
            <w:vAlign w:val="bottom"/>
            <w:hideMark/>
          </w:tcPr>
          <w:p w14:paraId="6A171D5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w:t>
            </w:r>
          </w:p>
        </w:tc>
        <w:tc>
          <w:tcPr>
            <w:tcW w:w="976" w:type="dxa"/>
            <w:tcBorders>
              <w:top w:val="nil"/>
              <w:left w:val="nil"/>
              <w:bottom w:val="nil"/>
              <w:right w:val="nil"/>
            </w:tcBorders>
            <w:shd w:val="clear" w:color="auto" w:fill="auto"/>
            <w:noWrap/>
            <w:vAlign w:val="bottom"/>
            <w:hideMark/>
          </w:tcPr>
          <w:p w14:paraId="13CD356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10.0</w:t>
            </w:r>
          </w:p>
        </w:tc>
        <w:tc>
          <w:tcPr>
            <w:tcW w:w="976" w:type="dxa"/>
            <w:tcBorders>
              <w:top w:val="nil"/>
              <w:left w:val="nil"/>
              <w:bottom w:val="nil"/>
              <w:right w:val="nil"/>
            </w:tcBorders>
            <w:shd w:val="clear" w:color="auto" w:fill="auto"/>
            <w:noWrap/>
            <w:vAlign w:val="bottom"/>
            <w:hideMark/>
          </w:tcPr>
          <w:p w14:paraId="4285622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8</w:t>
            </w:r>
          </w:p>
        </w:tc>
        <w:tc>
          <w:tcPr>
            <w:tcW w:w="976" w:type="dxa"/>
            <w:tcBorders>
              <w:top w:val="nil"/>
              <w:left w:val="nil"/>
              <w:bottom w:val="nil"/>
              <w:right w:val="nil"/>
            </w:tcBorders>
            <w:shd w:val="clear" w:color="auto" w:fill="auto"/>
            <w:noWrap/>
            <w:vAlign w:val="bottom"/>
            <w:hideMark/>
          </w:tcPr>
          <w:p w14:paraId="1212D6B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44.4</w:t>
            </w:r>
          </w:p>
        </w:tc>
        <w:tc>
          <w:tcPr>
            <w:tcW w:w="976" w:type="dxa"/>
            <w:tcBorders>
              <w:top w:val="nil"/>
              <w:left w:val="nil"/>
              <w:bottom w:val="nil"/>
              <w:right w:val="nil"/>
            </w:tcBorders>
            <w:shd w:val="clear" w:color="auto" w:fill="auto"/>
            <w:noWrap/>
            <w:vAlign w:val="bottom"/>
            <w:hideMark/>
          </w:tcPr>
          <w:p w14:paraId="77C524CA"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61215D8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976" w:type="dxa"/>
            <w:tcBorders>
              <w:top w:val="nil"/>
              <w:left w:val="nil"/>
              <w:bottom w:val="nil"/>
              <w:right w:val="nil"/>
            </w:tcBorders>
            <w:shd w:val="clear" w:color="auto" w:fill="auto"/>
            <w:noWrap/>
            <w:vAlign w:val="bottom"/>
            <w:hideMark/>
          </w:tcPr>
          <w:p w14:paraId="580EFA4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51A58DD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1952" w:type="dxa"/>
            <w:gridSpan w:val="2"/>
            <w:tcBorders>
              <w:top w:val="nil"/>
              <w:left w:val="nil"/>
              <w:bottom w:val="nil"/>
              <w:right w:val="nil"/>
            </w:tcBorders>
          </w:tcPr>
          <w:p w14:paraId="573FC64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H</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 = 21.85</w:t>
            </w:r>
            <w:r w:rsidRPr="005349B5">
              <w:rPr>
                <w:rFonts w:ascii="Times New Roman" w:eastAsia="Times New Roman" w:hAnsi="Times New Roman" w:cs="Times New Roman"/>
                <w:color w:val="000000" w:themeColor="text1"/>
                <w:sz w:val="24"/>
                <w:szCs w:val="24"/>
                <w:vertAlign w:val="superscript"/>
              </w:rPr>
              <w:t>c</w:t>
            </w:r>
          </w:p>
        </w:tc>
        <w:tc>
          <w:tcPr>
            <w:tcW w:w="976" w:type="dxa"/>
            <w:tcBorders>
              <w:top w:val="nil"/>
              <w:left w:val="nil"/>
              <w:bottom w:val="nil"/>
              <w:right w:val="nil"/>
            </w:tcBorders>
            <w:shd w:val="clear" w:color="auto" w:fill="auto"/>
            <w:noWrap/>
            <w:vAlign w:val="bottom"/>
            <w:hideMark/>
          </w:tcPr>
          <w:p w14:paraId="44A662B7"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6065332E" w14:textId="77777777" w:rsidTr="005408F2">
        <w:trPr>
          <w:trHeight w:val="290"/>
        </w:trPr>
        <w:tc>
          <w:tcPr>
            <w:tcW w:w="3136" w:type="dxa"/>
            <w:tcBorders>
              <w:top w:val="nil"/>
              <w:left w:val="nil"/>
              <w:bottom w:val="nil"/>
              <w:right w:val="nil"/>
            </w:tcBorders>
            <w:shd w:val="clear" w:color="auto" w:fill="auto"/>
            <w:noWrap/>
            <w:vAlign w:val="bottom"/>
            <w:hideMark/>
          </w:tcPr>
          <w:p w14:paraId="4F187014"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Past Major Depressive Episode</w:t>
            </w:r>
          </w:p>
        </w:tc>
        <w:tc>
          <w:tcPr>
            <w:tcW w:w="976" w:type="dxa"/>
            <w:tcBorders>
              <w:top w:val="nil"/>
              <w:left w:val="nil"/>
              <w:bottom w:val="nil"/>
              <w:right w:val="nil"/>
            </w:tcBorders>
            <w:shd w:val="clear" w:color="auto" w:fill="auto"/>
            <w:noWrap/>
            <w:vAlign w:val="bottom"/>
            <w:hideMark/>
          </w:tcPr>
          <w:p w14:paraId="77909DA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w:t>
            </w:r>
          </w:p>
        </w:tc>
        <w:tc>
          <w:tcPr>
            <w:tcW w:w="976" w:type="dxa"/>
            <w:tcBorders>
              <w:top w:val="nil"/>
              <w:left w:val="nil"/>
              <w:bottom w:val="nil"/>
              <w:right w:val="nil"/>
            </w:tcBorders>
            <w:shd w:val="clear" w:color="auto" w:fill="auto"/>
            <w:noWrap/>
            <w:vAlign w:val="bottom"/>
            <w:hideMark/>
          </w:tcPr>
          <w:p w14:paraId="01FC3F0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15.0</w:t>
            </w:r>
          </w:p>
        </w:tc>
        <w:tc>
          <w:tcPr>
            <w:tcW w:w="976" w:type="dxa"/>
            <w:tcBorders>
              <w:top w:val="nil"/>
              <w:left w:val="nil"/>
              <w:bottom w:val="nil"/>
              <w:right w:val="nil"/>
            </w:tcBorders>
            <w:shd w:val="clear" w:color="auto" w:fill="auto"/>
            <w:noWrap/>
            <w:vAlign w:val="bottom"/>
            <w:hideMark/>
          </w:tcPr>
          <w:p w14:paraId="450B781D"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11</w:t>
            </w:r>
          </w:p>
        </w:tc>
        <w:tc>
          <w:tcPr>
            <w:tcW w:w="976" w:type="dxa"/>
            <w:tcBorders>
              <w:top w:val="nil"/>
              <w:left w:val="nil"/>
              <w:bottom w:val="nil"/>
              <w:right w:val="nil"/>
            </w:tcBorders>
            <w:shd w:val="clear" w:color="auto" w:fill="auto"/>
            <w:noWrap/>
            <w:vAlign w:val="bottom"/>
            <w:hideMark/>
          </w:tcPr>
          <w:p w14:paraId="640BD8B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61.1</w:t>
            </w:r>
          </w:p>
        </w:tc>
        <w:tc>
          <w:tcPr>
            <w:tcW w:w="976" w:type="dxa"/>
            <w:tcBorders>
              <w:top w:val="nil"/>
              <w:left w:val="nil"/>
              <w:bottom w:val="nil"/>
              <w:right w:val="nil"/>
            </w:tcBorders>
            <w:shd w:val="clear" w:color="auto" w:fill="auto"/>
            <w:noWrap/>
            <w:vAlign w:val="bottom"/>
            <w:hideMark/>
          </w:tcPr>
          <w:p w14:paraId="3584B4D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3F1ACBA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976" w:type="dxa"/>
            <w:tcBorders>
              <w:top w:val="nil"/>
              <w:left w:val="nil"/>
              <w:bottom w:val="nil"/>
              <w:right w:val="nil"/>
            </w:tcBorders>
            <w:shd w:val="clear" w:color="auto" w:fill="auto"/>
            <w:noWrap/>
            <w:vAlign w:val="bottom"/>
            <w:hideMark/>
          </w:tcPr>
          <w:p w14:paraId="020402A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6EE604C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1952" w:type="dxa"/>
            <w:gridSpan w:val="2"/>
            <w:tcBorders>
              <w:top w:val="nil"/>
              <w:left w:val="nil"/>
              <w:bottom w:val="nil"/>
              <w:right w:val="nil"/>
            </w:tcBorders>
          </w:tcPr>
          <w:p w14:paraId="0953014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H</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 = 30.92</w:t>
            </w:r>
            <w:r w:rsidRPr="005349B5">
              <w:rPr>
                <w:rFonts w:ascii="Times New Roman" w:eastAsia="Times New Roman" w:hAnsi="Times New Roman" w:cs="Times New Roman"/>
                <w:color w:val="000000" w:themeColor="text1"/>
                <w:sz w:val="24"/>
                <w:szCs w:val="24"/>
                <w:vertAlign w:val="superscript"/>
              </w:rPr>
              <w:t>c</w:t>
            </w:r>
          </w:p>
        </w:tc>
        <w:tc>
          <w:tcPr>
            <w:tcW w:w="976" w:type="dxa"/>
            <w:tcBorders>
              <w:top w:val="nil"/>
              <w:left w:val="nil"/>
              <w:bottom w:val="nil"/>
              <w:right w:val="nil"/>
            </w:tcBorders>
            <w:shd w:val="clear" w:color="auto" w:fill="auto"/>
            <w:noWrap/>
            <w:vAlign w:val="bottom"/>
            <w:hideMark/>
          </w:tcPr>
          <w:p w14:paraId="50657C7A"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2D99AADA" w14:textId="77777777" w:rsidTr="005408F2">
        <w:trPr>
          <w:trHeight w:val="290"/>
        </w:trPr>
        <w:tc>
          <w:tcPr>
            <w:tcW w:w="3136" w:type="dxa"/>
            <w:tcBorders>
              <w:top w:val="nil"/>
              <w:left w:val="nil"/>
              <w:bottom w:val="nil"/>
              <w:right w:val="nil"/>
            </w:tcBorders>
            <w:shd w:val="clear" w:color="auto" w:fill="auto"/>
            <w:noWrap/>
            <w:vAlign w:val="bottom"/>
            <w:hideMark/>
          </w:tcPr>
          <w:p w14:paraId="256943E7"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Alcohol abuse</w:t>
            </w:r>
          </w:p>
        </w:tc>
        <w:tc>
          <w:tcPr>
            <w:tcW w:w="976" w:type="dxa"/>
            <w:tcBorders>
              <w:top w:val="nil"/>
              <w:left w:val="nil"/>
              <w:bottom w:val="nil"/>
              <w:right w:val="nil"/>
            </w:tcBorders>
            <w:shd w:val="clear" w:color="auto" w:fill="auto"/>
            <w:noWrap/>
            <w:vAlign w:val="bottom"/>
            <w:hideMark/>
          </w:tcPr>
          <w:p w14:paraId="525EC6BD"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9</w:t>
            </w:r>
          </w:p>
        </w:tc>
        <w:tc>
          <w:tcPr>
            <w:tcW w:w="976" w:type="dxa"/>
            <w:tcBorders>
              <w:top w:val="nil"/>
              <w:left w:val="nil"/>
              <w:bottom w:val="nil"/>
              <w:right w:val="nil"/>
            </w:tcBorders>
            <w:shd w:val="clear" w:color="auto" w:fill="auto"/>
            <w:noWrap/>
            <w:vAlign w:val="bottom"/>
            <w:hideMark/>
          </w:tcPr>
          <w:p w14:paraId="18FB27F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45.0</w:t>
            </w:r>
          </w:p>
        </w:tc>
        <w:tc>
          <w:tcPr>
            <w:tcW w:w="976" w:type="dxa"/>
            <w:tcBorders>
              <w:top w:val="nil"/>
              <w:left w:val="nil"/>
              <w:bottom w:val="nil"/>
              <w:right w:val="nil"/>
            </w:tcBorders>
            <w:shd w:val="clear" w:color="auto" w:fill="auto"/>
            <w:noWrap/>
            <w:vAlign w:val="bottom"/>
            <w:hideMark/>
          </w:tcPr>
          <w:p w14:paraId="7639DAE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11</w:t>
            </w:r>
          </w:p>
        </w:tc>
        <w:tc>
          <w:tcPr>
            <w:tcW w:w="976" w:type="dxa"/>
            <w:tcBorders>
              <w:top w:val="nil"/>
              <w:left w:val="nil"/>
              <w:bottom w:val="nil"/>
              <w:right w:val="nil"/>
            </w:tcBorders>
            <w:shd w:val="clear" w:color="auto" w:fill="auto"/>
            <w:noWrap/>
            <w:vAlign w:val="bottom"/>
            <w:hideMark/>
          </w:tcPr>
          <w:p w14:paraId="248F4FB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61.1</w:t>
            </w:r>
          </w:p>
        </w:tc>
        <w:tc>
          <w:tcPr>
            <w:tcW w:w="976" w:type="dxa"/>
            <w:tcBorders>
              <w:top w:val="nil"/>
              <w:left w:val="nil"/>
              <w:bottom w:val="nil"/>
              <w:right w:val="nil"/>
            </w:tcBorders>
            <w:shd w:val="clear" w:color="auto" w:fill="auto"/>
            <w:noWrap/>
            <w:vAlign w:val="bottom"/>
            <w:hideMark/>
          </w:tcPr>
          <w:p w14:paraId="28F124AD"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4618BF7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976" w:type="dxa"/>
            <w:tcBorders>
              <w:top w:val="nil"/>
              <w:left w:val="nil"/>
              <w:bottom w:val="nil"/>
              <w:right w:val="nil"/>
            </w:tcBorders>
            <w:shd w:val="clear" w:color="auto" w:fill="auto"/>
            <w:noWrap/>
            <w:vAlign w:val="bottom"/>
            <w:hideMark/>
          </w:tcPr>
          <w:p w14:paraId="3E76F28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74440AB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1952" w:type="dxa"/>
            <w:gridSpan w:val="2"/>
            <w:tcBorders>
              <w:top w:val="nil"/>
              <w:left w:val="nil"/>
              <w:bottom w:val="nil"/>
              <w:right w:val="nil"/>
            </w:tcBorders>
          </w:tcPr>
          <w:p w14:paraId="715D476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H</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 = 29.22</w:t>
            </w:r>
            <w:r w:rsidRPr="005349B5">
              <w:rPr>
                <w:rFonts w:ascii="Times New Roman" w:eastAsia="Times New Roman" w:hAnsi="Times New Roman" w:cs="Times New Roman"/>
                <w:color w:val="000000" w:themeColor="text1"/>
                <w:sz w:val="24"/>
                <w:szCs w:val="24"/>
                <w:vertAlign w:val="superscript"/>
              </w:rPr>
              <w:t>c</w:t>
            </w:r>
          </w:p>
        </w:tc>
        <w:tc>
          <w:tcPr>
            <w:tcW w:w="976" w:type="dxa"/>
            <w:tcBorders>
              <w:top w:val="nil"/>
              <w:left w:val="nil"/>
              <w:bottom w:val="nil"/>
              <w:right w:val="nil"/>
            </w:tcBorders>
            <w:shd w:val="clear" w:color="auto" w:fill="auto"/>
            <w:noWrap/>
            <w:vAlign w:val="bottom"/>
            <w:hideMark/>
          </w:tcPr>
          <w:p w14:paraId="228A458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6F49544C" w14:textId="77777777" w:rsidTr="005408F2">
        <w:trPr>
          <w:trHeight w:val="290"/>
        </w:trPr>
        <w:tc>
          <w:tcPr>
            <w:tcW w:w="3136" w:type="dxa"/>
            <w:tcBorders>
              <w:top w:val="nil"/>
              <w:left w:val="nil"/>
              <w:bottom w:val="nil"/>
              <w:right w:val="nil"/>
            </w:tcBorders>
            <w:shd w:val="clear" w:color="auto" w:fill="auto"/>
            <w:noWrap/>
            <w:vAlign w:val="bottom"/>
          </w:tcPr>
          <w:p w14:paraId="7B3C3520"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lastRenderedPageBreak/>
              <w:t>Cannabis abuse</w:t>
            </w:r>
          </w:p>
        </w:tc>
        <w:tc>
          <w:tcPr>
            <w:tcW w:w="976" w:type="dxa"/>
            <w:tcBorders>
              <w:top w:val="nil"/>
              <w:left w:val="nil"/>
              <w:bottom w:val="nil"/>
              <w:right w:val="nil"/>
            </w:tcBorders>
            <w:shd w:val="clear" w:color="auto" w:fill="auto"/>
            <w:noWrap/>
            <w:vAlign w:val="bottom"/>
          </w:tcPr>
          <w:p w14:paraId="4FCEF4DA"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w:t>
            </w:r>
          </w:p>
        </w:tc>
        <w:tc>
          <w:tcPr>
            <w:tcW w:w="976" w:type="dxa"/>
            <w:tcBorders>
              <w:top w:val="nil"/>
              <w:left w:val="nil"/>
              <w:bottom w:val="nil"/>
              <w:right w:val="nil"/>
            </w:tcBorders>
            <w:shd w:val="clear" w:color="auto" w:fill="auto"/>
            <w:noWrap/>
            <w:vAlign w:val="bottom"/>
          </w:tcPr>
          <w:p w14:paraId="51941C2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35.0</w:t>
            </w:r>
          </w:p>
        </w:tc>
        <w:tc>
          <w:tcPr>
            <w:tcW w:w="976" w:type="dxa"/>
            <w:tcBorders>
              <w:top w:val="nil"/>
              <w:left w:val="nil"/>
              <w:bottom w:val="nil"/>
              <w:right w:val="nil"/>
            </w:tcBorders>
            <w:shd w:val="clear" w:color="auto" w:fill="auto"/>
            <w:noWrap/>
            <w:vAlign w:val="bottom"/>
          </w:tcPr>
          <w:p w14:paraId="3A08A630"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w:t>
            </w:r>
          </w:p>
        </w:tc>
        <w:tc>
          <w:tcPr>
            <w:tcW w:w="976" w:type="dxa"/>
            <w:tcBorders>
              <w:top w:val="nil"/>
              <w:left w:val="nil"/>
              <w:bottom w:val="nil"/>
              <w:right w:val="nil"/>
            </w:tcBorders>
            <w:shd w:val="clear" w:color="auto" w:fill="auto"/>
            <w:noWrap/>
            <w:vAlign w:val="bottom"/>
          </w:tcPr>
          <w:p w14:paraId="78DC44B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16.7</w:t>
            </w:r>
          </w:p>
        </w:tc>
        <w:tc>
          <w:tcPr>
            <w:tcW w:w="976" w:type="dxa"/>
            <w:tcBorders>
              <w:top w:val="nil"/>
              <w:left w:val="nil"/>
              <w:bottom w:val="nil"/>
              <w:right w:val="nil"/>
            </w:tcBorders>
            <w:shd w:val="clear" w:color="auto" w:fill="auto"/>
            <w:noWrap/>
            <w:vAlign w:val="bottom"/>
          </w:tcPr>
          <w:p w14:paraId="35462DE7"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tcPr>
          <w:p w14:paraId="605BBA9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976" w:type="dxa"/>
            <w:tcBorders>
              <w:top w:val="nil"/>
              <w:left w:val="nil"/>
              <w:bottom w:val="nil"/>
              <w:right w:val="nil"/>
            </w:tcBorders>
            <w:shd w:val="clear" w:color="auto" w:fill="auto"/>
            <w:noWrap/>
            <w:vAlign w:val="bottom"/>
          </w:tcPr>
          <w:p w14:paraId="3A119A6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tcPr>
          <w:p w14:paraId="505E3F8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1952" w:type="dxa"/>
            <w:gridSpan w:val="2"/>
            <w:tcBorders>
              <w:top w:val="nil"/>
              <w:left w:val="nil"/>
              <w:bottom w:val="nil"/>
              <w:right w:val="nil"/>
            </w:tcBorders>
          </w:tcPr>
          <w:p w14:paraId="4AB9235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H</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 = 14.73</w:t>
            </w:r>
            <w:r w:rsidRPr="005349B5">
              <w:rPr>
                <w:rFonts w:ascii="Times New Roman" w:eastAsia="Times New Roman" w:hAnsi="Times New Roman" w:cs="Times New Roman"/>
                <w:color w:val="000000" w:themeColor="text1"/>
                <w:sz w:val="24"/>
                <w:szCs w:val="24"/>
                <w:vertAlign w:val="superscript"/>
              </w:rPr>
              <w:t>c</w:t>
            </w:r>
          </w:p>
        </w:tc>
        <w:tc>
          <w:tcPr>
            <w:tcW w:w="976" w:type="dxa"/>
            <w:tcBorders>
              <w:top w:val="nil"/>
              <w:left w:val="nil"/>
              <w:bottom w:val="nil"/>
              <w:right w:val="nil"/>
            </w:tcBorders>
            <w:shd w:val="clear" w:color="auto" w:fill="auto"/>
            <w:noWrap/>
            <w:vAlign w:val="bottom"/>
          </w:tcPr>
          <w:p w14:paraId="3B8EC5DC"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.002</w:t>
            </w:r>
          </w:p>
        </w:tc>
      </w:tr>
      <w:tr w:rsidR="005408F2" w:rsidRPr="005349B5" w14:paraId="6252A478" w14:textId="77777777" w:rsidTr="005408F2">
        <w:trPr>
          <w:trHeight w:val="290"/>
        </w:trPr>
        <w:tc>
          <w:tcPr>
            <w:tcW w:w="3136" w:type="dxa"/>
            <w:tcBorders>
              <w:top w:val="nil"/>
              <w:left w:val="nil"/>
              <w:bottom w:val="nil"/>
              <w:right w:val="nil"/>
            </w:tcBorders>
            <w:shd w:val="clear" w:color="auto" w:fill="auto"/>
            <w:noWrap/>
            <w:vAlign w:val="bottom"/>
          </w:tcPr>
          <w:p w14:paraId="6B33DD78"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Multiple substance abuse</w:t>
            </w:r>
          </w:p>
        </w:tc>
        <w:tc>
          <w:tcPr>
            <w:tcW w:w="976" w:type="dxa"/>
            <w:tcBorders>
              <w:top w:val="nil"/>
              <w:left w:val="nil"/>
              <w:bottom w:val="nil"/>
              <w:right w:val="nil"/>
            </w:tcBorders>
            <w:shd w:val="clear" w:color="auto" w:fill="auto"/>
            <w:noWrap/>
            <w:vAlign w:val="bottom"/>
          </w:tcPr>
          <w:p w14:paraId="3FC43A2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w:t>
            </w:r>
          </w:p>
        </w:tc>
        <w:tc>
          <w:tcPr>
            <w:tcW w:w="976" w:type="dxa"/>
            <w:tcBorders>
              <w:top w:val="nil"/>
              <w:left w:val="nil"/>
              <w:bottom w:val="nil"/>
              <w:right w:val="nil"/>
            </w:tcBorders>
            <w:shd w:val="clear" w:color="auto" w:fill="auto"/>
            <w:noWrap/>
            <w:vAlign w:val="bottom"/>
          </w:tcPr>
          <w:p w14:paraId="65F7EA38"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70.0</w:t>
            </w:r>
          </w:p>
        </w:tc>
        <w:tc>
          <w:tcPr>
            <w:tcW w:w="976" w:type="dxa"/>
            <w:tcBorders>
              <w:top w:val="nil"/>
              <w:left w:val="nil"/>
              <w:bottom w:val="nil"/>
              <w:right w:val="nil"/>
            </w:tcBorders>
            <w:shd w:val="clear" w:color="auto" w:fill="auto"/>
            <w:noWrap/>
            <w:vAlign w:val="bottom"/>
          </w:tcPr>
          <w:p w14:paraId="72E15070"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8</w:t>
            </w:r>
          </w:p>
        </w:tc>
        <w:tc>
          <w:tcPr>
            <w:tcW w:w="976" w:type="dxa"/>
            <w:tcBorders>
              <w:top w:val="nil"/>
              <w:left w:val="nil"/>
              <w:bottom w:val="nil"/>
              <w:right w:val="nil"/>
            </w:tcBorders>
            <w:shd w:val="clear" w:color="auto" w:fill="auto"/>
            <w:noWrap/>
            <w:vAlign w:val="bottom"/>
          </w:tcPr>
          <w:p w14:paraId="48D7E0A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44.4</w:t>
            </w:r>
          </w:p>
        </w:tc>
        <w:tc>
          <w:tcPr>
            <w:tcW w:w="976" w:type="dxa"/>
            <w:tcBorders>
              <w:top w:val="nil"/>
              <w:left w:val="nil"/>
              <w:bottom w:val="nil"/>
              <w:right w:val="nil"/>
            </w:tcBorders>
            <w:shd w:val="clear" w:color="auto" w:fill="auto"/>
            <w:noWrap/>
            <w:vAlign w:val="bottom"/>
          </w:tcPr>
          <w:p w14:paraId="1CD36721"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tcPr>
          <w:p w14:paraId="7528106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976" w:type="dxa"/>
            <w:tcBorders>
              <w:top w:val="nil"/>
              <w:left w:val="nil"/>
              <w:bottom w:val="nil"/>
              <w:right w:val="nil"/>
            </w:tcBorders>
            <w:shd w:val="clear" w:color="auto" w:fill="auto"/>
            <w:noWrap/>
            <w:vAlign w:val="bottom"/>
          </w:tcPr>
          <w:p w14:paraId="1D09970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tcPr>
          <w:p w14:paraId="13F3EB7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1952" w:type="dxa"/>
            <w:gridSpan w:val="2"/>
            <w:tcBorders>
              <w:top w:val="nil"/>
              <w:left w:val="nil"/>
              <w:bottom w:val="nil"/>
              <w:right w:val="nil"/>
            </w:tcBorders>
          </w:tcPr>
          <w:p w14:paraId="0F9E1598"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H</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 = 34.86</w:t>
            </w:r>
            <w:r w:rsidRPr="005349B5">
              <w:rPr>
                <w:rFonts w:ascii="Times New Roman" w:eastAsia="Times New Roman" w:hAnsi="Times New Roman" w:cs="Times New Roman"/>
                <w:color w:val="000000" w:themeColor="text1"/>
                <w:sz w:val="24"/>
                <w:szCs w:val="24"/>
                <w:vertAlign w:val="superscript"/>
              </w:rPr>
              <w:t>c</w:t>
            </w:r>
          </w:p>
        </w:tc>
        <w:tc>
          <w:tcPr>
            <w:tcW w:w="976" w:type="dxa"/>
            <w:tcBorders>
              <w:top w:val="nil"/>
              <w:left w:val="nil"/>
              <w:bottom w:val="nil"/>
              <w:right w:val="nil"/>
            </w:tcBorders>
            <w:shd w:val="clear" w:color="auto" w:fill="auto"/>
            <w:noWrap/>
            <w:vAlign w:val="bottom"/>
          </w:tcPr>
          <w:p w14:paraId="3EAF335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&lt;.001</w:t>
            </w:r>
          </w:p>
        </w:tc>
      </w:tr>
      <w:tr w:rsidR="005408F2" w:rsidRPr="005349B5" w14:paraId="740A344B" w14:textId="77777777" w:rsidTr="005408F2">
        <w:trPr>
          <w:trHeight w:val="290"/>
        </w:trPr>
        <w:tc>
          <w:tcPr>
            <w:tcW w:w="3136" w:type="dxa"/>
            <w:tcBorders>
              <w:top w:val="nil"/>
              <w:left w:val="nil"/>
              <w:bottom w:val="nil"/>
              <w:right w:val="nil"/>
            </w:tcBorders>
            <w:shd w:val="clear" w:color="auto" w:fill="auto"/>
            <w:noWrap/>
            <w:vAlign w:val="bottom"/>
            <w:hideMark/>
          </w:tcPr>
          <w:p w14:paraId="177C6B16"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Posttraumatic Stress Disorder</w:t>
            </w:r>
          </w:p>
        </w:tc>
        <w:tc>
          <w:tcPr>
            <w:tcW w:w="976" w:type="dxa"/>
            <w:tcBorders>
              <w:top w:val="nil"/>
              <w:left w:val="nil"/>
              <w:bottom w:val="nil"/>
              <w:right w:val="nil"/>
            </w:tcBorders>
            <w:shd w:val="clear" w:color="auto" w:fill="auto"/>
            <w:noWrap/>
            <w:vAlign w:val="bottom"/>
            <w:hideMark/>
          </w:tcPr>
          <w:p w14:paraId="1B24D627"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w:t>
            </w:r>
          </w:p>
        </w:tc>
        <w:tc>
          <w:tcPr>
            <w:tcW w:w="976" w:type="dxa"/>
            <w:tcBorders>
              <w:top w:val="nil"/>
              <w:left w:val="nil"/>
              <w:bottom w:val="nil"/>
              <w:right w:val="nil"/>
            </w:tcBorders>
            <w:shd w:val="clear" w:color="auto" w:fill="auto"/>
            <w:noWrap/>
            <w:vAlign w:val="bottom"/>
            <w:hideMark/>
          </w:tcPr>
          <w:p w14:paraId="6F38619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5.0</w:t>
            </w:r>
          </w:p>
        </w:tc>
        <w:tc>
          <w:tcPr>
            <w:tcW w:w="976" w:type="dxa"/>
            <w:tcBorders>
              <w:top w:val="nil"/>
              <w:left w:val="nil"/>
              <w:bottom w:val="nil"/>
              <w:right w:val="nil"/>
            </w:tcBorders>
            <w:shd w:val="clear" w:color="auto" w:fill="auto"/>
            <w:noWrap/>
            <w:vAlign w:val="bottom"/>
            <w:hideMark/>
          </w:tcPr>
          <w:p w14:paraId="6105E73A"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w:t>
            </w:r>
          </w:p>
        </w:tc>
        <w:tc>
          <w:tcPr>
            <w:tcW w:w="976" w:type="dxa"/>
            <w:tcBorders>
              <w:top w:val="nil"/>
              <w:left w:val="nil"/>
              <w:bottom w:val="nil"/>
              <w:right w:val="nil"/>
            </w:tcBorders>
            <w:shd w:val="clear" w:color="auto" w:fill="auto"/>
            <w:noWrap/>
            <w:vAlign w:val="bottom"/>
            <w:hideMark/>
          </w:tcPr>
          <w:p w14:paraId="3A848D9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22.2</w:t>
            </w:r>
          </w:p>
        </w:tc>
        <w:tc>
          <w:tcPr>
            <w:tcW w:w="976" w:type="dxa"/>
            <w:tcBorders>
              <w:top w:val="nil"/>
              <w:left w:val="nil"/>
              <w:bottom w:val="nil"/>
              <w:right w:val="nil"/>
            </w:tcBorders>
            <w:shd w:val="clear" w:color="auto" w:fill="auto"/>
            <w:noWrap/>
            <w:vAlign w:val="bottom"/>
            <w:hideMark/>
          </w:tcPr>
          <w:p w14:paraId="0A38947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37A3DB4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976" w:type="dxa"/>
            <w:tcBorders>
              <w:top w:val="nil"/>
              <w:left w:val="nil"/>
              <w:bottom w:val="nil"/>
              <w:right w:val="nil"/>
            </w:tcBorders>
            <w:shd w:val="clear" w:color="auto" w:fill="auto"/>
            <w:noWrap/>
            <w:vAlign w:val="bottom"/>
            <w:hideMark/>
          </w:tcPr>
          <w:p w14:paraId="241F913A"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76" w:type="dxa"/>
            <w:tcBorders>
              <w:top w:val="nil"/>
              <w:left w:val="nil"/>
              <w:bottom w:val="nil"/>
              <w:right w:val="nil"/>
            </w:tcBorders>
            <w:shd w:val="clear" w:color="auto" w:fill="auto"/>
            <w:noWrap/>
            <w:vAlign w:val="bottom"/>
            <w:hideMark/>
          </w:tcPr>
          <w:p w14:paraId="6A13298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1952" w:type="dxa"/>
            <w:gridSpan w:val="2"/>
            <w:tcBorders>
              <w:top w:val="nil"/>
              <w:left w:val="nil"/>
              <w:bottom w:val="nil"/>
              <w:right w:val="nil"/>
            </w:tcBorders>
          </w:tcPr>
          <w:p w14:paraId="7C2CD02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H</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 = 10.18</w:t>
            </w:r>
            <w:r w:rsidRPr="005349B5">
              <w:rPr>
                <w:rFonts w:ascii="Times New Roman" w:eastAsia="Times New Roman" w:hAnsi="Times New Roman" w:cs="Times New Roman"/>
                <w:color w:val="000000" w:themeColor="text1"/>
                <w:sz w:val="24"/>
                <w:szCs w:val="24"/>
                <w:vertAlign w:val="superscript"/>
              </w:rPr>
              <w:t>c</w:t>
            </w:r>
          </w:p>
        </w:tc>
        <w:tc>
          <w:tcPr>
            <w:tcW w:w="976" w:type="dxa"/>
            <w:tcBorders>
              <w:top w:val="nil"/>
              <w:left w:val="nil"/>
              <w:bottom w:val="nil"/>
              <w:right w:val="nil"/>
            </w:tcBorders>
            <w:shd w:val="clear" w:color="auto" w:fill="auto"/>
            <w:noWrap/>
            <w:vAlign w:val="bottom"/>
            <w:hideMark/>
          </w:tcPr>
          <w:p w14:paraId="5E3A0CC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.017</w:t>
            </w:r>
          </w:p>
        </w:tc>
      </w:tr>
      <w:tr w:rsidR="005408F2" w:rsidRPr="005349B5" w14:paraId="5298B33E" w14:textId="77777777" w:rsidTr="005408F2">
        <w:trPr>
          <w:trHeight w:val="290"/>
        </w:trPr>
        <w:tc>
          <w:tcPr>
            <w:tcW w:w="3136" w:type="dxa"/>
            <w:tcBorders>
              <w:top w:val="nil"/>
              <w:left w:val="nil"/>
              <w:bottom w:val="nil"/>
              <w:right w:val="nil"/>
            </w:tcBorders>
            <w:shd w:val="clear" w:color="auto" w:fill="auto"/>
            <w:noWrap/>
            <w:vAlign w:val="bottom"/>
            <w:hideMark/>
          </w:tcPr>
          <w:p w14:paraId="46850BF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9280F9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10EA008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C23D0C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050E2F6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0C3E324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491AB04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1FEA0E6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1385BF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1A2DE46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6DA142F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5E9343B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r>
      <w:tr w:rsidR="005408F2" w:rsidRPr="005349B5" w14:paraId="3B6E90F5" w14:textId="77777777" w:rsidTr="005408F2">
        <w:trPr>
          <w:trHeight w:val="290"/>
        </w:trPr>
        <w:tc>
          <w:tcPr>
            <w:tcW w:w="3136" w:type="dxa"/>
            <w:tcBorders>
              <w:top w:val="nil"/>
              <w:left w:val="nil"/>
              <w:bottom w:val="nil"/>
              <w:right w:val="nil"/>
            </w:tcBorders>
            <w:shd w:val="clear" w:color="auto" w:fill="A5A5A5" w:themeFill="accent3"/>
            <w:noWrap/>
            <w:vAlign w:val="bottom"/>
            <w:hideMark/>
          </w:tcPr>
          <w:p w14:paraId="4721387A"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Psychometric tests</w:t>
            </w:r>
          </w:p>
        </w:tc>
        <w:tc>
          <w:tcPr>
            <w:tcW w:w="976" w:type="dxa"/>
            <w:tcBorders>
              <w:top w:val="nil"/>
              <w:left w:val="nil"/>
              <w:bottom w:val="nil"/>
              <w:right w:val="nil"/>
            </w:tcBorders>
            <w:shd w:val="clear" w:color="auto" w:fill="A5A5A5" w:themeFill="accent3"/>
            <w:noWrap/>
            <w:vAlign w:val="bottom"/>
            <w:hideMark/>
          </w:tcPr>
          <w:p w14:paraId="608069D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3968A4C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7E858FE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64EE5A3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270722E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57D1EF1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2BCE785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noWrap/>
            <w:vAlign w:val="bottom"/>
            <w:hideMark/>
          </w:tcPr>
          <w:p w14:paraId="2AEC38F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A5A5A5" w:themeFill="accent3"/>
          </w:tcPr>
          <w:p w14:paraId="43512F0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5A5A5" w:themeFill="accent3"/>
          </w:tcPr>
          <w:p w14:paraId="1C85B8D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5A5A5" w:themeFill="accent3"/>
            <w:noWrap/>
            <w:vAlign w:val="bottom"/>
            <w:hideMark/>
          </w:tcPr>
          <w:p w14:paraId="5112059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r>
      <w:tr w:rsidR="005408F2" w:rsidRPr="005349B5" w14:paraId="679F4BA8" w14:textId="77777777" w:rsidTr="005408F2">
        <w:trPr>
          <w:trHeight w:val="290"/>
        </w:trPr>
        <w:tc>
          <w:tcPr>
            <w:tcW w:w="3136" w:type="dxa"/>
            <w:tcBorders>
              <w:top w:val="nil"/>
              <w:left w:val="nil"/>
              <w:bottom w:val="nil"/>
              <w:right w:val="nil"/>
            </w:tcBorders>
            <w:shd w:val="clear" w:color="auto" w:fill="D0CECE" w:themeFill="background2" w:themeFillShade="E6"/>
            <w:noWrap/>
            <w:vAlign w:val="bottom"/>
            <w:hideMark/>
          </w:tcPr>
          <w:p w14:paraId="1BBBEBEF"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SRP</w:t>
            </w:r>
          </w:p>
        </w:tc>
        <w:tc>
          <w:tcPr>
            <w:tcW w:w="976" w:type="dxa"/>
            <w:tcBorders>
              <w:top w:val="nil"/>
              <w:left w:val="nil"/>
              <w:bottom w:val="nil"/>
              <w:right w:val="nil"/>
            </w:tcBorders>
            <w:shd w:val="clear" w:color="auto" w:fill="D0CECE" w:themeFill="background2" w:themeFillShade="E6"/>
            <w:noWrap/>
            <w:vAlign w:val="bottom"/>
            <w:hideMark/>
          </w:tcPr>
          <w:p w14:paraId="1356FD0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0B34C64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02A7BDD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782A49A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09586B2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2012AB4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074197E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7A6DACA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tcPr>
          <w:p w14:paraId="5C8612F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D0CECE" w:themeFill="background2" w:themeFillShade="E6"/>
          </w:tcPr>
          <w:p w14:paraId="1E921E2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D0CECE" w:themeFill="background2" w:themeFillShade="E6"/>
            <w:noWrap/>
            <w:vAlign w:val="bottom"/>
            <w:hideMark/>
          </w:tcPr>
          <w:p w14:paraId="669B1C7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r>
      <w:tr w:rsidR="005408F2" w:rsidRPr="005349B5" w14:paraId="5F341C20" w14:textId="77777777" w:rsidTr="005408F2">
        <w:trPr>
          <w:trHeight w:val="290"/>
        </w:trPr>
        <w:tc>
          <w:tcPr>
            <w:tcW w:w="3136" w:type="dxa"/>
            <w:tcBorders>
              <w:top w:val="nil"/>
              <w:left w:val="nil"/>
              <w:bottom w:val="nil"/>
              <w:right w:val="nil"/>
            </w:tcBorders>
            <w:shd w:val="clear" w:color="auto" w:fill="auto"/>
            <w:noWrap/>
            <w:vAlign w:val="bottom"/>
            <w:hideMark/>
          </w:tcPr>
          <w:p w14:paraId="65264ABD"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Interpersonal manipulation</w:t>
            </w:r>
          </w:p>
        </w:tc>
        <w:tc>
          <w:tcPr>
            <w:tcW w:w="976" w:type="dxa"/>
            <w:tcBorders>
              <w:top w:val="nil"/>
              <w:left w:val="nil"/>
              <w:bottom w:val="nil"/>
              <w:right w:val="nil"/>
            </w:tcBorders>
            <w:shd w:val="clear" w:color="auto" w:fill="auto"/>
            <w:noWrap/>
            <w:vAlign w:val="bottom"/>
            <w:hideMark/>
          </w:tcPr>
          <w:p w14:paraId="090E254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52.70</w:t>
            </w:r>
          </w:p>
        </w:tc>
        <w:tc>
          <w:tcPr>
            <w:tcW w:w="976" w:type="dxa"/>
            <w:tcBorders>
              <w:top w:val="nil"/>
              <w:left w:val="nil"/>
              <w:bottom w:val="nil"/>
              <w:right w:val="nil"/>
            </w:tcBorders>
            <w:shd w:val="clear" w:color="auto" w:fill="auto"/>
            <w:noWrap/>
            <w:vAlign w:val="bottom"/>
            <w:hideMark/>
          </w:tcPr>
          <w:p w14:paraId="7EB8EED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9.40</w:t>
            </w:r>
          </w:p>
        </w:tc>
        <w:tc>
          <w:tcPr>
            <w:tcW w:w="976" w:type="dxa"/>
            <w:tcBorders>
              <w:top w:val="nil"/>
              <w:left w:val="nil"/>
              <w:bottom w:val="nil"/>
              <w:right w:val="nil"/>
            </w:tcBorders>
            <w:shd w:val="clear" w:color="auto" w:fill="auto"/>
            <w:noWrap/>
            <w:vAlign w:val="bottom"/>
            <w:hideMark/>
          </w:tcPr>
          <w:p w14:paraId="17B02E2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56.17</w:t>
            </w:r>
          </w:p>
        </w:tc>
        <w:tc>
          <w:tcPr>
            <w:tcW w:w="976" w:type="dxa"/>
            <w:tcBorders>
              <w:top w:val="nil"/>
              <w:left w:val="nil"/>
              <w:bottom w:val="nil"/>
              <w:right w:val="nil"/>
            </w:tcBorders>
            <w:shd w:val="clear" w:color="auto" w:fill="auto"/>
            <w:noWrap/>
            <w:vAlign w:val="bottom"/>
            <w:hideMark/>
          </w:tcPr>
          <w:p w14:paraId="5CE6C1D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12.42</w:t>
            </w:r>
          </w:p>
        </w:tc>
        <w:tc>
          <w:tcPr>
            <w:tcW w:w="976" w:type="dxa"/>
            <w:tcBorders>
              <w:top w:val="nil"/>
              <w:left w:val="nil"/>
              <w:bottom w:val="nil"/>
              <w:right w:val="nil"/>
            </w:tcBorders>
            <w:shd w:val="clear" w:color="auto" w:fill="auto"/>
            <w:noWrap/>
            <w:vAlign w:val="bottom"/>
            <w:hideMark/>
          </w:tcPr>
          <w:p w14:paraId="1BA6453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36.65</w:t>
            </w:r>
          </w:p>
        </w:tc>
        <w:tc>
          <w:tcPr>
            <w:tcW w:w="976" w:type="dxa"/>
            <w:tcBorders>
              <w:top w:val="nil"/>
              <w:left w:val="nil"/>
              <w:bottom w:val="nil"/>
              <w:right w:val="nil"/>
            </w:tcBorders>
            <w:shd w:val="clear" w:color="auto" w:fill="auto"/>
            <w:noWrap/>
            <w:vAlign w:val="bottom"/>
            <w:hideMark/>
          </w:tcPr>
          <w:p w14:paraId="54BB3EF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7.49</w:t>
            </w:r>
          </w:p>
        </w:tc>
        <w:tc>
          <w:tcPr>
            <w:tcW w:w="976" w:type="dxa"/>
            <w:tcBorders>
              <w:top w:val="nil"/>
              <w:left w:val="nil"/>
              <w:bottom w:val="nil"/>
              <w:right w:val="nil"/>
            </w:tcBorders>
            <w:shd w:val="clear" w:color="auto" w:fill="auto"/>
            <w:noWrap/>
            <w:vAlign w:val="bottom"/>
            <w:hideMark/>
          </w:tcPr>
          <w:p w14:paraId="2E6AF1E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32.45</w:t>
            </w:r>
          </w:p>
        </w:tc>
        <w:tc>
          <w:tcPr>
            <w:tcW w:w="976" w:type="dxa"/>
            <w:tcBorders>
              <w:top w:val="nil"/>
              <w:left w:val="nil"/>
              <w:bottom w:val="nil"/>
              <w:right w:val="nil"/>
            </w:tcBorders>
            <w:shd w:val="clear" w:color="auto" w:fill="auto"/>
            <w:noWrap/>
            <w:vAlign w:val="bottom"/>
            <w:hideMark/>
          </w:tcPr>
          <w:p w14:paraId="57CF0DE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7.23</w:t>
            </w:r>
          </w:p>
        </w:tc>
        <w:tc>
          <w:tcPr>
            <w:tcW w:w="1952" w:type="dxa"/>
            <w:gridSpan w:val="2"/>
            <w:tcBorders>
              <w:top w:val="nil"/>
              <w:left w:val="nil"/>
              <w:bottom w:val="nil"/>
              <w:right w:val="nil"/>
            </w:tcBorders>
          </w:tcPr>
          <w:p w14:paraId="3D55085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3,74) = 30.73</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022EF9DC"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04EF33EC" w14:textId="77777777" w:rsidTr="005408F2">
        <w:trPr>
          <w:trHeight w:val="290"/>
        </w:trPr>
        <w:tc>
          <w:tcPr>
            <w:tcW w:w="3136" w:type="dxa"/>
            <w:tcBorders>
              <w:top w:val="nil"/>
              <w:left w:val="nil"/>
              <w:bottom w:val="nil"/>
              <w:right w:val="nil"/>
            </w:tcBorders>
            <w:shd w:val="clear" w:color="auto" w:fill="auto"/>
            <w:noWrap/>
            <w:vAlign w:val="bottom"/>
            <w:hideMark/>
          </w:tcPr>
          <w:p w14:paraId="6D27E219"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Callous affect</w:t>
            </w:r>
          </w:p>
        </w:tc>
        <w:tc>
          <w:tcPr>
            <w:tcW w:w="976" w:type="dxa"/>
            <w:tcBorders>
              <w:top w:val="nil"/>
              <w:left w:val="nil"/>
              <w:bottom w:val="nil"/>
              <w:right w:val="nil"/>
            </w:tcBorders>
            <w:shd w:val="clear" w:color="auto" w:fill="auto"/>
            <w:noWrap/>
            <w:vAlign w:val="bottom"/>
            <w:hideMark/>
          </w:tcPr>
          <w:p w14:paraId="2E19CE3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47.80</w:t>
            </w:r>
          </w:p>
        </w:tc>
        <w:tc>
          <w:tcPr>
            <w:tcW w:w="976" w:type="dxa"/>
            <w:tcBorders>
              <w:top w:val="nil"/>
              <w:left w:val="nil"/>
              <w:bottom w:val="nil"/>
              <w:right w:val="nil"/>
            </w:tcBorders>
            <w:shd w:val="clear" w:color="auto" w:fill="auto"/>
            <w:noWrap/>
            <w:vAlign w:val="bottom"/>
            <w:hideMark/>
          </w:tcPr>
          <w:p w14:paraId="2F082A68"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6.85</w:t>
            </w:r>
          </w:p>
        </w:tc>
        <w:tc>
          <w:tcPr>
            <w:tcW w:w="976" w:type="dxa"/>
            <w:tcBorders>
              <w:top w:val="nil"/>
              <w:left w:val="nil"/>
              <w:bottom w:val="nil"/>
              <w:right w:val="nil"/>
            </w:tcBorders>
            <w:shd w:val="clear" w:color="auto" w:fill="auto"/>
            <w:noWrap/>
            <w:vAlign w:val="bottom"/>
            <w:hideMark/>
          </w:tcPr>
          <w:p w14:paraId="674FB43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44.44</w:t>
            </w:r>
          </w:p>
        </w:tc>
        <w:tc>
          <w:tcPr>
            <w:tcW w:w="976" w:type="dxa"/>
            <w:tcBorders>
              <w:top w:val="nil"/>
              <w:left w:val="nil"/>
              <w:bottom w:val="nil"/>
              <w:right w:val="nil"/>
            </w:tcBorders>
            <w:shd w:val="clear" w:color="auto" w:fill="auto"/>
            <w:noWrap/>
            <w:vAlign w:val="bottom"/>
            <w:hideMark/>
          </w:tcPr>
          <w:p w14:paraId="77C28DE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12.10</w:t>
            </w:r>
          </w:p>
        </w:tc>
        <w:tc>
          <w:tcPr>
            <w:tcW w:w="976" w:type="dxa"/>
            <w:tcBorders>
              <w:top w:val="nil"/>
              <w:left w:val="nil"/>
              <w:bottom w:val="nil"/>
              <w:right w:val="nil"/>
            </w:tcBorders>
            <w:shd w:val="clear" w:color="auto" w:fill="auto"/>
            <w:noWrap/>
            <w:vAlign w:val="bottom"/>
            <w:hideMark/>
          </w:tcPr>
          <w:p w14:paraId="7DCADFE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38.30</w:t>
            </w:r>
          </w:p>
        </w:tc>
        <w:tc>
          <w:tcPr>
            <w:tcW w:w="976" w:type="dxa"/>
            <w:tcBorders>
              <w:top w:val="nil"/>
              <w:left w:val="nil"/>
              <w:bottom w:val="nil"/>
              <w:right w:val="nil"/>
            </w:tcBorders>
            <w:shd w:val="clear" w:color="auto" w:fill="auto"/>
            <w:noWrap/>
            <w:vAlign w:val="bottom"/>
            <w:hideMark/>
          </w:tcPr>
          <w:p w14:paraId="6AFBE2C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4.89</w:t>
            </w:r>
          </w:p>
        </w:tc>
        <w:tc>
          <w:tcPr>
            <w:tcW w:w="976" w:type="dxa"/>
            <w:tcBorders>
              <w:top w:val="nil"/>
              <w:left w:val="nil"/>
              <w:bottom w:val="nil"/>
              <w:right w:val="nil"/>
            </w:tcBorders>
            <w:shd w:val="clear" w:color="auto" w:fill="auto"/>
            <w:noWrap/>
            <w:vAlign w:val="bottom"/>
            <w:hideMark/>
          </w:tcPr>
          <w:p w14:paraId="5C38BC7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29.45</w:t>
            </w:r>
          </w:p>
        </w:tc>
        <w:tc>
          <w:tcPr>
            <w:tcW w:w="976" w:type="dxa"/>
            <w:tcBorders>
              <w:top w:val="nil"/>
              <w:left w:val="nil"/>
              <w:bottom w:val="nil"/>
              <w:right w:val="nil"/>
            </w:tcBorders>
            <w:shd w:val="clear" w:color="auto" w:fill="auto"/>
            <w:noWrap/>
            <w:vAlign w:val="bottom"/>
            <w:hideMark/>
          </w:tcPr>
          <w:p w14:paraId="07A42EE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6.35</w:t>
            </w:r>
          </w:p>
        </w:tc>
        <w:tc>
          <w:tcPr>
            <w:tcW w:w="1952" w:type="dxa"/>
            <w:gridSpan w:val="2"/>
            <w:tcBorders>
              <w:top w:val="nil"/>
              <w:left w:val="nil"/>
              <w:bottom w:val="nil"/>
              <w:right w:val="nil"/>
            </w:tcBorders>
          </w:tcPr>
          <w:p w14:paraId="40A71FF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3,39.87) = 26.42</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66812ED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2996A2E7" w14:textId="77777777" w:rsidTr="005408F2">
        <w:trPr>
          <w:trHeight w:val="290"/>
        </w:trPr>
        <w:tc>
          <w:tcPr>
            <w:tcW w:w="3136" w:type="dxa"/>
            <w:tcBorders>
              <w:top w:val="nil"/>
              <w:left w:val="nil"/>
              <w:bottom w:val="nil"/>
              <w:right w:val="nil"/>
            </w:tcBorders>
            <w:shd w:val="clear" w:color="auto" w:fill="auto"/>
            <w:noWrap/>
            <w:vAlign w:val="bottom"/>
            <w:hideMark/>
          </w:tcPr>
          <w:p w14:paraId="67A7863A"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Erratic life style</w:t>
            </w:r>
          </w:p>
        </w:tc>
        <w:tc>
          <w:tcPr>
            <w:tcW w:w="976" w:type="dxa"/>
            <w:tcBorders>
              <w:top w:val="nil"/>
              <w:left w:val="nil"/>
              <w:bottom w:val="nil"/>
              <w:right w:val="nil"/>
            </w:tcBorders>
            <w:shd w:val="clear" w:color="auto" w:fill="auto"/>
            <w:noWrap/>
            <w:vAlign w:val="bottom"/>
            <w:hideMark/>
          </w:tcPr>
          <w:p w14:paraId="20D5405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56.00</w:t>
            </w:r>
          </w:p>
        </w:tc>
        <w:tc>
          <w:tcPr>
            <w:tcW w:w="976" w:type="dxa"/>
            <w:tcBorders>
              <w:top w:val="nil"/>
              <w:left w:val="nil"/>
              <w:bottom w:val="nil"/>
              <w:right w:val="nil"/>
            </w:tcBorders>
            <w:shd w:val="clear" w:color="auto" w:fill="auto"/>
            <w:noWrap/>
            <w:vAlign w:val="bottom"/>
            <w:hideMark/>
          </w:tcPr>
          <w:p w14:paraId="3011A78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5.89</w:t>
            </w:r>
          </w:p>
        </w:tc>
        <w:tc>
          <w:tcPr>
            <w:tcW w:w="976" w:type="dxa"/>
            <w:tcBorders>
              <w:top w:val="nil"/>
              <w:left w:val="nil"/>
              <w:bottom w:val="nil"/>
              <w:right w:val="nil"/>
            </w:tcBorders>
            <w:shd w:val="clear" w:color="auto" w:fill="auto"/>
            <w:noWrap/>
            <w:vAlign w:val="bottom"/>
            <w:hideMark/>
          </w:tcPr>
          <w:p w14:paraId="305433F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55.28</w:t>
            </w:r>
          </w:p>
        </w:tc>
        <w:tc>
          <w:tcPr>
            <w:tcW w:w="976" w:type="dxa"/>
            <w:tcBorders>
              <w:top w:val="nil"/>
              <w:left w:val="nil"/>
              <w:bottom w:val="nil"/>
              <w:right w:val="nil"/>
            </w:tcBorders>
            <w:shd w:val="clear" w:color="auto" w:fill="auto"/>
            <w:noWrap/>
            <w:vAlign w:val="bottom"/>
            <w:hideMark/>
          </w:tcPr>
          <w:p w14:paraId="295B643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7.22</w:t>
            </w:r>
          </w:p>
        </w:tc>
        <w:tc>
          <w:tcPr>
            <w:tcW w:w="976" w:type="dxa"/>
            <w:tcBorders>
              <w:top w:val="nil"/>
              <w:left w:val="nil"/>
              <w:bottom w:val="nil"/>
              <w:right w:val="nil"/>
            </w:tcBorders>
            <w:shd w:val="clear" w:color="auto" w:fill="auto"/>
            <w:noWrap/>
            <w:vAlign w:val="bottom"/>
            <w:hideMark/>
          </w:tcPr>
          <w:p w14:paraId="3220CD7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41.80</w:t>
            </w:r>
          </w:p>
        </w:tc>
        <w:tc>
          <w:tcPr>
            <w:tcW w:w="976" w:type="dxa"/>
            <w:tcBorders>
              <w:top w:val="nil"/>
              <w:left w:val="nil"/>
              <w:bottom w:val="nil"/>
              <w:right w:val="nil"/>
            </w:tcBorders>
            <w:shd w:val="clear" w:color="auto" w:fill="auto"/>
            <w:noWrap/>
            <w:vAlign w:val="bottom"/>
            <w:hideMark/>
          </w:tcPr>
          <w:p w14:paraId="2F76A07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7.55</w:t>
            </w:r>
          </w:p>
        </w:tc>
        <w:tc>
          <w:tcPr>
            <w:tcW w:w="976" w:type="dxa"/>
            <w:tcBorders>
              <w:top w:val="nil"/>
              <w:left w:val="nil"/>
              <w:bottom w:val="nil"/>
              <w:right w:val="nil"/>
            </w:tcBorders>
            <w:shd w:val="clear" w:color="auto" w:fill="auto"/>
            <w:noWrap/>
            <w:vAlign w:val="bottom"/>
            <w:hideMark/>
          </w:tcPr>
          <w:p w14:paraId="74F6364A"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35.60</w:t>
            </w:r>
          </w:p>
        </w:tc>
        <w:tc>
          <w:tcPr>
            <w:tcW w:w="976" w:type="dxa"/>
            <w:tcBorders>
              <w:top w:val="nil"/>
              <w:left w:val="nil"/>
              <w:bottom w:val="nil"/>
              <w:right w:val="nil"/>
            </w:tcBorders>
            <w:shd w:val="clear" w:color="auto" w:fill="auto"/>
            <w:noWrap/>
            <w:vAlign w:val="bottom"/>
            <w:hideMark/>
          </w:tcPr>
          <w:p w14:paraId="248D9EE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8.99</w:t>
            </w:r>
          </w:p>
        </w:tc>
        <w:tc>
          <w:tcPr>
            <w:tcW w:w="1952" w:type="dxa"/>
            <w:gridSpan w:val="2"/>
            <w:tcBorders>
              <w:top w:val="nil"/>
              <w:left w:val="nil"/>
              <w:bottom w:val="nil"/>
              <w:right w:val="nil"/>
            </w:tcBorders>
          </w:tcPr>
          <w:p w14:paraId="6816050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3,74) = 35.51</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2FCB696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137AAA2D" w14:textId="77777777" w:rsidTr="005408F2">
        <w:trPr>
          <w:trHeight w:val="290"/>
        </w:trPr>
        <w:tc>
          <w:tcPr>
            <w:tcW w:w="3136" w:type="dxa"/>
            <w:tcBorders>
              <w:top w:val="nil"/>
              <w:left w:val="nil"/>
              <w:bottom w:val="nil"/>
              <w:right w:val="nil"/>
            </w:tcBorders>
            <w:shd w:val="clear" w:color="auto" w:fill="auto"/>
            <w:noWrap/>
            <w:vAlign w:val="bottom"/>
            <w:hideMark/>
          </w:tcPr>
          <w:p w14:paraId="12F44AA4"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 xml:space="preserve">Antisocial </w:t>
            </w:r>
            <w:proofErr w:type="spellStart"/>
            <w:r w:rsidRPr="005349B5">
              <w:rPr>
                <w:rFonts w:ascii="Times New Roman" w:eastAsia="Times New Roman" w:hAnsi="Times New Roman" w:cs="Times New Roman"/>
                <w:b/>
                <w:bCs/>
                <w:color w:val="000000" w:themeColor="text1"/>
                <w:sz w:val="24"/>
                <w:szCs w:val="24"/>
              </w:rPr>
              <w:t>behavior</w:t>
            </w:r>
            <w:proofErr w:type="spellEnd"/>
          </w:p>
        </w:tc>
        <w:tc>
          <w:tcPr>
            <w:tcW w:w="976" w:type="dxa"/>
            <w:tcBorders>
              <w:top w:val="nil"/>
              <w:left w:val="nil"/>
              <w:bottom w:val="nil"/>
              <w:right w:val="nil"/>
            </w:tcBorders>
            <w:shd w:val="clear" w:color="auto" w:fill="auto"/>
            <w:noWrap/>
            <w:vAlign w:val="bottom"/>
            <w:hideMark/>
          </w:tcPr>
          <w:p w14:paraId="40E03D6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46.05</w:t>
            </w:r>
          </w:p>
        </w:tc>
        <w:tc>
          <w:tcPr>
            <w:tcW w:w="976" w:type="dxa"/>
            <w:tcBorders>
              <w:top w:val="nil"/>
              <w:left w:val="nil"/>
              <w:bottom w:val="nil"/>
              <w:right w:val="nil"/>
            </w:tcBorders>
            <w:shd w:val="clear" w:color="auto" w:fill="auto"/>
            <w:noWrap/>
            <w:vAlign w:val="bottom"/>
            <w:hideMark/>
          </w:tcPr>
          <w:p w14:paraId="75A1AC9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7.25</w:t>
            </w:r>
          </w:p>
        </w:tc>
        <w:tc>
          <w:tcPr>
            <w:tcW w:w="976" w:type="dxa"/>
            <w:tcBorders>
              <w:top w:val="nil"/>
              <w:left w:val="nil"/>
              <w:bottom w:val="nil"/>
              <w:right w:val="nil"/>
            </w:tcBorders>
            <w:shd w:val="clear" w:color="auto" w:fill="auto"/>
            <w:noWrap/>
            <w:vAlign w:val="bottom"/>
            <w:hideMark/>
          </w:tcPr>
          <w:p w14:paraId="5666A120"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38.00</w:t>
            </w:r>
          </w:p>
        </w:tc>
        <w:tc>
          <w:tcPr>
            <w:tcW w:w="976" w:type="dxa"/>
            <w:tcBorders>
              <w:top w:val="nil"/>
              <w:left w:val="nil"/>
              <w:bottom w:val="nil"/>
              <w:right w:val="nil"/>
            </w:tcBorders>
            <w:shd w:val="clear" w:color="auto" w:fill="auto"/>
            <w:noWrap/>
            <w:vAlign w:val="bottom"/>
            <w:hideMark/>
          </w:tcPr>
          <w:p w14:paraId="3A40301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9.66</w:t>
            </w:r>
          </w:p>
        </w:tc>
        <w:tc>
          <w:tcPr>
            <w:tcW w:w="976" w:type="dxa"/>
            <w:tcBorders>
              <w:top w:val="nil"/>
              <w:left w:val="nil"/>
              <w:bottom w:val="nil"/>
              <w:right w:val="nil"/>
            </w:tcBorders>
            <w:shd w:val="clear" w:color="auto" w:fill="auto"/>
            <w:noWrap/>
            <w:vAlign w:val="bottom"/>
            <w:hideMark/>
          </w:tcPr>
          <w:p w14:paraId="4B82295D"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24.20</w:t>
            </w:r>
          </w:p>
        </w:tc>
        <w:tc>
          <w:tcPr>
            <w:tcW w:w="976" w:type="dxa"/>
            <w:tcBorders>
              <w:top w:val="nil"/>
              <w:left w:val="nil"/>
              <w:bottom w:val="nil"/>
              <w:right w:val="nil"/>
            </w:tcBorders>
            <w:shd w:val="clear" w:color="auto" w:fill="auto"/>
            <w:noWrap/>
            <w:vAlign w:val="bottom"/>
            <w:hideMark/>
          </w:tcPr>
          <w:p w14:paraId="5B79BF68"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7.01</w:t>
            </w:r>
          </w:p>
        </w:tc>
        <w:tc>
          <w:tcPr>
            <w:tcW w:w="976" w:type="dxa"/>
            <w:tcBorders>
              <w:top w:val="nil"/>
              <w:left w:val="nil"/>
              <w:bottom w:val="nil"/>
              <w:right w:val="nil"/>
            </w:tcBorders>
            <w:shd w:val="clear" w:color="auto" w:fill="auto"/>
            <w:noWrap/>
            <w:vAlign w:val="bottom"/>
            <w:hideMark/>
          </w:tcPr>
          <w:p w14:paraId="68B0E4D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21.85</w:t>
            </w:r>
          </w:p>
        </w:tc>
        <w:tc>
          <w:tcPr>
            <w:tcW w:w="976" w:type="dxa"/>
            <w:tcBorders>
              <w:top w:val="nil"/>
              <w:left w:val="nil"/>
              <w:bottom w:val="nil"/>
              <w:right w:val="nil"/>
            </w:tcBorders>
            <w:shd w:val="clear" w:color="auto" w:fill="auto"/>
            <w:noWrap/>
            <w:vAlign w:val="bottom"/>
            <w:hideMark/>
          </w:tcPr>
          <w:p w14:paraId="6547700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6.89</w:t>
            </w:r>
          </w:p>
        </w:tc>
        <w:tc>
          <w:tcPr>
            <w:tcW w:w="1952" w:type="dxa"/>
            <w:gridSpan w:val="2"/>
            <w:tcBorders>
              <w:top w:val="nil"/>
              <w:left w:val="nil"/>
              <w:bottom w:val="nil"/>
              <w:right w:val="nil"/>
            </w:tcBorders>
          </w:tcPr>
          <w:p w14:paraId="00A0D22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3,74) = 43.89</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34AAB1FB"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260BD8FB" w14:textId="77777777" w:rsidTr="005408F2">
        <w:trPr>
          <w:trHeight w:val="290"/>
        </w:trPr>
        <w:tc>
          <w:tcPr>
            <w:tcW w:w="3136" w:type="dxa"/>
            <w:tcBorders>
              <w:top w:val="nil"/>
              <w:left w:val="nil"/>
              <w:bottom w:val="nil"/>
              <w:right w:val="nil"/>
            </w:tcBorders>
            <w:shd w:val="clear" w:color="auto" w:fill="auto"/>
            <w:noWrap/>
            <w:vAlign w:val="bottom"/>
            <w:hideMark/>
          </w:tcPr>
          <w:p w14:paraId="63DF43F8"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Total</w:t>
            </w:r>
          </w:p>
        </w:tc>
        <w:tc>
          <w:tcPr>
            <w:tcW w:w="976" w:type="dxa"/>
            <w:tcBorders>
              <w:top w:val="nil"/>
              <w:left w:val="nil"/>
              <w:bottom w:val="nil"/>
              <w:right w:val="nil"/>
            </w:tcBorders>
            <w:shd w:val="clear" w:color="auto" w:fill="auto"/>
            <w:noWrap/>
            <w:vAlign w:val="bottom"/>
            <w:hideMark/>
          </w:tcPr>
          <w:p w14:paraId="073F6B7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202.55</w:t>
            </w:r>
          </w:p>
        </w:tc>
        <w:tc>
          <w:tcPr>
            <w:tcW w:w="976" w:type="dxa"/>
            <w:tcBorders>
              <w:top w:val="nil"/>
              <w:left w:val="nil"/>
              <w:bottom w:val="nil"/>
              <w:right w:val="nil"/>
            </w:tcBorders>
            <w:shd w:val="clear" w:color="auto" w:fill="auto"/>
            <w:noWrap/>
            <w:vAlign w:val="bottom"/>
            <w:hideMark/>
          </w:tcPr>
          <w:p w14:paraId="270A27F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21.20</w:t>
            </w:r>
          </w:p>
        </w:tc>
        <w:tc>
          <w:tcPr>
            <w:tcW w:w="976" w:type="dxa"/>
            <w:tcBorders>
              <w:top w:val="nil"/>
              <w:left w:val="nil"/>
              <w:bottom w:val="nil"/>
              <w:right w:val="nil"/>
            </w:tcBorders>
            <w:shd w:val="clear" w:color="auto" w:fill="auto"/>
            <w:noWrap/>
            <w:vAlign w:val="bottom"/>
            <w:hideMark/>
          </w:tcPr>
          <w:p w14:paraId="4BAB2A7B"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193.89</w:t>
            </w:r>
          </w:p>
        </w:tc>
        <w:tc>
          <w:tcPr>
            <w:tcW w:w="976" w:type="dxa"/>
            <w:tcBorders>
              <w:top w:val="nil"/>
              <w:left w:val="nil"/>
              <w:bottom w:val="nil"/>
              <w:right w:val="nil"/>
            </w:tcBorders>
            <w:shd w:val="clear" w:color="auto" w:fill="auto"/>
            <w:noWrap/>
            <w:vAlign w:val="bottom"/>
            <w:hideMark/>
          </w:tcPr>
          <w:p w14:paraId="00899A0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30.79</w:t>
            </w:r>
          </w:p>
        </w:tc>
        <w:tc>
          <w:tcPr>
            <w:tcW w:w="976" w:type="dxa"/>
            <w:tcBorders>
              <w:top w:val="nil"/>
              <w:left w:val="nil"/>
              <w:bottom w:val="nil"/>
              <w:right w:val="nil"/>
            </w:tcBorders>
            <w:shd w:val="clear" w:color="auto" w:fill="auto"/>
            <w:noWrap/>
            <w:vAlign w:val="bottom"/>
            <w:hideMark/>
          </w:tcPr>
          <w:p w14:paraId="39E70D9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140.95</w:t>
            </w:r>
          </w:p>
        </w:tc>
        <w:tc>
          <w:tcPr>
            <w:tcW w:w="976" w:type="dxa"/>
            <w:tcBorders>
              <w:top w:val="nil"/>
              <w:left w:val="nil"/>
              <w:bottom w:val="nil"/>
              <w:right w:val="nil"/>
            </w:tcBorders>
            <w:shd w:val="clear" w:color="auto" w:fill="auto"/>
            <w:noWrap/>
            <w:vAlign w:val="bottom"/>
            <w:hideMark/>
          </w:tcPr>
          <w:p w14:paraId="7000DD7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19.54</w:t>
            </w:r>
          </w:p>
        </w:tc>
        <w:tc>
          <w:tcPr>
            <w:tcW w:w="976" w:type="dxa"/>
            <w:tcBorders>
              <w:top w:val="nil"/>
              <w:left w:val="nil"/>
              <w:bottom w:val="nil"/>
              <w:right w:val="nil"/>
            </w:tcBorders>
            <w:shd w:val="clear" w:color="auto" w:fill="auto"/>
            <w:noWrap/>
            <w:vAlign w:val="bottom"/>
            <w:hideMark/>
          </w:tcPr>
          <w:p w14:paraId="6C3C85A7"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119.35</w:t>
            </w:r>
          </w:p>
        </w:tc>
        <w:tc>
          <w:tcPr>
            <w:tcW w:w="976" w:type="dxa"/>
            <w:tcBorders>
              <w:top w:val="nil"/>
              <w:left w:val="nil"/>
              <w:bottom w:val="nil"/>
              <w:right w:val="nil"/>
            </w:tcBorders>
            <w:shd w:val="clear" w:color="auto" w:fill="auto"/>
            <w:noWrap/>
            <w:vAlign w:val="bottom"/>
            <w:hideMark/>
          </w:tcPr>
          <w:p w14:paraId="68E041B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19.26</w:t>
            </w:r>
          </w:p>
        </w:tc>
        <w:tc>
          <w:tcPr>
            <w:tcW w:w="1952" w:type="dxa"/>
            <w:gridSpan w:val="2"/>
            <w:tcBorders>
              <w:top w:val="nil"/>
              <w:left w:val="nil"/>
              <w:bottom w:val="nil"/>
              <w:right w:val="nil"/>
            </w:tcBorders>
          </w:tcPr>
          <w:p w14:paraId="7E44FE0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3,74) = 13.77</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37D29E3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7833269B" w14:textId="77777777" w:rsidTr="005408F2">
        <w:trPr>
          <w:trHeight w:val="290"/>
        </w:trPr>
        <w:tc>
          <w:tcPr>
            <w:tcW w:w="3136" w:type="dxa"/>
            <w:tcBorders>
              <w:top w:val="nil"/>
              <w:left w:val="nil"/>
              <w:bottom w:val="nil"/>
              <w:right w:val="nil"/>
            </w:tcBorders>
            <w:shd w:val="clear" w:color="auto" w:fill="D0CECE" w:themeFill="background2" w:themeFillShade="E6"/>
            <w:noWrap/>
            <w:vAlign w:val="bottom"/>
            <w:hideMark/>
          </w:tcPr>
          <w:p w14:paraId="2F8FCF7B"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vertAlign w:val="superscript"/>
              </w:rPr>
            </w:pPr>
            <w:proofErr w:type="spellStart"/>
            <w:r w:rsidRPr="005349B5">
              <w:rPr>
                <w:rFonts w:ascii="Times New Roman" w:eastAsia="Times New Roman" w:hAnsi="Times New Roman" w:cs="Times New Roman"/>
                <w:b/>
                <w:bCs/>
                <w:color w:val="000000" w:themeColor="text1"/>
                <w:sz w:val="24"/>
                <w:szCs w:val="24"/>
              </w:rPr>
              <w:t>STAXI</w:t>
            </w:r>
            <w:r w:rsidRPr="005349B5">
              <w:rPr>
                <w:rFonts w:ascii="Times New Roman" w:eastAsia="Times New Roman" w:hAnsi="Times New Roman" w:cs="Times New Roman"/>
                <w:b/>
                <w:bCs/>
                <w:color w:val="000000" w:themeColor="text1"/>
                <w:sz w:val="24"/>
                <w:szCs w:val="24"/>
                <w:vertAlign w:val="superscript"/>
              </w:rPr>
              <w:t>d</w:t>
            </w:r>
            <w:proofErr w:type="spellEnd"/>
          </w:p>
        </w:tc>
        <w:tc>
          <w:tcPr>
            <w:tcW w:w="976" w:type="dxa"/>
            <w:tcBorders>
              <w:top w:val="nil"/>
              <w:left w:val="nil"/>
              <w:bottom w:val="nil"/>
              <w:right w:val="nil"/>
            </w:tcBorders>
            <w:shd w:val="clear" w:color="auto" w:fill="D0CECE" w:themeFill="background2" w:themeFillShade="E6"/>
            <w:noWrap/>
            <w:vAlign w:val="bottom"/>
            <w:hideMark/>
          </w:tcPr>
          <w:p w14:paraId="3B17614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0AFC829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142BB15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6B3FAE3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050C9DF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50143EE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33BD222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noWrap/>
            <w:vAlign w:val="bottom"/>
            <w:hideMark/>
          </w:tcPr>
          <w:p w14:paraId="79D3A83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76" w:type="dxa"/>
            <w:tcBorders>
              <w:top w:val="nil"/>
              <w:left w:val="nil"/>
              <w:bottom w:val="nil"/>
              <w:right w:val="nil"/>
            </w:tcBorders>
            <w:shd w:val="clear" w:color="auto" w:fill="D0CECE" w:themeFill="background2" w:themeFillShade="E6"/>
          </w:tcPr>
          <w:p w14:paraId="47E8A6A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D0CECE" w:themeFill="background2" w:themeFillShade="E6"/>
          </w:tcPr>
          <w:p w14:paraId="434E7E3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D0CECE" w:themeFill="background2" w:themeFillShade="E6"/>
            <w:noWrap/>
            <w:vAlign w:val="bottom"/>
            <w:hideMark/>
          </w:tcPr>
          <w:p w14:paraId="354D794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r>
      <w:tr w:rsidR="005408F2" w:rsidRPr="005349B5" w14:paraId="050F2291" w14:textId="77777777" w:rsidTr="005408F2">
        <w:trPr>
          <w:trHeight w:val="290"/>
        </w:trPr>
        <w:tc>
          <w:tcPr>
            <w:tcW w:w="3136" w:type="dxa"/>
            <w:tcBorders>
              <w:top w:val="nil"/>
              <w:left w:val="nil"/>
              <w:bottom w:val="nil"/>
              <w:right w:val="nil"/>
            </w:tcBorders>
            <w:shd w:val="clear" w:color="auto" w:fill="auto"/>
            <w:noWrap/>
            <w:vAlign w:val="bottom"/>
            <w:hideMark/>
          </w:tcPr>
          <w:p w14:paraId="5D5D0BE2"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State anger</w:t>
            </w:r>
          </w:p>
        </w:tc>
        <w:tc>
          <w:tcPr>
            <w:tcW w:w="976" w:type="dxa"/>
            <w:tcBorders>
              <w:top w:val="nil"/>
              <w:left w:val="nil"/>
              <w:bottom w:val="nil"/>
              <w:right w:val="nil"/>
            </w:tcBorders>
            <w:shd w:val="clear" w:color="auto" w:fill="auto"/>
            <w:noWrap/>
            <w:vAlign w:val="bottom"/>
            <w:hideMark/>
          </w:tcPr>
          <w:p w14:paraId="559DB571"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18.89</w:t>
            </w:r>
          </w:p>
        </w:tc>
        <w:tc>
          <w:tcPr>
            <w:tcW w:w="976" w:type="dxa"/>
            <w:tcBorders>
              <w:top w:val="nil"/>
              <w:left w:val="nil"/>
              <w:bottom w:val="nil"/>
              <w:right w:val="nil"/>
            </w:tcBorders>
            <w:shd w:val="clear" w:color="auto" w:fill="auto"/>
            <w:noWrap/>
            <w:vAlign w:val="bottom"/>
            <w:hideMark/>
          </w:tcPr>
          <w:p w14:paraId="1E468FD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6.98</w:t>
            </w:r>
          </w:p>
        </w:tc>
        <w:tc>
          <w:tcPr>
            <w:tcW w:w="976" w:type="dxa"/>
            <w:tcBorders>
              <w:top w:val="nil"/>
              <w:left w:val="nil"/>
              <w:bottom w:val="nil"/>
              <w:right w:val="nil"/>
            </w:tcBorders>
            <w:shd w:val="clear" w:color="auto" w:fill="auto"/>
            <w:noWrap/>
            <w:vAlign w:val="bottom"/>
            <w:hideMark/>
          </w:tcPr>
          <w:p w14:paraId="1407D74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20.61</w:t>
            </w:r>
          </w:p>
        </w:tc>
        <w:tc>
          <w:tcPr>
            <w:tcW w:w="976" w:type="dxa"/>
            <w:tcBorders>
              <w:top w:val="nil"/>
              <w:left w:val="nil"/>
              <w:bottom w:val="nil"/>
              <w:right w:val="nil"/>
            </w:tcBorders>
            <w:shd w:val="clear" w:color="auto" w:fill="auto"/>
            <w:noWrap/>
            <w:vAlign w:val="bottom"/>
            <w:hideMark/>
          </w:tcPr>
          <w:p w14:paraId="0BDAD24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8.20</w:t>
            </w:r>
          </w:p>
        </w:tc>
        <w:tc>
          <w:tcPr>
            <w:tcW w:w="976" w:type="dxa"/>
            <w:tcBorders>
              <w:top w:val="nil"/>
              <w:left w:val="nil"/>
              <w:bottom w:val="nil"/>
              <w:right w:val="nil"/>
            </w:tcBorders>
            <w:shd w:val="clear" w:color="auto" w:fill="auto"/>
            <w:noWrap/>
            <w:vAlign w:val="bottom"/>
            <w:hideMark/>
          </w:tcPr>
          <w:p w14:paraId="64C0CD1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12.05</w:t>
            </w:r>
          </w:p>
        </w:tc>
        <w:tc>
          <w:tcPr>
            <w:tcW w:w="976" w:type="dxa"/>
            <w:tcBorders>
              <w:top w:val="nil"/>
              <w:left w:val="nil"/>
              <w:bottom w:val="nil"/>
              <w:right w:val="nil"/>
            </w:tcBorders>
            <w:shd w:val="clear" w:color="auto" w:fill="auto"/>
            <w:noWrap/>
            <w:vAlign w:val="bottom"/>
            <w:hideMark/>
          </w:tcPr>
          <w:p w14:paraId="538813F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2.80</w:t>
            </w:r>
          </w:p>
        </w:tc>
        <w:tc>
          <w:tcPr>
            <w:tcW w:w="976" w:type="dxa"/>
            <w:tcBorders>
              <w:top w:val="nil"/>
              <w:left w:val="nil"/>
              <w:bottom w:val="nil"/>
              <w:right w:val="nil"/>
            </w:tcBorders>
            <w:shd w:val="clear" w:color="auto" w:fill="auto"/>
            <w:noWrap/>
            <w:vAlign w:val="bottom"/>
            <w:hideMark/>
          </w:tcPr>
          <w:p w14:paraId="2673B2B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11.06</w:t>
            </w:r>
          </w:p>
        </w:tc>
        <w:tc>
          <w:tcPr>
            <w:tcW w:w="976" w:type="dxa"/>
            <w:tcBorders>
              <w:top w:val="nil"/>
              <w:left w:val="nil"/>
              <w:bottom w:val="nil"/>
              <w:right w:val="nil"/>
            </w:tcBorders>
            <w:shd w:val="clear" w:color="auto" w:fill="auto"/>
            <w:noWrap/>
            <w:vAlign w:val="bottom"/>
            <w:hideMark/>
          </w:tcPr>
          <w:p w14:paraId="3F9B0BB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1.47</w:t>
            </w:r>
          </w:p>
        </w:tc>
        <w:tc>
          <w:tcPr>
            <w:tcW w:w="1952" w:type="dxa"/>
            <w:gridSpan w:val="2"/>
            <w:tcBorders>
              <w:top w:val="nil"/>
              <w:left w:val="nil"/>
              <w:bottom w:val="nil"/>
              <w:right w:val="nil"/>
            </w:tcBorders>
          </w:tcPr>
          <w:p w14:paraId="3A1D360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3,34.63) = 14.51</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0DAEC6D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005E7F16" w14:textId="77777777" w:rsidTr="005408F2">
        <w:trPr>
          <w:trHeight w:val="290"/>
        </w:trPr>
        <w:tc>
          <w:tcPr>
            <w:tcW w:w="3136" w:type="dxa"/>
            <w:tcBorders>
              <w:top w:val="nil"/>
              <w:left w:val="nil"/>
              <w:bottom w:val="nil"/>
              <w:right w:val="nil"/>
            </w:tcBorders>
            <w:shd w:val="clear" w:color="auto" w:fill="auto"/>
            <w:noWrap/>
            <w:vAlign w:val="bottom"/>
            <w:hideMark/>
          </w:tcPr>
          <w:p w14:paraId="30ADBCD7"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lastRenderedPageBreak/>
              <w:t>Trait anger</w:t>
            </w:r>
          </w:p>
        </w:tc>
        <w:tc>
          <w:tcPr>
            <w:tcW w:w="976" w:type="dxa"/>
            <w:tcBorders>
              <w:top w:val="nil"/>
              <w:left w:val="nil"/>
              <w:bottom w:val="nil"/>
              <w:right w:val="nil"/>
            </w:tcBorders>
            <w:shd w:val="clear" w:color="auto" w:fill="auto"/>
            <w:noWrap/>
            <w:vAlign w:val="bottom"/>
            <w:hideMark/>
          </w:tcPr>
          <w:p w14:paraId="1432455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21.42</w:t>
            </w:r>
          </w:p>
        </w:tc>
        <w:tc>
          <w:tcPr>
            <w:tcW w:w="976" w:type="dxa"/>
            <w:tcBorders>
              <w:top w:val="nil"/>
              <w:left w:val="nil"/>
              <w:bottom w:val="nil"/>
              <w:right w:val="nil"/>
            </w:tcBorders>
            <w:shd w:val="clear" w:color="auto" w:fill="auto"/>
            <w:noWrap/>
            <w:vAlign w:val="bottom"/>
            <w:hideMark/>
          </w:tcPr>
          <w:p w14:paraId="679C090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5.09</w:t>
            </w:r>
          </w:p>
        </w:tc>
        <w:tc>
          <w:tcPr>
            <w:tcW w:w="976" w:type="dxa"/>
            <w:tcBorders>
              <w:top w:val="nil"/>
              <w:left w:val="nil"/>
              <w:bottom w:val="nil"/>
              <w:right w:val="nil"/>
            </w:tcBorders>
            <w:shd w:val="clear" w:color="auto" w:fill="auto"/>
            <w:noWrap/>
            <w:vAlign w:val="bottom"/>
            <w:hideMark/>
          </w:tcPr>
          <w:p w14:paraId="68124DB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28.00</w:t>
            </w:r>
          </w:p>
        </w:tc>
        <w:tc>
          <w:tcPr>
            <w:tcW w:w="976" w:type="dxa"/>
            <w:tcBorders>
              <w:top w:val="nil"/>
              <w:left w:val="nil"/>
              <w:bottom w:val="nil"/>
              <w:right w:val="nil"/>
            </w:tcBorders>
            <w:shd w:val="clear" w:color="auto" w:fill="auto"/>
            <w:noWrap/>
            <w:vAlign w:val="bottom"/>
            <w:hideMark/>
          </w:tcPr>
          <w:p w14:paraId="213D5ED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5.15</w:t>
            </w:r>
          </w:p>
        </w:tc>
        <w:tc>
          <w:tcPr>
            <w:tcW w:w="976" w:type="dxa"/>
            <w:tcBorders>
              <w:top w:val="nil"/>
              <w:left w:val="nil"/>
              <w:bottom w:val="nil"/>
              <w:right w:val="nil"/>
            </w:tcBorders>
            <w:shd w:val="clear" w:color="auto" w:fill="auto"/>
            <w:noWrap/>
            <w:vAlign w:val="bottom"/>
            <w:hideMark/>
          </w:tcPr>
          <w:p w14:paraId="4A6B6E3D"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15.70</w:t>
            </w:r>
          </w:p>
        </w:tc>
        <w:tc>
          <w:tcPr>
            <w:tcW w:w="976" w:type="dxa"/>
            <w:tcBorders>
              <w:top w:val="nil"/>
              <w:left w:val="nil"/>
              <w:bottom w:val="nil"/>
              <w:right w:val="nil"/>
            </w:tcBorders>
            <w:shd w:val="clear" w:color="auto" w:fill="auto"/>
            <w:noWrap/>
            <w:vAlign w:val="bottom"/>
            <w:hideMark/>
          </w:tcPr>
          <w:p w14:paraId="1670ECB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3.95</w:t>
            </w:r>
          </w:p>
        </w:tc>
        <w:tc>
          <w:tcPr>
            <w:tcW w:w="976" w:type="dxa"/>
            <w:tcBorders>
              <w:top w:val="nil"/>
              <w:left w:val="nil"/>
              <w:bottom w:val="nil"/>
              <w:right w:val="nil"/>
            </w:tcBorders>
            <w:shd w:val="clear" w:color="auto" w:fill="auto"/>
            <w:noWrap/>
            <w:vAlign w:val="bottom"/>
            <w:hideMark/>
          </w:tcPr>
          <w:p w14:paraId="0536A23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14.67</w:t>
            </w:r>
          </w:p>
        </w:tc>
        <w:tc>
          <w:tcPr>
            <w:tcW w:w="976" w:type="dxa"/>
            <w:tcBorders>
              <w:top w:val="nil"/>
              <w:left w:val="nil"/>
              <w:bottom w:val="nil"/>
              <w:right w:val="nil"/>
            </w:tcBorders>
            <w:shd w:val="clear" w:color="auto" w:fill="auto"/>
            <w:noWrap/>
            <w:vAlign w:val="bottom"/>
            <w:hideMark/>
          </w:tcPr>
          <w:p w14:paraId="1BFA017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3.76</w:t>
            </w:r>
          </w:p>
        </w:tc>
        <w:tc>
          <w:tcPr>
            <w:tcW w:w="1952" w:type="dxa"/>
            <w:gridSpan w:val="2"/>
            <w:tcBorders>
              <w:top w:val="nil"/>
              <w:left w:val="nil"/>
              <w:bottom w:val="nil"/>
              <w:right w:val="nil"/>
            </w:tcBorders>
          </w:tcPr>
          <w:p w14:paraId="61179BEE"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3,71) = 33.73</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61C5E7E7"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6F2083E4" w14:textId="77777777" w:rsidTr="005408F2">
        <w:trPr>
          <w:trHeight w:val="290"/>
        </w:trPr>
        <w:tc>
          <w:tcPr>
            <w:tcW w:w="3136" w:type="dxa"/>
            <w:tcBorders>
              <w:top w:val="nil"/>
              <w:left w:val="nil"/>
              <w:bottom w:val="nil"/>
              <w:right w:val="nil"/>
            </w:tcBorders>
            <w:shd w:val="clear" w:color="auto" w:fill="auto"/>
            <w:noWrap/>
            <w:vAlign w:val="bottom"/>
            <w:hideMark/>
          </w:tcPr>
          <w:p w14:paraId="443E0D43"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Anger reaction</w:t>
            </w:r>
          </w:p>
        </w:tc>
        <w:tc>
          <w:tcPr>
            <w:tcW w:w="976" w:type="dxa"/>
            <w:tcBorders>
              <w:top w:val="nil"/>
              <w:left w:val="nil"/>
              <w:bottom w:val="nil"/>
              <w:right w:val="nil"/>
            </w:tcBorders>
            <w:shd w:val="clear" w:color="auto" w:fill="auto"/>
            <w:noWrap/>
            <w:vAlign w:val="bottom"/>
            <w:hideMark/>
          </w:tcPr>
          <w:p w14:paraId="1B8FABD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10.84</w:t>
            </w:r>
          </w:p>
        </w:tc>
        <w:tc>
          <w:tcPr>
            <w:tcW w:w="976" w:type="dxa"/>
            <w:tcBorders>
              <w:top w:val="nil"/>
              <w:left w:val="nil"/>
              <w:bottom w:val="nil"/>
              <w:right w:val="nil"/>
            </w:tcBorders>
            <w:shd w:val="clear" w:color="auto" w:fill="auto"/>
            <w:noWrap/>
            <w:vAlign w:val="bottom"/>
            <w:hideMark/>
          </w:tcPr>
          <w:p w14:paraId="71C1346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2.97</w:t>
            </w:r>
          </w:p>
        </w:tc>
        <w:tc>
          <w:tcPr>
            <w:tcW w:w="976" w:type="dxa"/>
            <w:tcBorders>
              <w:top w:val="nil"/>
              <w:left w:val="nil"/>
              <w:bottom w:val="nil"/>
              <w:right w:val="nil"/>
            </w:tcBorders>
            <w:shd w:val="clear" w:color="auto" w:fill="auto"/>
            <w:noWrap/>
            <w:vAlign w:val="bottom"/>
            <w:hideMark/>
          </w:tcPr>
          <w:p w14:paraId="1C04E5BC"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14.00</w:t>
            </w:r>
          </w:p>
        </w:tc>
        <w:tc>
          <w:tcPr>
            <w:tcW w:w="976" w:type="dxa"/>
            <w:tcBorders>
              <w:top w:val="nil"/>
              <w:left w:val="nil"/>
              <w:bottom w:val="nil"/>
              <w:right w:val="nil"/>
            </w:tcBorders>
            <w:shd w:val="clear" w:color="auto" w:fill="auto"/>
            <w:noWrap/>
            <w:vAlign w:val="bottom"/>
            <w:hideMark/>
          </w:tcPr>
          <w:p w14:paraId="02EE105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2.35</w:t>
            </w:r>
          </w:p>
        </w:tc>
        <w:tc>
          <w:tcPr>
            <w:tcW w:w="976" w:type="dxa"/>
            <w:tcBorders>
              <w:top w:val="nil"/>
              <w:left w:val="nil"/>
              <w:bottom w:val="nil"/>
              <w:right w:val="nil"/>
            </w:tcBorders>
            <w:shd w:val="clear" w:color="auto" w:fill="auto"/>
            <w:noWrap/>
            <w:vAlign w:val="bottom"/>
            <w:hideMark/>
          </w:tcPr>
          <w:p w14:paraId="01F50E6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8.05</w:t>
            </w:r>
          </w:p>
        </w:tc>
        <w:tc>
          <w:tcPr>
            <w:tcW w:w="976" w:type="dxa"/>
            <w:tcBorders>
              <w:top w:val="nil"/>
              <w:left w:val="nil"/>
              <w:bottom w:val="nil"/>
              <w:right w:val="nil"/>
            </w:tcBorders>
            <w:shd w:val="clear" w:color="auto" w:fill="auto"/>
            <w:noWrap/>
            <w:vAlign w:val="bottom"/>
            <w:hideMark/>
          </w:tcPr>
          <w:p w14:paraId="31356AF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2.14</w:t>
            </w:r>
          </w:p>
        </w:tc>
        <w:tc>
          <w:tcPr>
            <w:tcW w:w="976" w:type="dxa"/>
            <w:tcBorders>
              <w:top w:val="nil"/>
              <w:left w:val="nil"/>
              <w:bottom w:val="nil"/>
              <w:right w:val="nil"/>
            </w:tcBorders>
            <w:shd w:val="clear" w:color="auto" w:fill="auto"/>
            <w:noWrap/>
            <w:vAlign w:val="bottom"/>
            <w:hideMark/>
          </w:tcPr>
          <w:p w14:paraId="6956753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7.67</w:t>
            </w:r>
          </w:p>
        </w:tc>
        <w:tc>
          <w:tcPr>
            <w:tcW w:w="976" w:type="dxa"/>
            <w:tcBorders>
              <w:top w:val="nil"/>
              <w:left w:val="nil"/>
              <w:bottom w:val="nil"/>
              <w:right w:val="nil"/>
            </w:tcBorders>
            <w:shd w:val="clear" w:color="auto" w:fill="auto"/>
            <w:noWrap/>
            <w:vAlign w:val="bottom"/>
            <w:hideMark/>
          </w:tcPr>
          <w:p w14:paraId="34DCE86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2.25</w:t>
            </w:r>
          </w:p>
        </w:tc>
        <w:tc>
          <w:tcPr>
            <w:tcW w:w="1952" w:type="dxa"/>
            <w:gridSpan w:val="2"/>
            <w:tcBorders>
              <w:top w:val="nil"/>
              <w:left w:val="nil"/>
              <w:bottom w:val="nil"/>
              <w:right w:val="nil"/>
            </w:tcBorders>
          </w:tcPr>
          <w:p w14:paraId="19CD5EB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3,71) = 26.41</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76B7400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3FE24A49" w14:textId="77777777" w:rsidTr="005408F2">
        <w:trPr>
          <w:trHeight w:val="290"/>
        </w:trPr>
        <w:tc>
          <w:tcPr>
            <w:tcW w:w="3136" w:type="dxa"/>
            <w:tcBorders>
              <w:top w:val="nil"/>
              <w:left w:val="nil"/>
              <w:bottom w:val="nil"/>
              <w:right w:val="nil"/>
            </w:tcBorders>
            <w:shd w:val="clear" w:color="auto" w:fill="auto"/>
            <w:noWrap/>
            <w:vAlign w:val="bottom"/>
            <w:hideMark/>
          </w:tcPr>
          <w:p w14:paraId="4D70ADF3"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Anger temper</w:t>
            </w:r>
          </w:p>
        </w:tc>
        <w:tc>
          <w:tcPr>
            <w:tcW w:w="976" w:type="dxa"/>
            <w:tcBorders>
              <w:top w:val="nil"/>
              <w:left w:val="nil"/>
              <w:bottom w:val="nil"/>
              <w:right w:val="nil"/>
            </w:tcBorders>
            <w:shd w:val="clear" w:color="auto" w:fill="auto"/>
            <w:noWrap/>
            <w:vAlign w:val="bottom"/>
            <w:hideMark/>
          </w:tcPr>
          <w:p w14:paraId="76CE214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10.58</w:t>
            </w:r>
          </w:p>
        </w:tc>
        <w:tc>
          <w:tcPr>
            <w:tcW w:w="976" w:type="dxa"/>
            <w:tcBorders>
              <w:top w:val="nil"/>
              <w:left w:val="nil"/>
              <w:bottom w:val="nil"/>
              <w:right w:val="nil"/>
            </w:tcBorders>
            <w:shd w:val="clear" w:color="auto" w:fill="auto"/>
            <w:noWrap/>
            <w:vAlign w:val="bottom"/>
            <w:hideMark/>
          </w:tcPr>
          <w:p w14:paraId="5CE0D25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2.57</w:t>
            </w:r>
          </w:p>
        </w:tc>
        <w:tc>
          <w:tcPr>
            <w:tcW w:w="976" w:type="dxa"/>
            <w:tcBorders>
              <w:top w:val="nil"/>
              <w:left w:val="nil"/>
              <w:bottom w:val="nil"/>
              <w:right w:val="nil"/>
            </w:tcBorders>
            <w:shd w:val="clear" w:color="auto" w:fill="auto"/>
            <w:noWrap/>
            <w:vAlign w:val="bottom"/>
            <w:hideMark/>
          </w:tcPr>
          <w:p w14:paraId="37F1B97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14.00</w:t>
            </w:r>
          </w:p>
        </w:tc>
        <w:tc>
          <w:tcPr>
            <w:tcW w:w="976" w:type="dxa"/>
            <w:tcBorders>
              <w:top w:val="nil"/>
              <w:left w:val="nil"/>
              <w:bottom w:val="nil"/>
              <w:right w:val="nil"/>
            </w:tcBorders>
            <w:shd w:val="clear" w:color="auto" w:fill="auto"/>
            <w:noWrap/>
            <w:vAlign w:val="bottom"/>
            <w:hideMark/>
          </w:tcPr>
          <w:p w14:paraId="4F648848"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3.36</w:t>
            </w:r>
          </w:p>
        </w:tc>
        <w:tc>
          <w:tcPr>
            <w:tcW w:w="976" w:type="dxa"/>
            <w:tcBorders>
              <w:top w:val="nil"/>
              <w:left w:val="nil"/>
              <w:bottom w:val="nil"/>
              <w:right w:val="nil"/>
            </w:tcBorders>
            <w:shd w:val="clear" w:color="auto" w:fill="auto"/>
            <w:noWrap/>
            <w:vAlign w:val="bottom"/>
            <w:hideMark/>
          </w:tcPr>
          <w:p w14:paraId="5ECD16A2"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7.65</w:t>
            </w:r>
          </w:p>
        </w:tc>
        <w:tc>
          <w:tcPr>
            <w:tcW w:w="976" w:type="dxa"/>
            <w:tcBorders>
              <w:top w:val="nil"/>
              <w:left w:val="nil"/>
              <w:bottom w:val="nil"/>
              <w:right w:val="nil"/>
            </w:tcBorders>
            <w:shd w:val="clear" w:color="auto" w:fill="auto"/>
            <w:noWrap/>
            <w:vAlign w:val="bottom"/>
            <w:hideMark/>
          </w:tcPr>
          <w:p w14:paraId="7CEA34F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2.13</w:t>
            </w:r>
          </w:p>
        </w:tc>
        <w:tc>
          <w:tcPr>
            <w:tcW w:w="976" w:type="dxa"/>
            <w:tcBorders>
              <w:top w:val="nil"/>
              <w:left w:val="nil"/>
              <w:bottom w:val="nil"/>
              <w:right w:val="nil"/>
            </w:tcBorders>
            <w:shd w:val="clear" w:color="auto" w:fill="auto"/>
            <w:noWrap/>
            <w:vAlign w:val="bottom"/>
            <w:hideMark/>
          </w:tcPr>
          <w:p w14:paraId="3FFDF790"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7.00</w:t>
            </w:r>
          </w:p>
        </w:tc>
        <w:tc>
          <w:tcPr>
            <w:tcW w:w="976" w:type="dxa"/>
            <w:tcBorders>
              <w:top w:val="nil"/>
              <w:left w:val="nil"/>
              <w:bottom w:val="nil"/>
              <w:right w:val="nil"/>
            </w:tcBorders>
            <w:shd w:val="clear" w:color="auto" w:fill="auto"/>
            <w:noWrap/>
            <w:vAlign w:val="bottom"/>
            <w:hideMark/>
          </w:tcPr>
          <w:p w14:paraId="0D0F2C7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1.94</w:t>
            </w:r>
          </w:p>
        </w:tc>
        <w:tc>
          <w:tcPr>
            <w:tcW w:w="1952" w:type="dxa"/>
            <w:gridSpan w:val="2"/>
            <w:tcBorders>
              <w:top w:val="nil"/>
              <w:left w:val="nil"/>
              <w:bottom w:val="nil"/>
              <w:right w:val="nil"/>
            </w:tcBorders>
          </w:tcPr>
          <w:p w14:paraId="1A29092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3,71) = 28.87</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3350DAAF"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52F87E65" w14:textId="77777777" w:rsidTr="005408F2">
        <w:trPr>
          <w:trHeight w:val="290"/>
        </w:trPr>
        <w:tc>
          <w:tcPr>
            <w:tcW w:w="3136" w:type="dxa"/>
            <w:tcBorders>
              <w:top w:val="nil"/>
              <w:left w:val="nil"/>
              <w:bottom w:val="nil"/>
              <w:right w:val="nil"/>
            </w:tcBorders>
            <w:shd w:val="clear" w:color="auto" w:fill="auto"/>
            <w:noWrap/>
            <w:vAlign w:val="bottom"/>
            <w:hideMark/>
          </w:tcPr>
          <w:p w14:paraId="67489CC5"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Anger in</w:t>
            </w:r>
          </w:p>
        </w:tc>
        <w:tc>
          <w:tcPr>
            <w:tcW w:w="976" w:type="dxa"/>
            <w:tcBorders>
              <w:top w:val="nil"/>
              <w:left w:val="nil"/>
              <w:bottom w:val="nil"/>
              <w:right w:val="nil"/>
            </w:tcBorders>
            <w:shd w:val="clear" w:color="auto" w:fill="auto"/>
            <w:noWrap/>
            <w:vAlign w:val="bottom"/>
            <w:hideMark/>
          </w:tcPr>
          <w:p w14:paraId="67B331F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19.53</w:t>
            </w:r>
          </w:p>
        </w:tc>
        <w:tc>
          <w:tcPr>
            <w:tcW w:w="976" w:type="dxa"/>
            <w:tcBorders>
              <w:top w:val="nil"/>
              <w:left w:val="nil"/>
              <w:bottom w:val="nil"/>
              <w:right w:val="nil"/>
            </w:tcBorders>
            <w:shd w:val="clear" w:color="auto" w:fill="auto"/>
            <w:noWrap/>
            <w:vAlign w:val="bottom"/>
            <w:hideMark/>
          </w:tcPr>
          <w:p w14:paraId="6091C3D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4.39</w:t>
            </w:r>
          </w:p>
        </w:tc>
        <w:tc>
          <w:tcPr>
            <w:tcW w:w="976" w:type="dxa"/>
            <w:tcBorders>
              <w:top w:val="nil"/>
              <w:left w:val="nil"/>
              <w:bottom w:val="nil"/>
              <w:right w:val="nil"/>
            </w:tcBorders>
            <w:shd w:val="clear" w:color="auto" w:fill="auto"/>
            <w:noWrap/>
            <w:vAlign w:val="bottom"/>
            <w:hideMark/>
          </w:tcPr>
          <w:p w14:paraId="53134F3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19.17</w:t>
            </w:r>
          </w:p>
        </w:tc>
        <w:tc>
          <w:tcPr>
            <w:tcW w:w="976" w:type="dxa"/>
            <w:tcBorders>
              <w:top w:val="nil"/>
              <w:left w:val="nil"/>
              <w:bottom w:val="nil"/>
              <w:right w:val="nil"/>
            </w:tcBorders>
            <w:shd w:val="clear" w:color="auto" w:fill="auto"/>
            <w:noWrap/>
            <w:vAlign w:val="bottom"/>
            <w:hideMark/>
          </w:tcPr>
          <w:p w14:paraId="26D30D0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4.68</w:t>
            </w:r>
          </w:p>
        </w:tc>
        <w:tc>
          <w:tcPr>
            <w:tcW w:w="976" w:type="dxa"/>
            <w:tcBorders>
              <w:top w:val="nil"/>
              <w:left w:val="nil"/>
              <w:bottom w:val="nil"/>
              <w:right w:val="nil"/>
            </w:tcBorders>
            <w:shd w:val="clear" w:color="auto" w:fill="auto"/>
            <w:noWrap/>
            <w:vAlign w:val="bottom"/>
            <w:hideMark/>
          </w:tcPr>
          <w:p w14:paraId="09A8B9A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14.60</w:t>
            </w:r>
          </w:p>
        </w:tc>
        <w:tc>
          <w:tcPr>
            <w:tcW w:w="976" w:type="dxa"/>
            <w:tcBorders>
              <w:top w:val="nil"/>
              <w:left w:val="nil"/>
              <w:bottom w:val="nil"/>
              <w:right w:val="nil"/>
            </w:tcBorders>
            <w:shd w:val="clear" w:color="auto" w:fill="auto"/>
            <w:noWrap/>
            <w:vAlign w:val="bottom"/>
            <w:hideMark/>
          </w:tcPr>
          <w:p w14:paraId="28E67D1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3.84</w:t>
            </w:r>
          </w:p>
        </w:tc>
        <w:tc>
          <w:tcPr>
            <w:tcW w:w="976" w:type="dxa"/>
            <w:tcBorders>
              <w:top w:val="nil"/>
              <w:left w:val="nil"/>
              <w:bottom w:val="nil"/>
              <w:right w:val="nil"/>
            </w:tcBorders>
            <w:shd w:val="clear" w:color="auto" w:fill="auto"/>
            <w:noWrap/>
            <w:vAlign w:val="bottom"/>
            <w:hideMark/>
          </w:tcPr>
          <w:p w14:paraId="2D5A34F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14.33</w:t>
            </w:r>
          </w:p>
        </w:tc>
        <w:tc>
          <w:tcPr>
            <w:tcW w:w="976" w:type="dxa"/>
            <w:tcBorders>
              <w:top w:val="nil"/>
              <w:left w:val="nil"/>
              <w:bottom w:val="nil"/>
              <w:right w:val="nil"/>
            </w:tcBorders>
            <w:shd w:val="clear" w:color="auto" w:fill="auto"/>
            <w:noWrap/>
            <w:vAlign w:val="bottom"/>
            <w:hideMark/>
          </w:tcPr>
          <w:p w14:paraId="78AE145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3.60</w:t>
            </w:r>
          </w:p>
        </w:tc>
        <w:tc>
          <w:tcPr>
            <w:tcW w:w="1952" w:type="dxa"/>
            <w:gridSpan w:val="2"/>
            <w:tcBorders>
              <w:top w:val="nil"/>
              <w:left w:val="nil"/>
              <w:bottom w:val="nil"/>
              <w:right w:val="nil"/>
            </w:tcBorders>
          </w:tcPr>
          <w:p w14:paraId="494EFAB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3,71) = 8.69</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75F4FF71"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718CAD7F" w14:textId="77777777" w:rsidTr="005408F2">
        <w:trPr>
          <w:trHeight w:val="290"/>
        </w:trPr>
        <w:tc>
          <w:tcPr>
            <w:tcW w:w="3136" w:type="dxa"/>
            <w:tcBorders>
              <w:top w:val="nil"/>
              <w:left w:val="nil"/>
              <w:bottom w:val="nil"/>
              <w:right w:val="nil"/>
            </w:tcBorders>
            <w:shd w:val="clear" w:color="auto" w:fill="auto"/>
            <w:noWrap/>
            <w:vAlign w:val="bottom"/>
            <w:hideMark/>
          </w:tcPr>
          <w:p w14:paraId="2215DBB5"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Anger out</w:t>
            </w:r>
          </w:p>
        </w:tc>
        <w:tc>
          <w:tcPr>
            <w:tcW w:w="976" w:type="dxa"/>
            <w:tcBorders>
              <w:top w:val="nil"/>
              <w:left w:val="nil"/>
              <w:bottom w:val="nil"/>
              <w:right w:val="nil"/>
            </w:tcBorders>
            <w:shd w:val="clear" w:color="auto" w:fill="auto"/>
            <w:noWrap/>
            <w:vAlign w:val="bottom"/>
            <w:hideMark/>
          </w:tcPr>
          <w:p w14:paraId="3B9A81A0"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18.64</w:t>
            </w:r>
          </w:p>
        </w:tc>
        <w:tc>
          <w:tcPr>
            <w:tcW w:w="976" w:type="dxa"/>
            <w:tcBorders>
              <w:top w:val="nil"/>
              <w:left w:val="nil"/>
              <w:bottom w:val="nil"/>
              <w:right w:val="nil"/>
            </w:tcBorders>
            <w:shd w:val="clear" w:color="auto" w:fill="auto"/>
            <w:noWrap/>
            <w:vAlign w:val="bottom"/>
            <w:hideMark/>
          </w:tcPr>
          <w:p w14:paraId="316BACE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4.86</w:t>
            </w:r>
          </w:p>
        </w:tc>
        <w:tc>
          <w:tcPr>
            <w:tcW w:w="976" w:type="dxa"/>
            <w:tcBorders>
              <w:top w:val="nil"/>
              <w:left w:val="nil"/>
              <w:bottom w:val="nil"/>
              <w:right w:val="nil"/>
            </w:tcBorders>
            <w:shd w:val="clear" w:color="auto" w:fill="auto"/>
            <w:noWrap/>
            <w:vAlign w:val="bottom"/>
            <w:hideMark/>
          </w:tcPr>
          <w:p w14:paraId="0AD58C6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22.33</w:t>
            </w:r>
          </w:p>
        </w:tc>
        <w:tc>
          <w:tcPr>
            <w:tcW w:w="976" w:type="dxa"/>
            <w:tcBorders>
              <w:top w:val="nil"/>
              <w:left w:val="nil"/>
              <w:bottom w:val="nil"/>
              <w:right w:val="nil"/>
            </w:tcBorders>
            <w:shd w:val="clear" w:color="auto" w:fill="auto"/>
            <w:noWrap/>
            <w:vAlign w:val="bottom"/>
            <w:hideMark/>
          </w:tcPr>
          <w:p w14:paraId="3D7783B6"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5.38</w:t>
            </w:r>
          </w:p>
        </w:tc>
        <w:tc>
          <w:tcPr>
            <w:tcW w:w="976" w:type="dxa"/>
            <w:tcBorders>
              <w:top w:val="nil"/>
              <w:left w:val="nil"/>
              <w:bottom w:val="nil"/>
              <w:right w:val="nil"/>
            </w:tcBorders>
            <w:shd w:val="clear" w:color="auto" w:fill="auto"/>
            <w:noWrap/>
            <w:vAlign w:val="bottom"/>
            <w:hideMark/>
          </w:tcPr>
          <w:p w14:paraId="2D04BD7A"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12.60</w:t>
            </w:r>
          </w:p>
        </w:tc>
        <w:tc>
          <w:tcPr>
            <w:tcW w:w="976" w:type="dxa"/>
            <w:tcBorders>
              <w:top w:val="nil"/>
              <w:left w:val="nil"/>
              <w:bottom w:val="nil"/>
              <w:right w:val="nil"/>
            </w:tcBorders>
            <w:shd w:val="clear" w:color="auto" w:fill="auto"/>
            <w:noWrap/>
            <w:vAlign w:val="bottom"/>
            <w:hideMark/>
          </w:tcPr>
          <w:p w14:paraId="29E5BB6D"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4.01</w:t>
            </w:r>
          </w:p>
        </w:tc>
        <w:tc>
          <w:tcPr>
            <w:tcW w:w="976" w:type="dxa"/>
            <w:tcBorders>
              <w:top w:val="nil"/>
              <w:left w:val="nil"/>
              <w:bottom w:val="nil"/>
              <w:right w:val="nil"/>
            </w:tcBorders>
            <w:shd w:val="clear" w:color="auto" w:fill="auto"/>
            <w:noWrap/>
            <w:vAlign w:val="bottom"/>
            <w:hideMark/>
          </w:tcPr>
          <w:p w14:paraId="6D5410B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11.89</w:t>
            </w:r>
          </w:p>
        </w:tc>
        <w:tc>
          <w:tcPr>
            <w:tcW w:w="976" w:type="dxa"/>
            <w:tcBorders>
              <w:top w:val="nil"/>
              <w:left w:val="nil"/>
              <w:bottom w:val="nil"/>
              <w:right w:val="nil"/>
            </w:tcBorders>
            <w:shd w:val="clear" w:color="auto" w:fill="auto"/>
            <w:noWrap/>
            <w:vAlign w:val="bottom"/>
            <w:hideMark/>
          </w:tcPr>
          <w:p w14:paraId="4D12780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2.76</w:t>
            </w:r>
          </w:p>
        </w:tc>
        <w:tc>
          <w:tcPr>
            <w:tcW w:w="1952" w:type="dxa"/>
            <w:gridSpan w:val="2"/>
            <w:tcBorders>
              <w:top w:val="nil"/>
              <w:left w:val="nil"/>
              <w:bottom w:val="nil"/>
              <w:right w:val="nil"/>
            </w:tcBorders>
          </w:tcPr>
          <w:p w14:paraId="589370E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3,71) = 24.22</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2B5EDE8E"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2170D117" w14:textId="77777777" w:rsidTr="005408F2">
        <w:trPr>
          <w:trHeight w:val="290"/>
        </w:trPr>
        <w:tc>
          <w:tcPr>
            <w:tcW w:w="3136" w:type="dxa"/>
            <w:tcBorders>
              <w:top w:val="nil"/>
              <w:left w:val="nil"/>
              <w:bottom w:val="nil"/>
              <w:right w:val="nil"/>
            </w:tcBorders>
            <w:shd w:val="clear" w:color="auto" w:fill="auto"/>
            <w:noWrap/>
            <w:vAlign w:val="bottom"/>
            <w:hideMark/>
          </w:tcPr>
          <w:p w14:paraId="3CE8DF04"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r w:rsidRPr="005349B5">
              <w:rPr>
                <w:rFonts w:ascii="Times New Roman" w:eastAsia="Times New Roman" w:hAnsi="Times New Roman" w:cs="Times New Roman"/>
                <w:b/>
                <w:bCs/>
                <w:color w:val="000000" w:themeColor="text1"/>
                <w:sz w:val="24"/>
                <w:szCs w:val="24"/>
              </w:rPr>
              <w:t>Anger control</w:t>
            </w:r>
          </w:p>
        </w:tc>
        <w:tc>
          <w:tcPr>
            <w:tcW w:w="976" w:type="dxa"/>
            <w:tcBorders>
              <w:top w:val="nil"/>
              <w:left w:val="nil"/>
              <w:bottom w:val="nil"/>
              <w:right w:val="nil"/>
            </w:tcBorders>
            <w:shd w:val="clear" w:color="auto" w:fill="auto"/>
            <w:noWrap/>
            <w:vAlign w:val="bottom"/>
            <w:hideMark/>
          </w:tcPr>
          <w:p w14:paraId="4CC07C49"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19.63</w:t>
            </w:r>
          </w:p>
        </w:tc>
        <w:tc>
          <w:tcPr>
            <w:tcW w:w="976" w:type="dxa"/>
            <w:tcBorders>
              <w:top w:val="nil"/>
              <w:left w:val="nil"/>
              <w:bottom w:val="nil"/>
              <w:right w:val="nil"/>
            </w:tcBorders>
            <w:shd w:val="clear" w:color="auto" w:fill="auto"/>
            <w:noWrap/>
            <w:vAlign w:val="bottom"/>
            <w:hideMark/>
          </w:tcPr>
          <w:p w14:paraId="0F6CE29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4.31</w:t>
            </w:r>
          </w:p>
        </w:tc>
        <w:tc>
          <w:tcPr>
            <w:tcW w:w="976" w:type="dxa"/>
            <w:tcBorders>
              <w:top w:val="nil"/>
              <w:left w:val="nil"/>
              <w:bottom w:val="nil"/>
              <w:right w:val="nil"/>
            </w:tcBorders>
            <w:shd w:val="clear" w:color="auto" w:fill="auto"/>
            <w:noWrap/>
            <w:vAlign w:val="bottom"/>
            <w:hideMark/>
          </w:tcPr>
          <w:p w14:paraId="5F3CE40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15.50</w:t>
            </w:r>
          </w:p>
        </w:tc>
        <w:tc>
          <w:tcPr>
            <w:tcW w:w="976" w:type="dxa"/>
            <w:tcBorders>
              <w:top w:val="nil"/>
              <w:left w:val="nil"/>
              <w:bottom w:val="nil"/>
              <w:right w:val="nil"/>
            </w:tcBorders>
            <w:shd w:val="clear" w:color="auto" w:fill="auto"/>
            <w:noWrap/>
            <w:vAlign w:val="bottom"/>
            <w:hideMark/>
          </w:tcPr>
          <w:p w14:paraId="3E04334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5.18</w:t>
            </w:r>
          </w:p>
        </w:tc>
        <w:tc>
          <w:tcPr>
            <w:tcW w:w="976" w:type="dxa"/>
            <w:tcBorders>
              <w:top w:val="nil"/>
              <w:left w:val="nil"/>
              <w:bottom w:val="nil"/>
              <w:right w:val="nil"/>
            </w:tcBorders>
            <w:shd w:val="clear" w:color="auto" w:fill="auto"/>
            <w:noWrap/>
            <w:vAlign w:val="bottom"/>
            <w:hideMark/>
          </w:tcPr>
          <w:p w14:paraId="42305C7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22.95</w:t>
            </w:r>
          </w:p>
        </w:tc>
        <w:tc>
          <w:tcPr>
            <w:tcW w:w="976" w:type="dxa"/>
            <w:tcBorders>
              <w:top w:val="nil"/>
              <w:left w:val="nil"/>
              <w:bottom w:val="nil"/>
              <w:right w:val="nil"/>
            </w:tcBorders>
            <w:shd w:val="clear" w:color="auto" w:fill="auto"/>
            <w:noWrap/>
            <w:vAlign w:val="bottom"/>
            <w:hideMark/>
          </w:tcPr>
          <w:p w14:paraId="545774F4"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4.48</w:t>
            </w:r>
          </w:p>
        </w:tc>
        <w:tc>
          <w:tcPr>
            <w:tcW w:w="976" w:type="dxa"/>
            <w:tcBorders>
              <w:top w:val="nil"/>
              <w:left w:val="nil"/>
              <w:bottom w:val="nil"/>
              <w:right w:val="nil"/>
            </w:tcBorders>
            <w:shd w:val="clear" w:color="auto" w:fill="auto"/>
            <w:noWrap/>
            <w:vAlign w:val="bottom"/>
            <w:hideMark/>
          </w:tcPr>
          <w:p w14:paraId="3A2E91ED"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23.89</w:t>
            </w:r>
          </w:p>
        </w:tc>
        <w:tc>
          <w:tcPr>
            <w:tcW w:w="976" w:type="dxa"/>
            <w:tcBorders>
              <w:top w:val="nil"/>
              <w:left w:val="nil"/>
              <w:bottom w:val="nil"/>
              <w:right w:val="nil"/>
            </w:tcBorders>
            <w:shd w:val="clear" w:color="auto" w:fill="auto"/>
            <w:noWrap/>
            <w:vAlign w:val="bottom"/>
            <w:hideMark/>
          </w:tcPr>
          <w:p w14:paraId="27A1106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3.97</w:t>
            </w:r>
          </w:p>
        </w:tc>
        <w:tc>
          <w:tcPr>
            <w:tcW w:w="1952" w:type="dxa"/>
            <w:gridSpan w:val="2"/>
            <w:tcBorders>
              <w:top w:val="nil"/>
              <w:left w:val="nil"/>
              <w:bottom w:val="nil"/>
              <w:right w:val="nil"/>
            </w:tcBorders>
          </w:tcPr>
          <w:p w14:paraId="68FF416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roofErr w:type="gramStart"/>
            <w:r w:rsidRPr="005349B5">
              <w:rPr>
                <w:rFonts w:ascii="Times New Roman" w:eastAsia="Times New Roman" w:hAnsi="Times New Roman" w:cs="Times New Roman"/>
                <w:i/>
                <w:color w:val="000000" w:themeColor="text1"/>
                <w:sz w:val="24"/>
                <w:szCs w:val="24"/>
              </w:rPr>
              <w:t>F</w:t>
            </w:r>
            <w:r w:rsidRPr="005349B5">
              <w:rPr>
                <w:rFonts w:ascii="Times New Roman" w:eastAsia="Times New Roman" w:hAnsi="Times New Roman" w:cs="Times New Roman"/>
                <w:color w:val="000000" w:themeColor="text1"/>
                <w:sz w:val="24"/>
                <w:szCs w:val="24"/>
              </w:rPr>
              <w:t>(</w:t>
            </w:r>
            <w:proofErr w:type="gramEnd"/>
            <w:r w:rsidRPr="005349B5">
              <w:rPr>
                <w:rFonts w:ascii="Times New Roman" w:eastAsia="Times New Roman" w:hAnsi="Times New Roman" w:cs="Times New Roman"/>
                <w:color w:val="000000" w:themeColor="text1"/>
                <w:sz w:val="24"/>
                <w:szCs w:val="24"/>
              </w:rPr>
              <w:t>3,71) = 13.00</w:t>
            </w:r>
            <w:r w:rsidRPr="005349B5">
              <w:rPr>
                <w:rFonts w:ascii="Times New Roman" w:eastAsia="Times New Roman" w:hAnsi="Times New Roman" w:cs="Times New Roman"/>
                <w:color w:val="000000" w:themeColor="text1"/>
                <w:sz w:val="24"/>
                <w:szCs w:val="24"/>
                <w:vertAlign w:val="superscript"/>
              </w:rPr>
              <w:t>b</w:t>
            </w:r>
          </w:p>
        </w:tc>
        <w:tc>
          <w:tcPr>
            <w:tcW w:w="976" w:type="dxa"/>
            <w:tcBorders>
              <w:top w:val="nil"/>
              <w:left w:val="nil"/>
              <w:bottom w:val="nil"/>
              <w:right w:val="nil"/>
            </w:tcBorders>
            <w:shd w:val="clear" w:color="auto" w:fill="auto"/>
            <w:noWrap/>
            <w:vAlign w:val="bottom"/>
            <w:hideMark/>
          </w:tcPr>
          <w:p w14:paraId="237D855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vertAlign w:val="superscript"/>
              </w:rPr>
            </w:pPr>
            <w:r w:rsidRPr="005349B5">
              <w:rPr>
                <w:rFonts w:ascii="Times New Roman" w:eastAsia="Times New Roman" w:hAnsi="Times New Roman" w:cs="Times New Roman"/>
                <w:color w:val="000000" w:themeColor="text1"/>
                <w:sz w:val="24"/>
                <w:szCs w:val="24"/>
              </w:rPr>
              <w:t>&lt;.001</w:t>
            </w:r>
          </w:p>
        </w:tc>
      </w:tr>
      <w:tr w:rsidR="005408F2" w:rsidRPr="005349B5" w14:paraId="65EE48C5" w14:textId="77777777" w:rsidTr="005408F2">
        <w:trPr>
          <w:trHeight w:val="290"/>
        </w:trPr>
        <w:tc>
          <w:tcPr>
            <w:tcW w:w="3136" w:type="dxa"/>
            <w:tcBorders>
              <w:top w:val="nil"/>
              <w:left w:val="nil"/>
              <w:bottom w:val="nil"/>
              <w:right w:val="nil"/>
            </w:tcBorders>
            <w:shd w:val="clear" w:color="auto" w:fill="auto"/>
            <w:noWrap/>
            <w:vAlign w:val="bottom"/>
            <w:hideMark/>
          </w:tcPr>
          <w:p w14:paraId="00123694"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55C4695C"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6B0AE4F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1BFE801F"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0D85D525"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624EA28A"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DBE6783"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0C96159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74C5EA49"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67B9DC7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tcPr>
          <w:p w14:paraId="604BBB7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nil"/>
              <w:left w:val="nil"/>
              <w:bottom w:val="nil"/>
              <w:right w:val="nil"/>
            </w:tcBorders>
            <w:shd w:val="clear" w:color="auto" w:fill="auto"/>
            <w:noWrap/>
            <w:vAlign w:val="bottom"/>
            <w:hideMark/>
          </w:tcPr>
          <w:p w14:paraId="54629B57"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r>
      <w:tr w:rsidR="005408F2" w:rsidRPr="005349B5" w14:paraId="72D1E5A0" w14:textId="77777777" w:rsidTr="005408F2">
        <w:trPr>
          <w:trHeight w:val="290"/>
        </w:trPr>
        <w:tc>
          <w:tcPr>
            <w:tcW w:w="3136" w:type="dxa"/>
            <w:tcBorders>
              <w:top w:val="single" w:sz="4" w:space="0" w:color="auto"/>
              <w:left w:val="nil"/>
              <w:bottom w:val="nil"/>
              <w:right w:val="nil"/>
            </w:tcBorders>
            <w:shd w:val="clear" w:color="auto" w:fill="auto"/>
            <w:noWrap/>
            <w:vAlign w:val="bottom"/>
          </w:tcPr>
          <w:p w14:paraId="016AAA8D"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vertAlign w:val="superscript"/>
              </w:rPr>
            </w:pPr>
          </w:p>
        </w:tc>
        <w:tc>
          <w:tcPr>
            <w:tcW w:w="976" w:type="dxa"/>
            <w:tcBorders>
              <w:top w:val="single" w:sz="4" w:space="0" w:color="auto"/>
              <w:left w:val="nil"/>
              <w:bottom w:val="nil"/>
              <w:right w:val="nil"/>
            </w:tcBorders>
            <w:shd w:val="clear" w:color="auto" w:fill="auto"/>
            <w:noWrap/>
            <w:vAlign w:val="bottom"/>
          </w:tcPr>
          <w:p w14:paraId="741D95CC" w14:textId="77777777" w:rsidR="005408F2" w:rsidRPr="005349B5" w:rsidRDefault="005408F2" w:rsidP="005408F2">
            <w:pPr>
              <w:spacing w:after="0" w:line="480" w:lineRule="auto"/>
              <w:rPr>
                <w:rFonts w:ascii="Times New Roman" w:eastAsia="Times New Roman" w:hAnsi="Times New Roman" w:cs="Times New Roman"/>
                <w:b/>
                <w:bCs/>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2E08A44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1C921B45"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2C2CEEC0"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52CFF691"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0F330912"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33EFBCB3"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0F26EB9B" w14:textId="77777777" w:rsidR="005408F2" w:rsidRPr="005349B5" w:rsidRDefault="005408F2" w:rsidP="005408F2">
            <w:pPr>
              <w:spacing w:after="0" w:line="480" w:lineRule="auto"/>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tcPr>
          <w:p w14:paraId="63296536"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tcPr>
          <w:p w14:paraId="461CA288"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c>
          <w:tcPr>
            <w:tcW w:w="976" w:type="dxa"/>
            <w:tcBorders>
              <w:top w:val="single" w:sz="4" w:space="0" w:color="auto"/>
              <w:left w:val="nil"/>
              <w:bottom w:val="nil"/>
              <w:right w:val="nil"/>
            </w:tcBorders>
            <w:shd w:val="clear" w:color="auto" w:fill="auto"/>
            <w:noWrap/>
            <w:vAlign w:val="bottom"/>
          </w:tcPr>
          <w:p w14:paraId="5394140C" w14:textId="77777777" w:rsidR="005408F2" w:rsidRPr="005349B5" w:rsidRDefault="005408F2" w:rsidP="005408F2">
            <w:pPr>
              <w:spacing w:after="0" w:line="480" w:lineRule="auto"/>
              <w:jc w:val="right"/>
              <w:rPr>
                <w:rFonts w:ascii="Times New Roman" w:eastAsia="Times New Roman" w:hAnsi="Times New Roman" w:cs="Times New Roman"/>
                <w:color w:val="000000" w:themeColor="text1"/>
                <w:sz w:val="24"/>
                <w:szCs w:val="24"/>
              </w:rPr>
            </w:pPr>
          </w:p>
        </w:tc>
      </w:tr>
    </w:tbl>
    <w:p w14:paraId="79632016" w14:textId="77777777" w:rsidR="005408F2" w:rsidRPr="005349B5" w:rsidRDefault="005408F2" w:rsidP="005408F2">
      <w:pPr>
        <w:autoSpaceDE w:val="0"/>
        <w:autoSpaceDN w:val="0"/>
        <w:adjustRightInd w:val="0"/>
        <w:spacing w:after="0" w:line="480" w:lineRule="auto"/>
        <w:rPr>
          <w:rFonts w:ascii="Times New Roman" w:hAnsi="Times New Roman" w:cs="Times New Roman"/>
          <w:sz w:val="24"/>
          <w:szCs w:val="24"/>
        </w:rPr>
      </w:pPr>
      <w:r w:rsidRPr="005349B5">
        <w:rPr>
          <w:rFonts w:ascii="Times New Roman" w:hAnsi="Times New Roman" w:cs="Times New Roman"/>
          <w:color w:val="000000" w:themeColor="text1"/>
          <w:sz w:val="24"/>
          <w:szCs w:val="24"/>
        </w:rPr>
        <w:t xml:space="preserve">ASPD = Antisocial personality disorder; f = female; </w:t>
      </w:r>
      <w:r w:rsidRPr="005349B5">
        <w:rPr>
          <w:rFonts w:ascii="Times New Roman" w:hAnsi="Times New Roman" w:cs="Times New Roman"/>
          <w:sz w:val="24"/>
          <w:szCs w:val="24"/>
        </w:rPr>
        <w:t xml:space="preserve">HAWIE-R = Wechsler Adult Intelligence Scale – Revised, German version (used for estimation of IQ); </w:t>
      </w:r>
      <w:r w:rsidRPr="005349B5">
        <w:rPr>
          <w:rFonts w:ascii="Times New Roman" w:hAnsi="Times New Roman" w:cs="Times New Roman"/>
          <w:color w:val="000000" w:themeColor="text1"/>
          <w:sz w:val="24"/>
          <w:szCs w:val="24"/>
        </w:rPr>
        <w:t xml:space="preserve">HC = healthy control; m = male; </w:t>
      </w:r>
      <w:r w:rsidRPr="005349B5">
        <w:rPr>
          <w:rFonts w:ascii="Times New Roman" w:hAnsi="Times New Roman" w:cs="Times New Roman"/>
          <w:sz w:val="24"/>
          <w:szCs w:val="24"/>
        </w:rPr>
        <w:t>STAXI =State-Trait Anger Expression Inventory; SRP =Self-Report Psychopathy Scale.</w:t>
      </w:r>
    </w:p>
    <w:p w14:paraId="6AD2DAA9"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roofErr w:type="spellStart"/>
      <w:r w:rsidRPr="005349B5">
        <w:rPr>
          <w:rFonts w:ascii="Times New Roman" w:hAnsi="Times New Roman" w:cs="Times New Roman"/>
          <w:color w:val="000000" w:themeColor="text1"/>
          <w:sz w:val="24"/>
          <w:szCs w:val="24"/>
          <w:vertAlign w:val="superscript"/>
        </w:rPr>
        <w:t>a</w:t>
      </w:r>
      <w:r w:rsidRPr="005349B5">
        <w:rPr>
          <w:rFonts w:ascii="Times New Roman" w:hAnsi="Times New Roman" w:cs="Times New Roman"/>
          <w:color w:val="000000" w:themeColor="text1"/>
          <w:sz w:val="24"/>
          <w:szCs w:val="24"/>
        </w:rPr>
        <w:t>The</w:t>
      </w:r>
      <w:proofErr w:type="spellEnd"/>
      <w:r w:rsidRPr="005349B5">
        <w:rPr>
          <w:rFonts w:ascii="Times New Roman" w:hAnsi="Times New Roman" w:cs="Times New Roman"/>
          <w:color w:val="000000" w:themeColor="text1"/>
          <w:sz w:val="24"/>
          <w:szCs w:val="24"/>
        </w:rPr>
        <w:t xml:space="preserve"> numbers are expressed in means and standard deviations, except for comorbidities (numbers and percentage)</w:t>
      </w:r>
    </w:p>
    <w:p w14:paraId="361B6A2D"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roofErr w:type="spellStart"/>
      <w:r w:rsidRPr="005349B5">
        <w:rPr>
          <w:rFonts w:ascii="Times New Roman" w:hAnsi="Times New Roman" w:cs="Times New Roman"/>
          <w:color w:val="000000" w:themeColor="text1"/>
          <w:sz w:val="24"/>
          <w:szCs w:val="24"/>
          <w:vertAlign w:val="superscript"/>
        </w:rPr>
        <w:t>b</w:t>
      </w:r>
      <w:r w:rsidRPr="005349B5">
        <w:rPr>
          <w:rFonts w:ascii="Times New Roman" w:hAnsi="Times New Roman" w:cs="Times New Roman"/>
          <w:sz w:val="24"/>
          <w:szCs w:val="24"/>
        </w:rPr>
        <w:t>One</w:t>
      </w:r>
      <w:proofErr w:type="spellEnd"/>
      <w:r w:rsidRPr="005349B5">
        <w:rPr>
          <w:rFonts w:ascii="Times New Roman" w:hAnsi="Times New Roman" w:cs="Times New Roman"/>
          <w:sz w:val="24"/>
          <w:szCs w:val="24"/>
        </w:rPr>
        <w:t>-way ANOVA</w:t>
      </w:r>
    </w:p>
    <w:p w14:paraId="54C4FFA9"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roofErr w:type="spellStart"/>
      <w:r w:rsidRPr="005349B5">
        <w:rPr>
          <w:rFonts w:ascii="Times New Roman" w:hAnsi="Times New Roman" w:cs="Times New Roman"/>
          <w:color w:val="000000" w:themeColor="text1"/>
          <w:sz w:val="24"/>
          <w:szCs w:val="24"/>
          <w:vertAlign w:val="superscript"/>
        </w:rPr>
        <w:t>c</w:t>
      </w:r>
      <w:r w:rsidRPr="005349B5">
        <w:rPr>
          <w:rFonts w:ascii="Times New Roman" w:hAnsi="Times New Roman" w:cs="Times New Roman"/>
          <w:color w:val="000000" w:themeColor="text1"/>
          <w:sz w:val="24"/>
          <w:szCs w:val="24"/>
        </w:rPr>
        <w:t>Kruskal</w:t>
      </w:r>
      <w:proofErr w:type="spellEnd"/>
      <w:r w:rsidRPr="005349B5">
        <w:rPr>
          <w:rFonts w:ascii="Times New Roman" w:hAnsi="Times New Roman" w:cs="Times New Roman"/>
          <w:color w:val="000000" w:themeColor="text1"/>
          <w:sz w:val="24"/>
          <w:szCs w:val="24"/>
        </w:rPr>
        <w:t>-Willis H test</w:t>
      </w:r>
    </w:p>
    <w:p w14:paraId="2490E2E5"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roofErr w:type="spellStart"/>
      <w:r w:rsidRPr="005349B5">
        <w:rPr>
          <w:rFonts w:ascii="Times New Roman" w:hAnsi="Times New Roman" w:cs="Times New Roman"/>
          <w:color w:val="000000" w:themeColor="text1"/>
          <w:sz w:val="24"/>
          <w:szCs w:val="24"/>
          <w:vertAlign w:val="superscript"/>
        </w:rPr>
        <w:t>d</w:t>
      </w:r>
      <w:r w:rsidRPr="005349B5">
        <w:rPr>
          <w:rFonts w:ascii="Times New Roman" w:hAnsi="Times New Roman" w:cs="Times New Roman"/>
          <w:color w:val="000000" w:themeColor="text1"/>
          <w:sz w:val="24"/>
          <w:szCs w:val="24"/>
        </w:rPr>
        <w:t>Data</w:t>
      </w:r>
      <w:proofErr w:type="spellEnd"/>
      <w:r w:rsidRPr="005349B5">
        <w:rPr>
          <w:rFonts w:ascii="Times New Roman" w:hAnsi="Times New Roman" w:cs="Times New Roman"/>
          <w:color w:val="000000" w:themeColor="text1"/>
          <w:sz w:val="24"/>
          <w:szCs w:val="24"/>
        </w:rPr>
        <w:t xml:space="preserve"> missing from one man with ASPD and two HC women.</w:t>
      </w:r>
    </w:p>
    <w:p w14:paraId="655D1F44"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
    <w:p w14:paraId="408556C2" w14:textId="77777777" w:rsidR="005408F2" w:rsidRPr="005349B5" w:rsidRDefault="005408F2" w:rsidP="005408F2">
      <w:pPr>
        <w:rPr>
          <w:rFonts w:ascii="Times New Roman" w:hAnsi="Times New Roman" w:cs="Times New Roman"/>
          <w:color w:val="000000" w:themeColor="text1"/>
          <w:sz w:val="24"/>
          <w:szCs w:val="24"/>
        </w:rPr>
      </w:pPr>
      <w:r w:rsidRPr="005349B5">
        <w:rPr>
          <w:rFonts w:ascii="Times New Roman" w:hAnsi="Times New Roman" w:cs="Times New Roman"/>
          <w:color w:val="000000" w:themeColor="text1"/>
          <w:sz w:val="24"/>
          <w:szCs w:val="24"/>
        </w:rPr>
        <w:br w:type="page"/>
      </w:r>
    </w:p>
    <w:p w14:paraId="565E2F43" w14:textId="77777777" w:rsidR="005408F2" w:rsidRPr="005349B5" w:rsidRDefault="005408F2" w:rsidP="005408F2">
      <w:pPr>
        <w:spacing w:after="0" w:line="480" w:lineRule="auto"/>
        <w:rPr>
          <w:rFonts w:ascii="Times New Roman" w:hAnsi="Times New Roman" w:cs="Times New Roman"/>
          <w:b/>
          <w:bCs/>
          <w:color w:val="000000" w:themeColor="text1"/>
          <w:sz w:val="24"/>
          <w:szCs w:val="24"/>
        </w:rPr>
      </w:pPr>
      <w:r w:rsidRPr="005349B5">
        <w:rPr>
          <w:rFonts w:ascii="Times New Roman" w:hAnsi="Times New Roman" w:cs="Times New Roman"/>
          <w:b/>
          <w:bCs/>
          <w:color w:val="000000" w:themeColor="text1"/>
          <w:sz w:val="24"/>
          <w:szCs w:val="24"/>
        </w:rPr>
        <w:lastRenderedPageBreak/>
        <w:t>Table 2</w:t>
      </w:r>
    </w:p>
    <w:tbl>
      <w:tblPr>
        <w:tblW w:w="13290" w:type="dxa"/>
        <w:tblLook w:val="04A0" w:firstRow="1" w:lastRow="0" w:firstColumn="1" w:lastColumn="0" w:noHBand="0" w:noVBand="1"/>
      </w:tblPr>
      <w:tblGrid>
        <w:gridCol w:w="2160"/>
        <w:gridCol w:w="324"/>
        <w:gridCol w:w="312"/>
        <w:gridCol w:w="701"/>
        <w:gridCol w:w="116"/>
        <w:gridCol w:w="517"/>
        <w:gridCol w:w="119"/>
        <w:gridCol w:w="517"/>
        <w:gridCol w:w="119"/>
        <w:gridCol w:w="602"/>
        <w:gridCol w:w="116"/>
        <w:gridCol w:w="602"/>
        <w:gridCol w:w="116"/>
        <w:gridCol w:w="602"/>
        <w:gridCol w:w="116"/>
        <w:gridCol w:w="602"/>
        <w:gridCol w:w="116"/>
        <w:gridCol w:w="517"/>
        <w:gridCol w:w="119"/>
        <w:gridCol w:w="517"/>
        <w:gridCol w:w="119"/>
        <w:gridCol w:w="517"/>
        <w:gridCol w:w="119"/>
        <w:gridCol w:w="517"/>
        <w:gridCol w:w="119"/>
        <w:gridCol w:w="602"/>
        <w:gridCol w:w="116"/>
        <w:gridCol w:w="602"/>
        <w:gridCol w:w="116"/>
        <w:gridCol w:w="602"/>
        <w:gridCol w:w="116"/>
        <w:gridCol w:w="844"/>
        <w:gridCol w:w="116"/>
      </w:tblGrid>
      <w:tr w:rsidR="005408F2" w:rsidRPr="005349B5" w14:paraId="531C0D02" w14:textId="77777777" w:rsidTr="005408F2">
        <w:trPr>
          <w:gridAfter w:val="1"/>
          <w:wAfter w:w="116" w:type="dxa"/>
          <w:trHeight w:val="290"/>
        </w:trPr>
        <w:tc>
          <w:tcPr>
            <w:tcW w:w="2160" w:type="dxa"/>
            <w:tcBorders>
              <w:top w:val="nil"/>
              <w:left w:val="nil"/>
              <w:bottom w:val="nil"/>
              <w:right w:val="nil"/>
            </w:tcBorders>
            <w:shd w:val="clear" w:color="auto" w:fill="auto"/>
            <w:noWrap/>
            <w:vAlign w:val="bottom"/>
            <w:hideMark/>
          </w:tcPr>
          <w:p w14:paraId="7647EE8F"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proofErr w:type="spellStart"/>
            <w:r w:rsidRPr="005349B5">
              <w:rPr>
                <w:rFonts w:ascii="Times New Roman" w:eastAsia="Times New Roman" w:hAnsi="Times New Roman" w:cs="Times New Roman"/>
                <w:b/>
                <w:bCs/>
                <w:color w:val="000000" w:themeColor="text1"/>
                <w:sz w:val="24"/>
                <w:szCs w:val="24"/>
              </w:rPr>
              <w:t>Variable</w:t>
            </w:r>
            <w:r w:rsidRPr="005349B5">
              <w:rPr>
                <w:rFonts w:ascii="Times New Roman" w:eastAsia="Times New Roman" w:hAnsi="Times New Roman" w:cs="Times New Roman"/>
                <w:b/>
                <w:bCs/>
                <w:color w:val="000000" w:themeColor="text1"/>
                <w:sz w:val="24"/>
                <w:szCs w:val="24"/>
                <w:vertAlign w:val="superscript"/>
              </w:rPr>
              <w:t>a</w:t>
            </w:r>
            <w:proofErr w:type="spellEnd"/>
          </w:p>
        </w:tc>
        <w:tc>
          <w:tcPr>
            <w:tcW w:w="1928" w:type="dxa"/>
            <w:gridSpan w:val="5"/>
            <w:tcBorders>
              <w:top w:val="nil"/>
              <w:left w:val="nil"/>
              <w:bottom w:val="nil"/>
              <w:right w:val="nil"/>
            </w:tcBorders>
            <w:shd w:val="clear" w:color="auto" w:fill="auto"/>
            <w:noWrap/>
            <w:vAlign w:val="bottom"/>
            <w:hideMark/>
          </w:tcPr>
          <w:p w14:paraId="4097E041"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ASPD m (n = 16)</w:t>
            </w:r>
          </w:p>
        </w:tc>
        <w:tc>
          <w:tcPr>
            <w:tcW w:w="620" w:type="dxa"/>
            <w:gridSpan w:val="2"/>
            <w:tcBorders>
              <w:top w:val="nil"/>
              <w:left w:val="nil"/>
              <w:bottom w:val="nil"/>
              <w:right w:val="nil"/>
            </w:tcBorders>
            <w:shd w:val="clear" w:color="auto" w:fill="auto"/>
            <w:noWrap/>
            <w:vAlign w:val="bottom"/>
            <w:hideMark/>
          </w:tcPr>
          <w:p w14:paraId="1D8304A4"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p>
        </w:tc>
        <w:tc>
          <w:tcPr>
            <w:tcW w:w="2154" w:type="dxa"/>
            <w:gridSpan w:val="6"/>
            <w:tcBorders>
              <w:top w:val="nil"/>
              <w:left w:val="nil"/>
              <w:bottom w:val="nil"/>
              <w:right w:val="nil"/>
            </w:tcBorders>
            <w:shd w:val="clear" w:color="auto" w:fill="auto"/>
            <w:noWrap/>
            <w:vAlign w:val="bottom"/>
            <w:hideMark/>
          </w:tcPr>
          <w:p w14:paraId="4655D80D"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ASPD f (n = 11)</w:t>
            </w:r>
          </w:p>
        </w:tc>
        <w:tc>
          <w:tcPr>
            <w:tcW w:w="718" w:type="dxa"/>
            <w:gridSpan w:val="2"/>
            <w:tcBorders>
              <w:top w:val="nil"/>
              <w:left w:val="nil"/>
              <w:bottom w:val="nil"/>
              <w:right w:val="nil"/>
            </w:tcBorders>
            <w:shd w:val="clear" w:color="auto" w:fill="auto"/>
            <w:noWrap/>
            <w:vAlign w:val="bottom"/>
            <w:hideMark/>
          </w:tcPr>
          <w:p w14:paraId="664E47B5"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p>
        </w:tc>
        <w:tc>
          <w:tcPr>
            <w:tcW w:w="1860" w:type="dxa"/>
            <w:gridSpan w:val="6"/>
            <w:tcBorders>
              <w:top w:val="nil"/>
              <w:left w:val="nil"/>
              <w:bottom w:val="nil"/>
              <w:right w:val="nil"/>
            </w:tcBorders>
            <w:shd w:val="clear" w:color="auto" w:fill="auto"/>
            <w:noWrap/>
            <w:vAlign w:val="bottom"/>
            <w:hideMark/>
          </w:tcPr>
          <w:p w14:paraId="6421D48D"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HC m (n = 14)</w:t>
            </w:r>
          </w:p>
        </w:tc>
        <w:tc>
          <w:tcPr>
            <w:tcW w:w="620" w:type="dxa"/>
            <w:gridSpan w:val="2"/>
            <w:tcBorders>
              <w:top w:val="nil"/>
              <w:left w:val="nil"/>
              <w:bottom w:val="nil"/>
              <w:right w:val="nil"/>
            </w:tcBorders>
            <w:shd w:val="clear" w:color="auto" w:fill="auto"/>
            <w:noWrap/>
            <w:vAlign w:val="bottom"/>
            <w:hideMark/>
          </w:tcPr>
          <w:p w14:paraId="00E41159"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p>
        </w:tc>
        <w:tc>
          <w:tcPr>
            <w:tcW w:w="1436" w:type="dxa"/>
            <w:gridSpan w:val="4"/>
            <w:tcBorders>
              <w:top w:val="nil"/>
              <w:left w:val="nil"/>
              <w:bottom w:val="nil"/>
              <w:right w:val="nil"/>
            </w:tcBorders>
            <w:shd w:val="clear" w:color="auto" w:fill="auto"/>
            <w:noWrap/>
            <w:vAlign w:val="bottom"/>
            <w:hideMark/>
          </w:tcPr>
          <w:p w14:paraId="487A3AEE"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HC f (n = 18)</w:t>
            </w:r>
          </w:p>
        </w:tc>
        <w:tc>
          <w:tcPr>
            <w:tcW w:w="718" w:type="dxa"/>
            <w:gridSpan w:val="2"/>
            <w:tcBorders>
              <w:top w:val="nil"/>
              <w:left w:val="nil"/>
              <w:bottom w:val="nil"/>
              <w:right w:val="nil"/>
            </w:tcBorders>
            <w:shd w:val="clear" w:color="auto" w:fill="auto"/>
            <w:noWrap/>
            <w:vAlign w:val="bottom"/>
            <w:hideMark/>
          </w:tcPr>
          <w:p w14:paraId="14338DC3"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p>
        </w:tc>
        <w:tc>
          <w:tcPr>
            <w:tcW w:w="960" w:type="dxa"/>
            <w:gridSpan w:val="2"/>
            <w:tcBorders>
              <w:top w:val="nil"/>
              <w:left w:val="nil"/>
              <w:bottom w:val="nil"/>
              <w:right w:val="nil"/>
            </w:tcBorders>
            <w:shd w:val="clear" w:color="auto" w:fill="auto"/>
            <w:noWrap/>
            <w:vAlign w:val="bottom"/>
            <w:hideMark/>
          </w:tcPr>
          <w:p w14:paraId="18D233DB" w14:textId="77777777" w:rsidR="005408F2" w:rsidRPr="005349B5" w:rsidRDefault="005408F2" w:rsidP="005408F2">
            <w:pPr>
              <w:spacing w:after="0" w:line="240" w:lineRule="auto"/>
              <w:rPr>
                <w:rFonts w:ascii="Times New Roman" w:eastAsia="Times New Roman" w:hAnsi="Times New Roman" w:cs="Times New Roman"/>
                <w:b/>
                <w:bCs/>
                <w:sz w:val="24"/>
                <w:szCs w:val="24"/>
              </w:rPr>
            </w:pPr>
          </w:p>
        </w:tc>
      </w:tr>
      <w:tr w:rsidR="005408F2" w:rsidRPr="005349B5" w14:paraId="41447BD3" w14:textId="77777777" w:rsidTr="005408F2">
        <w:trPr>
          <w:gridAfter w:val="1"/>
          <w:wAfter w:w="116" w:type="dxa"/>
          <w:trHeight w:val="290"/>
        </w:trPr>
        <w:tc>
          <w:tcPr>
            <w:tcW w:w="2160" w:type="dxa"/>
            <w:tcBorders>
              <w:top w:val="nil"/>
              <w:left w:val="nil"/>
              <w:bottom w:val="single" w:sz="4" w:space="0" w:color="auto"/>
              <w:right w:val="nil"/>
            </w:tcBorders>
            <w:shd w:val="clear" w:color="auto" w:fill="auto"/>
            <w:noWrap/>
            <w:vAlign w:val="bottom"/>
            <w:hideMark/>
          </w:tcPr>
          <w:p w14:paraId="762BE542"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 </w:t>
            </w:r>
          </w:p>
        </w:tc>
        <w:tc>
          <w:tcPr>
            <w:tcW w:w="1308" w:type="dxa"/>
            <w:gridSpan w:val="3"/>
            <w:tcBorders>
              <w:top w:val="nil"/>
              <w:left w:val="nil"/>
              <w:bottom w:val="single" w:sz="4" w:space="0" w:color="auto"/>
              <w:right w:val="nil"/>
            </w:tcBorders>
            <w:shd w:val="clear" w:color="auto" w:fill="auto"/>
            <w:noWrap/>
            <w:vAlign w:val="bottom"/>
            <w:hideMark/>
          </w:tcPr>
          <w:p w14:paraId="0D070586"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Oxytocin</w:t>
            </w:r>
          </w:p>
        </w:tc>
        <w:tc>
          <w:tcPr>
            <w:tcW w:w="1240" w:type="dxa"/>
            <w:gridSpan w:val="4"/>
            <w:tcBorders>
              <w:top w:val="nil"/>
              <w:left w:val="nil"/>
              <w:bottom w:val="single" w:sz="4" w:space="0" w:color="auto"/>
              <w:right w:val="nil"/>
            </w:tcBorders>
            <w:shd w:val="clear" w:color="auto" w:fill="auto"/>
            <w:noWrap/>
            <w:vAlign w:val="bottom"/>
            <w:hideMark/>
          </w:tcPr>
          <w:p w14:paraId="616B928F"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Placebo</w:t>
            </w:r>
          </w:p>
        </w:tc>
        <w:tc>
          <w:tcPr>
            <w:tcW w:w="1436" w:type="dxa"/>
            <w:gridSpan w:val="4"/>
            <w:tcBorders>
              <w:top w:val="nil"/>
              <w:left w:val="nil"/>
              <w:bottom w:val="single" w:sz="4" w:space="0" w:color="auto"/>
              <w:right w:val="nil"/>
            </w:tcBorders>
            <w:shd w:val="clear" w:color="auto" w:fill="auto"/>
            <w:noWrap/>
            <w:vAlign w:val="bottom"/>
            <w:hideMark/>
          </w:tcPr>
          <w:p w14:paraId="76E27095"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Oxytocin</w:t>
            </w:r>
          </w:p>
        </w:tc>
        <w:tc>
          <w:tcPr>
            <w:tcW w:w="1436" w:type="dxa"/>
            <w:gridSpan w:val="4"/>
            <w:tcBorders>
              <w:top w:val="nil"/>
              <w:left w:val="nil"/>
              <w:bottom w:val="single" w:sz="4" w:space="0" w:color="auto"/>
              <w:right w:val="nil"/>
            </w:tcBorders>
            <w:shd w:val="clear" w:color="auto" w:fill="auto"/>
            <w:noWrap/>
            <w:vAlign w:val="bottom"/>
            <w:hideMark/>
          </w:tcPr>
          <w:p w14:paraId="6805EEE6"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Placebo</w:t>
            </w:r>
          </w:p>
        </w:tc>
        <w:tc>
          <w:tcPr>
            <w:tcW w:w="1240" w:type="dxa"/>
            <w:gridSpan w:val="4"/>
            <w:tcBorders>
              <w:top w:val="nil"/>
              <w:left w:val="nil"/>
              <w:bottom w:val="single" w:sz="4" w:space="0" w:color="auto"/>
              <w:right w:val="nil"/>
            </w:tcBorders>
            <w:shd w:val="clear" w:color="auto" w:fill="auto"/>
            <w:noWrap/>
            <w:vAlign w:val="bottom"/>
            <w:hideMark/>
          </w:tcPr>
          <w:p w14:paraId="46AAE79D"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Oxytocin</w:t>
            </w:r>
          </w:p>
        </w:tc>
        <w:tc>
          <w:tcPr>
            <w:tcW w:w="1240" w:type="dxa"/>
            <w:gridSpan w:val="4"/>
            <w:tcBorders>
              <w:top w:val="nil"/>
              <w:left w:val="nil"/>
              <w:bottom w:val="single" w:sz="4" w:space="0" w:color="auto"/>
              <w:right w:val="nil"/>
            </w:tcBorders>
            <w:shd w:val="clear" w:color="auto" w:fill="auto"/>
            <w:noWrap/>
            <w:vAlign w:val="bottom"/>
            <w:hideMark/>
          </w:tcPr>
          <w:p w14:paraId="258447C1"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Placebo</w:t>
            </w:r>
          </w:p>
        </w:tc>
        <w:tc>
          <w:tcPr>
            <w:tcW w:w="1436" w:type="dxa"/>
            <w:gridSpan w:val="4"/>
            <w:tcBorders>
              <w:top w:val="nil"/>
              <w:left w:val="nil"/>
              <w:bottom w:val="single" w:sz="4" w:space="0" w:color="auto"/>
              <w:right w:val="nil"/>
            </w:tcBorders>
            <w:shd w:val="clear" w:color="auto" w:fill="auto"/>
            <w:noWrap/>
            <w:vAlign w:val="bottom"/>
            <w:hideMark/>
          </w:tcPr>
          <w:p w14:paraId="5EC18929"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Oxytocin</w:t>
            </w:r>
          </w:p>
        </w:tc>
        <w:tc>
          <w:tcPr>
            <w:tcW w:w="1678" w:type="dxa"/>
            <w:gridSpan w:val="4"/>
            <w:tcBorders>
              <w:top w:val="nil"/>
              <w:left w:val="nil"/>
              <w:bottom w:val="single" w:sz="4" w:space="0" w:color="auto"/>
              <w:right w:val="nil"/>
            </w:tcBorders>
            <w:shd w:val="clear" w:color="auto" w:fill="auto"/>
            <w:noWrap/>
            <w:vAlign w:val="bottom"/>
            <w:hideMark/>
          </w:tcPr>
          <w:p w14:paraId="41B7BFC3"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Placebo</w:t>
            </w:r>
          </w:p>
        </w:tc>
      </w:tr>
      <w:tr w:rsidR="005408F2" w:rsidRPr="005349B5" w14:paraId="0CBBA0E9" w14:textId="77777777" w:rsidTr="005408F2">
        <w:trPr>
          <w:gridAfter w:val="1"/>
          <w:wAfter w:w="116" w:type="dxa"/>
          <w:trHeight w:val="290"/>
        </w:trPr>
        <w:tc>
          <w:tcPr>
            <w:tcW w:w="2469" w:type="dxa"/>
            <w:gridSpan w:val="2"/>
            <w:tcBorders>
              <w:top w:val="nil"/>
              <w:left w:val="nil"/>
              <w:bottom w:val="nil"/>
              <w:right w:val="nil"/>
            </w:tcBorders>
            <w:shd w:val="clear" w:color="000000" w:fill="E7E6E6"/>
            <w:noWrap/>
            <w:vAlign w:val="bottom"/>
            <w:hideMark/>
          </w:tcPr>
          <w:p w14:paraId="7B4F1B46"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Salivary samples</w:t>
            </w:r>
          </w:p>
        </w:tc>
        <w:tc>
          <w:tcPr>
            <w:tcW w:w="999" w:type="dxa"/>
            <w:gridSpan w:val="2"/>
            <w:tcBorders>
              <w:top w:val="nil"/>
              <w:left w:val="nil"/>
              <w:bottom w:val="nil"/>
              <w:right w:val="nil"/>
            </w:tcBorders>
            <w:shd w:val="clear" w:color="000000" w:fill="E7E6E6"/>
            <w:noWrap/>
            <w:vAlign w:val="bottom"/>
            <w:hideMark/>
          </w:tcPr>
          <w:p w14:paraId="24D65387"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620" w:type="dxa"/>
            <w:gridSpan w:val="2"/>
            <w:tcBorders>
              <w:top w:val="nil"/>
              <w:left w:val="nil"/>
              <w:bottom w:val="nil"/>
              <w:right w:val="nil"/>
            </w:tcBorders>
            <w:shd w:val="clear" w:color="000000" w:fill="E7E6E6"/>
            <w:noWrap/>
            <w:vAlign w:val="bottom"/>
            <w:hideMark/>
          </w:tcPr>
          <w:p w14:paraId="4D4F28B3"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620" w:type="dxa"/>
            <w:gridSpan w:val="2"/>
            <w:tcBorders>
              <w:top w:val="nil"/>
              <w:left w:val="nil"/>
              <w:bottom w:val="nil"/>
              <w:right w:val="nil"/>
            </w:tcBorders>
            <w:shd w:val="clear" w:color="000000" w:fill="E7E6E6"/>
            <w:noWrap/>
            <w:vAlign w:val="bottom"/>
            <w:hideMark/>
          </w:tcPr>
          <w:p w14:paraId="70D93FE1"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718" w:type="dxa"/>
            <w:gridSpan w:val="2"/>
            <w:tcBorders>
              <w:top w:val="nil"/>
              <w:left w:val="nil"/>
              <w:bottom w:val="nil"/>
              <w:right w:val="nil"/>
            </w:tcBorders>
            <w:shd w:val="clear" w:color="000000" w:fill="E7E6E6"/>
            <w:noWrap/>
            <w:vAlign w:val="bottom"/>
            <w:hideMark/>
          </w:tcPr>
          <w:p w14:paraId="5974874F"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718" w:type="dxa"/>
            <w:gridSpan w:val="2"/>
            <w:tcBorders>
              <w:top w:val="nil"/>
              <w:left w:val="nil"/>
              <w:bottom w:val="nil"/>
              <w:right w:val="nil"/>
            </w:tcBorders>
            <w:shd w:val="clear" w:color="000000" w:fill="E7E6E6"/>
            <w:noWrap/>
            <w:vAlign w:val="bottom"/>
            <w:hideMark/>
          </w:tcPr>
          <w:p w14:paraId="6677C32E"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718" w:type="dxa"/>
            <w:gridSpan w:val="2"/>
            <w:tcBorders>
              <w:top w:val="nil"/>
              <w:left w:val="nil"/>
              <w:bottom w:val="nil"/>
              <w:right w:val="nil"/>
            </w:tcBorders>
            <w:shd w:val="clear" w:color="000000" w:fill="E7E6E6"/>
            <w:noWrap/>
            <w:vAlign w:val="bottom"/>
            <w:hideMark/>
          </w:tcPr>
          <w:p w14:paraId="1B87A19E"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718" w:type="dxa"/>
            <w:gridSpan w:val="2"/>
            <w:tcBorders>
              <w:top w:val="nil"/>
              <w:left w:val="nil"/>
              <w:bottom w:val="nil"/>
              <w:right w:val="nil"/>
            </w:tcBorders>
            <w:shd w:val="clear" w:color="000000" w:fill="E7E6E6"/>
            <w:noWrap/>
            <w:vAlign w:val="bottom"/>
            <w:hideMark/>
          </w:tcPr>
          <w:p w14:paraId="3D4FDF13"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620" w:type="dxa"/>
            <w:gridSpan w:val="2"/>
            <w:tcBorders>
              <w:top w:val="nil"/>
              <w:left w:val="nil"/>
              <w:bottom w:val="nil"/>
              <w:right w:val="nil"/>
            </w:tcBorders>
            <w:shd w:val="clear" w:color="000000" w:fill="E7E6E6"/>
            <w:noWrap/>
            <w:vAlign w:val="bottom"/>
            <w:hideMark/>
          </w:tcPr>
          <w:p w14:paraId="3C2DA9FA"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620" w:type="dxa"/>
            <w:gridSpan w:val="2"/>
            <w:tcBorders>
              <w:top w:val="nil"/>
              <w:left w:val="nil"/>
              <w:bottom w:val="nil"/>
              <w:right w:val="nil"/>
            </w:tcBorders>
            <w:shd w:val="clear" w:color="000000" w:fill="E7E6E6"/>
            <w:noWrap/>
            <w:vAlign w:val="bottom"/>
            <w:hideMark/>
          </w:tcPr>
          <w:p w14:paraId="3EDEC000"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620" w:type="dxa"/>
            <w:gridSpan w:val="2"/>
            <w:tcBorders>
              <w:top w:val="nil"/>
              <w:left w:val="nil"/>
              <w:bottom w:val="nil"/>
              <w:right w:val="nil"/>
            </w:tcBorders>
            <w:shd w:val="clear" w:color="000000" w:fill="E7E6E6"/>
            <w:noWrap/>
            <w:vAlign w:val="bottom"/>
            <w:hideMark/>
          </w:tcPr>
          <w:p w14:paraId="02789439"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620" w:type="dxa"/>
            <w:gridSpan w:val="2"/>
            <w:tcBorders>
              <w:top w:val="nil"/>
              <w:left w:val="nil"/>
              <w:bottom w:val="nil"/>
              <w:right w:val="nil"/>
            </w:tcBorders>
            <w:shd w:val="clear" w:color="000000" w:fill="E7E6E6"/>
            <w:noWrap/>
            <w:vAlign w:val="bottom"/>
            <w:hideMark/>
          </w:tcPr>
          <w:p w14:paraId="66DB087A"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718" w:type="dxa"/>
            <w:gridSpan w:val="2"/>
            <w:tcBorders>
              <w:top w:val="nil"/>
              <w:left w:val="nil"/>
              <w:bottom w:val="nil"/>
              <w:right w:val="nil"/>
            </w:tcBorders>
            <w:shd w:val="clear" w:color="000000" w:fill="E7E6E6"/>
            <w:noWrap/>
            <w:vAlign w:val="bottom"/>
            <w:hideMark/>
          </w:tcPr>
          <w:p w14:paraId="7BE10BE2"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718" w:type="dxa"/>
            <w:gridSpan w:val="2"/>
            <w:tcBorders>
              <w:top w:val="nil"/>
              <w:left w:val="nil"/>
              <w:bottom w:val="nil"/>
              <w:right w:val="nil"/>
            </w:tcBorders>
            <w:shd w:val="clear" w:color="000000" w:fill="E7E6E6"/>
            <w:noWrap/>
            <w:vAlign w:val="bottom"/>
            <w:hideMark/>
          </w:tcPr>
          <w:p w14:paraId="0391CC99"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718" w:type="dxa"/>
            <w:gridSpan w:val="2"/>
            <w:tcBorders>
              <w:top w:val="nil"/>
              <w:left w:val="nil"/>
              <w:bottom w:val="nil"/>
              <w:right w:val="nil"/>
            </w:tcBorders>
            <w:shd w:val="clear" w:color="000000" w:fill="E7E6E6"/>
            <w:noWrap/>
            <w:vAlign w:val="bottom"/>
            <w:hideMark/>
          </w:tcPr>
          <w:p w14:paraId="0B62C7DA"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c>
          <w:tcPr>
            <w:tcW w:w="960" w:type="dxa"/>
            <w:gridSpan w:val="2"/>
            <w:tcBorders>
              <w:top w:val="nil"/>
              <w:left w:val="nil"/>
              <w:bottom w:val="nil"/>
              <w:right w:val="nil"/>
            </w:tcBorders>
            <w:shd w:val="clear" w:color="000000" w:fill="E7E6E6"/>
            <w:noWrap/>
            <w:vAlign w:val="bottom"/>
            <w:hideMark/>
          </w:tcPr>
          <w:p w14:paraId="6799A77F" w14:textId="77777777" w:rsidR="005408F2" w:rsidRPr="005349B5" w:rsidRDefault="005408F2" w:rsidP="005408F2">
            <w:pPr>
              <w:spacing w:after="0" w:line="240" w:lineRule="auto"/>
              <w:rPr>
                <w:rFonts w:ascii="Times New Roman" w:eastAsia="Times New Roman" w:hAnsi="Times New Roman" w:cs="Times New Roman"/>
                <w:color w:val="000000"/>
                <w:sz w:val="24"/>
                <w:szCs w:val="24"/>
              </w:rPr>
            </w:pPr>
            <w:r w:rsidRPr="005349B5">
              <w:rPr>
                <w:rFonts w:ascii="Times New Roman" w:eastAsia="Times New Roman" w:hAnsi="Times New Roman" w:cs="Times New Roman"/>
                <w:color w:val="000000"/>
                <w:sz w:val="24"/>
                <w:szCs w:val="24"/>
              </w:rPr>
              <w:t> </w:t>
            </w:r>
          </w:p>
        </w:tc>
      </w:tr>
      <w:tr w:rsidR="005408F2" w:rsidRPr="005349B5" w14:paraId="3B8FEA50" w14:textId="77777777" w:rsidTr="005408F2">
        <w:trPr>
          <w:trHeight w:val="290"/>
        </w:trPr>
        <w:tc>
          <w:tcPr>
            <w:tcW w:w="2160" w:type="dxa"/>
            <w:tcBorders>
              <w:top w:val="nil"/>
              <w:left w:val="nil"/>
              <w:bottom w:val="nil"/>
              <w:right w:val="nil"/>
            </w:tcBorders>
            <w:shd w:val="clear" w:color="auto" w:fill="auto"/>
            <w:noWrap/>
            <w:vAlign w:val="bottom"/>
            <w:hideMark/>
          </w:tcPr>
          <w:p w14:paraId="1518C218"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vertAlign w:val="superscript"/>
              </w:rPr>
            </w:pPr>
            <w:proofErr w:type="spellStart"/>
            <w:r w:rsidRPr="005349B5">
              <w:rPr>
                <w:rFonts w:ascii="Times New Roman" w:eastAsia="Times New Roman" w:hAnsi="Times New Roman" w:cs="Times New Roman"/>
                <w:b/>
                <w:bCs/>
                <w:color w:val="000000"/>
                <w:sz w:val="24"/>
                <w:szCs w:val="24"/>
              </w:rPr>
              <w:t>Oxytocin</w:t>
            </w:r>
            <w:r w:rsidRPr="005349B5">
              <w:rPr>
                <w:rFonts w:ascii="Times New Roman" w:eastAsia="Times New Roman" w:hAnsi="Times New Roman" w:cs="Times New Roman"/>
                <w:b/>
                <w:bCs/>
                <w:color w:val="000000"/>
                <w:sz w:val="24"/>
                <w:szCs w:val="24"/>
                <w:vertAlign w:val="superscript"/>
              </w:rPr>
              <w:t>b</w:t>
            </w:r>
            <w:proofErr w:type="spellEnd"/>
          </w:p>
        </w:tc>
        <w:tc>
          <w:tcPr>
            <w:tcW w:w="607" w:type="dxa"/>
            <w:gridSpan w:val="2"/>
            <w:tcBorders>
              <w:top w:val="nil"/>
              <w:left w:val="nil"/>
              <w:bottom w:val="nil"/>
              <w:right w:val="nil"/>
            </w:tcBorders>
            <w:shd w:val="clear" w:color="auto" w:fill="auto"/>
            <w:noWrap/>
            <w:hideMark/>
          </w:tcPr>
          <w:p w14:paraId="71DAD614"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3.92</w:t>
            </w:r>
          </w:p>
        </w:tc>
        <w:tc>
          <w:tcPr>
            <w:tcW w:w="817" w:type="dxa"/>
            <w:gridSpan w:val="2"/>
            <w:tcBorders>
              <w:top w:val="nil"/>
              <w:left w:val="nil"/>
              <w:bottom w:val="nil"/>
              <w:right w:val="nil"/>
            </w:tcBorders>
            <w:shd w:val="clear" w:color="auto" w:fill="auto"/>
            <w:noWrap/>
            <w:hideMark/>
          </w:tcPr>
          <w:p w14:paraId="7353A26B"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2.17</w:t>
            </w:r>
          </w:p>
        </w:tc>
        <w:tc>
          <w:tcPr>
            <w:tcW w:w="620" w:type="dxa"/>
            <w:gridSpan w:val="2"/>
            <w:tcBorders>
              <w:top w:val="nil"/>
              <w:left w:val="nil"/>
              <w:bottom w:val="nil"/>
              <w:right w:val="nil"/>
            </w:tcBorders>
            <w:shd w:val="clear" w:color="auto" w:fill="auto"/>
            <w:noWrap/>
            <w:hideMark/>
          </w:tcPr>
          <w:p w14:paraId="6A8AC51A"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3.31</w:t>
            </w:r>
          </w:p>
        </w:tc>
        <w:tc>
          <w:tcPr>
            <w:tcW w:w="620" w:type="dxa"/>
            <w:gridSpan w:val="2"/>
            <w:tcBorders>
              <w:top w:val="nil"/>
              <w:left w:val="nil"/>
              <w:bottom w:val="nil"/>
              <w:right w:val="nil"/>
            </w:tcBorders>
            <w:shd w:val="clear" w:color="auto" w:fill="auto"/>
            <w:noWrap/>
            <w:hideMark/>
          </w:tcPr>
          <w:p w14:paraId="68B8556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1.52</w:t>
            </w:r>
          </w:p>
        </w:tc>
        <w:tc>
          <w:tcPr>
            <w:tcW w:w="718" w:type="dxa"/>
            <w:gridSpan w:val="2"/>
            <w:tcBorders>
              <w:top w:val="nil"/>
              <w:left w:val="nil"/>
              <w:bottom w:val="nil"/>
              <w:right w:val="nil"/>
            </w:tcBorders>
            <w:shd w:val="clear" w:color="auto" w:fill="auto"/>
            <w:noWrap/>
            <w:hideMark/>
          </w:tcPr>
          <w:p w14:paraId="02B04967"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2.23</w:t>
            </w:r>
          </w:p>
        </w:tc>
        <w:tc>
          <w:tcPr>
            <w:tcW w:w="718" w:type="dxa"/>
            <w:gridSpan w:val="2"/>
            <w:tcBorders>
              <w:top w:val="nil"/>
              <w:left w:val="nil"/>
              <w:bottom w:val="nil"/>
              <w:right w:val="nil"/>
            </w:tcBorders>
            <w:shd w:val="clear" w:color="auto" w:fill="auto"/>
            <w:noWrap/>
            <w:hideMark/>
          </w:tcPr>
          <w:p w14:paraId="3FFC9BC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0.97</w:t>
            </w:r>
          </w:p>
        </w:tc>
        <w:tc>
          <w:tcPr>
            <w:tcW w:w="718" w:type="dxa"/>
            <w:gridSpan w:val="2"/>
            <w:tcBorders>
              <w:top w:val="nil"/>
              <w:left w:val="nil"/>
              <w:bottom w:val="nil"/>
              <w:right w:val="nil"/>
            </w:tcBorders>
            <w:shd w:val="clear" w:color="auto" w:fill="auto"/>
            <w:noWrap/>
            <w:hideMark/>
          </w:tcPr>
          <w:p w14:paraId="58F022D1"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2.22</w:t>
            </w:r>
          </w:p>
        </w:tc>
        <w:tc>
          <w:tcPr>
            <w:tcW w:w="718" w:type="dxa"/>
            <w:gridSpan w:val="2"/>
            <w:tcBorders>
              <w:top w:val="nil"/>
              <w:left w:val="nil"/>
              <w:bottom w:val="nil"/>
              <w:right w:val="nil"/>
            </w:tcBorders>
            <w:shd w:val="clear" w:color="auto" w:fill="auto"/>
            <w:noWrap/>
            <w:hideMark/>
          </w:tcPr>
          <w:p w14:paraId="0F748565"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1.15</w:t>
            </w:r>
          </w:p>
        </w:tc>
        <w:tc>
          <w:tcPr>
            <w:tcW w:w="620" w:type="dxa"/>
            <w:gridSpan w:val="2"/>
            <w:tcBorders>
              <w:top w:val="nil"/>
              <w:left w:val="nil"/>
              <w:bottom w:val="nil"/>
              <w:right w:val="nil"/>
            </w:tcBorders>
            <w:shd w:val="clear" w:color="auto" w:fill="auto"/>
            <w:noWrap/>
            <w:hideMark/>
          </w:tcPr>
          <w:p w14:paraId="042E2287"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2.85</w:t>
            </w:r>
          </w:p>
        </w:tc>
        <w:tc>
          <w:tcPr>
            <w:tcW w:w="620" w:type="dxa"/>
            <w:gridSpan w:val="2"/>
            <w:tcBorders>
              <w:top w:val="nil"/>
              <w:left w:val="nil"/>
              <w:bottom w:val="nil"/>
              <w:right w:val="nil"/>
            </w:tcBorders>
            <w:shd w:val="clear" w:color="auto" w:fill="auto"/>
            <w:noWrap/>
            <w:hideMark/>
          </w:tcPr>
          <w:p w14:paraId="78EF364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2.04</w:t>
            </w:r>
          </w:p>
        </w:tc>
        <w:tc>
          <w:tcPr>
            <w:tcW w:w="620" w:type="dxa"/>
            <w:gridSpan w:val="2"/>
            <w:tcBorders>
              <w:top w:val="nil"/>
              <w:left w:val="nil"/>
              <w:bottom w:val="nil"/>
              <w:right w:val="nil"/>
            </w:tcBorders>
            <w:shd w:val="clear" w:color="auto" w:fill="auto"/>
            <w:noWrap/>
            <w:hideMark/>
          </w:tcPr>
          <w:p w14:paraId="0C03676B"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3.65</w:t>
            </w:r>
          </w:p>
        </w:tc>
        <w:tc>
          <w:tcPr>
            <w:tcW w:w="620" w:type="dxa"/>
            <w:gridSpan w:val="2"/>
            <w:tcBorders>
              <w:top w:val="nil"/>
              <w:left w:val="nil"/>
              <w:bottom w:val="nil"/>
              <w:right w:val="nil"/>
            </w:tcBorders>
            <w:shd w:val="clear" w:color="auto" w:fill="auto"/>
            <w:noWrap/>
            <w:hideMark/>
          </w:tcPr>
          <w:p w14:paraId="79A32AF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2.45</w:t>
            </w:r>
          </w:p>
        </w:tc>
        <w:tc>
          <w:tcPr>
            <w:tcW w:w="718" w:type="dxa"/>
            <w:gridSpan w:val="2"/>
            <w:tcBorders>
              <w:top w:val="nil"/>
              <w:left w:val="nil"/>
              <w:bottom w:val="nil"/>
              <w:right w:val="nil"/>
            </w:tcBorders>
            <w:shd w:val="clear" w:color="auto" w:fill="auto"/>
            <w:noWrap/>
            <w:hideMark/>
          </w:tcPr>
          <w:p w14:paraId="03B34CCD"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2.48</w:t>
            </w:r>
          </w:p>
        </w:tc>
        <w:tc>
          <w:tcPr>
            <w:tcW w:w="718" w:type="dxa"/>
            <w:gridSpan w:val="2"/>
            <w:tcBorders>
              <w:top w:val="nil"/>
              <w:left w:val="nil"/>
              <w:bottom w:val="nil"/>
              <w:right w:val="nil"/>
            </w:tcBorders>
            <w:shd w:val="clear" w:color="auto" w:fill="auto"/>
            <w:noWrap/>
            <w:hideMark/>
          </w:tcPr>
          <w:p w14:paraId="109601A8"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1.47</w:t>
            </w:r>
          </w:p>
        </w:tc>
        <w:tc>
          <w:tcPr>
            <w:tcW w:w="718" w:type="dxa"/>
            <w:gridSpan w:val="2"/>
            <w:tcBorders>
              <w:top w:val="nil"/>
              <w:left w:val="nil"/>
              <w:bottom w:val="nil"/>
              <w:right w:val="nil"/>
            </w:tcBorders>
            <w:shd w:val="clear" w:color="auto" w:fill="auto"/>
            <w:noWrap/>
            <w:hideMark/>
          </w:tcPr>
          <w:p w14:paraId="65CA51D0"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2.48</w:t>
            </w:r>
          </w:p>
        </w:tc>
        <w:tc>
          <w:tcPr>
            <w:tcW w:w="960" w:type="dxa"/>
            <w:gridSpan w:val="2"/>
            <w:tcBorders>
              <w:top w:val="nil"/>
              <w:left w:val="nil"/>
              <w:bottom w:val="nil"/>
              <w:right w:val="nil"/>
            </w:tcBorders>
            <w:shd w:val="clear" w:color="auto" w:fill="auto"/>
            <w:noWrap/>
            <w:hideMark/>
          </w:tcPr>
          <w:p w14:paraId="1DB172DA"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1.77</w:t>
            </w:r>
          </w:p>
        </w:tc>
      </w:tr>
      <w:tr w:rsidR="005408F2" w:rsidRPr="005349B5" w14:paraId="7BF72C46" w14:textId="77777777" w:rsidTr="005408F2">
        <w:trPr>
          <w:trHeight w:val="290"/>
        </w:trPr>
        <w:tc>
          <w:tcPr>
            <w:tcW w:w="2160" w:type="dxa"/>
            <w:tcBorders>
              <w:top w:val="nil"/>
              <w:left w:val="nil"/>
              <w:bottom w:val="nil"/>
              <w:right w:val="nil"/>
            </w:tcBorders>
            <w:shd w:val="clear" w:color="auto" w:fill="auto"/>
            <w:noWrap/>
            <w:vAlign w:val="bottom"/>
            <w:hideMark/>
          </w:tcPr>
          <w:p w14:paraId="1B1CE617" w14:textId="77777777" w:rsidR="005408F2" w:rsidRPr="005349B5" w:rsidRDefault="005408F2" w:rsidP="005408F2">
            <w:pPr>
              <w:spacing w:after="0" w:line="240" w:lineRule="auto"/>
              <w:rPr>
                <w:rFonts w:ascii="Times New Roman" w:eastAsia="Times New Roman" w:hAnsi="Times New Roman" w:cs="Times New Roman"/>
                <w:b/>
                <w:bCs/>
                <w:color w:val="993300"/>
                <w:sz w:val="24"/>
                <w:szCs w:val="24"/>
              </w:rPr>
            </w:pPr>
          </w:p>
        </w:tc>
        <w:tc>
          <w:tcPr>
            <w:tcW w:w="607" w:type="dxa"/>
            <w:gridSpan w:val="2"/>
            <w:tcBorders>
              <w:top w:val="nil"/>
              <w:left w:val="nil"/>
              <w:bottom w:val="nil"/>
              <w:right w:val="nil"/>
            </w:tcBorders>
            <w:shd w:val="clear" w:color="auto" w:fill="auto"/>
            <w:noWrap/>
            <w:vAlign w:val="bottom"/>
            <w:hideMark/>
          </w:tcPr>
          <w:p w14:paraId="3EB3D0D4"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817" w:type="dxa"/>
            <w:gridSpan w:val="2"/>
            <w:tcBorders>
              <w:top w:val="nil"/>
              <w:left w:val="nil"/>
              <w:bottom w:val="nil"/>
              <w:right w:val="nil"/>
            </w:tcBorders>
            <w:shd w:val="clear" w:color="auto" w:fill="auto"/>
            <w:noWrap/>
            <w:vAlign w:val="bottom"/>
            <w:hideMark/>
          </w:tcPr>
          <w:p w14:paraId="135F320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460E13CC"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251A653C"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vAlign w:val="bottom"/>
            <w:hideMark/>
          </w:tcPr>
          <w:p w14:paraId="00AA6666"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vAlign w:val="bottom"/>
            <w:hideMark/>
          </w:tcPr>
          <w:p w14:paraId="242701FE"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vAlign w:val="bottom"/>
            <w:hideMark/>
          </w:tcPr>
          <w:p w14:paraId="078423D4"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vAlign w:val="bottom"/>
            <w:hideMark/>
          </w:tcPr>
          <w:p w14:paraId="735F1D9E"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2300354B"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5A0935EB"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2E6650A3"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2630560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vAlign w:val="bottom"/>
            <w:hideMark/>
          </w:tcPr>
          <w:p w14:paraId="2760479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vAlign w:val="bottom"/>
            <w:hideMark/>
          </w:tcPr>
          <w:p w14:paraId="33A67266"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vAlign w:val="bottom"/>
            <w:hideMark/>
          </w:tcPr>
          <w:p w14:paraId="137F7C0A"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960" w:type="dxa"/>
            <w:gridSpan w:val="2"/>
            <w:tcBorders>
              <w:top w:val="nil"/>
              <w:left w:val="nil"/>
              <w:bottom w:val="nil"/>
              <w:right w:val="nil"/>
            </w:tcBorders>
            <w:shd w:val="clear" w:color="auto" w:fill="auto"/>
            <w:noWrap/>
            <w:vAlign w:val="bottom"/>
            <w:hideMark/>
          </w:tcPr>
          <w:p w14:paraId="1CC63BF7"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r>
      <w:tr w:rsidR="005408F2" w:rsidRPr="005349B5" w14:paraId="519E4A9D" w14:textId="77777777" w:rsidTr="005408F2">
        <w:trPr>
          <w:gridAfter w:val="1"/>
          <w:wAfter w:w="116" w:type="dxa"/>
          <w:trHeight w:val="290"/>
        </w:trPr>
        <w:tc>
          <w:tcPr>
            <w:tcW w:w="2469" w:type="dxa"/>
            <w:gridSpan w:val="2"/>
            <w:tcBorders>
              <w:top w:val="nil"/>
              <w:left w:val="nil"/>
              <w:bottom w:val="nil"/>
              <w:right w:val="nil"/>
            </w:tcBorders>
            <w:shd w:val="clear" w:color="000000" w:fill="E7E6E6"/>
            <w:noWrap/>
            <w:vAlign w:val="bottom"/>
            <w:hideMark/>
          </w:tcPr>
          <w:p w14:paraId="546A6673"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Plasma samples</w:t>
            </w:r>
          </w:p>
        </w:tc>
        <w:tc>
          <w:tcPr>
            <w:tcW w:w="999" w:type="dxa"/>
            <w:gridSpan w:val="2"/>
            <w:tcBorders>
              <w:top w:val="nil"/>
              <w:left w:val="nil"/>
              <w:bottom w:val="nil"/>
              <w:right w:val="nil"/>
            </w:tcBorders>
            <w:shd w:val="clear" w:color="000000" w:fill="E7E6E6"/>
            <w:noWrap/>
            <w:vAlign w:val="bottom"/>
            <w:hideMark/>
          </w:tcPr>
          <w:p w14:paraId="10E92EB5"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620" w:type="dxa"/>
            <w:gridSpan w:val="2"/>
            <w:tcBorders>
              <w:top w:val="nil"/>
              <w:left w:val="nil"/>
              <w:bottom w:val="nil"/>
              <w:right w:val="nil"/>
            </w:tcBorders>
            <w:shd w:val="clear" w:color="000000" w:fill="E7E6E6"/>
            <w:noWrap/>
            <w:vAlign w:val="bottom"/>
            <w:hideMark/>
          </w:tcPr>
          <w:p w14:paraId="5CB1A2EE"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620" w:type="dxa"/>
            <w:gridSpan w:val="2"/>
            <w:tcBorders>
              <w:top w:val="nil"/>
              <w:left w:val="nil"/>
              <w:bottom w:val="nil"/>
              <w:right w:val="nil"/>
            </w:tcBorders>
            <w:shd w:val="clear" w:color="000000" w:fill="E7E6E6"/>
            <w:noWrap/>
            <w:vAlign w:val="bottom"/>
            <w:hideMark/>
          </w:tcPr>
          <w:p w14:paraId="25C461C0"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718" w:type="dxa"/>
            <w:gridSpan w:val="2"/>
            <w:tcBorders>
              <w:top w:val="nil"/>
              <w:left w:val="nil"/>
              <w:bottom w:val="nil"/>
              <w:right w:val="nil"/>
            </w:tcBorders>
            <w:shd w:val="clear" w:color="000000" w:fill="E7E6E6"/>
            <w:noWrap/>
            <w:vAlign w:val="bottom"/>
            <w:hideMark/>
          </w:tcPr>
          <w:p w14:paraId="79E6BBB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718" w:type="dxa"/>
            <w:gridSpan w:val="2"/>
            <w:tcBorders>
              <w:top w:val="nil"/>
              <w:left w:val="nil"/>
              <w:bottom w:val="nil"/>
              <w:right w:val="nil"/>
            </w:tcBorders>
            <w:shd w:val="clear" w:color="000000" w:fill="E7E6E6"/>
            <w:noWrap/>
            <w:vAlign w:val="bottom"/>
            <w:hideMark/>
          </w:tcPr>
          <w:p w14:paraId="23BB774E"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718" w:type="dxa"/>
            <w:gridSpan w:val="2"/>
            <w:tcBorders>
              <w:top w:val="nil"/>
              <w:left w:val="nil"/>
              <w:bottom w:val="nil"/>
              <w:right w:val="nil"/>
            </w:tcBorders>
            <w:shd w:val="clear" w:color="000000" w:fill="E7E6E6"/>
            <w:noWrap/>
            <w:vAlign w:val="bottom"/>
            <w:hideMark/>
          </w:tcPr>
          <w:p w14:paraId="69DCA48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718" w:type="dxa"/>
            <w:gridSpan w:val="2"/>
            <w:tcBorders>
              <w:top w:val="nil"/>
              <w:left w:val="nil"/>
              <w:bottom w:val="nil"/>
              <w:right w:val="nil"/>
            </w:tcBorders>
            <w:shd w:val="clear" w:color="000000" w:fill="E7E6E6"/>
            <w:noWrap/>
            <w:vAlign w:val="bottom"/>
            <w:hideMark/>
          </w:tcPr>
          <w:p w14:paraId="509FD968"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620" w:type="dxa"/>
            <w:gridSpan w:val="2"/>
            <w:tcBorders>
              <w:top w:val="nil"/>
              <w:left w:val="nil"/>
              <w:bottom w:val="nil"/>
              <w:right w:val="nil"/>
            </w:tcBorders>
            <w:shd w:val="clear" w:color="000000" w:fill="E7E6E6"/>
            <w:noWrap/>
            <w:vAlign w:val="bottom"/>
            <w:hideMark/>
          </w:tcPr>
          <w:p w14:paraId="1F643DE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620" w:type="dxa"/>
            <w:gridSpan w:val="2"/>
            <w:tcBorders>
              <w:top w:val="nil"/>
              <w:left w:val="nil"/>
              <w:bottom w:val="nil"/>
              <w:right w:val="nil"/>
            </w:tcBorders>
            <w:shd w:val="clear" w:color="000000" w:fill="E7E6E6"/>
            <w:noWrap/>
            <w:vAlign w:val="bottom"/>
            <w:hideMark/>
          </w:tcPr>
          <w:p w14:paraId="63A6A51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620" w:type="dxa"/>
            <w:gridSpan w:val="2"/>
            <w:tcBorders>
              <w:top w:val="nil"/>
              <w:left w:val="nil"/>
              <w:bottom w:val="nil"/>
              <w:right w:val="nil"/>
            </w:tcBorders>
            <w:shd w:val="clear" w:color="000000" w:fill="E7E6E6"/>
            <w:noWrap/>
            <w:vAlign w:val="bottom"/>
            <w:hideMark/>
          </w:tcPr>
          <w:p w14:paraId="0B17968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620" w:type="dxa"/>
            <w:gridSpan w:val="2"/>
            <w:tcBorders>
              <w:top w:val="nil"/>
              <w:left w:val="nil"/>
              <w:bottom w:val="nil"/>
              <w:right w:val="nil"/>
            </w:tcBorders>
            <w:shd w:val="clear" w:color="000000" w:fill="E7E6E6"/>
            <w:noWrap/>
            <w:vAlign w:val="bottom"/>
            <w:hideMark/>
          </w:tcPr>
          <w:p w14:paraId="22F79875"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718" w:type="dxa"/>
            <w:gridSpan w:val="2"/>
            <w:tcBorders>
              <w:top w:val="nil"/>
              <w:left w:val="nil"/>
              <w:bottom w:val="nil"/>
              <w:right w:val="nil"/>
            </w:tcBorders>
            <w:shd w:val="clear" w:color="000000" w:fill="E7E6E6"/>
            <w:noWrap/>
            <w:vAlign w:val="bottom"/>
            <w:hideMark/>
          </w:tcPr>
          <w:p w14:paraId="0FA0964D"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718" w:type="dxa"/>
            <w:gridSpan w:val="2"/>
            <w:tcBorders>
              <w:top w:val="nil"/>
              <w:left w:val="nil"/>
              <w:bottom w:val="nil"/>
              <w:right w:val="nil"/>
            </w:tcBorders>
            <w:shd w:val="clear" w:color="000000" w:fill="E7E6E6"/>
            <w:noWrap/>
            <w:vAlign w:val="bottom"/>
            <w:hideMark/>
          </w:tcPr>
          <w:p w14:paraId="1EB2BAA0"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718" w:type="dxa"/>
            <w:gridSpan w:val="2"/>
            <w:tcBorders>
              <w:top w:val="nil"/>
              <w:left w:val="nil"/>
              <w:bottom w:val="nil"/>
              <w:right w:val="nil"/>
            </w:tcBorders>
            <w:shd w:val="clear" w:color="000000" w:fill="E7E6E6"/>
            <w:noWrap/>
            <w:vAlign w:val="bottom"/>
            <w:hideMark/>
          </w:tcPr>
          <w:p w14:paraId="49AE5DD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c>
          <w:tcPr>
            <w:tcW w:w="960" w:type="dxa"/>
            <w:gridSpan w:val="2"/>
            <w:tcBorders>
              <w:top w:val="nil"/>
              <w:left w:val="nil"/>
              <w:bottom w:val="nil"/>
              <w:right w:val="nil"/>
            </w:tcBorders>
            <w:shd w:val="clear" w:color="000000" w:fill="E7E6E6"/>
            <w:noWrap/>
            <w:vAlign w:val="bottom"/>
            <w:hideMark/>
          </w:tcPr>
          <w:p w14:paraId="4154145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 </w:t>
            </w:r>
          </w:p>
        </w:tc>
      </w:tr>
      <w:tr w:rsidR="005408F2" w:rsidRPr="005349B5" w14:paraId="25A68381" w14:textId="77777777" w:rsidTr="005408F2">
        <w:trPr>
          <w:trHeight w:val="290"/>
        </w:trPr>
        <w:tc>
          <w:tcPr>
            <w:tcW w:w="2160" w:type="dxa"/>
            <w:tcBorders>
              <w:top w:val="nil"/>
              <w:left w:val="nil"/>
              <w:bottom w:val="nil"/>
              <w:right w:val="nil"/>
            </w:tcBorders>
            <w:shd w:val="clear" w:color="auto" w:fill="auto"/>
            <w:noWrap/>
            <w:vAlign w:val="bottom"/>
            <w:hideMark/>
          </w:tcPr>
          <w:p w14:paraId="40A15B87"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vertAlign w:val="superscript"/>
              </w:rPr>
            </w:pPr>
            <w:proofErr w:type="spellStart"/>
            <w:r w:rsidRPr="005349B5">
              <w:rPr>
                <w:rFonts w:ascii="Times New Roman" w:eastAsia="Times New Roman" w:hAnsi="Times New Roman" w:cs="Times New Roman"/>
                <w:b/>
                <w:bCs/>
                <w:color w:val="000000"/>
                <w:sz w:val="24"/>
                <w:szCs w:val="24"/>
              </w:rPr>
              <w:t>Progesterone</w:t>
            </w:r>
            <w:r w:rsidRPr="005349B5">
              <w:rPr>
                <w:rFonts w:ascii="Times New Roman" w:eastAsia="Times New Roman" w:hAnsi="Times New Roman" w:cs="Times New Roman"/>
                <w:b/>
                <w:bCs/>
                <w:color w:val="000000"/>
                <w:sz w:val="24"/>
                <w:szCs w:val="24"/>
                <w:vertAlign w:val="superscript"/>
              </w:rPr>
              <w:t>c</w:t>
            </w:r>
            <w:proofErr w:type="spellEnd"/>
          </w:p>
        </w:tc>
        <w:tc>
          <w:tcPr>
            <w:tcW w:w="607" w:type="dxa"/>
            <w:gridSpan w:val="2"/>
            <w:tcBorders>
              <w:top w:val="nil"/>
              <w:left w:val="nil"/>
              <w:bottom w:val="nil"/>
              <w:right w:val="nil"/>
            </w:tcBorders>
            <w:shd w:val="clear" w:color="auto" w:fill="auto"/>
            <w:noWrap/>
            <w:vAlign w:val="bottom"/>
            <w:hideMark/>
          </w:tcPr>
          <w:p w14:paraId="0941128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817" w:type="dxa"/>
            <w:gridSpan w:val="2"/>
            <w:tcBorders>
              <w:top w:val="nil"/>
              <w:left w:val="nil"/>
              <w:bottom w:val="nil"/>
              <w:right w:val="nil"/>
            </w:tcBorders>
            <w:shd w:val="clear" w:color="auto" w:fill="auto"/>
            <w:noWrap/>
            <w:vAlign w:val="bottom"/>
            <w:hideMark/>
          </w:tcPr>
          <w:p w14:paraId="206F84C7"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71459CA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1698CFFA"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hideMark/>
          </w:tcPr>
          <w:p w14:paraId="7F6F5A98"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2.15</w:t>
            </w:r>
          </w:p>
        </w:tc>
        <w:tc>
          <w:tcPr>
            <w:tcW w:w="718" w:type="dxa"/>
            <w:gridSpan w:val="2"/>
            <w:tcBorders>
              <w:top w:val="nil"/>
              <w:left w:val="nil"/>
              <w:bottom w:val="nil"/>
              <w:right w:val="nil"/>
            </w:tcBorders>
            <w:shd w:val="clear" w:color="auto" w:fill="auto"/>
            <w:noWrap/>
            <w:hideMark/>
          </w:tcPr>
          <w:p w14:paraId="6DF382E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3.54</w:t>
            </w:r>
          </w:p>
        </w:tc>
        <w:tc>
          <w:tcPr>
            <w:tcW w:w="718" w:type="dxa"/>
            <w:gridSpan w:val="2"/>
            <w:tcBorders>
              <w:top w:val="nil"/>
              <w:left w:val="nil"/>
              <w:bottom w:val="nil"/>
              <w:right w:val="nil"/>
            </w:tcBorders>
            <w:shd w:val="clear" w:color="auto" w:fill="auto"/>
            <w:noWrap/>
            <w:hideMark/>
          </w:tcPr>
          <w:p w14:paraId="31F305A2"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2.43</w:t>
            </w:r>
          </w:p>
        </w:tc>
        <w:tc>
          <w:tcPr>
            <w:tcW w:w="718" w:type="dxa"/>
            <w:gridSpan w:val="2"/>
            <w:tcBorders>
              <w:top w:val="nil"/>
              <w:left w:val="nil"/>
              <w:bottom w:val="nil"/>
              <w:right w:val="nil"/>
            </w:tcBorders>
            <w:shd w:val="clear" w:color="auto" w:fill="auto"/>
            <w:noWrap/>
            <w:hideMark/>
          </w:tcPr>
          <w:p w14:paraId="532BE69A"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3.40</w:t>
            </w:r>
          </w:p>
        </w:tc>
        <w:tc>
          <w:tcPr>
            <w:tcW w:w="620" w:type="dxa"/>
            <w:gridSpan w:val="2"/>
            <w:tcBorders>
              <w:top w:val="nil"/>
              <w:left w:val="nil"/>
              <w:bottom w:val="nil"/>
              <w:right w:val="nil"/>
            </w:tcBorders>
            <w:shd w:val="clear" w:color="auto" w:fill="auto"/>
            <w:noWrap/>
            <w:vAlign w:val="bottom"/>
            <w:hideMark/>
          </w:tcPr>
          <w:p w14:paraId="563A781D"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1C1EC608"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639FDE0C"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hideMark/>
          </w:tcPr>
          <w:p w14:paraId="07165498"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hideMark/>
          </w:tcPr>
          <w:p w14:paraId="7EB803B6"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0.90</w:t>
            </w:r>
          </w:p>
        </w:tc>
        <w:tc>
          <w:tcPr>
            <w:tcW w:w="718" w:type="dxa"/>
            <w:gridSpan w:val="2"/>
            <w:tcBorders>
              <w:top w:val="nil"/>
              <w:left w:val="nil"/>
              <w:bottom w:val="nil"/>
              <w:right w:val="nil"/>
            </w:tcBorders>
            <w:shd w:val="clear" w:color="auto" w:fill="auto"/>
            <w:noWrap/>
            <w:hideMark/>
          </w:tcPr>
          <w:p w14:paraId="74735BAB"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1.48</w:t>
            </w:r>
          </w:p>
        </w:tc>
        <w:tc>
          <w:tcPr>
            <w:tcW w:w="718" w:type="dxa"/>
            <w:gridSpan w:val="2"/>
            <w:tcBorders>
              <w:top w:val="nil"/>
              <w:left w:val="nil"/>
              <w:bottom w:val="nil"/>
              <w:right w:val="nil"/>
            </w:tcBorders>
            <w:shd w:val="clear" w:color="auto" w:fill="auto"/>
            <w:noWrap/>
            <w:hideMark/>
          </w:tcPr>
          <w:p w14:paraId="0890A762"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0.91</w:t>
            </w:r>
          </w:p>
        </w:tc>
        <w:tc>
          <w:tcPr>
            <w:tcW w:w="960" w:type="dxa"/>
            <w:gridSpan w:val="2"/>
            <w:tcBorders>
              <w:top w:val="nil"/>
              <w:left w:val="nil"/>
              <w:bottom w:val="nil"/>
              <w:right w:val="nil"/>
            </w:tcBorders>
            <w:shd w:val="clear" w:color="auto" w:fill="auto"/>
            <w:noWrap/>
            <w:hideMark/>
          </w:tcPr>
          <w:p w14:paraId="3072229C"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1.64</w:t>
            </w:r>
          </w:p>
        </w:tc>
      </w:tr>
      <w:tr w:rsidR="005408F2" w:rsidRPr="005349B5" w14:paraId="4D7925A7" w14:textId="77777777" w:rsidTr="005408F2">
        <w:trPr>
          <w:trHeight w:val="290"/>
        </w:trPr>
        <w:tc>
          <w:tcPr>
            <w:tcW w:w="2160" w:type="dxa"/>
            <w:tcBorders>
              <w:top w:val="nil"/>
              <w:left w:val="nil"/>
              <w:bottom w:val="nil"/>
              <w:right w:val="nil"/>
            </w:tcBorders>
            <w:shd w:val="clear" w:color="auto" w:fill="auto"/>
            <w:noWrap/>
            <w:vAlign w:val="bottom"/>
          </w:tcPr>
          <w:p w14:paraId="000FB49F"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p>
        </w:tc>
        <w:tc>
          <w:tcPr>
            <w:tcW w:w="607" w:type="dxa"/>
            <w:gridSpan w:val="2"/>
            <w:tcBorders>
              <w:top w:val="nil"/>
              <w:left w:val="nil"/>
              <w:bottom w:val="nil"/>
              <w:right w:val="nil"/>
            </w:tcBorders>
            <w:shd w:val="clear" w:color="auto" w:fill="auto"/>
            <w:noWrap/>
            <w:vAlign w:val="bottom"/>
          </w:tcPr>
          <w:p w14:paraId="7590F98C"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817" w:type="dxa"/>
            <w:gridSpan w:val="2"/>
            <w:tcBorders>
              <w:top w:val="nil"/>
              <w:left w:val="nil"/>
              <w:bottom w:val="nil"/>
              <w:right w:val="nil"/>
            </w:tcBorders>
            <w:shd w:val="clear" w:color="auto" w:fill="auto"/>
            <w:noWrap/>
            <w:vAlign w:val="bottom"/>
          </w:tcPr>
          <w:p w14:paraId="55C25C2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tcPr>
          <w:p w14:paraId="1C555799"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tcPr>
          <w:p w14:paraId="110E5ADB"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tcPr>
          <w:p w14:paraId="6EC047F7"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tcPr>
          <w:p w14:paraId="6195C8B6"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tcPr>
          <w:p w14:paraId="4A41E33B"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tcPr>
          <w:p w14:paraId="5CB7249A"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tcPr>
          <w:p w14:paraId="7903FD6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tcPr>
          <w:p w14:paraId="291E953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tcPr>
          <w:p w14:paraId="154E5B09"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auto"/>
            <w:noWrap/>
            <w:vAlign w:val="bottom"/>
          </w:tcPr>
          <w:p w14:paraId="7A0720C3"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tcPr>
          <w:p w14:paraId="7E80D764"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tcPr>
          <w:p w14:paraId="2FD40F97"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auto"/>
            <w:noWrap/>
          </w:tcPr>
          <w:p w14:paraId="7566DBDC"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960" w:type="dxa"/>
            <w:gridSpan w:val="2"/>
            <w:tcBorders>
              <w:top w:val="nil"/>
              <w:left w:val="nil"/>
              <w:bottom w:val="nil"/>
              <w:right w:val="nil"/>
            </w:tcBorders>
            <w:shd w:val="clear" w:color="auto" w:fill="auto"/>
            <w:noWrap/>
          </w:tcPr>
          <w:p w14:paraId="060D761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r>
      <w:tr w:rsidR="005408F2" w:rsidRPr="005349B5" w14:paraId="17C6782C" w14:textId="77777777" w:rsidTr="005408F2">
        <w:trPr>
          <w:trHeight w:val="290"/>
        </w:trPr>
        <w:tc>
          <w:tcPr>
            <w:tcW w:w="2160" w:type="dxa"/>
            <w:tcBorders>
              <w:top w:val="nil"/>
              <w:left w:val="nil"/>
              <w:bottom w:val="nil"/>
              <w:right w:val="nil"/>
            </w:tcBorders>
            <w:shd w:val="clear" w:color="auto" w:fill="E7E6E6" w:themeFill="background2"/>
            <w:noWrap/>
            <w:vAlign w:val="bottom"/>
          </w:tcPr>
          <w:p w14:paraId="3BA65FD2"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Urinary samples</w:t>
            </w:r>
          </w:p>
        </w:tc>
        <w:tc>
          <w:tcPr>
            <w:tcW w:w="607" w:type="dxa"/>
            <w:gridSpan w:val="2"/>
            <w:tcBorders>
              <w:top w:val="nil"/>
              <w:left w:val="nil"/>
              <w:bottom w:val="nil"/>
              <w:right w:val="nil"/>
            </w:tcBorders>
            <w:shd w:val="clear" w:color="auto" w:fill="E7E6E6" w:themeFill="background2"/>
            <w:noWrap/>
            <w:vAlign w:val="bottom"/>
          </w:tcPr>
          <w:p w14:paraId="78B6C13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817" w:type="dxa"/>
            <w:gridSpan w:val="2"/>
            <w:tcBorders>
              <w:top w:val="nil"/>
              <w:left w:val="nil"/>
              <w:bottom w:val="nil"/>
              <w:right w:val="nil"/>
            </w:tcBorders>
            <w:shd w:val="clear" w:color="auto" w:fill="E7E6E6" w:themeFill="background2"/>
            <w:noWrap/>
            <w:vAlign w:val="bottom"/>
          </w:tcPr>
          <w:p w14:paraId="161E8710"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E7E6E6" w:themeFill="background2"/>
            <w:noWrap/>
            <w:vAlign w:val="bottom"/>
          </w:tcPr>
          <w:p w14:paraId="2C3039DE"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E7E6E6" w:themeFill="background2"/>
            <w:noWrap/>
            <w:vAlign w:val="bottom"/>
          </w:tcPr>
          <w:p w14:paraId="5128D74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E7E6E6" w:themeFill="background2"/>
            <w:noWrap/>
          </w:tcPr>
          <w:p w14:paraId="26D8CD7D"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E7E6E6" w:themeFill="background2"/>
            <w:noWrap/>
          </w:tcPr>
          <w:p w14:paraId="664FFB7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E7E6E6" w:themeFill="background2"/>
            <w:noWrap/>
          </w:tcPr>
          <w:p w14:paraId="256DFF62"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E7E6E6" w:themeFill="background2"/>
            <w:noWrap/>
          </w:tcPr>
          <w:p w14:paraId="07EB2A9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E7E6E6" w:themeFill="background2"/>
            <w:noWrap/>
            <w:vAlign w:val="bottom"/>
          </w:tcPr>
          <w:p w14:paraId="63CCDFF4"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E7E6E6" w:themeFill="background2"/>
            <w:noWrap/>
            <w:vAlign w:val="bottom"/>
          </w:tcPr>
          <w:p w14:paraId="45B88754"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E7E6E6" w:themeFill="background2"/>
            <w:noWrap/>
            <w:vAlign w:val="bottom"/>
          </w:tcPr>
          <w:p w14:paraId="532C8CBD"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620" w:type="dxa"/>
            <w:gridSpan w:val="2"/>
            <w:tcBorders>
              <w:top w:val="nil"/>
              <w:left w:val="nil"/>
              <w:bottom w:val="nil"/>
              <w:right w:val="nil"/>
            </w:tcBorders>
            <w:shd w:val="clear" w:color="auto" w:fill="E7E6E6" w:themeFill="background2"/>
            <w:noWrap/>
            <w:vAlign w:val="bottom"/>
          </w:tcPr>
          <w:p w14:paraId="6F2005B9"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E7E6E6" w:themeFill="background2"/>
            <w:noWrap/>
          </w:tcPr>
          <w:p w14:paraId="3A888CF5"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E7E6E6" w:themeFill="background2"/>
            <w:noWrap/>
          </w:tcPr>
          <w:p w14:paraId="23946B7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c>
          <w:tcPr>
            <w:tcW w:w="718" w:type="dxa"/>
            <w:gridSpan w:val="2"/>
            <w:tcBorders>
              <w:top w:val="nil"/>
              <w:left w:val="nil"/>
              <w:bottom w:val="nil"/>
              <w:right w:val="nil"/>
            </w:tcBorders>
            <w:shd w:val="clear" w:color="auto" w:fill="E7E6E6" w:themeFill="background2"/>
            <w:noWrap/>
          </w:tcPr>
          <w:p w14:paraId="0FECAE79"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p>
        </w:tc>
        <w:tc>
          <w:tcPr>
            <w:tcW w:w="960" w:type="dxa"/>
            <w:gridSpan w:val="2"/>
            <w:tcBorders>
              <w:top w:val="nil"/>
              <w:left w:val="nil"/>
              <w:bottom w:val="nil"/>
              <w:right w:val="nil"/>
            </w:tcBorders>
            <w:shd w:val="clear" w:color="auto" w:fill="E7E6E6" w:themeFill="background2"/>
            <w:noWrap/>
          </w:tcPr>
          <w:p w14:paraId="05EE087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p>
        </w:tc>
      </w:tr>
      <w:tr w:rsidR="005408F2" w:rsidRPr="005349B5" w14:paraId="0748A437" w14:textId="77777777" w:rsidTr="005408F2">
        <w:trPr>
          <w:trHeight w:val="290"/>
        </w:trPr>
        <w:tc>
          <w:tcPr>
            <w:tcW w:w="2160" w:type="dxa"/>
            <w:tcBorders>
              <w:top w:val="nil"/>
              <w:left w:val="nil"/>
              <w:bottom w:val="nil"/>
              <w:right w:val="nil"/>
            </w:tcBorders>
            <w:shd w:val="clear" w:color="auto" w:fill="auto"/>
            <w:noWrap/>
            <w:vAlign w:val="bottom"/>
          </w:tcPr>
          <w:p w14:paraId="33FCEE67" w14:textId="77777777" w:rsidR="005408F2" w:rsidRPr="005349B5" w:rsidRDefault="005408F2" w:rsidP="005408F2">
            <w:pPr>
              <w:spacing w:after="0" w:line="240" w:lineRule="auto"/>
              <w:rPr>
                <w:rFonts w:ascii="Times New Roman" w:eastAsia="Times New Roman" w:hAnsi="Times New Roman" w:cs="Times New Roman"/>
                <w:b/>
                <w:bCs/>
                <w:color w:val="000000"/>
                <w:sz w:val="24"/>
                <w:szCs w:val="24"/>
              </w:rPr>
            </w:pPr>
            <w:r w:rsidRPr="005349B5">
              <w:rPr>
                <w:rFonts w:ascii="Times New Roman" w:eastAsia="Times New Roman" w:hAnsi="Times New Roman" w:cs="Times New Roman"/>
                <w:b/>
                <w:bCs/>
                <w:color w:val="000000"/>
                <w:sz w:val="24"/>
                <w:szCs w:val="24"/>
              </w:rPr>
              <w:t>Cannabis positive</w:t>
            </w:r>
          </w:p>
        </w:tc>
        <w:tc>
          <w:tcPr>
            <w:tcW w:w="607" w:type="dxa"/>
            <w:gridSpan w:val="2"/>
            <w:tcBorders>
              <w:top w:val="nil"/>
              <w:left w:val="nil"/>
              <w:bottom w:val="nil"/>
              <w:right w:val="nil"/>
            </w:tcBorders>
            <w:shd w:val="clear" w:color="auto" w:fill="auto"/>
            <w:noWrap/>
            <w:vAlign w:val="bottom"/>
          </w:tcPr>
          <w:p w14:paraId="0952A4A9"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3</w:t>
            </w:r>
          </w:p>
        </w:tc>
        <w:tc>
          <w:tcPr>
            <w:tcW w:w="817" w:type="dxa"/>
            <w:gridSpan w:val="2"/>
            <w:tcBorders>
              <w:top w:val="nil"/>
              <w:left w:val="nil"/>
              <w:bottom w:val="nil"/>
              <w:right w:val="nil"/>
            </w:tcBorders>
            <w:shd w:val="clear" w:color="auto" w:fill="auto"/>
            <w:noWrap/>
            <w:vAlign w:val="bottom"/>
          </w:tcPr>
          <w:p w14:paraId="4283A68F"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15.0</w:t>
            </w:r>
          </w:p>
        </w:tc>
        <w:tc>
          <w:tcPr>
            <w:tcW w:w="620" w:type="dxa"/>
            <w:gridSpan w:val="2"/>
            <w:tcBorders>
              <w:top w:val="nil"/>
              <w:left w:val="nil"/>
              <w:bottom w:val="nil"/>
              <w:right w:val="nil"/>
            </w:tcBorders>
            <w:shd w:val="clear" w:color="auto" w:fill="auto"/>
            <w:noWrap/>
            <w:vAlign w:val="bottom"/>
          </w:tcPr>
          <w:p w14:paraId="4F999A8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w:t>
            </w:r>
          </w:p>
        </w:tc>
        <w:tc>
          <w:tcPr>
            <w:tcW w:w="620" w:type="dxa"/>
            <w:gridSpan w:val="2"/>
            <w:tcBorders>
              <w:top w:val="nil"/>
              <w:left w:val="nil"/>
              <w:bottom w:val="nil"/>
              <w:right w:val="nil"/>
            </w:tcBorders>
            <w:shd w:val="clear" w:color="auto" w:fill="auto"/>
            <w:noWrap/>
            <w:vAlign w:val="bottom"/>
          </w:tcPr>
          <w:p w14:paraId="52C94FE8"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25.0</w:t>
            </w:r>
          </w:p>
        </w:tc>
        <w:tc>
          <w:tcPr>
            <w:tcW w:w="718" w:type="dxa"/>
            <w:gridSpan w:val="2"/>
            <w:tcBorders>
              <w:top w:val="nil"/>
              <w:left w:val="nil"/>
              <w:bottom w:val="nil"/>
              <w:right w:val="nil"/>
            </w:tcBorders>
            <w:shd w:val="clear" w:color="auto" w:fill="auto"/>
            <w:noWrap/>
          </w:tcPr>
          <w:p w14:paraId="100B5997"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1</w:t>
            </w:r>
          </w:p>
        </w:tc>
        <w:tc>
          <w:tcPr>
            <w:tcW w:w="718" w:type="dxa"/>
            <w:gridSpan w:val="2"/>
            <w:tcBorders>
              <w:top w:val="nil"/>
              <w:left w:val="nil"/>
              <w:bottom w:val="nil"/>
              <w:right w:val="nil"/>
            </w:tcBorders>
            <w:shd w:val="clear" w:color="auto" w:fill="auto"/>
            <w:noWrap/>
          </w:tcPr>
          <w:p w14:paraId="1E78B552"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5.6</w:t>
            </w:r>
          </w:p>
        </w:tc>
        <w:tc>
          <w:tcPr>
            <w:tcW w:w="718" w:type="dxa"/>
            <w:gridSpan w:val="2"/>
            <w:tcBorders>
              <w:top w:val="nil"/>
              <w:left w:val="nil"/>
              <w:bottom w:val="nil"/>
              <w:right w:val="nil"/>
            </w:tcBorders>
            <w:shd w:val="clear" w:color="auto" w:fill="auto"/>
            <w:noWrap/>
          </w:tcPr>
          <w:p w14:paraId="17D0DEDD"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718" w:type="dxa"/>
            <w:gridSpan w:val="2"/>
            <w:tcBorders>
              <w:top w:val="nil"/>
              <w:left w:val="nil"/>
              <w:bottom w:val="nil"/>
              <w:right w:val="nil"/>
            </w:tcBorders>
            <w:shd w:val="clear" w:color="auto" w:fill="auto"/>
            <w:noWrap/>
          </w:tcPr>
          <w:p w14:paraId="4302701E"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620" w:type="dxa"/>
            <w:gridSpan w:val="2"/>
            <w:tcBorders>
              <w:top w:val="nil"/>
              <w:left w:val="nil"/>
              <w:bottom w:val="nil"/>
              <w:right w:val="nil"/>
            </w:tcBorders>
            <w:shd w:val="clear" w:color="auto" w:fill="auto"/>
            <w:noWrap/>
          </w:tcPr>
          <w:p w14:paraId="4F9412B4"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620" w:type="dxa"/>
            <w:gridSpan w:val="2"/>
            <w:tcBorders>
              <w:top w:val="nil"/>
              <w:left w:val="nil"/>
              <w:bottom w:val="nil"/>
              <w:right w:val="nil"/>
            </w:tcBorders>
            <w:shd w:val="clear" w:color="auto" w:fill="auto"/>
            <w:noWrap/>
          </w:tcPr>
          <w:p w14:paraId="7E9E5B2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620" w:type="dxa"/>
            <w:gridSpan w:val="2"/>
            <w:tcBorders>
              <w:top w:val="nil"/>
              <w:left w:val="nil"/>
              <w:bottom w:val="nil"/>
              <w:right w:val="nil"/>
            </w:tcBorders>
            <w:shd w:val="clear" w:color="auto" w:fill="auto"/>
            <w:noWrap/>
          </w:tcPr>
          <w:p w14:paraId="1C1AF5BB"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620" w:type="dxa"/>
            <w:gridSpan w:val="2"/>
            <w:tcBorders>
              <w:top w:val="nil"/>
              <w:left w:val="nil"/>
              <w:bottom w:val="nil"/>
              <w:right w:val="nil"/>
            </w:tcBorders>
            <w:shd w:val="clear" w:color="auto" w:fill="auto"/>
            <w:noWrap/>
          </w:tcPr>
          <w:p w14:paraId="5151BA69"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718" w:type="dxa"/>
            <w:gridSpan w:val="2"/>
            <w:tcBorders>
              <w:top w:val="nil"/>
              <w:left w:val="nil"/>
              <w:bottom w:val="nil"/>
              <w:right w:val="nil"/>
            </w:tcBorders>
            <w:shd w:val="clear" w:color="auto" w:fill="auto"/>
            <w:noWrap/>
          </w:tcPr>
          <w:p w14:paraId="47691FD1"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718" w:type="dxa"/>
            <w:gridSpan w:val="2"/>
            <w:tcBorders>
              <w:top w:val="nil"/>
              <w:left w:val="nil"/>
              <w:bottom w:val="nil"/>
              <w:right w:val="nil"/>
            </w:tcBorders>
            <w:shd w:val="clear" w:color="auto" w:fill="auto"/>
            <w:noWrap/>
          </w:tcPr>
          <w:p w14:paraId="26F66E51"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c>
          <w:tcPr>
            <w:tcW w:w="718" w:type="dxa"/>
            <w:gridSpan w:val="2"/>
            <w:tcBorders>
              <w:top w:val="nil"/>
              <w:left w:val="nil"/>
              <w:bottom w:val="nil"/>
              <w:right w:val="nil"/>
            </w:tcBorders>
            <w:shd w:val="clear" w:color="auto" w:fill="auto"/>
            <w:noWrap/>
          </w:tcPr>
          <w:p w14:paraId="56F2E7A6" w14:textId="77777777" w:rsidR="005408F2" w:rsidRPr="005349B5" w:rsidRDefault="005408F2" w:rsidP="005408F2">
            <w:pPr>
              <w:spacing w:after="0" w:line="240" w:lineRule="auto"/>
              <w:jc w:val="right"/>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w:t>
            </w:r>
          </w:p>
        </w:tc>
        <w:tc>
          <w:tcPr>
            <w:tcW w:w="960" w:type="dxa"/>
            <w:gridSpan w:val="2"/>
            <w:tcBorders>
              <w:top w:val="nil"/>
              <w:left w:val="nil"/>
              <w:bottom w:val="nil"/>
              <w:right w:val="nil"/>
            </w:tcBorders>
            <w:shd w:val="clear" w:color="auto" w:fill="auto"/>
            <w:noWrap/>
          </w:tcPr>
          <w:p w14:paraId="3FADBD6C" w14:textId="77777777" w:rsidR="005408F2" w:rsidRPr="005349B5" w:rsidRDefault="005408F2" w:rsidP="005408F2">
            <w:pPr>
              <w:spacing w:after="0" w:line="240" w:lineRule="auto"/>
              <w:rPr>
                <w:rFonts w:ascii="Times New Roman" w:eastAsia="Times New Roman" w:hAnsi="Times New Roman" w:cs="Times New Roman"/>
                <w:color w:val="000000" w:themeColor="text1"/>
                <w:sz w:val="24"/>
                <w:szCs w:val="24"/>
              </w:rPr>
            </w:pPr>
            <w:r w:rsidRPr="005349B5">
              <w:rPr>
                <w:rFonts w:ascii="Times New Roman" w:eastAsia="Times New Roman" w:hAnsi="Times New Roman" w:cs="Times New Roman"/>
                <w:color w:val="000000" w:themeColor="text1"/>
                <w:sz w:val="24"/>
                <w:szCs w:val="24"/>
              </w:rPr>
              <w:t>0.0</w:t>
            </w:r>
          </w:p>
        </w:tc>
      </w:tr>
    </w:tbl>
    <w:p w14:paraId="08D08C81"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
    <w:p w14:paraId="43AADF05" w14:textId="77777777" w:rsidR="005408F2" w:rsidRPr="005349B5" w:rsidRDefault="005408F2" w:rsidP="005408F2">
      <w:pPr>
        <w:spacing w:after="0" w:line="480" w:lineRule="auto"/>
        <w:rPr>
          <w:rFonts w:ascii="Times New Roman" w:hAnsi="Times New Roman" w:cs="Times New Roman"/>
          <w:color w:val="000000" w:themeColor="text1"/>
          <w:sz w:val="24"/>
          <w:szCs w:val="24"/>
          <w:vertAlign w:val="superscript"/>
        </w:rPr>
      </w:pPr>
      <w:r w:rsidRPr="005349B5">
        <w:rPr>
          <w:rFonts w:ascii="Times New Roman" w:hAnsi="Times New Roman" w:cs="Times New Roman"/>
          <w:color w:val="000000" w:themeColor="text1"/>
          <w:sz w:val="24"/>
          <w:szCs w:val="24"/>
        </w:rPr>
        <w:t>ASPD = Antisocial personality disorder; f = female; HC = healthy control; m = male</w:t>
      </w:r>
    </w:p>
    <w:p w14:paraId="0D3A9876"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roofErr w:type="spellStart"/>
      <w:r w:rsidRPr="005349B5">
        <w:rPr>
          <w:rFonts w:ascii="Times New Roman" w:hAnsi="Times New Roman" w:cs="Times New Roman"/>
          <w:color w:val="000000" w:themeColor="text1"/>
          <w:sz w:val="24"/>
          <w:szCs w:val="24"/>
          <w:vertAlign w:val="superscript"/>
        </w:rPr>
        <w:t>a</w:t>
      </w:r>
      <w:r w:rsidRPr="005349B5">
        <w:rPr>
          <w:rFonts w:ascii="Times New Roman" w:hAnsi="Times New Roman" w:cs="Times New Roman"/>
          <w:color w:val="000000" w:themeColor="text1"/>
          <w:sz w:val="24"/>
          <w:szCs w:val="24"/>
        </w:rPr>
        <w:t>The</w:t>
      </w:r>
      <w:proofErr w:type="spellEnd"/>
      <w:r w:rsidRPr="005349B5">
        <w:rPr>
          <w:rFonts w:ascii="Times New Roman" w:hAnsi="Times New Roman" w:cs="Times New Roman"/>
          <w:color w:val="000000" w:themeColor="text1"/>
          <w:sz w:val="24"/>
          <w:szCs w:val="24"/>
        </w:rPr>
        <w:t xml:space="preserve"> numbers are expressed in means and standard deviations, except for cannabis positive urinary samples (numbers and percentage)</w:t>
      </w:r>
    </w:p>
    <w:p w14:paraId="1BF7B1F3"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roofErr w:type="spellStart"/>
      <w:r w:rsidRPr="005349B5">
        <w:rPr>
          <w:rFonts w:ascii="Times New Roman" w:hAnsi="Times New Roman" w:cs="Times New Roman"/>
          <w:color w:val="000000" w:themeColor="text1"/>
          <w:sz w:val="24"/>
          <w:szCs w:val="24"/>
          <w:vertAlign w:val="superscript"/>
        </w:rPr>
        <w:t>b</w:t>
      </w:r>
      <w:r w:rsidRPr="005349B5">
        <w:rPr>
          <w:rFonts w:ascii="Times New Roman" w:hAnsi="Times New Roman" w:cs="Times New Roman"/>
          <w:color w:val="000000" w:themeColor="text1"/>
          <w:sz w:val="24"/>
          <w:szCs w:val="24"/>
        </w:rPr>
        <w:t>Levels</w:t>
      </w:r>
      <w:proofErr w:type="spellEnd"/>
      <w:r w:rsidRPr="005349B5">
        <w:rPr>
          <w:rFonts w:ascii="Times New Roman" w:hAnsi="Times New Roman" w:cs="Times New Roman"/>
          <w:color w:val="000000" w:themeColor="text1"/>
          <w:sz w:val="24"/>
          <w:szCs w:val="24"/>
        </w:rPr>
        <w:t xml:space="preserve"> in </w:t>
      </w:r>
      <w:proofErr w:type="spellStart"/>
      <w:r w:rsidRPr="005349B5">
        <w:rPr>
          <w:rFonts w:ascii="Times New Roman" w:hAnsi="Times New Roman" w:cs="Times New Roman"/>
          <w:color w:val="000000" w:themeColor="text1"/>
          <w:sz w:val="24"/>
          <w:szCs w:val="24"/>
        </w:rPr>
        <w:t>pg</w:t>
      </w:r>
      <w:proofErr w:type="spellEnd"/>
      <w:r w:rsidRPr="005349B5">
        <w:rPr>
          <w:rFonts w:ascii="Times New Roman" w:hAnsi="Times New Roman" w:cs="Times New Roman"/>
          <w:color w:val="000000" w:themeColor="text1"/>
          <w:sz w:val="24"/>
          <w:szCs w:val="24"/>
        </w:rPr>
        <w:t>/mL</w:t>
      </w:r>
    </w:p>
    <w:p w14:paraId="08726AE8" w14:textId="77777777" w:rsidR="005408F2" w:rsidRPr="005349B5" w:rsidRDefault="005408F2" w:rsidP="005408F2">
      <w:pPr>
        <w:spacing w:after="0" w:line="480" w:lineRule="auto"/>
        <w:rPr>
          <w:rFonts w:ascii="Times New Roman" w:hAnsi="Times New Roman" w:cs="Times New Roman"/>
          <w:color w:val="000000" w:themeColor="text1"/>
          <w:sz w:val="24"/>
          <w:szCs w:val="24"/>
        </w:rPr>
      </w:pPr>
      <w:proofErr w:type="spellStart"/>
      <w:r w:rsidRPr="005349B5">
        <w:rPr>
          <w:rFonts w:ascii="Times New Roman" w:hAnsi="Times New Roman" w:cs="Times New Roman"/>
          <w:color w:val="000000" w:themeColor="text1"/>
          <w:sz w:val="24"/>
          <w:szCs w:val="24"/>
          <w:vertAlign w:val="superscript"/>
        </w:rPr>
        <w:t>c</w:t>
      </w:r>
      <w:r w:rsidRPr="005349B5">
        <w:rPr>
          <w:rFonts w:ascii="Times New Roman" w:hAnsi="Times New Roman" w:cs="Times New Roman"/>
          <w:color w:val="000000" w:themeColor="text1"/>
          <w:sz w:val="24"/>
          <w:szCs w:val="24"/>
        </w:rPr>
        <w:t>Levels</w:t>
      </w:r>
      <w:proofErr w:type="spellEnd"/>
      <w:r w:rsidRPr="005349B5">
        <w:rPr>
          <w:rFonts w:ascii="Times New Roman" w:hAnsi="Times New Roman" w:cs="Times New Roman"/>
          <w:color w:val="000000" w:themeColor="text1"/>
          <w:sz w:val="24"/>
          <w:szCs w:val="24"/>
        </w:rPr>
        <w:t xml:space="preserve"> in ng/mL</w:t>
      </w:r>
    </w:p>
    <w:p w14:paraId="666F7E94" w14:textId="77777777" w:rsidR="005408F2" w:rsidRPr="005349B5" w:rsidRDefault="005408F2" w:rsidP="00114E4E">
      <w:pPr>
        <w:shd w:val="clear" w:color="auto" w:fill="FFFFFF"/>
        <w:spacing w:after="0" w:line="480" w:lineRule="auto"/>
        <w:rPr>
          <w:rFonts w:ascii="Times New Roman" w:eastAsia="Times New Roman" w:hAnsi="Times New Roman" w:cs="Times New Roman"/>
          <w:b/>
          <w:color w:val="222222"/>
          <w:sz w:val="24"/>
          <w:szCs w:val="24"/>
          <w:lang w:val="en-US"/>
        </w:rPr>
      </w:pPr>
    </w:p>
    <w:p w14:paraId="3CAFEB37" w14:textId="11B2754B" w:rsidR="005408F2" w:rsidRPr="00F84330" w:rsidRDefault="00E9735D" w:rsidP="00F84330">
      <w:pPr>
        <w:spacing w:line="259" w:lineRule="auto"/>
        <w:rPr>
          <w:rFonts w:ascii="Times New Roman" w:eastAsia="Times New Roman" w:hAnsi="Times New Roman" w:cs="Times New Roman"/>
          <w:color w:val="222222"/>
          <w:sz w:val="24"/>
          <w:szCs w:val="24"/>
          <w:lang w:val="en-US"/>
        </w:rPr>
        <w:sectPr w:rsidR="005408F2" w:rsidRPr="00F84330" w:rsidSect="005408F2">
          <w:pgSz w:w="15840" w:h="12240" w:orient="landscape"/>
          <w:pgMar w:top="1440" w:right="1440" w:bottom="1440" w:left="1440" w:header="720" w:footer="720" w:gutter="0"/>
          <w:cols w:space="720"/>
          <w:docGrid w:linePitch="360"/>
        </w:sectPr>
      </w:pPr>
      <w:r w:rsidRPr="005349B5">
        <w:rPr>
          <w:rFonts w:ascii="Times New Roman" w:eastAsia="Times New Roman" w:hAnsi="Times New Roman" w:cs="Times New Roman"/>
          <w:color w:val="222222"/>
          <w:sz w:val="24"/>
          <w:szCs w:val="24"/>
          <w:lang w:val="en-US"/>
        </w:rPr>
        <w:br w:type="page"/>
      </w:r>
    </w:p>
    <w:p w14:paraId="5E789840" w14:textId="78DAE612" w:rsidR="00605039" w:rsidRPr="00DF6A2D" w:rsidRDefault="00DC4E52" w:rsidP="00DF6A2D">
      <w:pPr>
        <w:autoSpaceDE w:val="0"/>
        <w:autoSpaceDN w:val="0"/>
        <w:adjustRightInd w:val="0"/>
        <w:spacing w:after="0" w:line="480" w:lineRule="auto"/>
        <w:rPr>
          <w:rFonts w:ascii="Times New Roman" w:hAnsi="Times New Roman" w:cs="Times New Roman"/>
          <w:b/>
          <w:color w:val="231F20"/>
          <w:sz w:val="24"/>
          <w:szCs w:val="24"/>
        </w:rPr>
      </w:pPr>
      <w:r>
        <w:rPr>
          <w:rFonts w:ascii="Times New Roman" w:hAnsi="Times New Roman" w:cs="Times New Roman"/>
          <w:b/>
          <w:color w:val="231F20"/>
          <w:sz w:val="24"/>
          <w:szCs w:val="24"/>
        </w:rPr>
        <w:lastRenderedPageBreak/>
        <w:t>Study design</w:t>
      </w:r>
    </w:p>
    <w:p w14:paraId="69D48933" w14:textId="2860DFDD" w:rsidR="00DF6A2D" w:rsidRPr="00DF6A2D" w:rsidRDefault="00DF6A2D" w:rsidP="00DF6A2D">
      <w:pPr>
        <w:autoSpaceDE w:val="0"/>
        <w:autoSpaceDN w:val="0"/>
        <w:adjustRightInd w:val="0"/>
        <w:spacing w:after="0" w:line="480" w:lineRule="auto"/>
        <w:rPr>
          <w:rFonts w:ascii="Times New Roman" w:hAnsi="Times New Roman" w:cs="Times New Roman"/>
          <w:color w:val="231F20"/>
          <w:sz w:val="24"/>
          <w:szCs w:val="24"/>
        </w:rPr>
      </w:pPr>
      <w:r>
        <w:rPr>
          <w:rFonts w:ascii="Times New Roman" w:hAnsi="Times New Roman" w:cs="Times New Roman"/>
          <w:color w:val="231F20"/>
          <w:sz w:val="24"/>
          <w:szCs w:val="24"/>
        </w:rPr>
        <w:t>T</w:t>
      </w:r>
      <w:r w:rsidRPr="005349B5">
        <w:rPr>
          <w:rFonts w:ascii="Times New Roman" w:hAnsi="Times New Roman" w:cs="Times New Roman"/>
          <w:color w:val="231F20"/>
          <w:sz w:val="24"/>
          <w:szCs w:val="24"/>
        </w:rPr>
        <w:t xml:space="preserve">he </w:t>
      </w:r>
      <w:r w:rsidR="00CD315B">
        <w:rPr>
          <w:rFonts w:ascii="Times New Roman" w:hAnsi="Times New Roman" w:cs="Times New Roman"/>
          <w:color w:val="231F20"/>
          <w:sz w:val="24"/>
          <w:szCs w:val="24"/>
        </w:rPr>
        <w:t>participant</w:t>
      </w:r>
      <w:r w:rsidRPr="005349B5">
        <w:rPr>
          <w:rFonts w:ascii="Times New Roman" w:hAnsi="Times New Roman" w:cs="Times New Roman"/>
          <w:color w:val="231F20"/>
          <w:sz w:val="24"/>
          <w:szCs w:val="24"/>
        </w:rPr>
        <w:t>s were instructed to sit upright with their head tilted backwards before they exhaled and then inhaled deeply while self-administrating 6 puffs of a nasal spray of either OT (24 IU) or PLC, alternating between nostrils (with 45 seconds between puffs)</w:t>
      </w:r>
      <w:r>
        <w:rPr>
          <w:rFonts w:ascii="Times New Roman" w:hAnsi="Times New Roman" w:cs="Times New Roman"/>
          <w:color w:val="231F20"/>
          <w:sz w:val="24"/>
          <w:szCs w:val="24"/>
        </w:rPr>
        <w:t xml:space="preserve">. </w:t>
      </w:r>
      <w:r w:rsidRPr="005349B5">
        <w:rPr>
          <w:rFonts w:ascii="Times New Roman" w:hAnsi="Times New Roman" w:cs="Times New Roman"/>
          <w:color w:val="231F20"/>
          <w:sz w:val="24"/>
          <w:szCs w:val="24"/>
        </w:rPr>
        <w:t xml:space="preserve">After administration, they were asked to lie down for 10 min. </w:t>
      </w:r>
    </w:p>
    <w:p w14:paraId="396123FA" w14:textId="77777777" w:rsidR="00DF6A2D" w:rsidRDefault="00DF6A2D" w:rsidP="003A34D8">
      <w:pPr>
        <w:shd w:val="clear" w:color="auto" w:fill="FFFFFF"/>
        <w:spacing w:after="0" w:line="480" w:lineRule="auto"/>
        <w:rPr>
          <w:rFonts w:ascii="Times New Roman" w:eastAsia="Times New Roman" w:hAnsi="Times New Roman" w:cs="Times New Roman"/>
          <w:b/>
          <w:color w:val="3E3D40"/>
          <w:sz w:val="24"/>
          <w:szCs w:val="24"/>
        </w:rPr>
      </w:pPr>
    </w:p>
    <w:p w14:paraId="5252C27A" w14:textId="124345B3" w:rsidR="003A34D8" w:rsidRDefault="003A34D8" w:rsidP="003A34D8">
      <w:pPr>
        <w:shd w:val="clear" w:color="auto" w:fill="FFFFFF"/>
        <w:spacing w:after="0" w:line="480" w:lineRule="auto"/>
        <w:rPr>
          <w:rFonts w:ascii="Times New Roman" w:eastAsia="Times New Roman" w:hAnsi="Times New Roman" w:cs="Times New Roman"/>
          <w:b/>
          <w:color w:val="3E3D40"/>
          <w:sz w:val="24"/>
          <w:szCs w:val="24"/>
        </w:rPr>
      </w:pPr>
      <w:r w:rsidRPr="003A34D8">
        <w:rPr>
          <w:rFonts w:ascii="Times New Roman" w:eastAsia="Times New Roman" w:hAnsi="Times New Roman" w:cs="Times New Roman"/>
          <w:b/>
          <w:color w:val="3E3D40"/>
          <w:sz w:val="24"/>
          <w:szCs w:val="24"/>
        </w:rPr>
        <w:t xml:space="preserve">fMRI data </w:t>
      </w:r>
      <w:r w:rsidR="00605039">
        <w:rPr>
          <w:rFonts w:ascii="Times New Roman" w:eastAsia="Times New Roman" w:hAnsi="Times New Roman" w:cs="Times New Roman"/>
          <w:b/>
          <w:color w:val="3E3D40"/>
          <w:sz w:val="24"/>
          <w:szCs w:val="24"/>
        </w:rPr>
        <w:t>acquisition and analysis</w:t>
      </w:r>
    </w:p>
    <w:p w14:paraId="56644667" w14:textId="3CF57826" w:rsidR="00605039" w:rsidRDefault="00605039" w:rsidP="003A34D8">
      <w:pPr>
        <w:shd w:val="clear" w:color="auto" w:fill="FFFFFF"/>
        <w:spacing w:after="0" w:line="480" w:lineRule="auto"/>
        <w:rPr>
          <w:rFonts w:ascii="Times New Roman" w:eastAsia="Times New Roman" w:hAnsi="Times New Roman" w:cs="Times New Roman"/>
          <w:color w:val="3E3D40"/>
          <w:sz w:val="24"/>
          <w:szCs w:val="24"/>
        </w:rPr>
      </w:pPr>
      <w:r w:rsidRPr="005349B5">
        <w:rPr>
          <w:rFonts w:ascii="Times New Roman" w:eastAsia="Times New Roman" w:hAnsi="Times New Roman" w:cs="Times New Roman"/>
          <w:color w:val="3E3D40"/>
          <w:sz w:val="24"/>
          <w:szCs w:val="24"/>
        </w:rPr>
        <w:t xml:space="preserve">Thirty-five 2 mm transverse slices (no gap) were acquired in each volume covering the temporal lobe and occipital and orbitofrontal cortex to achieve high anatomical resolution of the amygdala (TR/TE = 2,260/30 </w:t>
      </w:r>
      <w:proofErr w:type="spellStart"/>
      <w:r w:rsidRPr="005349B5">
        <w:rPr>
          <w:rFonts w:ascii="Times New Roman" w:eastAsia="Times New Roman" w:hAnsi="Times New Roman" w:cs="Times New Roman"/>
          <w:color w:val="3E3D40"/>
          <w:sz w:val="24"/>
          <w:szCs w:val="24"/>
        </w:rPr>
        <w:t>ms</w:t>
      </w:r>
      <w:proofErr w:type="spellEnd"/>
      <w:r w:rsidRPr="005349B5">
        <w:rPr>
          <w:rFonts w:ascii="Times New Roman" w:eastAsia="Times New Roman" w:hAnsi="Times New Roman" w:cs="Times New Roman"/>
          <w:color w:val="3E3D40"/>
          <w:sz w:val="24"/>
          <w:szCs w:val="24"/>
        </w:rPr>
        <w:t>, flip angle = 80°, FOV = 208x208 mm, in-plane resolution 2x2 mm). Additionally, a high-resolution T1-weighted coronal-oriented MPRAGE image (1x1x1 mm</w:t>
      </w:r>
      <w:r w:rsidRPr="005349B5">
        <w:rPr>
          <w:rFonts w:ascii="Times New Roman" w:eastAsia="Times New Roman" w:hAnsi="Times New Roman" w:cs="Times New Roman"/>
          <w:color w:val="3E3D40"/>
          <w:sz w:val="24"/>
          <w:szCs w:val="24"/>
          <w:vertAlign w:val="superscript"/>
        </w:rPr>
        <w:t>3</w:t>
      </w:r>
      <w:r w:rsidRPr="005349B5">
        <w:rPr>
          <w:rFonts w:ascii="Times New Roman" w:eastAsia="Times New Roman" w:hAnsi="Times New Roman" w:cs="Times New Roman"/>
          <w:color w:val="3E3D40"/>
          <w:sz w:val="24"/>
          <w:szCs w:val="24"/>
        </w:rPr>
        <w:t>) was collected for each participant.</w:t>
      </w:r>
    </w:p>
    <w:p w14:paraId="300F2C09" w14:textId="77777777" w:rsidR="00605039" w:rsidRPr="003A34D8" w:rsidRDefault="00605039" w:rsidP="003A34D8">
      <w:pPr>
        <w:shd w:val="clear" w:color="auto" w:fill="FFFFFF"/>
        <w:spacing w:after="0" w:line="480" w:lineRule="auto"/>
        <w:rPr>
          <w:rFonts w:ascii="Times New Roman" w:eastAsia="Times New Roman" w:hAnsi="Times New Roman" w:cs="Times New Roman"/>
          <w:b/>
          <w:color w:val="3E3D40"/>
          <w:sz w:val="24"/>
          <w:szCs w:val="24"/>
        </w:rPr>
      </w:pPr>
    </w:p>
    <w:p w14:paraId="4CF1B747" w14:textId="77777777" w:rsidR="00605039" w:rsidRDefault="003A34D8" w:rsidP="003A34D8">
      <w:pPr>
        <w:shd w:val="clear" w:color="auto" w:fill="FFFFFF"/>
        <w:spacing w:after="0" w:line="480" w:lineRule="auto"/>
        <w:rPr>
          <w:rFonts w:ascii="Times New Roman" w:eastAsia="Times New Roman" w:hAnsi="Times New Roman" w:cs="Times New Roman"/>
          <w:color w:val="3E3D40"/>
          <w:sz w:val="24"/>
          <w:szCs w:val="24"/>
        </w:rPr>
      </w:pPr>
      <w:r w:rsidRPr="005349B5">
        <w:rPr>
          <w:rFonts w:ascii="Times New Roman" w:eastAsia="Times New Roman" w:hAnsi="Times New Roman" w:cs="Times New Roman"/>
          <w:color w:val="3E3D40"/>
          <w:sz w:val="24"/>
          <w:szCs w:val="24"/>
        </w:rPr>
        <w:t xml:space="preserve">Volumes were manually re-oriented to the anterior-posterior commissure line and corrected for slice timing. Images were then realigned to correct for motion, segmented, and co-registered to the mean functional image. Realigned images were spatially normalized to standard MNI template and smoothed with a 4 mm full-width at half-maximum Gaussian filter. Volumes with motion greater than 5 mm/5° and global intensities more than 3 standard deviations from the mean were detected using SPM ART toolbox. Data were excluded from analyses if &gt;25% of volumes per session were detected as outliers. </w:t>
      </w:r>
      <w:proofErr w:type="spellStart"/>
      <w:r w:rsidRPr="005349B5">
        <w:rPr>
          <w:rFonts w:ascii="Times New Roman" w:eastAsia="Times New Roman" w:hAnsi="Times New Roman" w:cs="Times New Roman"/>
          <w:color w:val="3E3D40"/>
          <w:sz w:val="24"/>
          <w:szCs w:val="24"/>
        </w:rPr>
        <w:t>Despiking</w:t>
      </w:r>
      <w:proofErr w:type="spellEnd"/>
      <w:r w:rsidRPr="005349B5">
        <w:rPr>
          <w:rFonts w:ascii="Times New Roman" w:eastAsia="Times New Roman" w:hAnsi="Times New Roman" w:cs="Times New Roman"/>
          <w:color w:val="3E3D40"/>
          <w:sz w:val="24"/>
          <w:szCs w:val="24"/>
        </w:rPr>
        <w:t xml:space="preserve"> was completed with interpolation using the </w:t>
      </w:r>
      <w:proofErr w:type="spellStart"/>
      <w:r w:rsidRPr="005349B5">
        <w:rPr>
          <w:rFonts w:ascii="Times New Roman" w:eastAsia="Times New Roman" w:hAnsi="Times New Roman" w:cs="Times New Roman"/>
          <w:color w:val="3E3D40"/>
          <w:sz w:val="24"/>
          <w:szCs w:val="24"/>
        </w:rPr>
        <w:t>ArtRepair</w:t>
      </w:r>
      <w:proofErr w:type="spellEnd"/>
      <w:r w:rsidRPr="005349B5">
        <w:rPr>
          <w:rFonts w:ascii="Times New Roman" w:eastAsia="Times New Roman" w:hAnsi="Times New Roman" w:cs="Times New Roman"/>
          <w:color w:val="3E3D40"/>
          <w:sz w:val="24"/>
          <w:szCs w:val="24"/>
        </w:rPr>
        <w:t xml:space="preserve"> toolbox in SPM. Motion parameters were included as regressors in the general linear model design in first level analyses to correct for slow-drift motion.</w:t>
      </w:r>
      <w:r>
        <w:rPr>
          <w:rFonts w:ascii="Times New Roman" w:eastAsia="Times New Roman" w:hAnsi="Times New Roman" w:cs="Times New Roman"/>
          <w:color w:val="3E3D40"/>
          <w:sz w:val="24"/>
          <w:szCs w:val="24"/>
        </w:rPr>
        <w:t xml:space="preserve"> </w:t>
      </w:r>
    </w:p>
    <w:p w14:paraId="542B0706" w14:textId="77777777" w:rsidR="00605039" w:rsidRDefault="00605039" w:rsidP="003A34D8">
      <w:pPr>
        <w:shd w:val="clear" w:color="auto" w:fill="FFFFFF"/>
        <w:spacing w:after="0" w:line="480" w:lineRule="auto"/>
        <w:rPr>
          <w:rFonts w:ascii="Times New Roman" w:hAnsi="Times New Roman" w:cs="Times New Roman"/>
          <w:color w:val="3E3D40"/>
          <w:sz w:val="24"/>
          <w:szCs w:val="24"/>
          <w:shd w:val="clear" w:color="auto" w:fill="FFFFFF"/>
        </w:rPr>
      </w:pPr>
    </w:p>
    <w:p w14:paraId="02C3C13B" w14:textId="7010EB98" w:rsidR="003A34D8" w:rsidRPr="003A34D8" w:rsidRDefault="003A34D8" w:rsidP="003A34D8">
      <w:pPr>
        <w:shd w:val="clear" w:color="auto" w:fill="FFFFFF"/>
        <w:spacing w:after="0" w:line="480" w:lineRule="auto"/>
        <w:rPr>
          <w:rFonts w:ascii="Times New Roman" w:eastAsia="Times New Roman" w:hAnsi="Times New Roman" w:cs="Times New Roman"/>
          <w:color w:val="3E3D40"/>
          <w:sz w:val="24"/>
          <w:szCs w:val="24"/>
        </w:rPr>
      </w:pPr>
      <w:r w:rsidRPr="005349B5">
        <w:rPr>
          <w:rFonts w:ascii="Times New Roman" w:hAnsi="Times New Roman" w:cs="Times New Roman"/>
          <w:color w:val="3E3D40"/>
          <w:sz w:val="24"/>
          <w:szCs w:val="24"/>
          <w:shd w:val="clear" w:color="auto" w:fill="FFFFFF"/>
        </w:rPr>
        <w:lastRenderedPageBreak/>
        <w:t>First-level analys</w:t>
      </w:r>
      <w:r w:rsidR="00605039">
        <w:rPr>
          <w:rFonts w:ascii="Times New Roman" w:hAnsi="Times New Roman" w:cs="Times New Roman"/>
          <w:color w:val="3E3D40"/>
          <w:sz w:val="24"/>
          <w:szCs w:val="24"/>
          <w:shd w:val="clear" w:color="auto" w:fill="FFFFFF"/>
        </w:rPr>
        <w:t>i</w:t>
      </w:r>
      <w:r w:rsidRPr="005349B5">
        <w:rPr>
          <w:rFonts w:ascii="Times New Roman" w:hAnsi="Times New Roman" w:cs="Times New Roman"/>
          <w:color w:val="3E3D40"/>
          <w:sz w:val="24"/>
          <w:szCs w:val="24"/>
          <w:shd w:val="clear" w:color="auto" w:fill="FFFFFF"/>
        </w:rPr>
        <w:t>s included repaired pre-processed volumes, six motion parameters, and all six combinations of emotion (fearful, angry, happy) and initial fixation (eyes, mouth) in each session.</w:t>
      </w:r>
    </w:p>
    <w:p w14:paraId="4B30A407" w14:textId="69747478" w:rsidR="0003407B" w:rsidRDefault="0003407B" w:rsidP="00114E4E">
      <w:pPr>
        <w:autoSpaceDE w:val="0"/>
        <w:autoSpaceDN w:val="0"/>
        <w:adjustRightInd w:val="0"/>
        <w:spacing w:after="0" w:line="480" w:lineRule="auto"/>
        <w:rPr>
          <w:rFonts w:ascii="Times New Roman" w:hAnsi="Times New Roman" w:cs="Times New Roman"/>
          <w:b/>
          <w:color w:val="231F20"/>
          <w:sz w:val="24"/>
          <w:szCs w:val="24"/>
        </w:rPr>
      </w:pPr>
    </w:p>
    <w:p w14:paraId="33A51921" w14:textId="77777777" w:rsidR="00E86199" w:rsidRDefault="00E86199" w:rsidP="00114E4E">
      <w:pPr>
        <w:autoSpaceDE w:val="0"/>
        <w:autoSpaceDN w:val="0"/>
        <w:adjustRightInd w:val="0"/>
        <w:spacing w:after="0" w:line="480" w:lineRule="auto"/>
        <w:rPr>
          <w:rFonts w:ascii="Times New Roman" w:hAnsi="Times New Roman" w:cs="Times New Roman"/>
          <w:b/>
          <w:color w:val="231F20"/>
          <w:sz w:val="24"/>
          <w:szCs w:val="24"/>
        </w:rPr>
      </w:pPr>
    </w:p>
    <w:p w14:paraId="388F358A" w14:textId="7A51204F" w:rsidR="00DD7F81" w:rsidRDefault="00DD7F81" w:rsidP="00114E4E">
      <w:pPr>
        <w:autoSpaceDE w:val="0"/>
        <w:autoSpaceDN w:val="0"/>
        <w:adjustRightInd w:val="0"/>
        <w:spacing w:after="0" w:line="480" w:lineRule="auto"/>
        <w:rPr>
          <w:rFonts w:ascii="Times New Roman" w:hAnsi="Times New Roman" w:cs="Times New Roman"/>
          <w:b/>
          <w:color w:val="231F20"/>
          <w:sz w:val="24"/>
          <w:szCs w:val="24"/>
        </w:rPr>
      </w:pPr>
      <w:r>
        <w:rPr>
          <w:rFonts w:ascii="Times New Roman" w:hAnsi="Times New Roman" w:cs="Times New Roman"/>
          <w:b/>
          <w:color w:val="231F20"/>
          <w:sz w:val="24"/>
          <w:szCs w:val="24"/>
        </w:rPr>
        <w:t>Results</w:t>
      </w:r>
    </w:p>
    <w:p w14:paraId="4196E09A" w14:textId="77777777" w:rsidR="00DD7F81" w:rsidRPr="005349B5" w:rsidRDefault="00DD7F81" w:rsidP="00DD7F81">
      <w:pPr>
        <w:autoSpaceDE w:val="0"/>
        <w:autoSpaceDN w:val="0"/>
        <w:adjustRightInd w:val="0"/>
        <w:spacing w:after="0" w:line="480" w:lineRule="auto"/>
        <w:rPr>
          <w:rFonts w:ascii="Times New Roman" w:hAnsi="Times New Roman" w:cs="Times New Roman"/>
          <w:sz w:val="24"/>
          <w:szCs w:val="24"/>
        </w:rPr>
      </w:pPr>
      <w:r w:rsidRPr="005349B5">
        <w:rPr>
          <w:rFonts w:ascii="Times New Roman" w:hAnsi="Times New Roman" w:cs="Times New Roman"/>
          <w:b/>
          <w:color w:val="231F20"/>
          <w:sz w:val="24"/>
          <w:szCs w:val="24"/>
          <w:lang w:val="en-US"/>
        </w:rPr>
        <w:t>Correlations Between Amygdala Activation and Hormonal Parameters Prior to Substance Administration</w:t>
      </w:r>
    </w:p>
    <w:p w14:paraId="5433556D" w14:textId="77777777" w:rsidR="00DD7F81" w:rsidRPr="005349B5" w:rsidRDefault="00DD7F81" w:rsidP="00DD7F81">
      <w:pPr>
        <w:autoSpaceDE w:val="0"/>
        <w:autoSpaceDN w:val="0"/>
        <w:adjustRightInd w:val="0"/>
        <w:spacing w:after="0" w:line="480" w:lineRule="auto"/>
        <w:rPr>
          <w:rFonts w:ascii="Times New Roman" w:hAnsi="Times New Roman" w:cs="Times New Roman"/>
          <w:sz w:val="24"/>
          <w:szCs w:val="24"/>
          <w:lang w:val="en-US"/>
        </w:rPr>
      </w:pPr>
      <w:r w:rsidRPr="005349B5">
        <w:rPr>
          <w:rFonts w:ascii="Times New Roman" w:hAnsi="Times New Roman" w:cs="Times New Roman"/>
          <w:color w:val="000000" w:themeColor="text1"/>
          <w:sz w:val="24"/>
          <w:szCs w:val="24"/>
          <w:shd w:val="clear" w:color="auto" w:fill="FFFFFF"/>
          <w:lang w:val="en-US"/>
        </w:rPr>
        <w:t>There</w:t>
      </w:r>
      <w:r w:rsidRPr="005349B5">
        <w:rPr>
          <w:rFonts w:ascii="Times New Roman" w:hAnsi="Times New Roman" w:cs="Times New Roman"/>
          <w:sz w:val="24"/>
          <w:szCs w:val="24"/>
          <w:lang w:val="en-US"/>
        </w:rPr>
        <w:t xml:space="preserve"> were no correlations between amygdala activation and neither salivary OT nor plasma progesterone levels prior to PLC and OT administration (all correlations </w:t>
      </w:r>
      <w:r w:rsidRPr="005349B5">
        <w:rPr>
          <w:rFonts w:ascii="Segoe UI" w:hAnsi="Segoe UI" w:cs="Segoe UI"/>
          <w:color w:val="303538"/>
          <w:shd w:val="clear" w:color="auto" w:fill="FFFFFF"/>
        </w:rPr>
        <w:t>|</w:t>
      </w:r>
      <w:r w:rsidRPr="005349B5">
        <w:rPr>
          <w:rFonts w:ascii="Times New Roman" w:hAnsi="Times New Roman" w:cs="Times New Roman"/>
          <w:i/>
          <w:sz w:val="24"/>
          <w:szCs w:val="24"/>
          <w:lang w:val="en-US"/>
        </w:rPr>
        <w:t>r</w:t>
      </w:r>
      <w:r w:rsidRPr="005349B5">
        <w:rPr>
          <w:rFonts w:ascii="Segoe UI" w:hAnsi="Segoe UI" w:cs="Segoe UI"/>
          <w:color w:val="303538"/>
          <w:shd w:val="clear" w:color="auto" w:fill="FFFFFF"/>
        </w:rPr>
        <w:t>|</w:t>
      </w:r>
      <w:r w:rsidRPr="005349B5">
        <w:rPr>
          <w:rFonts w:ascii="Times New Roman" w:hAnsi="Times New Roman" w:cs="Times New Roman"/>
          <w:sz w:val="24"/>
          <w:szCs w:val="24"/>
          <w:lang w:val="en-US"/>
        </w:rPr>
        <w:t xml:space="preserve"> ≤ .400, </w:t>
      </w:r>
      <w:r w:rsidRPr="005349B5">
        <w:rPr>
          <w:rFonts w:ascii="Times New Roman" w:hAnsi="Times New Roman" w:cs="Times New Roman"/>
          <w:i/>
          <w:sz w:val="24"/>
          <w:szCs w:val="24"/>
          <w:lang w:val="en-US"/>
        </w:rPr>
        <w:t>p</w:t>
      </w:r>
      <w:r w:rsidRPr="005349B5">
        <w:rPr>
          <w:rFonts w:ascii="Times New Roman" w:hAnsi="Times New Roman" w:cs="Times New Roman"/>
          <w:sz w:val="24"/>
          <w:szCs w:val="24"/>
          <w:lang w:val="en-US"/>
        </w:rPr>
        <w:t xml:space="preserve"> &gt; .050).</w:t>
      </w:r>
      <w:r>
        <w:rPr>
          <w:rFonts w:ascii="Times New Roman" w:hAnsi="Times New Roman" w:cs="Times New Roman"/>
          <w:sz w:val="24"/>
          <w:szCs w:val="24"/>
          <w:lang w:val="en-US"/>
        </w:rPr>
        <w:t xml:space="preserve"> </w:t>
      </w:r>
    </w:p>
    <w:p w14:paraId="2FE36498" w14:textId="77777777" w:rsidR="00DD7F81" w:rsidRPr="00DD7F81" w:rsidRDefault="00DD7F81" w:rsidP="00114E4E">
      <w:pPr>
        <w:autoSpaceDE w:val="0"/>
        <w:autoSpaceDN w:val="0"/>
        <w:adjustRightInd w:val="0"/>
        <w:spacing w:after="0" w:line="480" w:lineRule="auto"/>
        <w:rPr>
          <w:rFonts w:ascii="Times New Roman" w:hAnsi="Times New Roman" w:cs="Times New Roman"/>
          <w:b/>
          <w:color w:val="231F20"/>
          <w:sz w:val="24"/>
          <w:szCs w:val="24"/>
          <w:lang w:val="en-US"/>
        </w:rPr>
      </w:pPr>
    </w:p>
    <w:p w14:paraId="117902F9" w14:textId="1D95F8C6" w:rsidR="00DD7F81" w:rsidRDefault="00DD7F81" w:rsidP="00114E4E">
      <w:pPr>
        <w:autoSpaceDE w:val="0"/>
        <w:autoSpaceDN w:val="0"/>
        <w:adjustRightInd w:val="0"/>
        <w:spacing w:after="0" w:line="480" w:lineRule="auto"/>
        <w:rPr>
          <w:rFonts w:ascii="Times New Roman" w:hAnsi="Times New Roman" w:cs="Times New Roman"/>
          <w:b/>
          <w:color w:val="231F20"/>
          <w:sz w:val="24"/>
          <w:szCs w:val="24"/>
        </w:rPr>
      </w:pPr>
      <w:r>
        <w:rPr>
          <w:rFonts w:ascii="Times New Roman" w:hAnsi="Times New Roman" w:cs="Times New Roman"/>
          <w:b/>
          <w:color w:val="231F20"/>
          <w:sz w:val="24"/>
          <w:szCs w:val="24"/>
        </w:rPr>
        <w:t>Discussion</w:t>
      </w:r>
    </w:p>
    <w:p w14:paraId="6EB05E7D" w14:textId="6687D414" w:rsidR="00DD7F81" w:rsidRDefault="00DD7F81" w:rsidP="00DD7F81">
      <w:pPr>
        <w:spacing w:after="0" w:line="480" w:lineRule="auto"/>
        <w:rPr>
          <w:rFonts w:ascii="Times New Roman" w:hAnsi="Times New Roman" w:cs="Times New Roman"/>
          <w:color w:val="000000"/>
          <w:sz w:val="24"/>
          <w:szCs w:val="24"/>
        </w:rPr>
      </w:pPr>
      <w:r w:rsidRPr="005349B5">
        <w:rPr>
          <w:rFonts w:ascii="Times New Roman" w:hAnsi="Times New Roman" w:cs="Times New Roman"/>
          <w:color w:val="000000"/>
          <w:sz w:val="24"/>
          <w:szCs w:val="24"/>
        </w:rPr>
        <w:t>Th</w:t>
      </w:r>
      <w:r>
        <w:rPr>
          <w:rFonts w:ascii="Times New Roman" w:hAnsi="Times New Roman" w:cs="Times New Roman"/>
          <w:color w:val="000000"/>
          <w:sz w:val="24"/>
          <w:szCs w:val="24"/>
        </w:rPr>
        <w:t>e</w:t>
      </w:r>
      <w:r w:rsidRPr="005349B5">
        <w:rPr>
          <w:rFonts w:ascii="Times New Roman" w:hAnsi="Times New Roman" w:cs="Times New Roman"/>
          <w:color w:val="000000"/>
          <w:sz w:val="24"/>
          <w:szCs w:val="24"/>
        </w:rPr>
        <w:t xml:space="preserve"> association</w:t>
      </w:r>
      <w:r>
        <w:rPr>
          <w:rFonts w:ascii="Times New Roman" w:hAnsi="Times New Roman" w:cs="Times New Roman"/>
          <w:color w:val="000000"/>
          <w:sz w:val="24"/>
          <w:szCs w:val="24"/>
        </w:rPr>
        <w:t xml:space="preserve"> between response latencies and amygdala activity in ASPD women</w:t>
      </w:r>
      <w:r w:rsidRPr="005349B5">
        <w:rPr>
          <w:rFonts w:ascii="Times New Roman" w:hAnsi="Times New Roman" w:cs="Times New Roman"/>
          <w:color w:val="000000"/>
          <w:sz w:val="24"/>
          <w:szCs w:val="24"/>
        </w:rPr>
        <w:t xml:space="preserve"> was specific to angry faces, which are typically considered threat or provocation cues consistent with A</w:t>
      </w:r>
      <w:r w:rsidR="00DB4336">
        <w:rPr>
          <w:rFonts w:ascii="Times New Roman" w:hAnsi="Times New Roman" w:cs="Times New Roman"/>
          <w:color w:val="000000"/>
          <w:sz w:val="24"/>
          <w:szCs w:val="24"/>
        </w:rPr>
        <w:t>S</w:t>
      </w:r>
      <w:r w:rsidRPr="005349B5">
        <w:rPr>
          <w:rFonts w:ascii="Times New Roman" w:hAnsi="Times New Roman" w:cs="Times New Roman"/>
          <w:color w:val="000000"/>
          <w:sz w:val="24"/>
          <w:szCs w:val="24"/>
        </w:rPr>
        <w:t xml:space="preserve">PD women reporting more trait anger, more anger reaction and less anger control in the STAXI. </w:t>
      </w:r>
    </w:p>
    <w:p w14:paraId="7E076CD8" w14:textId="77777777" w:rsidR="00BF3DB9" w:rsidRDefault="00BF3DB9" w:rsidP="00BF3DB9">
      <w:pPr>
        <w:spacing w:after="0" w:line="480" w:lineRule="auto"/>
        <w:rPr>
          <w:rFonts w:ascii="Times New Roman" w:hAnsi="Times New Roman" w:cs="Times New Roman"/>
          <w:color w:val="000000"/>
          <w:sz w:val="24"/>
          <w:szCs w:val="24"/>
        </w:rPr>
      </w:pPr>
    </w:p>
    <w:p w14:paraId="0546B432" w14:textId="4312A316" w:rsidR="00DD7F81" w:rsidRDefault="00701E6B" w:rsidP="00BF3DB9">
      <w:pPr>
        <w:spacing w:after="0" w:line="480" w:lineRule="auto"/>
        <w:rPr>
          <w:rFonts w:ascii="Times New Roman" w:hAnsi="Times New Roman" w:cs="Times New Roman"/>
          <w:color w:val="000000" w:themeColor="text1"/>
          <w:sz w:val="24"/>
          <w:szCs w:val="24"/>
        </w:rPr>
      </w:pPr>
      <w:r>
        <w:rPr>
          <w:rFonts w:ascii="Times New Roman" w:hAnsi="Times New Roman" w:cs="Times New Roman"/>
          <w:sz w:val="24"/>
          <w:szCs w:val="24"/>
        </w:rPr>
        <w:t>I</w:t>
      </w:r>
      <w:r w:rsidR="00DD7F81" w:rsidRPr="005349B5">
        <w:rPr>
          <w:rFonts w:ascii="Times New Roman" w:hAnsi="Times New Roman" w:cs="Times New Roman"/>
          <w:sz w:val="24"/>
          <w:szCs w:val="24"/>
        </w:rPr>
        <w:t xml:space="preserve">ndividuals with antisocial </w:t>
      </w:r>
      <w:proofErr w:type="spellStart"/>
      <w:r w:rsidR="00DD7F81" w:rsidRPr="005349B5">
        <w:rPr>
          <w:rFonts w:ascii="Times New Roman" w:hAnsi="Times New Roman" w:cs="Times New Roman"/>
          <w:sz w:val="24"/>
          <w:szCs w:val="24"/>
        </w:rPr>
        <w:t>behaviors</w:t>
      </w:r>
      <w:proofErr w:type="spellEnd"/>
      <w:r w:rsidR="00DD7F81" w:rsidRPr="005349B5">
        <w:rPr>
          <w:rFonts w:ascii="Times New Roman" w:hAnsi="Times New Roman" w:cs="Times New Roman"/>
          <w:sz w:val="24"/>
          <w:szCs w:val="24"/>
        </w:rPr>
        <w:t xml:space="preserve"> have been repeatedly reported to display amygdala hypoactivity especially to </w:t>
      </w:r>
      <w:r w:rsidR="00DD7F81" w:rsidRPr="005349B5">
        <w:rPr>
          <w:rFonts w:ascii="Times New Roman" w:hAnsi="Times New Roman" w:cs="Times New Roman"/>
          <w:color w:val="000000"/>
          <w:sz w:val="24"/>
          <w:szCs w:val="24"/>
        </w:rPr>
        <w:t>fearful faces</w:t>
      </w:r>
      <w:r w:rsidR="00DD7F81" w:rsidRPr="005349B5">
        <w:rPr>
          <w:rFonts w:ascii="Times New Roman" w:hAnsi="Times New Roman" w:cs="Times New Roman"/>
          <w:color w:val="000000"/>
          <w:sz w:val="24"/>
          <w:szCs w:val="24"/>
        </w:rPr>
        <w:fldChar w:fldCharType="begin" w:fldLock="1"/>
      </w:r>
      <w:r w:rsidR="00206C1A">
        <w:rPr>
          <w:rFonts w:ascii="Times New Roman" w:hAnsi="Times New Roman" w:cs="Times New Roman"/>
          <w:color w:val="000000"/>
          <w:sz w:val="24"/>
          <w:szCs w:val="24"/>
        </w:rPr>
        <w:instrText>ADDIN CSL_CITATION {"citationItems":[{"id":"ITEM-1","itemData":{"DOI":"10.1038/nrn3577","ISSN":"1471003X","PMID":"24105343","abstract":"Conduct disorder is a childhood behaviour disorder that is characterized by persistent aggressive or antisocial behaviour that disrupts the child's environment and impairs his or her functioning. A proportion of children with conduct disorder have psychopathic traits. Psychopathic traits consist of a callous-unemotional component and an impulsive-antisocial component, which are associated with two core impairments. The first is a reduced empathic response to the distress of other individuals, which primarily reflects reduced amygdala responsiveness to distress cues; the second is deficits in decision making and in reinforcement learning, which reflects dysfunction in the ventromedial prefrontal cortex and striatum. Genetic and prenatal factors contribute to the abnormal development of these neural systems, and social-environmental variables that affect motivation influence the probability that antisocial behaviour will be subsequently displayed. © 2013 Macmillan Publishers Limited.","author":[{"dropping-particle":"","family":"Blair","given":"R. James R.","non-dropping-particle":"","parse-names":false,"suffix":""}],"container-title":"Nature Reviews Neuroscience","id":"ITEM-1","issue":"11","issued":{"date-parts":[["2013","11","9"]]},"page":"786-799","publisher":"Nature Publishing Group","title":"The neurobiology of psychopathic traits in youths","type":"article","volume":"14"},"uris":["http://www.mendeley.com/documents/?uuid=938f2dd5-f419-399f-9a82-3c932a2fd9f5"]}],"mendeley":{"formattedCitation":"&lt;sup&gt;5&lt;/sup&gt;","plainTextFormattedCitation":"5","previouslyFormattedCitation":"&lt;sup&gt;5&lt;/sup&gt;"},"properties":{"noteIndex":0},"schema":"https://github.com/citation-style-language/schema/raw/master/csl-citation.json"}</w:instrText>
      </w:r>
      <w:r w:rsidR="00DD7F81" w:rsidRPr="005349B5">
        <w:rPr>
          <w:rFonts w:ascii="Times New Roman" w:hAnsi="Times New Roman" w:cs="Times New Roman"/>
          <w:color w:val="000000"/>
          <w:sz w:val="24"/>
          <w:szCs w:val="24"/>
        </w:rPr>
        <w:fldChar w:fldCharType="separate"/>
      </w:r>
      <w:r w:rsidR="00206C1A" w:rsidRPr="00206C1A">
        <w:rPr>
          <w:rFonts w:ascii="Times New Roman" w:hAnsi="Times New Roman" w:cs="Times New Roman"/>
          <w:noProof/>
          <w:color w:val="000000"/>
          <w:sz w:val="24"/>
          <w:szCs w:val="24"/>
          <w:vertAlign w:val="superscript"/>
        </w:rPr>
        <w:t>5</w:t>
      </w:r>
      <w:r w:rsidR="00DD7F81" w:rsidRPr="005349B5">
        <w:rPr>
          <w:rFonts w:ascii="Times New Roman" w:hAnsi="Times New Roman" w:cs="Times New Roman"/>
          <w:color w:val="000000"/>
          <w:sz w:val="24"/>
          <w:szCs w:val="24"/>
        </w:rPr>
        <w:fldChar w:fldCharType="end"/>
      </w:r>
      <w:r w:rsidR="00DD7F81" w:rsidRPr="005349B5">
        <w:rPr>
          <w:rFonts w:ascii="Times New Roman" w:hAnsi="Times New Roman" w:cs="Times New Roman"/>
          <w:color w:val="000000"/>
          <w:sz w:val="24"/>
          <w:szCs w:val="24"/>
        </w:rPr>
        <w:t xml:space="preserve"> </w:t>
      </w:r>
      <w:r w:rsidR="00DD7F81" w:rsidRPr="005349B5">
        <w:rPr>
          <w:rFonts w:ascii="Times New Roman" w:hAnsi="Times New Roman" w:cs="Times New Roman"/>
          <w:color w:val="000000"/>
          <w:sz w:val="24"/>
          <w:szCs w:val="24"/>
          <w:shd w:val="clear" w:color="auto" w:fill="FFFFFF"/>
        </w:rPr>
        <w:t>which we did not find. However, previous studies used</w:t>
      </w:r>
      <w:r w:rsidR="00DD7F81" w:rsidRPr="005349B5">
        <w:rPr>
          <w:rFonts w:ascii="Times New Roman" w:hAnsi="Times New Roman" w:cs="Times New Roman"/>
          <w:color w:val="000000"/>
          <w:sz w:val="24"/>
          <w:szCs w:val="24"/>
        </w:rPr>
        <w:t xml:space="preserve"> different samples, i.e., adolescents with disruptive </w:t>
      </w:r>
      <w:proofErr w:type="spellStart"/>
      <w:r w:rsidR="00DD7F81" w:rsidRPr="005349B5">
        <w:rPr>
          <w:rFonts w:ascii="Times New Roman" w:hAnsi="Times New Roman" w:cs="Times New Roman"/>
          <w:color w:val="000000"/>
          <w:sz w:val="24"/>
          <w:szCs w:val="24"/>
        </w:rPr>
        <w:t>behavior</w:t>
      </w:r>
      <w:proofErr w:type="spellEnd"/>
      <w:r w:rsidR="00DD7F81" w:rsidRPr="005349B5">
        <w:rPr>
          <w:rFonts w:ascii="Times New Roman" w:hAnsi="Times New Roman" w:cs="Times New Roman"/>
          <w:color w:val="000000"/>
          <w:sz w:val="24"/>
          <w:szCs w:val="24"/>
        </w:rPr>
        <w:t xml:space="preserve"> disorders and psychopathic traits</w:t>
      </w:r>
      <w:r w:rsidR="00DD7F81" w:rsidRPr="005349B5">
        <w:rPr>
          <w:rFonts w:ascii="Times New Roman" w:hAnsi="Times New Roman" w:cs="Times New Roman"/>
          <w:color w:val="000000"/>
          <w:sz w:val="24"/>
          <w:szCs w:val="24"/>
        </w:rPr>
        <w:fldChar w:fldCharType="begin" w:fldLock="1"/>
      </w:r>
      <w:r w:rsidR="00206C1A">
        <w:rPr>
          <w:rFonts w:ascii="Times New Roman" w:hAnsi="Times New Roman" w:cs="Times New Roman"/>
          <w:color w:val="000000"/>
          <w:sz w:val="24"/>
          <w:szCs w:val="24"/>
        </w:rPr>
        <w:instrText>ADDIN CSL_CITATION {"citationItems":[{"id":"ITEM-1","itemData":{"DOI":"10.1016/j.neubiorev.2007.08.003","ISSN":"01497634","PMID":"17915324","abstract":"Individuals with disorders marked by antisocial behavior frequently show deficits in recognizing displays of facial affect. Antisociality may be associated with specific deficits in identifying fearful expressions, which would implicate dysfunction in neural structures that subserve fearful expression processing. A meta-analysis of 20 studies was conducted to assess: (a) if antisocial populations show any consistent deficits in recognizing six emotional expressions; (b) beyond any generalized impairment, whether specific fear recognition deficits are apparent; and (c) if deficits in fear recognition are a function of task difficulty. Results show a robust link between antisocial behavior and specific deficits in recognizing fearful expressions. This impairment cannot be attributed solely to task difficulty. These results suggest dysfunction among antisocial individuals in specified neural substrates, namely the amygdala, involved in processing fearful facial affect. © 2007 Elsevier Ltd. All rights reserved.","author":[{"dropping-particle":"","family":"Marsh","given":"Abigail A.","non-dropping-particle":"","parse-names":false,"suffix":""},{"dropping-particle":"","family":"Blair","given":"R. J.R.","non-dropping-particle":"","parse-names":false,"suffix":""}],"container-title":"Neuroscience and Biobehavioral Reviews","id":"ITEM-1","issue":"3","issued":{"date-parts":[["2008"]]},"page":"454-465","publisher":"NIH Public Access","title":"Deficits in facial affect recognition among antisocial populations: A meta-analysis","type":"article","volume":"32"},"uris":["http://www.mendeley.com/documents/?uuid=3b633141-6edc-3691-bb92-5aae3f949474"]}],"mendeley":{"formattedCitation":"&lt;sup&gt;6&lt;/sup&gt;","plainTextFormattedCitation":"6","previouslyFormattedCitation":"&lt;sup&gt;6&lt;/sup&gt;"},"properties":{"noteIndex":0},"schema":"https://github.com/citation-style-language/schema/raw/master/csl-citation.json"}</w:instrText>
      </w:r>
      <w:r w:rsidR="00DD7F81" w:rsidRPr="005349B5">
        <w:rPr>
          <w:rFonts w:ascii="Times New Roman" w:hAnsi="Times New Roman" w:cs="Times New Roman"/>
          <w:color w:val="000000"/>
          <w:sz w:val="24"/>
          <w:szCs w:val="24"/>
        </w:rPr>
        <w:fldChar w:fldCharType="separate"/>
      </w:r>
      <w:r w:rsidR="00206C1A" w:rsidRPr="00206C1A">
        <w:rPr>
          <w:rFonts w:ascii="Times New Roman" w:hAnsi="Times New Roman" w:cs="Times New Roman"/>
          <w:noProof/>
          <w:color w:val="000000"/>
          <w:sz w:val="24"/>
          <w:szCs w:val="24"/>
          <w:vertAlign w:val="superscript"/>
        </w:rPr>
        <w:t>6</w:t>
      </w:r>
      <w:r w:rsidR="00DD7F81" w:rsidRPr="005349B5">
        <w:rPr>
          <w:rFonts w:ascii="Times New Roman" w:hAnsi="Times New Roman" w:cs="Times New Roman"/>
          <w:color w:val="000000"/>
          <w:sz w:val="24"/>
          <w:szCs w:val="24"/>
        </w:rPr>
        <w:fldChar w:fldCharType="end"/>
      </w:r>
      <w:r w:rsidR="00DD7F81" w:rsidRPr="005349B5">
        <w:rPr>
          <w:rFonts w:ascii="Times New Roman" w:hAnsi="Times New Roman" w:cs="Times New Roman"/>
          <w:color w:val="000000"/>
          <w:sz w:val="24"/>
          <w:szCs w:val="24"/>
        </w:rPr>
        <w:t>, adolescents with conduct problems and callous-unemotional traits</w:t>
      </w:r>
      <w:r w:rsidR="00DD7F81" w:rsidRPr="005349B5">
        <w:rPr>
          <w:rFonts w:ascii="Times New Roman" w:hAnsi="Times New Roman" w:cs="Times New Roman"/>
          <w:color w:val="000000"/>
          <w:sz w:val="24"/>
          <w:szCs w:val="24"/>
        </w:rPr>
        <w:fldChar w:fldCharType="begin" w:fldLock="1"/>
      </w:r>
      <w:r w:rsidR="00206C1A">
        <w:rPr>
          <w:rFonts w:ascii="Times New Roman" w:hAnsi="Times New Roman" w:cs="Times New Roman"/>
          <w:color w:val="000000"/>
          <w:sz w:val="24"/>
          <w:szCs w:val="24"/>
        </w:rPr>
        <w:instrText>ADDIN CSL_CITATION {"citationItems":[{"id":"ITEM-1","itemData":{"DOI":"10.1176/APPI.AJP.2008.07071050","ISSN":"1535-7228","PMID":"18923070","abstract":"Objective: Although early-onset conduct problems predict both psychiatric and health problems in adult life, little research has been done to index neural correlates of conduct problems. Emerging research suggests that a subgroup of children with conduct problems and elevated levels of callous-unemotional traits may be genetically vulnerable to manifesting disturbances in neural reactivity to emotional stimuli indexing distress. Using functional MRI, the authors evaluated differences in neural response to emotional stimuli between boys with conduct problems and elevated levels of callous-unemotional traits and comparison boys. Method: Seventeen boys with conduct problems and elevated levels of callous-unemotional traits and 13 comparison boys of equivalent age (mean=11 years) and IQ (mean=100) viewed blocked presentations of fearful and neutral faces. For each face, participants distinguished the sex of the face via manual response. Results: Relative to the comparison group, boys with conduct problems and elevated levels of callous-unemotional traits manifested lesser right amygdala activity to fearful faces. Conclusions: This finding is in line with data from studies of adults with antisocial behavior and callous-unemotional traits (i.e., psychopaths), as well as from a recent study of adolescents with callous-unemotional traits, and suggests that the neural substrates of emotional impairment associated with callous-unemotional antisocial behavior are already present in childhood.","author":[{"dropping-particle":"","family":"Jones","given":"Alice P.","non-dropping-particle":"","parse-names":false,"suffix":""},{"dropping-particle":"","family":"Laurens","given":"Kristin R.","non-dropping-particle":"","parse-names":false,"suffix":""},{"dropping-particle":"","family":"Herba","given":"Catherine M.","non-dropping-particle":"","parse-names":false,"suffix":""},{"dropping-particle":"","family":"Barker","given":"Gareth J.","non-dropping-particle":"","parse-names":false,"suffix":""},{"dropping-particle":"","family":"Viding","given":"Essi","non-dropping-particle":"","parse-names":false,"suffix":""}],"container-title":"The American journal of psychiatry","id":"ITEM-1","issue":"1","issued":{"date-parts":[["2009","1"]]},"page":"95-102","publisher":"Am J Psychiatry","title":"Amygdala hypoactivity to fearful faces in boys with conduct problems and callous-unemotional traits","type":"article-journal","volume":"166"},"uris":["http://www.mendeley.com/documents/?uuid=b94dfabf-2002-383e-b0e1-3f011d2975af"]}],"mendeley":{"formattedCitation":"&lt;sup&gt;7&lt;/sup&gt;","plainTextFormattedCitation":"7","previouslyFormattedCitation":"&lt;sup&gt;7&lt;/sup&gt;"},"properties":{"noteIndex":0},"schema":"https://github.com/citation-style-language/schema/raw/master/csl-citation.json"}</w:instrText>
      </w:r>
      <w:r w:rsidR="00DD7F81" w:rsidRPr="005349B5">
        <w:rPr>
          <w:rFonts w:ascii="Times New Roman" w:hAnsi="Times New Roman" w:cs="Times New Roman"/>
          <w:color w:val="000000"/>
          <w:sz w:val="24"/>
          <w:szCs w:val="24"/>
        </w:rPr>
        <w:fldChar w:fldCharType="separate"/>
      </w:r>
      <w:r w:rsidR="00206C1A" w:rsidRPr="00206C1A">
        <w:rPr>
          <w:rFonts w:ascii="Times New Roman" w:hAnsi="Times New Roman" w:cs="Times New Roman"/>
          <w:noProof/>
          <w:color w:val="000000"/>
          <w:sz w:val="24"/>
          <w:szCs w:val="24"/>
          <w:vertAlign w:val="superscript"/>
        </w:rPr>
        <w:t>7</w:t>
      </w:r>
      <w:r w:rsidR="00DD7F81" w:rsidRPr="005349B5">
        <w:rPr>
          <w:rFonts w:ascii="Times New Roman" w:hAnsi="Times New Roman" w:cs="Times New Roman"/>
          <w:color w:val="000000"/>
          <w:sz w:val="24"/>
          <w:szCs w:val="24"/>
        </w:rPr>
        <w:fldChar w:fldCharType="end"/>
      </w:r>
      <w:r w:rsidR="00DD7F81" w:rsidRPr="005349B5">
        <w:rPr>
          <w:rFonts w:ascii="Times New Roman" w:hAnsi="Times New Roman" w:cs="Times New Roman"/>
          <w:color w:val="000000"/>
          <w:sz w:val="24"/>
          <w:szCs w:val="24"/>
        </w:rPr>
        <w:t>, adults with</w:t>
      </w:r>
      <w:r w:rsidR="00DD7F81">
        <w:rPr>
          <w:rFonts w:ascii="Times New Roman" w:hAnsi="Times New Roman" w:cs="Times New Roman"/>
          <w:color w:val="000000"/>
          <w:sz w:val="24"/>
          <w:szCs w:val="24"/>
        </w:rPr>
        <w:t xml:space="preserve"> </w:t>
      </w:r>
      <w:r w:rsidR="00DD7F81" w:rsidRPr="005349B5">
        <w:rPr>
          <w:rFonts w:ascii="Times New Roman" w:hAnsi="Times New Roman" w:cs="Times New Roman"/>
          <w:color w:val="000000" w:themeColor="text1"/>
          <w:sz w:val="24"/>
          <w:szCs w:val="24"/>
        </w:rPr>
        <w:t>the psychopathic subtype of ASPD</w:t>
      </w:r>
      <w:r w:rsidR="00DD7F81" w:rsidRPr="005349B5">
        <w:rPr>
          <w:rFonts w:ascii="Times New Roman" w:hAnsi="Times New Roman" w:cs="Times New Roman"/>
          <w:color w:val="000000" w:themeColor="text1"/>
          <w:sz w:val="24"/>
          <w:szCs w:val="24"/>
        </w:rPr>
        <w:fldChar w:fldCharType="begin" w:fldLock="1"/>
      </w:r>
      <w:r w:rsidR="00206C1A">
        <w:rPr>
          <w:rFonts w:ascii="Times New Roman" w:hAnsi="Times New Roman" w:cs="Times New Roman"/>
          <w:color w:val="000000" w:themeColor="text1"/>
          <w:sz w:val="24"/>
          <w:szCs w:val="24"/>
        </w:rPr>
        <w:instrText>ADDIN CSL_CITATION {"citationItems":[{"id":"ITEM-1","itemData":{"DOI":"10.1038/nrn3577","ISSN":"1471003X","PMID":"24105343","abstract":"Conduct disorder is a childhood behaviour disorder that is characterized by persistent aggressive or antisocial behaviour that disrupts the child's environment and impairs his or her functioning. A proportion of children with conduct disorder have psychopathic traits. Psychopathic traits consist of a callous-unemotional component and an impulsive-antisocial component, which are associated with two core impairments. The first is a reduced empathic response to the distress of other individuals, which primarily reflects reduced amygdala responsiveness to distress cues; the second is deficits in decision making and in reinforcement learning, which reflects dysfunction in the ventromedial prefrontal cortex and striatum. Genetic and prenatal factors contribute to the abnormal development of these neural systems, and social-environmental variables that affect motivation influence the probability that antisocial behaviour will be subsequently displayed. © 2013 Macmillan Publishers Limited.","author":[{"dropping-particle":"","family":"Blair","given":"R. James R.","non-dropping-particle":"","parse-names":false,"suffix":""}],"container-title":"Nature Reviews Neuroscience","id":"ITEM-1","issue":"11","issued":{"date-parts":[["2013","11","9"]]},"page":"786-799","publisher":"Nature Publishing Group","title":"The neurobiology of psychopathic traits in youths","type":"article","volume":"14"},"uris":["http://www.mendeley.com/documents/?uuid=938f2dd5-f419-399f-9a82-3c932a2fd9f5"]},{"id":"ITEM-2","itemData":{"DOI":"10.1016/j.copsyc.2017.08.032","ISSN":"2352250X","abstract":"© 2017 Elsevier Ltd The Criterion A of the DSM-5 Alternative Model of Personality Disorders follows a functional approach to personality disorders which can be effectively related to abnormalities in brain circuits that are involved in processes related to the self and others. While brain circuits related to the self and others highly overlap supporting the notion of inseparable constructs, structural and functional neuroimaging data point to rather specific deviations in brain processes among the various types of personality disorders, with a focus on borderline and antisocial personality disorders. Neurobiological data have shed light on the problem areas of individuals with personality disorders that goes beyond what we know from either patients’ reports or observing their behavior and may open new perspectives on treatment.","author":[{"dropping-particle":"","family":"Herpertz","given":"S.C.","non-dropping-particle":"","parse-names":false,"suffix":""},{"dropping-particle":"","family":"Bertsch","given":"K.","non-dropping-particle":"","parse-names":false,"suffix":""},{"dropping-particle":"","family":"Jeung","given":"H.","non-dropping-particle":"","parse-names":false,"suffix":""}],"container-title":"Current Opinion in Psychology","id":"ITEM-2","issued":{"date-parts":[["2018"]]},"title":"Neurobiology of Criterion A: self and interpersonal personality functioning","type":"article-journal","volume":"21"},"uris":["http://www.mendeley.com/documents/?uuid=f76a12a0-a191-39f9-8a85-48f3b312ec78"]},{"id":"ITEM-3","itemData":{"DOI":"10.1080/17470919.2013.866905","ISSN":"1747-0927","PMID":"24359488","abstract":"Facial expressions play a critical role in social interactions by eliciting rapid responses in the observer. Failure to perceive and experience a normal range and depth of emotion seriously impact interpersonal communication and relationships. As has been demonstrated across a number of domains, abnormal emotion processing in individuals with psychopathy plays a key role in their lack of empathy. However, the neuroimaging literature is unclear as to whether deficits are specific to particular emotions such as fear and perhaps sadness. Moreover, findings are inconsistent across studies. In the current experiment, 80 incarcerated adult males scoring high, medium, and low on the Hare Psychopathy Checklist-Revised (PCL-R) underwent functional magnetic resonance imaging (fMRI) scanning while viewing dynamic facial expressions of fear, sadness, happiness, and pain. Participants who scored high on the PCL-R showed a reduction in neuro-hemodynamic response to all four categories of facial expressions in the face processing network (inferior occipital gyrus, fusiform gyrus, and superior temporal sulcus (STS)) as well as the extended network (inferior frontal gyrus and orbitofrontal cortex (OFC)), which supports a pervasive deficit across emotion domains. Unexpectedly, the response in dorsal insula to fear, sadness, and pain was greater in psychopaths than non-psychopaths. Importantly, the orbitofrontal cortex and ventromedial prefrontal cortex (vmPFC), regions critically implicated in affective and motivated behaviors, were significantly less active in individuals with psychopathy during the perception of all four emotional expressions.","author":[{"dropping-particle":"","family":"Decety","given":"Jean","non-dropping-particle":"","parse-names":false,"suffix":""},{"dropping-particle":"","family":"Skelly","given":"Laurie","non-dropping-particle":"","parse-names":false,"suffix":""},{"dropping-particle":"","family":"Yoder","given":"Keith J","non-dropping-particle":"","parse-names":false,"suffix":""},{"dropping-particle":"","family":"Kiehl","given":"Kent A","non-dropping-particle":"","parse-names":false,"suffix":""}],"container-title":"Social neuroscience","id":"ITEM-3","issue":"1","issued":{"date-parts":[["2014","2","2"]]},"page":"36-49","title":"Neural processing of dynamic emotional facial expressions in psychopaths.","type":"article-journal","volume":"9"},"uris":["http://www.mendeley.com/documents/?uuid=1b4e16c6-c3dd-3a78-a91c-f4cfef310077"]}],"mendeley":{"formattedCitation":"&lt;sup&gt;5,8,9&lt;/sup&gt;","plainTextFormattedCitation":"5,8,9","previouslyFormattedCitation":"&lt;sup&gt;5,8,9&lt;/sup&gt;"},"properties":{"noteIndex":0},"schema":"https://github.com/citation-style-language/schema/raw/master/csl-citation.json"}</w:instrText>
      </w:r>
      <w:r w:rsidR="00DD7F81" w:rsidRPr="005349B5">
        <w:rPr>
          <w:rFonts w:ascii="Times New Roman" w:hAnsi="Times New Roman" w:cs="Times New Roman"/>
          <w:color w:val="000000" w:themeColor="text1"/>
          <w:sz w:val="24"/>
          <w:szCs w:val="24"/>
        </w:rPr>
        <w:fldChar w:fldCharType="separate"/>
      </w:r>
      <w:r w:rsidR="00206C1A" w:rsidRPr="00206C1A">
        <w:rPr>
          <w:rFonts w:ascii="Times New Roman" w:hAnsi="Times New Roman" w:cs="Times New Roman"/>
          <w:noProof/>
          <w:color w:val="000000" w:themeColor="text1"/>
          <w:sz w:val="24"/>
          <w:szCs w:val="24"/>
          <w:vertAlign w:val="superscript"/>
        </w:rPr>
        <w:t>5,8,9</w:t>
      </w:r>
      <w:r w:rsidR="00DD7F81" w:rsidRPr="005349B5">
        <w:rPr>
          <w:rFonts w:ascii="Times New Roman" w:hAnsi="Times New Roman" w:cs="Times New Roman"/>
          <w:color w:val="000000" w:themeColor="text1"/>
          <w:sz w:val="24"/>
          <w:szCs w:val="24"/>
        </w:rPr>
        <w:fldChar w:fldCharType="end"/>
      </w:r>
      <w:r w:rsidR="00DD7F81" w:rsidRPr="005349B5">
        <w:rPr>
          <w:rFonts w:ascii="Times New Roman" w:hAnsi="Times New Roman" w:cs="Times New Roman"/>
          <w:color w:val="000000" w:themeColor="text1"/>
          <w:sz w:val="24"/>
          <w:szCs w:val="24"/>
        </w:rPr>
        <w:t xml:space="preserve"> and male participants from a community sample</w:t>
      </w:r>
      <w:r w:rsidR="00DD7F81" w:rsidRPr="005349B5">
        <w:rPr>
          <w:rFonts w:ascii="Times New Roman" w:hAnsi="Times New Roman" w:cs="Times New Roman"/>
          <w:b/>
          <w:bCs/>
          <w:color w:val="000000" w:themeColor="text1"/>
          <w:sz w:val="24"/>
          <w:szCs w:val="24"/>
        </w:rPr>
        <w:fldChar w:fldCharType="begin" w:fldLock="1"/>
      </w:r>
      <w:r w:rsidR="00206C1A">
        <w:rPr>
          <w:rFonts w:ascii="Times New Roman" w:hAnsi="Times New Roman" w:cs="Times New Roman"/>
          <w:color w:val="000000" w:themeColor="text1"/>
          <w:sz w:val="24"/>
          <w:szCs w:val="24"/>
        </w:rPr>
        <w:instrText>ADDIN CSL_CITATION {"citationItems":[{"id":"ITEM-1","itemData":{"DOI":"10.1080/17470919.2015.1044672","ISSN":"17470927","PMID":"25978492","abstract":"Despite extensive research on the neural basis of empathic responses for pain and disgust, there is limited data about the brain regions that underpin affective response to other people’s emotional facial expressions. Here, we addressed this question using event-related functional magnetic resonance imaging to assess neural responses to emotional faces, combined with online ratings of subjective state. When instructed to rate their own affective response to others’ faces, participants recruited anterior insula, dorsal anterior cingulate, inferior frontal gyrus, and amygdala, regions consistently implicated in studies investigating empathy for disgust and pain, as well as emotional saliency. Importantly, responses in anterior insula and amygdala were modulated by trial-by-trial variations in subjective affective responses to the emotional facial stimuli. Furthermore, overall task-elicited activations in these regions were negatively associated with psychopathic personality traits, which are characterized by low affective empathy. Our findings suggest that anterior insula and amygdala play important roles in the generation of affective internal states in response to others’ emotional cues and that attenuated function in these regions may underlie reduced empathy in individuals with high levels of psychopathic traits.","author":[{"dropping-particle":"","family":"Seara-Cardoso","given":"Ana","non-dropping-particle":"","parse-names":false,"suffix":""},{"dropping-particle":"","family":"Sebastian","given":"Catherine L.","non-dropping-particle":"","parse-names":false,"suffix":""},{"dropping-particle":"","family":"Viding","given":"Essi","non-dropping-particle":"","parse-names":false,"suffix":""},{"dropping-particle":"","family":"Roiser","given":"Jonathan P.","non-dropping-particle":"","parse-names":false,"suffix":""}],"container-title":"Social Neuroscience","id":"ITEM-1","issue":"2","issued":{"date-parts":[["2016","3","3"]]},"page":"140-152","publisher":"Psychology Press Ltd","title":"Affective resonance in response to others’ emotional faces varies with affective ratings and psychopathic traits in amygdala and anterior insula","type":"article-journal","volume":"11"},"uris":["http://www.mendeley.com/documents/?uuid=783f1e19-8b58-3439-8019-e79c523677be"]}],"mendeley":{"formattedCitation":"&lt;sup&gt;10&lt;/sup&gt;","plainTextFormattedCitation":"10","previouslyFormattedCitation":"&lt;sup&gt;10&lt;/sup&gt;"},"properties":{"noteIndex":0},"schema":"https://github.com/citation-style-language/schema/raw/master/csl-citation.json"}</w:instrText>
      </w:r>
      <w:r w:rsidR="00DD7F81" w:rsidRPr="005349B5">
        <w:rPr>
          <w:rFonts w:ascii="Times New Roman" w:hAnsi="Times New Roman" w:cs="Times New Roman"/>
          <w:b/>
          <w:bCs/>
          <w:color w:val="000000" w:themeColor="text1"/>
          <w:sz w:val="24"/>
          <w:szCs w:val="24"/>
        </w:rPr>
        <w:fldChar w:fldCharType="separate"/>
      </w:r>
      <w:r w:rsidR="00206C1A" w:rsidRPr="00206C1A">
        <w:rPr>
          <w:rFonts w:ascii="Times New Roman" w:hAnsi="Times New Roman" w:cs="Times New Roman"/>
          <w:noProof/>
          <w:color w:val="000000" w:themeColor="text1"/>
          <w:sz w:val="24"/>
          <w:szCs w:val="24"/>
          <w:vertAlign w:val="superscript"/>
        </w:rPr>
        <w:t>10</w:t>
      </w:r>
      <w:r w:rsidR="00DD7F81" w:rsidRPr="005349B5">
        <w:rPr>
          <w:rFonts w:ascii="Times New Roman" w:hAnsi="Times New Roman" w:cs="Times New Roman"/>
          <w:b/>
          <w:bCs/>
          <w:color w:val="000000" w:themeColor="text1"/>
          <w:sz w:val="24"/>
          <w:szCs w:val="24"/>
        </w:rPr>
        <w:fldChar w:fldCharType="end"/>
      </w:r>
      <w:r w:rsidR="00DD7F81" w:rsidRPr="005349B5">
        <w:rPr>
          <w:rFonts w:ascii="Times New Roman" w:hAnsi="Times New Roman" w:cs="Times New Roman"/>
          <w:color w:val="000000" w:themeColor="text1"/>
          <w:sz w:val="24"/>
          <w:szCs w:val="24"/>
        </w:rPr>
        <w:t xml:space="preserve">. Notably, the diagnostic category of ASPD is based on </w:t>
      </w:r>
      <w:proofErr w:type="spellStart"/>
      <w:r w:rsidR="00DD7F81" w:rsidRPr="005349B5">
        <w:rPr>
          <w:rFonts w:ascii="Times New Roman" w:hAnsi="Times New Roman" w:cs="Times New Roman"/>
          <w:color w:val="000000" w:themeColor="text1"/>
          <w:sz w:val="24"/>
          <w:szCs w:val="24"/>
        </w:rPr>
        <w:t>behaviors</w:t>
      </w:r>
      <w:proofErr w:type="spellEnd"/>
      <w:r w:rsidR="00DD7F81" w:rsidRPr="005349B5">
        <w:rPr>
          <w:rFonts w:ascii="Times New Roman" w:hAnsi="Times New Roman" w:cs="Times New Roman"/>
          <w:color w:val="000000" w:themeColor="text1"/>
          <w:sz w:val="24"/>
          <w:szCs w:val="24"/>
        </w:rPr>
        <w:t xml:space="preserve"> rather than characterological specifiers which </w:t>
      </w:r>
      <w:proofErr w:type="spellStart"/>
      <w:r w:rsidR="00DD7F81" w:rsidRPr="005349B5">
        <w:rPr>
          <w:rFonts w:ascii="Times New Roman" w:hAnsi="Times New Roman" w:cs="Times New Roman"/>
          <w:color w:val="000000" w:themeColor="text1"/>
          <w:sz w:val="24"/>
          <w:szCs w:val="24"/>
        </w:rPr>
        <w:lastRenderedPageBreak/>
        <w:t>interindividually</w:t>
      </w:r>
      <w:proofErr w:type="spellEnd"/>
      <w:r w:rsidR="00DD7F81" w:rsidRPr="005349B5">
        <w:rPr>
          <w:rFonts w:ascii="Times New Roman" w:hAnsi="Times New Roman" w:cs="Times New Roman"/>
          <w:color w:val="000000" w:themeColor="text1"/>
          <w:sz w:val="24"/>
          <w:szCs w:val="24"/>
        </w:rPr>
        <w:t xml:space="preserve"> differ between hyperemotional vs. callous-unemotional traits also indicated by the comorbid disorders found in our sample</w:t>
      </w:r>
      <w:r w:rsidR="00DD7F81" w:rsidRPr="005349B5">
        <w:rPr>
          <w:rFonts w:ascii="Times New Roman" w:hAnsi="Times New Roman" w:cs="Times New Roman"/>
          <w:color w:val="000000" w:themeColor="text1"/>
          <w:sz w:val="24"/>
          <w:szCs w:val="24"/>
        </w:rPr>
        <w:fldChar w:fldCharType="begin" w:fldLock="1"/>
      </w:r>
      <w:r w:rsidR="00206C1A">
        <w:rPr>
          <w:rFonts w:ascii="Times New Roman" w:hAnsi="Times New Roman" w:cs="Times New Roman"/>
          <w:color w:val="000000" w:themeColor="text1"/>
          <w:sz w:val="24"/>
          <w:szCs w:val="24"/>
        </w:rPr>
        <w:instrText>ADDIN CSL_CITATION {"citationItems":[{"id":"ITEM-1","itemData":{"DOI":"10.1111/J.1440-1819.1994.TB03033.X","ISSN":"0912-2036","PMID":"7799543","abstract":"Abstract: The historical roots of the concepts of abnormal personality, social deviance, delinquency and penal responsibility are described, demonstrating that former concepts of psychopathic personality often included negative social evaluations. Modern classification systems such as DSM‐III‐R and ICD‐10 prefer a behavior‐oriented definition of personality disorders, which increases reliability but may lead to a reductionistic and purely criteriological assessment of personality. A checklist for the assessment of personality disorders (AMPS) according to ICD‐10 and DSM‐III‐R is presented, including four subaffective forms derived from the typology of personality disorders described by Kurt Schneider and Kretschmer. To justify statements of diminished legal responsibility or irresponsibility under the German Penal Code, a differentiation between psychopathological phenomena in personality disorders and pure social deviance is needed. The three notions of psychopathy, sociopathy and dissocial behavior are suggested to guide necessary decisions concerning prognosis and therapy chances. Copyright © 1994, Wiley Blackwell. All rights reserved","author":[{"dropping-particle":"","family":"Saß","given":"Henning","non-dropping-particle":"","parse-names":false,"suffix":""},{"dropping-particle":"","family":"Herpertz","given":"Sabine","non-dropping-particle":"","parse-names":false,"suffix":""},{"dropping-particle":"","family":"Houben","given":"Isabel","non-dropping-particle":"","parse-names":false,"suffix":""}],"container-title":"The Japanese journal of psychiatry and neurology","id":"ITEM-1","issued":{"date-parts":[["1994"]]},"page":"5-17","publisher":"Jpn J Psychiatry Neurol","title":"Personality disorders: conceptual issues and responsibility","type":"article-journal","volume":"48 Suppl"},"uris":["http://www.mendeley.com/documents/?uuid=9c74e37b-7fdf-3b2d-bc3d-4c63a11f4bd3"]},{"id":"ITEM-2","itemData":{"DOI":"10.1007/S11920-003-0005-5","ISSN":"1523-3812","PMID":"12685998","abstract":"In the field of personality disorders, borderline and antisocial types are associated with emotional dysfunctioning. In borderline personality disorder (BPD), the hypothesis of emotional hyperresponsiveness can be supported by several experimental studies that suggest highly intensive and slowly subsiding emotions to primed and non-primed stimuli, as well as by data showing biased information, which processes in the context of emotions. In addition, the first neuroimaging data suggest that limbic hypersensitivity is a neurofunctional correlate of emotional vulnerability in BPD. In antisocial psychopathic personality disorder, data confirm the theory of emotional detachment, subsuming fearlessness, and, beyond that, emotional indifference to appetitive stimuli. Because of a fundamental dysfunction in the amygdala, psychopathic individuals appear to use alternative cognitive operations of processing affective material to compensate for the absence of appropriate limbic input, which normally provides prompt information about the affective characteristics of stimuli. Copyright © 2003 by Current Science Inc.","author":[{"dropping-particle":"","family":"Herpertz","given":"Sabine C.","non-dropping-particle":"","parse-names":false,"suffix":""}],"container-title":"Current psychiatry reports","id":"ITEM-2","issue":"1","issued":{"date-parts":[["2003"]]},"page":"23-27","publisher":"Curr Psychiatry Rep","title":"Emotional processing in personality disorder","type":"article-journal","volume":"5"},"uris":["http://www.mendeley.com/documents/?uuid=93368602-594c-3464-878b-38f361b930cb"]}],"mendeley":{"formattedCitation":"&lt;sup&gt;11,12&lt;/sup&gt;","plainTextFormattedCitation":"11,12","previouslyFormattedCitation":"&lt;sup&gt;11,12&lt;/sup&gt;"},"properties":{"noteIndex":0},"schema":"https://github.com/citation-style-language/schema/raw/master/csl-citation.json"}</w:instrText>
      </w:r>
      <w:r w:rsidR="00DD7F81" w:rsidRPr="005349B5">
        <w:rPr>
          <w:rFonts w:ascii="Times New Roman" w:hAnsi="Times New Roman" w:cs="Times New Roman"/>
          <w:color w:val="000000" w:themeColor="text1"/>
          <w:sz w:val="24"/>
          <w:szCs w:val="24"/>
        </w:rPr>
        <w:fldChar w:fldCharType="separate"/>
      </w:r>
      <w:r w:rsidR="00206C1A" w:rsidRPr="00206C1A">
        <w:rPr>
          <w:rFonts w:ascii="Times New Roman" w:hAnsi="Times New Roman" w:cs="Times New Roman"/>
          <w:noProof/>
          <w:color w:val="000000" w:themeColor="text1"/>
          <w:sz w:val="24"/>
          <w:szCs w:val="24"/>
          <w:vertAlign w:val="superscript"/>
        </w:rPr>
        <w:t>11,12</w:t>
      </w:r>
      <w:r w:rsidR="00DD7F81" w:rsidRPr="005349B5">
        <w:rPr>
          <w:rFonts w:ascii="Times New Roman" w:hAnsi="Times New Roman" w:cs="Times New Roman"/>
          <w:color w:val="000000" w:themeColor="text1"/>
          <w:sz w:val="24"/>
          <w:szCs w:val="24"/>
        </w:rPr>
        <w:fldChar w:fldCharType="end"/>
      </w:r>
      <w:r w:rsidR="00DD7F81" w:rsidRPr="005349B5">
        <w:rPr>
          <w:rFonts w:ascii="Times New Roman" w:hAnsi="Times New Roman" w:cs="Times New Roman"/>
          <w:color w:val="000000" w:themeColor="text1"/>
          <w:sz w:val="24"/>
          <w:szCs w:val="24"/>
        </w:rPr>
        <w:t>.</w:t>
      </w:r>
    </w:p>
    <w:p w14:paraId="3A19DF2A" w14:textId="77777777" w:rsidR="00BF3DB9" w:rsidRDefault="00BF3DB9" w:rsidP="00BF3DB9">
      <w:pPr>
        <w:pStyle w:val="p"/>
        <w:shd w:val="clear" w:color="auto" w:fill="FFFFFF"/>
        <w:spacing w:before="0" w:beforeAutospacing="0" w:after="0" w:afterAutospacing="0" w:line="480" w:lineRule="auto"/>
        <w:rPr>
          <w:rFonts w:eastAsiaTheme="minorEastAsia"/>
          <w:color w:val="000000" w:themeColor="text1"/>
          <w:lang w:val="en-GB"/>
        </w:rPr>
      </w:pPr>
    </w:p>
    <w:p w14:paraId="77A922F1" w14:textId="23E0820E" w:rsidR="00DD7F81" w:rsidRPr="00DB4336" w:rsidRDefault="00DD7F81" w:rsidP="00BF3DB9">
      <w:pPr>
        <w:pStyle w:val="p"/>
        <w:shd w:val="clear" w:color="auto" w:fill="FFFFFF"/>
        <w:spacing w:before="0" w:beforeAutospacing="0" w:after="0" w:afterAutospacing="0" w:line="480" w:lineRule="auto"/>
        <w:rPr>
          <w:color w:val="212121"/>
          <w:shd w:val="clear" w:color="auto" w:fill="FFFFFF"/>
        </w:rPr>
      </w:pPr>
      <w:r w:rsidRPr="005349B5">
        <w:rPr>
          <w:color w:val="212121"/>
          <w:shd w:val="clear" w:color="auto" w:fill="FFFFFF"/>
        </w:rPr>
        <w:t>Previously, it has been reported that OT consistently reduced amygdala activity in response to negative emotional faces, particularly fear, compared with PLC in healthy men</w:t>
      </w:r>
      <w:r w:rsidRPr="005349B5">
        <w:rPr>
          <w:color w:val="212121"/>
          <w:shd w:val="clear" w:color="auto" w:fill="FFFFFF"/>
        </w:rPr>
        <w:fldChar w:fldCharType="begin" w:fldLock="1"/>
      </w:r>
      <w:r w:rsidR="00206C1A">
        <w:rPr>
          <w:color w:val="212121"/>
          <w:shd w:val="clear" w:color="auto" w:fill="FFFFFF"/>
        </w:rPr>
        <w:instrText>ADDIN CSL_CITATION {"citationItems":[{"id":"ITEM-1","itemData":{"DOI":"10.1523/JNEUROSCI.3984-05.2005","ISSN":"1529-2401","PMID":"16339042","abstract":"In non-human mammals, the neuropeptide oxytocin is a key mediator of complex emotional and social behaviors, including attachment, social recognition, and aggression. Oxytocin reduces anxiety and impacts on fear conditioning and extinction. Recently, oxytocin administration in humans was shown to increase trust, suggesting involvement of the amygdala, a central component of the neurocircuitry of fear and social cognition that has been linked to trust and highly expresses oxytocin receptors in many mammals. However, no human data on the effects of this peptide on brain function were available. Here, we show that human amygdala function is strongly modulated by oxytocin. We used functional magnetic resonance imaging to image amygdala activation by fear-inducing visual stimuli in 15 healthy males after double-blind crossover intranasal application of placebo or oxytocin. Compared with placebo, oxytocin potently reduced activation of the amygdala and reduced coupling of the amygdala to brainstem regions implicated in autonomic and behavioral manifestations of fear. Our results indicate a neural mechanism for the effects of oxytocin in social cognition in the human brain and provide a methodology and rationale for exploring therapeutic strategies in disorders in which abnormal amygdala function has been implicated, such as social phobia or autism. Copyright © 2005 Society for Neuroscience.","author":[{"dropping-particle":"","family":"Kirsch","given":"Peter","non-dropping-particle":"","parse-names":false,"suffix":""},{"dropping-particle":"","family":"Esslinger","given":"Christine","non-dropping-particle":"","parse-names":false,"suffix":""},{"dropping-particle":"","family":"Chen","given":"Qiang","non-dropping-particle":"","parse-names":false,"suffix":""},{"dropping-particle":"","family":"Mier","given":"Daniela","non-dropping-particle":"","parse-names":false,"suffix":""},{"dropping-particle":"","family":"Lis","given":"Stefanie","non-dropping-particle":"","parse-names":false,"suffix":""},{"dropping-particle":"","family":"Siddhanti","given":"Sarina","non-dropping-particle":"","parse-names":false,"suffix":""},{"dropping-particle":"","family":"Gruppe","given":"Harald","non-dropping-particle":"","parse-names":false,"suffix":""},{"dropping-particle":"","family":"Mattay","given":"Venkata S.","non-dropping-particle":"","parse-names":false,"suffix":""},{"dropping-particle":"","family":"Gallhofer","given":"Bernd","non-dropping-particle":"","parse-names":false,"suffix":""},{"dropping-particle":"","family":"Meyer-Lindenberg","given":"Andreas","non-dropping-particle":"","parse-names":false,"suffix":""}],"container-title":"The Journal of neuroscience : the official journal of the Society for Neuroscience","id":"ITEM-1","issue":"49","issued":{"date-parts":[["2005","12","7"]]},"page":"11489-11493","publisher":"J Neurosci","title":"Oxytocin modulates neural circuitry for social cognition and fear in humans","type":"article-journal","volume":"25"},"uris":["http://www.mendeley.com/documents/?uuid=e3c1cacf-7f1d-3d22-8b06-882121c80ad2"]},{"id":"ITEM-2","itemData":{"DOI":"10.1016/j.biopsych.2007.03.025","ISSN":"00063223","PMID":"17617382","abstract":"Background: Oxytocin is known to reduce anxiety and stress in social interactions as well as to modulate approach behavior. Recent studies suggest that the amygdala might be the primary neuronal basis for these effects. Methods: In a functional magnetic resonance imaging study using a double-blind, placebo-controlled within-subject design, we measured neural responses to fearful, angry, and happy facial expressions after intranasal application of 24 IU oxytocin compared with placebo. Results: Oxytocin reduced right-sided amygdala responses to all three face categories even when the emotional content of the presented face was not evaluated explicitly. Exploratory whole brain analysis revealed modulatory effects in prefrontal and temporal areas as well as in the brainstem. Conclusions: Results suggest a modulatory role of oxytocin on amygdala responses to facial expressions irrespective of their valence. Reduction of amygdala activity to positive and negative stimuli might reflect reduced uncertainty about the predictive value of a social stimulus and thereby facilitates social approach behavior. © 2007 Society of Biological Psychiatry.","author":[{"dropping-particle":"","family":"Domes","given":"Gregor","non-dropping-particle":"","parse-names":false,"suffix":""},{"dropping-particle":"","family":"Heinrichs","given":"Markus","non-dropping-particle":"","parse-names":false,"suffix":""},{"dropping-particle":"","family":"Gläscher","given":"Jan","non-dropping-particle":"","parse-names":false,"suffix":""},{"dropping-particle":"","family":"Büchel","given":"Christian","non-dropping-particle":"","parse-names":false,"suffix":""},{"dropping-particle":"","family":"Braus","given":"Dieter F.","non-dropping-particle":"","parse-names":false,"suffix":""},{"dropping-particle":"","family":"Herpertz","given":"Sabine C.","non-dropping-particle":"","parse-names":false,"suffix":""}],"container-title":"Biological Psychiatry","id":"ITEM-2","issue":"10","issued":{"date-parts":[["2007","11","15"]]},"page":"1187-1190","publisher":"Biol Psychiatry","title":"Oxytocin Attenuates Amygdala Responses to Emotional Faces Regardless of Valence","type":"article-journal","volume":"62"},"uris":["http://www.mendeley.com/documents/?uuid=f8519f96-f8cc-3d8b-b194-8876870ffc01"]}],"mendeley":{"formattedCitation":"&lt;sup&gt;13,14&lt;/sup&gt;","plainTextFormattedCitation":"13,14","previouslyFormattedCitation":"&lt;sup&gt;13,14&lt;/sup&gt;"},"properties":{"noteIndex":0},"schema":"https://github.com/citation-style-language/schema/raw/master/csl-citation.json"}</w:instrText>
      </w:r>
      <w:r w:rsidRPr="005349B5">
        <w:rPr>
          <w:color w:val="212121"/>
          <w:shd w:val="clear" w:color="auto" w:fill="FFFFFF"/>
        </w:rPr>
        <w:fldChar w:fldCharType="separate"/>
      </w:r>
      <w:r w:rsidR="00206C1A" w:rsidRPr="00206C1A">
        <w:rPr>
          <w:noProof/>
          <w:color w:val="212121"/>
          <w:shd w:val="clear" w:color="auto" w:fill="FFFFFF"/>
          <w:vertAlign w:val="superscript"/>
        </w:rPr>
        <w:t>13,14</w:t>
      </w:r>
      <w:r w:rsidRPr="005349B5">
        <w:rPr>
          <w:color w:val="212121"/>
          <w:shd w:val="clear" w:color="auto" w:fill="FFFFFF"/>
        </w:rPr>
        <w:fldChar w:fldCharType="end"/>
      </w:r>
      <w:r w:rsidRPr="005349B5">
        <w:rPr>
          <w:color w:val="212121"/>
          <w:shd w:val="clear" w:color="auto" w:fill="FFFFFF"/>
        </w:rPr>
        <w:t>. In contrast, OT increased amygdala activity in healthy women</w:t>
      </w:r>
      <w:r w:rsidRPr="005349B5">
        <w:rPr>
          <w:color w:val="212121"/>
          <w:shd w:val="clear" w:color="auto" w:fill="FFFFFF"/>
        </w:rPr>
        <w:fldChar w:fldCharType="begin" w:fldLock="1"/>
      </w:r>
      <w:r w:rsidR="00206C1A">
        <w:rPr>
          <w:color w:val="212121"/>
          <w:shd w:val="clear" w:color="auto" w:fill="FFFFFF"/>
        </w:rPr>
        <w:instrText>ADDIN CSL_CITATION {"citationItems":[{"id":"ITEM-1","itemData":{"DOI":"10.1016/J.PSCYCHRESNS.2017.11.017","ISSN":"1872-7506","PMID":"29272737","abstract":"Abnormalities in responses to human facial emotions are associated with a range of psychiatric disorders. Addressing these abnormalities may therefore have significant clinical applications. Previous meta-analyses have demonstrated effects of the neuropeptide oxytocin on behavioural response to facial emotions, and effects on brain, as measured by functional MRI. Evidence suggests that these effects may be mediated by sex and the role of eye gaze. However, the specific effect of oxytocin on brain response to facial emotions in healthy adults has not been systematically analysed. To address this question, this further systematic review was conducted. Twenty-two studies met our inclusion criteria. In men, oxytocin consistently attenuated brain activity in response to negative emotional faces, particularly fear, compared with placebo, while in women, oxytocin enhanced activity. Brain regions consistently involved included the amygdala, fusiform gyrus and anterior cingulate cortex. In some studies, oxytocin increased fixation changes towards the eyes with enhanced amygdala and/or fusiform gyrus activation. By enhancing understanding of emotion processing in healthy subjects, these pharmacoimaging studies provide a theoretical basis for studying deficits in clinical populations. However, progress to date has been limited by low statistical power, methodological heterogeneity, and a lack of multimodal studies.","author":[{"dropping-particle":"","family":"Tully","given":"John","non-dropping-particle":"","parse-names":false,"suffix":""},{"dropping-particle":"","family":"Gabay","given":"Anthony S.","non-dropping-particle":"","parse-names":false,"suffix":""},{"dropping-particle":"","family":"Brown","given":"Danielle","non-dropping-particle":"","parse-names":false,"suffix":""},{"dropping-particle":"","family":"Murphy","given":"Declan G.M.","non-dropping-particle":"","parse-names":false,"suffix":""},{"dropping-particle":"","family":"Blackwood","given":"Nigel","non-dropping-particle":"","parse-names":false,"suffix":""}],"container-title":"Psychiatry research. Neuroimaging","id":"ITEM-1","issued":{"date-parts":[["2018","2","28"]]},"page":"17-29","publisher":"Psychiatry Res Neuroimaging","title":"The effect of intranasal oxytocin on neural response to facial emotions in healthy adults as measured by functional MRI: A systematic review","type":"article-journal","volume":"272"},"uris":["http://www.mendeley.com/documents/?uuid=1a97650b-09aa-30a5-8d94-45cc6601eec0"]},{"id":"ITEM-2","itemData":{"DOI":"10.1016/J.PSYNEUEN.2013.09.022","ISSN":"1873-3360","PMID":"24157401","abstract":"Both oxytocin (OT) and vasopressin (AVP) are known to modulate social behavior, and dysfunction in both systems has been postulated as a potential cause of certain psychiatric disorders that involve social behavioral deficits. In particular, there is growing interest in intranasal OT as a potential treatment for certain psychiatric disorders, and preliminary pre-clinical and clinical studies suggest efficacy in alleviating some of the associated symptoms. However, the vast majority of research participants in these studies have been male, and there is evidence for sexually differentiated effects of nonapeptides in both humans and non-human animals. To date, no study has investigated the effect of intranasal OT on brain function in human males and females within the same paradigm. Previously, in a randomized, placebo-controlled, double-blind fMRI study, we reported effects of intranasal OT and AVP on behavior and brain activity of human males as they played an interactive social game known as the Prisoner's Dilemma Game. Here, we present findings from an identical study in human females, and compare these with our findings from males. Overall, we find that both behavioral and neural responses to intranasal OT and AVP are highly sexually differentiated. In women, AVP increased conciliatory behavior, and both OT and AVP caused women to treat computer partners more like humans. In men, AVP increased reciprocation of cooperation from both human and computer partners. However, no specific drug effects on behavior were shared between men and women. During cooperative interactions, both OT and AVP increased brain activity in men within areas rich in OT and AVP receptors and in areas playing a key role in reward, social bonding, arousal and memory (e.g., the striatum, basal forebrain, insula, amygdala and hippocampus), whereas OT and AVP either had no effect or in some cases actually decreased brain activity in these regions in women. OT treatment rendered neural responses of males more similar to responses of females in the placebo group and vice versa, raising the prospect of an inverted u-shaped dose response to central OT levels. These findings emphasize the need to fully characterize the effects of intranasal OT and AVP in both males and females and at multiple doses before widespread clinical application will be warranted. © 2013 Elsevier Ltd.","author":[{"dropping-particle":"","family":"Rilling","given":"James K.","non-dropping-particle":"","parse-names":false,"suffix":""},{"dropping-particle":"","family":"DeMarco","given":"Ashley C.","non-dropping-particle":"","parse-names":false,"suffix":""},{"dropping-particle":"","family":"Hackett","given":"Patrick D.","non-dropping-particle":"","parse-names":false,"suffix":""},{"dropping-particle":"","family":"Chen","given":"Xu","non-dropping-particle":"","parse-names":false,"suffix":""},{"dropping-particle":"","family":"Gautam","given":"Pritam","non-dropping-particle":"","parse-names":false,"suffix":""},{"dropping-particle":"","family":"Stair","given":"Sabrina","non-dropping-particle":"","parse-names":false,"suffix":""},{"dropping-particle":"","family":"Haroon","given":"Ebrahim","non-dropping-particle":"","parse-names":false,"suffix":""},{"dropping-particle":"","family":"Thompson","given":"Richmond","non-dropping-particle":"","parse-names":false,"suffix":""},{"dropping-particle":"","family":"Ditzen","given":"Beate","non-dropping-particle":"","parse-names":false,"suffix":""},{"dropping-particle":"","family":"Patel","given":"Rajan","non-dropping-particle":"","parse-names":false,"suffix":""},{"dropping-particle":"","family":"Pagnoni","given":"Giuseppe","non-dropping-particle":"","parse-names":false,"suffix":""}],"container-title":"Psychoneuroendocrinology","id":"ITEM-2","issue":"1","issued":{"date-parts":[["2014","1"]]},"page":"237-248","publisher":"Psychoneuroendocrinology","title":"Sex differences in the neural and behavioral response to intranasal oxytocin and vasopressin during human social interaction","type":"article-journal","volume":"39"},"uris":["http://www.mendeley.com/documents/?uuid=8ccbe4c3-b8a7-3c5f-8846-1b5fb624a5ff"]},{"id":"ITEM-3","itemData":{"DOI":"10.1038/S41386-019-0582-6","ISSN":"1740-634X","PMID":"31785587","abstract":"Accumulating evidence suggests that intranasal oxytocin (OXT; 24 IU) reduces amygdala responses to fear-related stimuli in men, while exerting inverse effects in women. However, OXT enhances activity of the brain reward system in both sexes. Importantly, a crucial and still open question is whether there are sex-specific dose-response relationships for the amygdala and striatal regions. To address this question, a total of 90 healthy women participated in a double-blind, placebo-controlled crossover functional magnetic resonance imaging (fMRI) study and the results were compared with our previous findings from men. Participants were randomly assigned to three doses of OXT (6 IU, 12 IU, and 24 IU) and completed an emotional face recognition task including fearful and happy faces of varying emotional intensities. Across doses, OXT enhanced amygdala reactivity to low fearful faces compared to placebo and increased responses to happy faces in the dorsal striatum in women. While treatment effects on amygdala reactivity were evident at each given dose, the OXT effect on striatal responses to social stimuli was more pronounced with higher doses, but this dose-dependent effect did not survive correction for multiple comparisons. Importantly, OXT effects on amygdala and striatal activation significantly differed between sexes and striatal baseline sexual-dimorphic response patterns were diminished after administration of OXT. Our findings suggest that OXT increases the salience of social signals by strengthening the sensitivity for these signals in the amygdala and in the striatum in women, while OXT may primarily induce anxiolysis by reducing amygdala responses in men.","author":[{"dropping-particle":"","family":"Lieberz","given":"Jana","non-dropping-particle":"","parse-names":false,"suffix":""},{"dropping-particle":"","family":"Scheele","given":"Dirk","non-dropping-particle":"","parse-names":false,"suffix":""},{"dropping-particle":"","family":"Spengler","given":"Franny B.","non-dropping-particle":"","parse-names":false,"suffix":""},{"dropping-particle":"","family":"Matheisen","given":"Tatjana","non-dropping-particle":"","parse-names":false,"suffix":""},{"dropping-particle":"","family":"Schneider","given":"Lìa","non-dropping-particle":"","parse-names":false,"suffix":""},{"dropping-particle":"","family":"Stoffel-Wagner","given":"Birgit","non-dropping-particle":"","parse-names":false,"suffix":""},{"dropping-particle":"","family":"Kinfe","given":"Thomas M.","non-dropping-particle":"","parse-names":false,"suffix":""},{"dropping-particle":"","family":"Hurlemann","given":"René","non-dropping-particle":"","parse-names":false,"suffix":""}],"container-title":"Neuropsychopharmacology : official publication of the American College of Neuropsychopharmacology","id":"ITEM-3","issue":"7","issued":{"date-parts":[["2020","6","1"]]},"page":"1134-1140","publisher":"Neuropsychopharmacology","title":"Kinetics of oxytocin effects on amygdala and striatal reactivity vary between women and men","type":"article-journal","volume":"45"},"uris":["http://www.mendeley.com/documents/?uuid=eabc6941-b23a-3d7d-bb9b-604feaeed9e2"]}],"mendeley":{"formattedCitation":"&lt;sup&gt;15–17&lt;/sup&gt;","plainTextFormattedCitation":"15–17","previouslyFormattedCitation":"&lt;sup&gt;15–17&lt;/sup&gt;"},"properties":{"noteIndex":0},"schema":"https://github.com/citation-style-language/schema/raw/master/csl-citation.json"}</w:instrText>
      </w:r>
      <w:r w:rsidRPr="005349B5">
        <w:rPr>
          <w:color w:val="212121"/>
          <w:shd w:val="clear" w:color="auto" w:fill="FFFFFF"/>
        </w:rPr>
        <w:fldChar w:fldCharType="separate"/>
      </w:r>
      <w:r w:rsidR="00206C1A" w:rsidRPr="00206C1A">
        <w:rPr>
          <w:noProof/>
          <w:color w:val="212121"/>
          <w:shd w:val="clear" w:color="auto" w:fill="FFFFFF"/>
          <w:vertAlign w:val="superscript"/>
        </w:rPr>
        <w:t>15–17</w:t>
      </w:r>
      <w:r w:rsidRPr="005349B5">
        <w:rPr>
          <w:color w:val="212121"/>
          <w:shd w:val="clear" w:color="auto" w:fill="FFFFFF"/>
        </w:rPr>
        <w:fldChar w:fldCharType="end"/>
      </w:r>
      <w:r w:rsidRPr="005349B5">
        <w:rPr>
          <w:color w:val="212121"/>
          <w:shd w:val="clear" w:color="auto" w:fill="FFFFFF"/>
        </w:rPr>
        <w:t>. In a similar way, OT increased amygdala reactivity to threatening scenes in women but not men</w:t>
      </w:r>
      <w:r w:rsidRPr="005349B5">
        <w:rPr>
          <w:color w:val="212121"/>
          <w:shd w:val="clear" w:color="auto" w:fill="FFFFFF"/>
        </w:rPr>
        <w:fldChar w:fldCharType="begin" w:fldLock="1"/>
      </w:r>
      <w:r w:rsidR="00206C1A">
        <w:rPr>
          <w:color w:val="212121"/>
          <w:shd w:val="clear" w:color="auto" w:fill="FFFFFF"/>
        </w:rPr>
        <w:instrText>ADDIN CSL_CITATION {"citationItems":[{"id":"ITEM-1","itemData":{"DOI":"10.1016/J.PSYNEUEN.2012.01.011","ISSN":"1873-3360","PMID":"22365820","abstract":"The neuropeptide oxytocin (OT) is well known for its profound effects on social behavior, which appear to be mediated by an OT-dependent modulation of amygdala activity in the context of social stimuli. In humans, OT decreases amygdala reactivity to threatening faces in males, but enhances amygdala reactivity to similar faces in females, suggesting sex-specific differences in OT-dependent threat-processing. To further explore whether OT generally enhances amygdala-dependent threat-processing in females, we used functional magnetic resonance imaging (fMRI) in a randomized within-subject crossover design to measure amygdala activity in response to threatening and non-threatening scenes in 14 females following intranasal administration of OT or placebo. Participants' eye movements were recorded to investigate whether an OT-dependent modulation of amygdala activity is accompanied by enhanced exploration of salient scene features. Although OT had no effect on participants' gazing behavior, it increased amygdala reactivity to scenes depicting social and non-social threat. In females, OT may, thus, enhance the detection of threatening stimuli in the environment, potentially by interacting with gonadal steroids, such as progesterone and estrogen. © 2012 Elsevier Ltd.","author":[{"dropping-particle":"","family":"Lischke","given":"Alexander","non-dropping-particle":"","parse-names":false,"suffix":""},{"dropping-particle":"","family":"Gamer","given":"Matthias","non-dropping-particle":"","parse-names":false,"suffix":""},{"dropping-particle":"","family":"Berger","given":"Christoph","non-dropping-particle":"","parse-names":false,"suffix":""},{"dropping-particle":"","family":"Grossmann","given":"Annette","non-dropping-particle":"","parse-names":false,"suffix":""},{"dropping-particle":"","family":"Hauenstein","given":"Karlheinz","non-dropping-particle":"","parse-names":false,"suffix":""},{"dropping-particle":"","family":"Heinrichs","given":"Markus","non-dropping-particle":"","parse-names":false,"suffix":""},{"dropping-particle":"","family":"Herpertz","given":"Sabine C.","non-dropping-particle":"","parse-names":false,"suffix":""},{"dropping-particle":"","family":"Domes","given":"Gregor","non-dropping-particle":"","parse-names":false,"suffix":""}],"container-title":"Psychoneuroendocrinology","id":"ITEM-1","issue":"9","issued":{"date-parts":[["2012","9"]]},"page":"1431-1438","publisher":"Psychoneuroendocrinology","title":"Oxytocin increases amygdala reactivity to threatening scenes in females","type":"article-journal","volume":"37"},"uris":["http://www.mendeley.com/documents/?uuid=9bc18d33-77e5-3ee7-bc2d-2de0d50e35e5"]}],"mendeley":{"formattedCitation":"&lt;sup&gt;18&lt;/sup&gt;","plainTextFormattedCitation":"18","previouslyFormattedCitation":"&lt;sup&gt;18&lt;/sup&gt;"},"properties":{"noteIndex":0},"schema":"https://github.com/citation-style-language/schema/raw/master/csl-citation.json"}</w:instrText>
      </w:r>
      <w:r w:rsidRPr="005349B5">
        <w:rPr>
          <w:color w:val="212121"/>
          <w:shd w:val="clear" w:color="auto" w:fill="FFFFFF"/>
        </w:rPr>
        <w:fldChar w:fldCharType="separate"/>
      </w:r>
      <w:r w:rsidR="00206C1A" w:rsidRPr="00206C1A">
        <w:rPr>
          <w:noProof/>
          <w:color w:val="212121"/>
          <w:shd w:val="clear" w:color="auto" w:fill="FFFFFF"/>
          <w:vertAlign w:val="superscript"/>
        </w:rPr>
        <w:t>18</w:t>
      </w:r>
      <w:r w:rsidRPr="005349B5">
        <w:rPr>
          <w:color w:val="212121"/>
          <w:shd w:val="clear" w:color="auto" w:fill="FFFFFF"/>
        </w:rPr>
        <w:fldChar w:fldCharType="end"/>
      </w:r>
      <w:r w:rsidRPr="005349B5">
        <w:rPr>
          <w:color w:val="212121"/>
          <w:shd w:val="clear" w:color="auto" w:fill="FFFFFF"/>
        </w:rPr>
        <w:t>.</w:t>
      </w:r>
      <w:r>
        <w:rPr>
          <w:color w:val="212121"/>
          <w:shd w:val="clear" w:color="auto" w:fill="FFFFFF"/>
        </w:rPr>
        <w:t xml:space="preserve"> </w:t>
      </w:r>
      <w:r w:rsidRPr="005349B5">
        <w:rPr>
          <w:color w:val="212121"/>
          <w:shd w:val="clear" w:color="auto" w:fill="FFFFFF"/>
        </w:rPr>
        <w:t>Hence, we could replicate the OT effect on amygdala activity in healthy women. The sex differential effects of OT might be explained by OT’s interaction with sex steroid hormones such as progesterone</w:t>
      </w:r>
      <w:r w:rsidRPr="005349B5">
        <w:rPr>
          <w:color w:val="212121"/>
          <w:shd w:val="clear" w:color="auto" w:fill="FFFFFF"/>
        </w:rPr>
        <w:fldChar w:fldCharType="begin" w:fldLock="1"/>
      </w:r>
      <w:r w:rsidR="00206C1A">
        <w:rPr>
          <w:color w:val="212121"/>
          <w:shd w:val="clear" w:color="auto" w:fill="FFFFFF"/>
        </w:rPr>
        <w:instrText>ADDIN CSL_CITATION {"citationItems":[{"id":"ITEM-1","itemData":{"DOI":"10.1038/SJ.MP.4002030","ISSN":"1476-5578","PMID":"17579609","abstract":"The acute neural effects of progesterone are mediated by its neuroactive metabolites allopregnanolone and pregnanolone. These neurosteroids potentiate the inhibitory actions of γ-aminobutyric acid (GABA). Progesterone is known to produce anxiolytic effects in animals, but recent animal studies suggest that pregnanolone increases anxiety after a period of low allopregnanolone concentration. This effect is potentially mediated by the amygdala and related to the negative mood symptoms in humans that are observed during increased allopregnanolone levels. Therefore, we investigated with functional magnetic resonance imaging (MRI) whether a single progesterone administration to healthy young women in their follicular phase modulates the amygdala response to salient, biologically relevant stimuli. The progesterone administration increased the plasma concentrations of progesterone and allopregnanolone to levels that are reached during the luteal phase and early pregnancy. The imaging results show that progesterone selectively increased amygdala reactivity. Furthermore, functional connectivity analyses indicate that progesterone modulated functional coupling of the amygdala with distant brain regions. These results reveal a neural mechanism by which progesterone may mediate adverse effects on anxiety and mood. © 2008 Nature Publishing Group All rights reserved.","author":[{"dropping-particle":"","family":"Wingen","given":"G. A.","non-dropping-particle":"Van","parse-names":false,"suffix":""},{"dropping-particle":"","family":"Broekhoven","given":"F.","non-dropping-particle":"Van","parse-names":false,"suffix":""},{"dropping-particle":"","family":"Verkes","given":"R. J.","non-dropping-particle":"","parse-names":false,"suffix":""},{"dropping-particle":"","family":"Petersson","given":"K. M.","non-dropping-particle":"","parse-names":false,"suffix":""},{"dropping-particle":"","family":"Bäckström","given":"T.","non-dropping-particle":"","parse-names":false,"suffix":""},{"dropping-particle":"","family":"Buitelaar","given":"J. K.","non-dropping-particle":"","parse-names":false,"suffix":""},{"dropping-particle":"","family":"Fernández","given":"G.","non-dropping-particle":"","parse-names":false,"suffix":""}],"container-title":"Molecular psychiatry","id":"ITEM-1","issue":"3","issued":{"date-parts":[["2008","3"]]},"page":"325-333","publisher":"Mol Psychiatry","title":"Progesterone selectively increases amygdala reactivity in women","type":"article-journal","volume":"13"},"uris":["http://www.mendeley.com/documents/?uuid=4354f7b3-49f7-35ce-b7c4-abf38eb06c36"]}],"mendeley":{"formattedCitation":"&lt;sup&gt;19&lt;/sup&gt;","plainTextFormattedCitation":"19","previouslyFormattedCitation":"&lt;sup&gt;19&lt;/sup&gt;"},"properties":{"noteIndex":0},"schema":"https://github.com/citation-style-language/schema/raw/master/csl-citation.json"}</w:instrText>
      </w:r>
      <w:r w:rsidRPr="005349B5">
        <w:rPr>
          <w:color w:val="212121"/>
          <w:shd w:val="clear" w:color="auto" w:fill="FFFFFF"/>
        </w:rPr>
        <w:fldChar w:fldCharType="separate"/>
      </w:r>
      <w:r w:rsidR="00206C1A" w:rsidRPr="00206C1A">
        <w:rPr>
          <w:noProof/>
          <w:color w:val="212121"/>
          <w:shd w:val="clear" w:color="auto" w:fill="FFFFFF"/>
          <w:vertAlign w:val="superscript"/>
        </w:rPr>
        <w:t>19</w:t>
      </w:r>
      <w:r w:rsidRPr="005349B5">
        <w:rPr>
          <w:color w:val="212121"/>
          <w:shd w:val="clear" w:color="auto" w:fill="FFFFFF"/>
        </w:rPr>
        <w:fldChar w:fldCharType="end"/>
      </w:r>
      <w:r w:rsidRPr="005349B5">
        <w:rPr>
          <w:color w:val="212121"/>
          <w:shd w:val="clear" w:color="auto" w:fill="FFFFFF"/>
        </w:rPr>
        <w:t xml:space="preserve"> or baseline sex differences in the neural OT system</w:t>
      </w:r>
      <w:r w:rsidRPr="005349B5">
        <w:rPr>
          <w:color w:val="212121"/>
          <w:shd w:val="clear" w:color="auto" w:fill="FFFFFF"/>
        </w:rPr>
        <w:fldChar w:fldCharType="begin" w:fldLock="1"/>
      </w:r>
      <w:r w:rsidR="00206C1A">
        <w:rPr>
          <w:color w:val="212121"/>
          <w:shd w:val="clear" w:color="auto" w:fill="FFFFFF"/>
        </w:rPr>
        <w:instrText>ADDIN CSL_CITATION {"citationItems":[{"id":"ITEM-1","itemData":{"DOI":"10.1038/S41386-018-0129-2","ISSN":"1740-634X","PMID":"29968846","abstract":"The rewarding properties of social interactions are essential for the expression of social behavior and the development of adaptive social relationships. Here, we review sex differences in social reward, and more specifically, how oxytocin (OT) acts in the mesolimbic dopamine system (MDS) to mediate the rewarding properties of social interactions in a sex-dependent manner. Evidence from rodents and humans suggests that same-sex social interactions may be more rewarding in females than in males. We propose that there is an inverted U relationship between OT dose, social reward, and neural activity within structures of the MDS in both males and females, and that this dose–response relationship is initiated at lower doses in females than males. As a result, depending on the dose of OT administered, OT could reduce social reward in females, while enhancing it in males. Sex differences in the neural mechanisms regulating social reward may contribute to sex differences in the incidence of a large number of psychiatric and neurodevelopmental disorders. This review addresses the potential significance of a sex-dependent inverted U dose–response function for OT’s effects on social reward and in the development of gender-specific therapies for these disorders.","author":[{"dropping-particle":"","family":"Borland","given":"Johnathan M.","non-dropping-particle":"","parse-names":false,"suffix":""},{"dropping-particle":"","family":"Rilling","given":"James K.","non-dropping-particle":"","parse-names":false,"suffix":""},{"dropping-particle":"","family":"Frantz","given":"Kyle J.","non-dropping-particle":"","parse-names":false,"suffix":""},{"dropping-particle":"","family":"Albers","given":"H. Elliott","non-dropping-particle":"","parse-names":false,"suffix":""}],"container-title":"Neuropsychopharmacology : official publication of the American College of Neuropsychopharmacology","id":"ITEM-1","issue":"1","issued":{"date-parts":[["2019","1","1"]]},"page":"97-110","publisher":"Neuropsychopharmacology","title":"Sex-dependent regulation of social reward by oxytocin: an inverted U hypothesis","type":"article-journal","volume":"44"},"uris":["http://www.mendeley.com/documents/?uuid=9441c853-47cd-3d40-a5e7-4b795141e6da"]},{"id":"ITEM-2","itemData":{"DOI":"10.1038/S41562-020-00996-4","ISSN":"2397-3374","PMID":"33257880","abstract":"The neuropeptide oxytocin has been popularized for its role in social behaviour and nominated as a candidate treatment for several psychiatric illnesses due to promising preclinical results. However, these results so far have failed to reliably translate from animal models to human research. In response, there have been justified calls to improve intranasal oxytocin delivery methodology in terms of verifying that intranasal administration increases central levels of oxytocin. Nonetheless, improved methodology needs to be coupled with a robust theory of the role of oxytocin in behaviour and physiology to ask meaningful research questions. Moreover, stringent methodology based on robust theory may yield interesting results, but such findings will have limited utility if they are not reproducible. We outline how the precision of intranasal oxytocin research can be improved by the complementary consideration of methodology, theory and reproducibility.","author":[{"dropping-particle":"","family":"Winterton","given":"Adriano","non-dropping-particle":"","parse-names":false,"suffix":""},{"dropping-particle":"","family":"Westlye","given":"Lars T.","non-dropping-particle":"","parse-names":false,"suffix":""},{"dropping-particle":"","family":"Steen","given":"Nils Eiel","non-dropping-particle":"","parse-names":false,"suffix":""},{"dropping-particle":"","family":"Andreassen","given":"Ole A.","non-dropping-particle":"","parse-names":false,"suffix":""},{"dropping-particle":"","family":"Quintana","given":"Daniel S.","non-dropping-particle":"","parse-names":false,"suffix":""}],"container-title":"Nature human behaviour","id":"ITEM-2","issue":"1","issued":{"date-parts":[["2021","1","1"]]},"page":"9-18","publisher":"Nat Hum Behav","title":"Improving the precision of intranasal oxytocin research","type":"article-journal","volume":"5"},"uris":["http://www.mendeley.com/documents/?uuid=d1453f4a-21cb-3052-88dc-98834ae5e51c"]}],"mendeley":{"formattedCitation":"&lt;sup&gt;20,21&lt;/sup&gt;","plainTextFormattedCitation":"20,21","previouslyFormattedCitation":"&lt;sup&gt;20,21&lt;/sup&gt;"},"properties":{"noteIndex":0},"schema":"https://github.com/citation-style-language/schema/raw/master/csl-citation.json"}</w:instrText>
      </w:r>
      <w:r w:rsidRPr="005349B5">
        <w:rPr>
          <w:color w:val="212121"/>
          <w:shd w:val="clear" w:color="auto" w:fill="FFFFFF"/>
        </w:rPr>
        <w:fldChar w:fldCharType="separate"/>
      </w:r>
      <w:r w:rsidR="00206C1A" w:rsidRPr="00206C1A">
        <w:rPr>
          <w:noProof/>
          <w:color w:val="212121"/>
          <w:shd w:val="clear" w:color="auto" w:fill="FFFFFF"/>
          <w:vertAlign w:val="superscript"/>
        </w:rPr>
        <w:t>20,21</w:t>
      </w:r>
      <w:r w:rsidRPr="005349B5">
        <w:rPr>
          <w:color w:val="212121"/>
          <w:shd w:val="clear" w:color="auto" w:fill="FFFFFF"/>
        </w:rPr>
        <w:fldChar w:fldCharType="end"/>
      </w:r>
      <w:r w:rsidRPr="005349B5">
        <w:rPr>
          <w:color w:val="212121"/>
          <w:shd w:val="clear" w:color="auto" w:fill="FFFFFF"/>
        </w:rPr>
        <w:t xml:space="preserve">. </w:t>
      </w:r>
      <w:r>
        <w:rPr>
          <w:color w:val="212121"/>
          <w:shd w:val="clear" w:color="auto" w:fill="FFFFFF"/>
        </w:rPr>
        <w:t>O</w:t>
      </w:r>
      <w:r w:rsidRPr="005349B5">
        <w:rPr>
          <w:color w:val="212121"/>
          <w:shd w:val="clear" w:color="auto" w:fill="FFFFFF"/>
        </w:rPr>
        <w:t xml:space="preserve">ur sample showed differences in salivary OT levels with higher levels in women than in men across groups. However, neither peripheral OT levels nor progesterone levels prior to the experiments correlated with amygdala activation following PLC and OT administration. This result could be </w:t>
      </w:r>
      <w:r w:rsidRPr="00DB4336">
        <w:rPr>
          <w:color w:val="212121"/>
          <w:shd w:val="clear" w:color="auto" w:fill="FFFFFF"/>
        </w:rPr>
        <w:t xml:space="preserve">explained by the finding that a single measurement of peripheral </w:t>
      </w:r>
      <w:r w:rsidR="00B96F75" w:rsidRPr="00DB4336">
        <w:rPr>
          <w:color w:val="212121"/>
          <w:shd w:val="clear" w:color="auto" w:fill="FFFFFF"/>
        </w:rPr>
        <w:t>OT</w:t>
      </w:r>
      <w:r w:rsidRPr="00DB4336">
        <w:rPr>
          <w:color w:val="212121"/>
          <w:shd w:val="clear" w:color="auto" w:fill="FFFFFF"/>
        </w:rPr>
        <w:t xml:space="preserve"> is not a reliable trait marker of the physiology of the </w:t>
      </w:r>
      <w:r w:rsidR="00B96F75" w:rsidRPr="00DB4336">
        <w:rPr>
          <w:color w:val="212121"/>
          <w:shd w:val="clear" w:color="auto" w:fill="FFFFFF"/>
        </w:rPr>
        <w:t>OT</w:t>
      </w:r>
      <w:r w:rsidRPr="00DB4336">
        <w:rPr>
          <w:color w:val="212121"/>
          <w:shd w:val="clear" w:color="auto" w:fill="FFFFFF"/>
        </w:rPr>
        <w:t xml:space="preserve"> system in humans</w:t>
      </w:r>
      <w:r w:rsidRPr="00DB4336">
        <w:rPr>
          <w:color w:val="212121"/>
          <w:shd w:val="clear" w:color="auto" w:fill="FFFFFF"/>
        </w:rPr>
        <w:fldChar w:fldCharType="begin" w:fldLock="1"/>
      </w:r>
      <w:r w:rsidR="00206C1A">
        <w:rPr>
          <w:color w:val="212121"/>
          <w:shd w:val="clear" w:color="auto" w:fill="FFFFFF"/>
        </w:rPr>
        <w:instrText>ADDIN CSL_CITATION {"citationItems":[{"id":"ITEM-1","itemData":{"DOI":"10.7554/ELIFE.62456","ISSN":"2050-084X","PMID":"33306025","abstract":"Single measurements of salivary and plasmatic oxytocin are used as indicators of the physiology of the oxytocin system. However, questions remain about whether they are sufficiently stable to provide valid trait markers of the physiology of the oxytocin system, and whether salivary oxytocin can accurately index its plasmatic concentrations. Using radioimmunoassay, we measured baseline plasmatic and/or salivary oxytocin from two independent datasets. We also administered exogenous oxytocin intravenously and intranasally in a triple dummy, within-subject, placebo-controlled design and compared baseline levels and the effects of routes of administration. Our findings question the use of single measurements of baseline oxytocin concentrations in saliva and plasma as valid trait markers of the physiology of the oxytocin system in humans. Salivary oxytocin is a weak surrogate for plasmatic oxytocin. The increases in salivary oxytocin observed after intranasal oxytocin most likely reflect unabsorbed peptide and should not be used to predict treatment effects.","author":[{"dropping-particle":"","family":"Martins","given":"Daniel","non-dropping-particle":"","parse-names":false,"suffix":""},{"dropping-particle":"","family":"Gabay","given":"Anthony S.","non-dropping-particle":"","parse-names":false,"suffix":""},{"dropping-particle":"","family":"Mehta","given":"Mitul","non-dropping-particle":"","parse-names":false,"suffix":""},{"dropping-particle":"","family":"Paloyelis","given":"Yannis","non-dropping-particle":"","parse-names":false,"suffix":""}],"container-title":"eLife","id":"ITEM-1","issued":{"date-parts":[["2020","12","1"]]},"page":"1-19","publisher":"Elife","title":"Salivary and plasmatic oxytocin are not reliable trait markers of the physiology of the oxytocin system in humans","type":"article-journal","volume":"9"},"uris":["http://www.mendeley.com/documents/?uuid=71ebc446-ed8e-3df9-b5aa-c83c9f352bf0"]}],"mendeley":{"formattedCitation":"&lt;sup&gt;22&lt;/sup&gt;","plainTextFormattedCitation":"22","previouslyFormattedCitation":"&lt;sup&gt;22&lt;/sup&gt;"},"properties":{"noteIndex":0},"schema":"https://github.com/citation-style-language/schema/raw/master/csl-citation.json"}</w:instrText>
      </w:r>
      <w:r w:rsidRPr="00DB4336">
        <w:rPr>
          <w:color w:val="212121"/>
          <w:shd w:val="clear" w:color="auto" w:fill="FFFFFF"/>
        </w:rPr>
        <w:fldChar w:fldCharType="separate"/>
      </w:r>
      <w:r w:rsidR="00206C1A" w:rsidRPr="00206C1A">
        <w:rPr>
          <w:noProof/>
          <w:color w:val="212121"/>
          <w:shd w:val="clear" w:color="auto" w:fill="FFFFFF"/>
          <w:vertAlign w:val="superscript"/>
        </w:rPr>
        <w:t>22</w:t>
      </w:r>
      <w:r w:rsidRPr="00DB4336">
        <w:rPr>
          <w:color w:val="212121"/>
          <w:shd w:val="clear" w:color="auto" w:fill="FFFFFF"/>
        </w:rPr>
        <w:fldChar w:fldCharType="end"/>
      </w:r>
      <w:r w:rsidRPr="00DB4336">
        <w:rPr>
          <w:color w:val="212121"/>
          <w:shd w:val="clear" w:color="auto" w:fill="FFFFFF"/>
        </w:rPr>
        <w:t xml:space="preserve">. </w:t>
      </w:r>
    </w:p>
    <w:p w14:paraId="22186E7E" w14:textId="1E53A7E0" w:rsidR="00701E6B" w:rsidRPr="00DB4336" w:rsidRDefault="00701E6B" w:rsidP="00BF3DB9">
      <w:pPr>
        <w:pStyle w:val="p"/>
        <w:shd w:val="clear" w:color="auto" w:fill="FFFFFF"/>
        <w:spacing w:before="0" w:beforeAutospacing="0" w:after="0" w:afterAutospacing="0" w:line="480" w:lineRule="auto"/>
        <w:rPr>
          <w:color w:val="212121"/>
          <w:shd w:val="clear" w:color="auto" w:fill="FFFFFF"/>
        </w:rPr>
      </w:pPr>
    </w:p>
    <w:p w14:paraId="0A5BF686" w14:textId="6B22438B" w:rsidR="00701E6B" w:rsidRPr="00DB4336" w:rsidRDefault="00701E6B" w:rsidP="00DB4336">
      <w:pPr>
        <w:autoSpaceDE w:val="0"/>
        <w:autoSpaceDN w:val="0"/>
        <w:adjustRightInd w:val="0"/>
        <w:spacing w:after="0" w:line="480" w:lineRule="auto"/>
        <w:rPr>
          <w:rFonts w:ascii="Times New Roman" w:hAnsi="Times New Roman" w:cs="Times New Roman"/>
          <w:b/>
          <w:color w:val="231F20"/>
          <w:sz w:val="24"/>
          <w:szCs w:val="24"/>
        </w:rPr>
      </w:pPr>
      <w:r w:rsidRPr="00DB4336">
        <w:rPr>
          <w:rFonts w:ascii="Times New Roman" w:hAnsi="Times New Roman" w:cs="Times New Roman"/>
          <w:color w:val="231F20"/>
          <w:sz w:val="24"/>
          <w:szCs w:val="24"/>
        </w:rPr>
        <w:t xml:space="preserve">Furthermore, we found that the OT effect on right amygdala activation tended to be generally stronger in women than in men in the total sample, as did the amygdala activation in response to angry faces. The latter trend was also found in the healthy sample. </w:t>
      </w:r>
      <w:r w:rsidRPr="00DB4336">
        <w:rPr>
          <w:rFonts w:ascii="Times New Roman" w:hAnsi="Times New Roman" w:cs="Times New Roman"/>
          <w:sz w:val="24"/>
          <w:szCs w:val="24"/>
        </w:rPr>
        <w:t>It is of note that the female groups did not differ in progesterone levels which has been shown to modulate amygdala function in women</w:t>
      </w:r>
      <w:r w:rsidRPr="00DB4336">
        <w:rPr>
          <w:rFonts w:ascii="Times New Roman" w:hAnsi="Times New Roman" w:cs="Times New Roman"/>
          <w:sz w:val="24"/>
          <w:szCs w:val="24"/>
        </w:rPr>
        <w:fldChar w:fldCharType="begin" w:fldLock="1"/>
      </w:r>
      <w:r w:rsidR="00206C1A">
        <w:rPr>
          <w:rFonts w:ascii="Times New Roman" w:hAnsi="Times New Roman" w:cs="Times New Roman"/>
          <w:sz w:val="24"/>
          <w:szCs w:val="24"/>
        </w:rPr>
        <w:instrText>ADDIN CSL_CITATION {"citationItems":[{"id":"ITEM-1","itemData":{"DOI":"10.1038/SJ.MP.4002030","ISSN":"1476-5578","PMID":"17579609","abstract":"The acute neural effects of progesterone are mediated by its neuroactive metabolites allopregnanolone and pregnanolone. These neurosteroids potentiate the inhibitory actions of γ-aminobutyric acid (GABA). Progesterone is known to produce anxiolytic effects in animals, but recent animal studies suggest that pregnanolone increases anxiety after a period of low allopregnanolone concentration. This effect is potentially mediated by the amygdala and related to the negative mood symptoms in humans that are observed during increased allopregnanolone levels. Therefore, we investigated with functional magnetic resonance imaging (MRI) whether a single progesterone administration to healthy young women in their follicular phase modulates the amygdala response to salient, biologically relevant stimuli. The progesterone administration increased the plasma concentrations of progesterone and allopregnanolone to levels that are reached during the luteal phase and early pregnancy. The imaging results show that progesterone selectively increased amygdala reactivity. Furthermore, functional connectivity analyses indicate that progesterone modulated functional coupling of the amygdala with distant brain regions. These results reveal a neural mechanism by which progesterone may mediate adverse effects on anxiety and mood. © 2008 Nature Publishing Group All rights reserved.","author":[{"dropping-particle":"","family":"Wingen","given":"G. A.","non-dropping-particle":"Van","parse-names":false,"suffix":""},{"dropping-particle":"","family":"Broekhoven","given":"F.","non-dropping-particle":"Van","parse-names":false,"suffix":""},{"dropping-particle":"","family":"Verkes","given":"R. J.","non-dropping-particle":"","parse-names":false,"suffix":""},{"dropping-particle":"","family":"Petersson","given":"K. M.","non-dropping-particle":"","parse-names":false,"suffix":""},{"dropping-particle":"","family":"Bäckström","given":"T.","non-dropping-particle":"","parse-names":false,"suffix":""},{"dropping-particle":"","family":"Buitelaar","given":"J. K.","non-dropping-particle":"","parse-names":false,"suffix":""},{"dropping-particle":"","family":"Fernández","given":"G.","non-dropping-particle":"","parse-names":false,"suffix":""}],"container-title":"Molecular psychiatry","id":"ITEM-1","issue":"3","issued":{"date-parts":[["2008","3"]]},"page":"325-333","publisher":"Mol Psychiatry","title":"Progesterone selectively increases amygdala reactivity in women","type":"article-journal","volume":"13"},"uris":["http://www.mendeley.com/documents/?uuid=4354f7b3-49f7-35ce-b7c4-abf38eb06c36"]}],"mendeley":{"formattedCitation":"&lt;sup&gt;19&lt;/sup&gt;","plainTextFormattedCitation":"19","previouslyFormattedCitation":"&lt;sup&gt;19&lt;/sup&gt;"},"properties":{"noteIndex":0},"schema":"https://github.com/citation-style-language/schema/raw/master/csl-citation.json"}</w:instrText>
      </w:r>
      <w:r w:rsidRPr="00DB4336">
        <w:rPr>
          <w:rFonts w:ascii="Times New Roman" w:hAnsi="Times New Roman" w:cs="Times New Roman"/>
          <w:sz w:val="24"/>
          <w:szCs w:val="24"/>
        </w:rPr>
        <w:fldChar w:fldCharType="separate"/>
      </w:r>
      <w:r w:rsidR="00206C1A" w:rsidRPr="00206C1A">
        <w:rPr>
          <w:rFonts w:ascii="Times New Roman" w:hAnsi="Times New Roman" w:cs="Times New Roman"/>
          <w:noProof/>
          <w:sz w:val="24"/>
          <w:szCs w:val="24"/>
          <w:vertAlign w:val="superscript"/>
        </w:rPr>
        <w:t>19</w:t>
      </w:r>
      <w:r w:rsidRPr="00DB4336">
        <w:rPr>
          <w:rFonts w:ascii="Times New Roman" w:hAnsi="Times New Roman" w:cs="Times New Roman"/>
          <w:sz w:val="24"/>
          <w:szCs w:val="24"/>
        </w:rPr>
        <w:fldChar w:fldCharType="end"/>
      </w:r>
      <w:r w:rsidRPr="00DB4336">
        <w:rPr>
          <w:rFonts w:ascii="Times New Roman" w:hAnsi="Times New Roman" w:cs="Times New Roman"/>
          <w:sz w:val="24"/>
          <w:szCs w:val="24"/>
        </w:rPr>
        <w:t>.</w:t>
      </w:r>
      <w:r w:rsidR="00DB4336">
        <w:rPr>
          <w:rFonts w:ascii="Times New Roman" w:hAnsi="Times New Roman" w:cs="Times New Roman"/>
          <w:sz w:val="24"/>
          <w:szCs w:val="24"/>
        </w:rPr>
        <w:t xml:space="preserve"> </w:t>
      </w:r>
      <w:r w:rsidRPr="00DB4336">
        <w:rPr>
          <w:rFonts w:ascii="Times New Roman" w:hAnsi="Times New Roman" w:cs="Times New Roman"/>
          <w:color w:val="000000"/>
          <w:sz w:val="24"/>
          <w:szCs w:val="24"/>
          <w:shd w:val="clear" w:color="auto" w:fill="FFFFFF"/>
        </w:rPr>
        <w:t>Sex differences in right amygdala activity during face processing have been reported in a large adolescent sample</w:t>
      </w:r>
      <w:r w:rsidRPr="00DB4336">
        <w:rPr>
          <w:rFonts w:ascii="Times New Roman" w:hAnsi="Times New Roman" w:cs="Times New Roman"/>
          <w:color w:val="000000"/>
          <w:sz w:val="24"/>
          <w:szCs w:val="24"/>
          <w:shd w:val="clear" w:color="auto" w:fill="FFFFFF"/>
        </w:rPr>
        <w:fldChar w:fldCharType="begin" w:fldLock="1"/>
      </w:r>
      <w:r w:rsidR="00206C1A">
        <w:rPr>
          <w:rFonts w:ascii="Times New Roman" w:hAnsi="Times New Roman" w:cs="Times New Roman"/>
          <w:color w:val="000000"/>
          <w:sz w:val="24"/>
          <w:szCs w:val="24"/>
          <w:shd w:val="clear" w:color="auto" w:fill="FFFFFF"/>
        </w:rPr>
        <w:instrText>ADDIN CSL_CITATION {"citationItems":[{"id":"ITEM-1","itemData":{"DOI":"10.1016/J.NEUROIMAGE.2011.02.019","ISSN":"1095-9572","PMID":"21316467","abstract":"Previous studies have observed a sex-dependent lateralization of amygdala activation related to emotional memory. Specifically, it was shown that the activity of the right amygdala correlates significantly stronger with memory for images judged as arousing in men than in women, and that there is a significantly stronger relationship in women than in men between activity of the left amygdala and memory for arousing images. Using a large sample of 235 male adolescents and 235 females matched for age and handedness, we investigated the sex-specific lateralization of amygdala activation during an emotional face perception fMRI task. Performing a formal sex by hemisphere analysis, we observed in males a significantly stronger right amygdala activation as compared to females. Our results indicate that adolescents display a sex-dependent lateralization of amygdala activation that is also present in basic processes of emotional perception. This finding suggests a sex-dependent development of human emotion processing and may further implicate possible etiological pathways for mental disorders most frequent in adolescent males (i.e., conduct disorder). © 2011 Elsevier Inc.","author":[{"dropping-particle":"","family":"Schneider","given":"S.","non-dropping-particle":"","parse-names":false,"suffix":""},{"dropping-particle":"","family":"Peters","given":"J.","non-dropping-particle":"","parse-names":false,"suffix":""},{"dropping-particle":"","family":"Bromberg","given":"U.","non-dropping-particle":"","parse-names":false,"suffix":""},{"dropping-particle":"","family":"Brassen","given":"S.","non-dropping-particle":"","parse-names":false,"suffix":""},{"dropping-particle":"","family":"Menz","given":"M. M.","non-dropping-particle":"","parse-names":false,"suffix":""},{"dropping-particle":"","family":"Miedl","given":"S. F.","non-dropping-particle":"","parse-names":false,"suffix":""},{"dropping-particle":"","family":"Loth","given":"E.","non-dropping-particle":"","parse-names":false,"suffix":""},{"dropping-particle":"","family":"Banaschewski","given":"T.","non-dropping-particle":"","parse-names":false,"suffix":""},{"dropping-particle":"","family":"Barbot","given":"A.","non-dropping-particle":"","parse-names":false,"suffix":""},{"dropping-particle":"","family":"Barker","given":"G.","non-dropping-particle":"","parse-names":false,"suffix":""},{"dropping-particle":"","family":"Conrod","given":"P. J.","non-dropping-particle":"","parse-names":false,"suffix":""},{"dropping-particle":"","family":"Dalley","given":"J. W.","non-dropping-particle":"","parse-names":false,"suffix":""},{"dropping-particle":"","family":"Flor","given":"H.","non-dropping-particle":"","parse-names":false,"suffix":""},{"dropping-particle":"","family":"Gallinat","given":"J.","non-dropping-particle":"","parse-names":false,"suffix":""},{"dropping-particle":"","family":"Garavan","given":"H.","non-dropping-particle":"","parse-names":false,"suffix":""},{"dropping-particle":"","family":"Heinz","given":"A.","non-dropping-particle":"","parse-names":false,"suffix":""},{"dropping-particle":"","family":"Itterman","given":"B.","non-dropping-particle":"","parse-names":false,"suffix":""},{"dropping-particle":"","family":"Mallik","given":"C.","non-dropping-particle":"","parse-names":false,"suffix":""},{"dropping-particle":"","family":"Mann","given":"K.","non-dropping-particle":"","parse-names":false,"suffix":""},{"dropping-particle":"","family":"Artiges","given":"Eric","non-dropping-particle":"","parse-names":false,"suffix":""},{"dropping-particle":"","family":"Paus","given":"T.","non-dropping-particle":"","parse-names":false,"suffix":""},{"dropping-particle":"","family":"Poline","given":"J. B.","non-dropping-particle":"","parse-names":false,"suffix":""},{"dropping-particle":"","family":"Rietschel","given":"M.","non-dropping-particle":"","parse-names":false,"suffix":""},{"dropping-particle":"","family":"Reed","given":"L.","non-dropping-particle":"","parse-names":false,"suffix":""},{"dropping-particle":"","family":"Smolka","given":"M. N.","non-dropping-particle":"","parse-names":false,"suffix":""},{"dropping-particle":"","family":"Spanagel","given":"R.","non-dropping-particle":"","parse-names":false,"suffix":""},{"dropping-particle":"","family":"Speiser","given":"C.","non-dropping-particle":"","parse-names":false,"suffix":""},{"dropping-particle":"","family":"Ströhle","given":"A.","non-dropping-particle":"","parse-names":false,"suffix":""},{"dropping-particle":"","family":"Struve","given":"M.","non-dropping-particle":"","parse-names":false,"suffix":""},{"dropping-particle":"","family":"Schumann","given":"G.","non-dropping-particle":"","parse-names":false,"suffix":""},{"dropping-particle":"","family":"Büchel","given":"C.","non-dropping-particle":"","parse-names":false,"suffix":""}],"container-title":"NeuroImage","id":"ITEM-1","issue":"3","issued":{"date-parts":[["2011","6","1"]]},"page":"1847-1853","publisher":"Neuroimage","title":"Boys do it the right way: sex-dependent amygdala lateralization during face processing in adolescents","type":"article-journal","volume":"56"},"uris":["http://www.mendeley.com/documents/?uuid=eb7a0bd0-7913-3a06-9db2-8673c6933712"]}],"mendeley":{"formattedCitation":"&lt;sup&gt;23&lt;/sup&gt;","plainTextFormattedCitation":"23","previouslyFormattedCitation":"&lt;sup&gt;23&lt;/sup&gt;"},"properties":{"noteIndex":0},"schema":"https://github.com/citation-style-language/schema/raw/master/csl-citation.json"}</w:instrText>
      </w:r>
      <w:r w:rsidRPr="00DB4336">
        <w:rPr>
          <w:rFonts w:ascii="Times New Roman" w:hAnsi="Times New Roman" w:cs="Times New Roman"/>
          <w:color w:val="000000"/>
          <w:sz w:val="24"/>
          <w:szCs w:val="24"/>
          <w:shd w:val="clear" w:color="auto" w:fill="FFFFFF"/>
        </w:rPr>
        <w:fldChar w:fldCharType="separate"/>
      </w:r>
      <w:r w:rsidR="00206C1A" w:rsidRPr="00206C1A">
        <w:rPr>
          <w:rFonts w:ascii="Times New Roman" w:hAnsi="Times New Roman" w:cs="Times New Roman"/>
          <w:noProof/>
          <w:color w:val="000000"/>
          <w:sz w:val="24"/>
          <w:szCs w:val="24"/>
          <w:shd w:val="clear" w:color="auto" w:fill="FFFFFF"/>
          <w:vertAlign w:val="superscript"/>
        </w:rPr>
        <w:t>23</w:t>
      </w:r>
      <w:r w:rsidRPr="00DB4336">
        <w:rPr>
          <w:rFonts w:ascii="Times New Roman" w:hAnsi="Times New Roman" w:cs="Times New Roman"/>
          <w:color w:val="000000"/>
          <w:sz w:val="24"/>
          <w:szCs w:val="24"/>
          <w:shd w:val="clear" w:color="auto" w:fill="FFFFFF"/>
        </w:rPr>
        <w:fldChar w:fldCharType="end"/>
      </w:r>
      <w:r w:rsidRPr="00DB4336">
        <w:rPr>
          <w:rFonts w:ascii="Times New Roman" w:hAnsi="Times New Roman" w:cs="Times New Roman"/>
          <w:color w:val="000000"/>
          <w:sz w:val="24"/>
          <w:szCs w:val="24"/>
          <w:shd w:val="clear" w:color="auto" w:fill="FFFFFF"/>
        </w:rPr>
        <w:t>, namely when angry faces were presented. However, meta-analyses in adults have not confirmed a consistent pattern of sex differences in amygdala activation during emotional faces processing</w:t>
      </w:r>
      <w:r w:rsidRPr="00DB4336">
        <w:rPr>
          <w:rFonts w:ascii="Times New Roman" w:hAnsi="Times New Roman" w:cs="Times New Roman"/>
          <w:color w:val="000000"/>
          <w:sz w:val="24"/>
          <w:szCs w:val="24"/>
          <w:shd w:val="clear" w:color="auto" w:fill="FFFFFF"/>
        </w:rPr>
        <w:fldChar w:fldCharType="begin" w:fldLock="1"/>
      </w:r>
      <w:r w:rsidR="00206C1A">
        <w:rPr>
          <w:rFonts w:ascii="Times New Roman" w:hAnsi="Times New Roman" w:cs="Times New Roman"/>
          <w:color w:val="000000"/>
          <w:sz w:val="24"/>
          <w:szCs w:val="24"/>
          <w:shd w:val="clear" w:color="auto" w:fill="FFFFFF"/>
        </w:rPr>
        <w:instrText>ADDIN CSL_CITATION {"citationItems":[{"id":"ITEM-1","itemData":{"ISSN":"11804882","PMID":"19949718","abstract":"Background: Most of our social interactions involve perception of emotional information from the faces of other people. Furthermore, such emotional processes are thought to be aberrant in a range of clinical disorders, including psychosis and depression. However, the exact neurofunctional maps underlying emotional facial processing are not well defined. Methods: Two independent researchers conducted separate comprehensive PubMed (1990 to May 2008) searches to find all functional magnetic resonance imaging (fMRI) studies using a variant of the emotional faces paradigm in healthy participants. The search terms were: \"fMRI AND happy faces,\" \"fMRI AND sad faces,\" \"fMRI AND fearful faces,\" \"fMRI AND angry faces,\" \"fMRI AND disgusted faces\" and \"fMRI AND neutral faces.\" We extracted spatial coordinates and inserted them in an electronic database. We performed activation likelihood estimation analysis for voxel-based meta-analyses. Results: Of the originally identified studies, 105 met our inclusion criteria. The overall database consisted of 1785 brain coordinates that yielded an overall sample of 1600 healthy participants. Quantitative voxel-based meta-analysis of brain activation provided neurofunctional maps for 1) main effect of human faces; 2) main effect of emotional valence; and 3) modulatory effect of age, sex, explicit versus implicit processing and magnetic field strength. Processing of emotional faces was associated with increased activation in a number of visual, limbic, temporoparietal and prefrontal areas; the putamen; and the cerebellum. Happy, fearful and sad faces specifically activated the amygdala, whereas angry or disgusted faces had no effect on this brain region. Furthermore, amygdala sensitivity was greater for fearful than for happy or sad faces. Insular activation was selectively reported during processing of disgusted and angry faces. However, insular sensitivity was greater for disgusted than for angry faces. Conversely, neural response in the visual cortex and cerebellum was observable across all emotional conditions. Limitations: Although the activation likelihood estimation approach is currently one of the most powerful and reliable meta-analytical methods in neuroimaging research, it is insensitive to effect sizes. Conclusion: Our study has detailed neurofunctional maps to use as normative references in future fMRI studies of emotional facial processing in psychiatric populations. We found selective differences between neural ne…","author":[{"dropping-particle":"","family":"Fusar-Poli","given":"Paolo","non-dropping-particle":"","parse-names":false,"suffix":""},{"dropping-particle":"","family":"Placentino","given":"Anna","non-dropping-particle":"","parse-names":false,"suffix":""},{"dropping-particle":"","family":"Carletti","given":"Francesco","non-dropping-particle":"","parse-names":false,"suffix":""},{"dropping-particle":"","family":"Landi","given":"Paola","non-dropping-particle":"","parse-names":false,"suffix":""},{"dropping-particle":"","family":"Allen","given":"Paul","non-dropping-particle":"","parse-names":false,"suffix":""},{"dropping-particle":"","family":"Surguladze","given":"Simon","non-dropping-particle":"","parse-names":false,"suffix":""},{"dropping-particle":"","family":"Benedetti","given":"Francesco","non-dropping-particle":"","parse-names":false,"suffix":""},{"dropping-particle":"","family":"Abbamonte","given":"Marta","non-dropping-particle":"","parse-names":false,"suffix":""},{"dropping-particle":"","family":"Gasparotti","given":"Roberto","non-dropping-particle":"","parse-names":false,"suffix":""},{"dropping-particle":"","family":"Barale","given":"Francesco","non-dropping-particle":"","parse-names":false,"suffix":""},{"dropping-particle":"","family":"Perez","given":"Jorge","non-dropping-particle":"","parse-names":false,"suffix":""},{"dropping-particle":"","family":"McGuire","given":"Philip","non-dropping-particle":"","parse-names":false,"suffix":""},{"dropping-particle":"","family":"Politi","given":"Pierluigi","non-dropping-particle":"","parse-names":false,"suffix":""}],"container-title":"Journal of Psychiatry and Neuroscience","id":"ITEM-1","issue":"6","issued":{"date-parts":[["2009"]]},"page":"418-432","publisher":"Canadian Medical Association","title":"Functional atlas of emotional faces processing: A voxel-based meta-analysis of 105 functional magnetic resonance imaging studies","type":"article","volume":"34"},"uris":["http://www.mendeley.com/documents/?uuid=982a89c0-631b-35fa-bd79-5bd08a174365"]}],"mendeley":{"formattedCitation":"&lt;sup&gt;24&lt;/sup&gt;","plainTextFormattedCitation":"24","previouslyFormattedCitation":"&lt;sup&gt;24&lt;/sup&gt;"},"properties":{"noteIndex":0},"schema":"https://github.com/citation-style-language/schema/raw/master/csl-citation.json"}</w:instrText>
      </w:r>
      <w:r w:rsidRPr="00DB4336">
        <w:rPr>
          <w:rFonts w:ascii="Times New Roman" w:hAnsi="Times New Roman" w:cs="Times New Roman"/>
          <w:color w:val="000000"/>
          <w:sz w:val="24"/>
          <w:szCs w:val="24"/>
          <w:shd w:val="clear" w:color="auto" w:fill="FFFFFF"/>
        </w:rPr>
        <w:fldChar w:fldCharType="separate"/>
      </w:r>
      <w:r w:rsidR="00206C1A" w:rsidRPr="00206C1A">
        <w:rPr>
          <w:rFonts w:ascii="Times New Roman" w:hAnsi="Times New Roman" w:cs="Times New Roman"/>
          <w:noProof/>
          <w:color w:val="000000"/>
          <w:sz w:val="24"/>
          <w:szCs w:val="24"/>
          <w:shd w:val="clear" w:color="auto" w:fill="FFFFFF"/>
          <w:vertAlign w:val="superscript"/>
        </w:rPr>
        <w:t>24</w:t>
      </w:r>
      <w:r w:rsidRPr="00DB4336">
        <w:rPr>
          <w:rFonts w:ascii="Times New Roman" w:hAnsi="Times New Roman" w:cs="Times New Roman"/>
          <w:color w:val="000000"/>
          <w:sz w:val="24"/>
          <w:szCs w:val="24"/>
          <w:shd w:val="clear" w:color="auto" w:fill="FFFFFF"/>
        </w:rPr>
        <w:fldChar w:fldCharType="end"/>
      </w:r>
      <w:r w:rsidRPr="00DB4336">
        <w:rPr>
          <w:rFonts w:ascii="Times New Roman" w:hAnsi="Times New Roman" w:cs="Times New Roman"/>
          <w:color w:val="000000"/>
          <w:sz w:val="24"/>
          <w:szCs w:val="24"/>
          <w:shd w:val="clear" w:color="auto" w:fill="FFFFFF"/>
        </w:rPr>
        <w:t xml:space="preserve">. </w:t>
      </w:r>
    </w:p>
    <w:p w14:paraId="60A72210" w14:textId="77777777" w:rsidR="00BF3DB9" w:rsidRDefault="00BF3DB9" w:rsidP="00BF3DB9">
      <w:pPr>
        <w:pStyle w:val="NormalWeb"/>
        <w:shd w:val="clear" w:color="auto" w:fill="FFFFFF"/>
        <w:spacing w:before="0" w:beforeAutospacing="0" w:after="0" w:afterAutospacing="0" w:line="480" w:lineRule="auto"/>
        <w:rPr>
          <w:color w:val="212121"/>
          <w:shd w:val="clear" w:color="auto" w:fill="FFFFFF"/>
        </w:rPr>
      </w:pPr>
    </w:p>
    <w:p w14:paraId="5BA60AFC" w14:textId="5DB85048" w:rsidR="00DD7F81" w:rsidRPr="00DD7F81" w:rsidRDefault="00DD7F81" w:rsidP="00BF3DB9">
      <w:pPr>
        <w:pStyle w:val="NormalWeb"/>
        <w:shd w:val="clear" w:color="auto" w:fill="FFFFFF"/>
        <w:spacing w:before="0" w:beforeAutospacing="0" w:after="0" w:afterAutospacing="0" w:line="480" w:lineRule="auto"/>
      </w:pPr>
      <w:r w:rsidRPr="005349B5">
        <w:rPr>
          <w:color w:val="000000"/>
          <w:shd w:val="clear" w:color="auto" w:fill="FFFFFF"/>
        </w:rPr>
        <w:t>We specifically chose t</w:t>
      </w:r>
      <w:r w:rsidRPr="005349B5">
        <w:t xml:space="preserve">he emotion classification task with particularly short presentation times to investigate reflexive processing of facial emotion expressions controlling for the initial fixation on eyes or mouth. Under PLC, we found a stronger </w:t>
      </w:r>
      <w:r w:rsidRPr="005349B5">
        <w:rPr>
          <w:color w:val="000000"/>
          <w:shd w:val="clear" w:color="auto" w:fill="FFFFFF"/>
        </w:rPr>
        <w:t>anger-related amygdala activation in the ASPD group than HC group when the mouth was initially fixated. This finding is matching previous reports that</w:t>
      </w:r>
      <w:r w:rsidRPr="005349B5">
        <w:t xml:space="preserve"> deficits in facial emotion recognition in children with psychopathic traits can be improved by directing the </w:t>
      </w:r>
      <w:r w:rsidR="00CD315B">
        <w:t>subject</w:t>
      </w:r>
      <w:r w:rsidRPr="005349B5">
        <w:t>’s attention towards the eyes</w:t>
      </w:r>
      <w:r w:rsidRPr="005349B5">
        <w:fldChar w:fldCharType="begin" w:fldLock="1"/>
      </w:r>
      <w:r w:rsidR="00206C1A">
        <w:instrText>ADDIN CSL_CITATION {"citationItems":[{"id":"ITEM-1","itemData":{"DOI":"10.1192/bjp.bp.105.018150","ISSN":"00071250","PMID":"16946366","abstract":"The ability to recognise fear is impaired in people with damage to the amygdala and, interestingly, in adult psychopathy. Here we confirm that deficits in recognising fear exist in children with psychopathic traits. We show for the first time that, as with patients with amygdala damage, this deficit can be temporarily corrected by simply asking them to focus on the eyes of other people. These data support models of psychopathy that emphasise specific dysfunction of the amygdala and suggest an innovative approach for intervening early in the development of psychopathy.","author":[{"dropping-particle":"","family":"Dadds","given":"Mark R.","non-dropping-particle":"","parse-names":false,"suffix":""},{"dropping-particle":"","family":"Perry","given":"Yael","non-dropping-particle":"","parse-names":false,"suffix":""},{"dropping-particle":"","family":"Hawes","given":"David J.","non-dropping-particle":"","parse-names":false,"suffix":""},{"dropping-particle":"","family":"Merz","given":"Sabine","non-dropping-particle":"","parse-names":false,"suffix":""},{"dropping-particle":"","family":"Riddell","given":"Alison C.","non-dropping-particle":"","parse-names":false,"suffix":""},{"dropping-particle":"","family":"Haines","given":"Damien J.","non-dropping-particle":"","parse-names":false,"suffix":""},{"dropping-particle":"","family":"Solak","given":"Emel","non-dropping-particle":"","parse-names":false,"suffix":""},{"dropping-particle":"","family":"Abeygunawardane","given":"Amali I.","non-dropping-particle":"","parse-names":false,"suffix":""}],"container-title":"British Journal of Psychiatry","id":"ITEM-1","issue":"SEP.","issued":{"date-parts":[["2006","9"]]},"page":"280-281","publisher":"Br J Psychiatry","title":"Attention to the eyes and fear-recognition deficits in child psychopathy","type":"article-journal","volume":"189"},"uris":["http://www.mendeley.com/documents/?uuid=418aaa4a-987e-3a7a-86ed-05f650e4ec1a"]}],"mendeley":{"formattedCitation":"&lt;sup&gt;25&lt;/sup&gt;","plainTextFormattedCitation":"25","previouslyFormattedCitation":"&lt;sup&gt;25&lt;/sup&gt;"},"properties":{"noteIndex":0},"schema":"https://github.com/citation-style-language/schema/raw/master/csl-citation.json"}</w:instrText>
      </w:r>
      <w:r w:rsidRPr="005349B5">
        <w:fldChar w:fldCharType="separate"/>
      </w:r>
      <w:r w:rsidR="00206C1A" w:rsidRPr="00206C1A">
        <w:rPr>
          <w:noProof/>
          <w:vertAlign w:val="superscript"/>
        </w:rPr>
        <w:t>25</w:t>
      </w:r>
      <w:r w:rsidRPr="005349B5">
        <w:fldChar w:fldCharType="end"/>
      </w:r>
      <w:r w:rsidRPr="005349B5">
        <w:t xml:space="preserve"> leading to the assumption that OT might improve facial emotion recognition by modulating the coupling between amygdala and regions of eye movements targeting attention towards the eye region</w:t>
      </w:r>
      <w:r w:rsidRPr="005349B5">
        <w:fldChar w:fldCharType="begin" w:fldLock="1"/>
      </w:r>
      <w:r w:rsidR="00206C1A">
        <w:instrText>ADDIN CSL_CITATION {"citationItems":[{"id":"ITEM-1","itemData":{"DOI":"10.1073/pnas.1000985107","ISSN":"00278424","PMID":"20421469","abstract":"The neuropeptide oxytocin enhances the processing of positive social stimuli and improves the capacity to effectively attend the eye region of conspecifics. To investigate the neural basis of these effects, we combined intranasal oxytocin administration with highresolution functional magnetic resonance imaging in a unique emotion classification task. Emotional faces were briefly presented while controlling for the initial fixation, and measuring subsequent eye movements. Oxytocin had differential effects on the activity of specific amygdala subregions. On the one hand, it attenuated activation in lateral and dorsal regions of the anterior amygdala for fearful faces but enhanced activity for happy expressions, thus indicating a shift of the processing focus toward positive social stimuli. Onthe other hand, oxytocin increased the likelihood of reflexive gaze shifts toward the eye region irrespective of the depicted emotional expression. This gazing pattern was related to an increase of activity in the posterior amygdala and an enhanced functional coupling of this region to the superior colliculi. Thus, different behavioral effects of oxytocin seem to be closely related its specific modulatory influence on subregions within the human amygdala.","author":[{"dropping-particle":"","family":"Gamer","given":"Matthias","non-dropping-particle":"","parse-names":false,"suffix":""},{"dropping-particle":"","family":"Zurowski","given":"Bartosz","non-dropping-particle":"","parse-names":false,"suffix":""},{"dropping-particle":"","family":"Büchel","given":"Christian","non-dropping-particle":"","parse-names":false,"suffix":""}],"container-title":"Proceedings of the National Academy of Sciences of the United States of America","id":"ITEM-1","issue":"20","issued":{"date-parts":[["2010","5","18"]]},"page":"9400-9405","publisher":"Proc Natl Acad Sci U S A","title":"Different amygdala subregions mediate valence-related and attentional effects of oxytocin in humans","type":"article-journal","volume":"107"},"uris":["http://www.mendeley.com/documents/?uuid=b5df2a51-3d9e-3ea4-ac88-cf3d247332c2"]}],"mendeley":{"formattedCitation":"&lt;sup&gt;26&lt;/sup&gt;","plainTextFormattedCitation":"26","previouslyFormattedCitation":"&lt;sup&gt;26&lt;/sup&gt;"},"properties":{"noteIndex":0},"schema":"https://github.com/citation-style-language/schema/raw/master/csl-citation.json"}</w:instrText>
      </w:r>
      <w:r w:rsidRPr="005349B5">
        <w:fldChar w:fldCharType="separate"/>
      </w:r>
      <w:r w:rsidR="00206C1A" w:rsidRPr="00206C1A">
        <w:rPr>
          <w:noProof/>
          <w:vertAlign w:val="superscript"/>
        </w:rPr>
        <w:t>26</w:t>
      </w:r>
      <w:r w:rsidRPr="005349B5">
        <w:fldChar w:fldCharType="end"/>
      </w:r>
      <w:r w:rsidRPr="005349B5">
        <w:t>. Our OT effect on the amygdala was, however, independent of the facial region initially fixated in angry faces. This is consistent with prior findings in healthy individuals</w:t>
      </w:r>
      <w:r w:rsidRPr="005349B5">
        <w:fldChar w:fldCharType="begin" w:fldLock="1"/>
      </w:r>
      <w:r w:rsidR="00206C1A">
        <w:instrText>ADDIN CSL_CITATION {"citationItems":[{"id":"ITEM-1","itemData":{"DOI":"10.1016/J.PSYNEUEN.2012.01.011","ISSN":"1873-3360","PMID":"22365820","abstract":"The neuropeptide oxytocin (OT) is well known for its profound effects on social behavior, which appear to be mediated by an OT-dependent modulation of amygdala activity in the context of social stimuli. In humans, OT decreases amygdala reactivity to threatening faces in males, but enhances amygdala reactivity to similar faces in females, suggesting sex-specific differences in OT-dependent threat-processing. To further explore whether OT generally enhances amygdala-dependent threat-processing in females, we used functional magnetic resonance imaging (fMRI) in a randomized within-subject crossover design to measure amygdala activity in response to threatening and non-threatening scenes in 14 females following intranasal administration of OT or placebo. Participants' eye movements were recorded to investigate whether an OT-dependent modulation of amygdala activity is accompanied by enhanced exploration of salient scene features. Although OT had no effect on participants' gazing behavior, it increased amygdala reactivity to scenes depicting social and non-social threat. In females, OT may, thus, enhance the detection of threatening stimuli in the environment, potentially by interacting with gonadal steroids, such as progesterone and estrogen. © 2012 Elsevier Ltd.","author":[{"dropping-particle":"","family":"Lischke","given":"Alexander","non-dropping-particle":"","parse-names":false,"suffix":""},{"dropping-particle":"","family":"Gamer","given":"Matthias","non-dropping-particle":"","parse-names":false,"suffix":""},{"dropping-particle":"","family":"Berger","given":"Christoph","non-dropping-particle":"","parse-names":false,"suffix":""},{"dropping-particle":"","family":"Grossmann","given":"Annette","non-dropping-particle":"","parse-names":false,"suffix":""},{"dropping-particle":"","family":"Hauenstein","given":"Karlheinz","non-dropping-particle":"","parse-names":false,"suffix":""},{"dropping-particle":"","family":"Heinrichs","given":"Markus","non-dropping-particle":"","parse-names":false,"suffix":""},{"dropping-particle":"","family":"Herpertz","given":"Sabine C.","non-dropping-particle":"","parse-names":false,"suffix":""},{"dropping-particle":"","family":"Domes","given":"Gregor","non-dropping-particle":"","parse-names":false,"suffix":""}],"container-title":"Psychoneuroendocrinology","id":"ITEM-1","issue":"9","issued":{"date-parts":[["2012","9"]]},"page":"1431-1438","publisher":"Psychoneuroendocrinology","title":"Oxytocin increases amygdala reactivity to threatening scenes in females","type":"article-journal","volume":"37"},"uris":["http://www.mendeley.com/documents/?uuid=9bc18d33-77e5-3ee7-bc2d-2de0d50e35e5"]}],"mendeley":{"formattedCitation":"&lt;sup&gt;18&lt;/sup&gt;","plainTextFormattedCitation":"18","previouslyFormattedCitation":"&lt;sup&gt;18&lt;/sup&gt;"},"properties":{"noteIndex":0},"schema":"https://github.com/citation-style-language/schema/raw/master/csl-citation.json"}</w:instrText>
      </w:r>
      <w:r w:rsidRPr="005349B5">
        <w:fldChar w:fldCharType="separate"/>
      </w:r>
      <w:r w:rsidR="00206C1A" w:rsidRPr="00206C1A">
        <w:rPr>
          <w:noProof/>
          <w:vertAlign w:val="superscript"/>
        </w:rPr>
        <w:t>18</w:t>
      </w:r>
      <w:r w:rsidRPr="005349B5">
        <w:fldChar w:fldCharType="end"/>
      </w:r>
      <w:r w:rsidRPr="005349B5">
        <w:t>. Thus, the emotional processing seemed to be more important for the OT effect than the attentional shift.</w:t>
      </w:r>
    </w:p>
    <w:p w14:paraId="7C61DF0E" w14:textId="18D6C898" w:rsidR="00BF3DB9" w:rsidRDefault="00BF3DB9" w:rsidP="00114E4E">
      <w:pPr>
        <w:autoSpaceDE w:val="0"/>
        <w:autoSpaceDN w:val="0"/>
        <w:adjustRightInd w:val="0"/>
        <w:spacing w:after="0" w:line="480" w:lineRule="auto"/>
        <w:rPr>
          <w:rFonts w:ascii="Times New Roman" w:hAnsi="Times New Roman" w:cs="Times New Roman"/>
          <w:b/>
          <w:color w:val="231F20"/>
          <w:sz w:val="24"/>
          <w:szCs w:val="24"/>
        </w:rPr>
      </w:pPr>
    </w:p>
    <w:p w14:paraId="02DA3581" w14:textId="77777777" w:rsidR="00E86199" w:rsidRDefault="00E86199" w:rsidP="00114E4E">
      <w:pPr>
        <w:autoSpaceDE w:val="0"/>
        <w:autoSpaceDN w:val="0"/>
        <w:adjustRightInd w:val="0"/>
        <w:spacing w:after="0" w:line="480" w:lineRule="auto"/>
        <w:rPr>
          <w:rFonts w:ascii="Times New Roman" w:hAnsi="Times New Roman" w:cs="Times New Roman"/>
          <w:b/>
          <w:color w:val="231F20"/>
          <w:sz w:val="24"/>
          <w:szCs w:val="24"/>
        </w:rPr>
      </w:pPr>
      <w:bookmarkStart w:id="0" w:name="_GoBack"/>
      <w:bookmarkEnd w:id="0"/>
    </w:p>
    <w:p w14:paraId="413AA730" w14:textId="3F180DD0" w:rsidR="00206C1A" w:rsidRDefault="00E86199" w:rsidP="00114E4E">
      <w:pPr>
        <w:autoSpaceDE w:val="0"/>
        <w:autoSpaceDN w:val="0"/>
        <w:adjustRightInd w:val="0"/>
        <w:spacing w:after="0" w:line="480" w:lineRule="auto"/>
        <w:rPr>
          <w:rFonts w:ascii="Times New Roman" w:hAnsi="Times New Roman" w:cs="Times New Roman"/>
          <w:b/>
          <w:color w:val="231F20"/>
          <w:sz w:val="24"/>
          <w:szCs w:val="24"/>
        </w:rPr>
      </w:pPr>
      <w:r>
        <w:rPr>
          <w:rFonts w:ascii="Times New Roman" w:hAnsi="Times New Roman" w:cs="Times New Roman"/>
          <w:b/>
          <w:color w:val="231F20"/>
          <w:sz w:val="24"/>
          <w:szCs w:val="24"/>
        </w:rPr>
        <w:t>References</w:t>
      </w:r>
    </w:p>
    <w:p w14:paraId="154F947D" w14:textId="47A8F225"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Pr>
          <w:rFonts w:ascii="Times New Roman" w:hAnsi="Times New Roman" w:cs="Times New Roman"/>
          <w:b/>
          <w:color w:val="231F20"/>
          <w:sz w:val="24"/>
          <w:szCs w:val="24"/>
        </w:rPr>
        <w:fldChar w:fldCharType="begin" w:fldLock="1"/>
      </w:r>
      <w:r>
        <w:rPr>
          <w:rFonts w:ascii="Times New Roman" w:hAnsi="Times New Roman" w:cs="Times New Roman"/>
          <w:b/>
          <w:color w:val="231F20"/>
          <w:sz w:val="24"/>
          <w:szCs w:val="24"/>
        </w:rPr>
        <w:instrText xml:space="preserve">ADDIN Mendeley Bibliography CSL_BIBLIOGRAPHY </w:instrText>
      </w:r>
      <w:r>
        <w:rPr>
          <w:rFonts w:ascii="Times New Roman" w:hAnsi="Times New Roman" w:cs="Times New Roman"/>
          <w:b/>
          <w:color w:val="231F20"/>
          <w:sz w:val="24"/>
          <w:szCs w:val="24"/>
        </w:rPr>
        <w:fldChar w:fldCharType="separate"/>
      </w:r>
      <w:r w:rsidRPr="00206C1A">
        <w:rPr>
          <w:rFonts w:ascii="Times New Roman" w:hAnsi="Times New Roman" w:cs="Times New Roman"/>
          <w:noProof/>
          <w:sz w:val="24"/>
          <w:szCs w:val="24"/>
        </w:rPr>
        <w:t>1.</w:t>
      </w:r>
      <w:r w:rsidRPr="00206C1A">
        <w:rPr>
          <w:rFonts w:ascii="Times New Roman" w:hAnsi="Times New Roman" w:cs="Times New Roman"/>
          <w:noProof/>
          <w:sz w:val="24"/>
          <w:szCs w:val="24"/>
        </w:rPr>
        <w:tab/>
        <w:t xml:space="preserve">Erdfelder, E. &amp; Buchner, A. GPOWER: A general power analysis program. </w:t>
      </w:r>
      <w:r w:rsidRPr="00206C1A">
        <w:rPr>
          <w:rFonts w:ascii="Times New Roman" w:hAnsi="Times New Roman" w:cs="Times New Roman"/>
          <w:i/>
          <w:iCs/>
          <w:noProof/>
          <w:sz w:val="24"/>
          <w:szCs w:val="24"/>
        </w:rPr>
        <w:t>Behav. Res. Methods, Instruments, Comput.</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28</w:t>
      </w:r>
      <w:r w:rsidRPr="00206C1A">
        <w:rPr>
          <w:rFonts w:ascii="Times New Roman" w:hAnsi="Times New Roman" w:cs="Times New Roman"/>
          <w:noProof/>
          <w:sz w:val="24"/>
          <w:szCs w:val="24"/>
        </w:rPr>
        <w:t>, 1–11 (1996).</w:t>
      </w:r>
    </w:p>
    <w:p w14:paraId="29002F97"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2.</w:t>
      </w:r>
      <w:r w:rsidRPr="00206C1A">
        <w:rPr>
          <w:rFonts w:ascii="Times New Roman" w:hAnsi="Times New Roman" w:cs="Times New Roman"/>
          <w:noProof/>
          <w:sz w:val="24"/>
          <w:szCs w:val="24"/>
        </w:rPr>
        <w:tab/>
        <w:t xml:space="preserve">Cohen, J. The statistical power of abnormal-social psychological research: A review. </w:t>
      </w:r>
      <w:r w:rsidRPr="00206C1A">
        <w:rPr>
          <w:rFonts w:ascii="Times New Roman" w:hAnsi="Times New Roman" w:cs="Times New Roman"/>
          <w:i/>
          <w:iCs/>
          <w:noProof/>
          <w:sz w:val="24"/>
          <w:szCs w:val="24"/>
        </w:rPr>
        <w:t>J. Abnorm. Soc. Psychol.</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65</w:t>
      </w:r>
      <w:r w:rsidRPr="00206C1A">
        <w:rPr>
          <w:rFonts w:ascii="Times New Roman" w:hAnsi="Times New Roman" w:cs="Times New Roman"/>
          <w:noProof/>
          <w:sz w:val="24"/>
          <w:szCs w:val="24"/>
        </w:rPr>
        <w:t>, 145–153 (1962).</w:t>
      </w:r>
    </w:p>
    <w:p w14:paraId="072E85D5"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3.</w:t>
      </w:r>
      <w:r w:rsidRPr="00206C1A">
        <w:rPr>
          <w:rFonts w:ascii="Times New Roman" w:hAnsi="Times New Roman" w:cs="Times New Roman"/>
          <w:noProof/>
          <w:sz w:val="24"/>
          <w:szCs w:val="24"/>
        </w:rPr>
        <w:tab/>
        <w:t xml:space="preserve">Bertsch, K.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Oxytocin and reduction of social threat hypersensitivity in women with borderline personality disorder. </w:t>
      </w:r>
      <w:r w:rsidRPr="00206C1A">
        <w:rPr>
          <w:rFonts w:ascii="Times New Roman" w:hAnsi="Times New Roman" w:cs="Times New Roman"/>
          <w:i/>
          <w:iCs/>
          <w:noProof/>
          <w:sz w:val="24"/>
          <w:szCs w:val="24"/>
        </w:rPr>
        <w:t>Am J Psychiatry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170</w:t>
      </w:r>
      <w:r w:rsidRPr="00206C1A">
        <w:rPr>
          <w:rFonts w:ascii="Times New Roman" w:hAnsi="Times New Roman" w:cs="Times New Roman"/>
          <w:noProof/>
          <w:sz w:val="24"/>
          <w:szCs w:val="24"/>
        </w:rPr>
        <w:t>, 1169–1177 (2013).</w:t>
      </w:r>
    </w:p>
    <w:p w14:paraId="1ED0E4EB"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4.</w:t>
      </w:r>
      <w:r w:rsidRPr="00206C1A">
        <w:rPr>
          <w:rFonts w:ascii="Times New Roman" w:hAnsi="Times New Roman" w:cs="Times New Roman"/>
          <w:noProof/>
          <w:sz w:val="24"/>
          <w:szCs w:val="24"/>
        </w:rPr>
        <w:tab/>
        <w:t xml:space="preserve">Timmermann, M.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Oxytocin improves facial emotion recognition in young adults with antisocial personality disorder. </w:t>
      </w:r>
      <w:r w:rsidRPr="00206C1A">
        <w:rPr>
          <w:rFonts w:ascii="Times New Roman" w:hAnsi="Times New Roman" w:cs="Times New Roman"/>
          <w:i/>
          <w:iCs/>
          <w:noProof/>
          <w:sz w:val="24"/>
          <w:szCs w:val="24"/>
        </w:rPr>
        <w:t>Psychoneuroendocrinology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85</w:t>
      </w:r>
      <w:r w:rsidRPr="00206C1A">
        <w:rPr>
          <w:rFonts w:ascii="Times New Roman" w:hAnsi="Times New Roman" w:cs="Times New Roman"/>
          <w:noProof/>
          <w:sz w:val="24"/>
          <w:szCs w:val="24"/>
        </w:rPr>
        <w:t>, (2017).</w:t>
      </w:r>
    </w:p>
    <w:p w14:paraId="4EEAC91D"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lastRenderedPageBreak/>
        <w:t>5.</w:t>
      </w:r>
      <w:r w:rsidRPr="00206C1A">
        <w:rPr>
          <w:rFonts w:ascii="Times New Roman" w:hAnsi="Times New Roman" w:cs="Times New Roman"/>
          <w:noProof/>
          <w:sz w:val="24"/>
          <w:szCs w:val="24"/>
        </w:rPr>
        <w:tab/>
        <w:t xml:space="preserve">Blair, R. J. R. The neurobiology of psychopathic traits in youths. </w:t>
      </w:r>
      <w:r w:rsidRPr="00206C1A">
        <w:rPr>
          <w:rFonts w:ascii="Times New Roman" w:hAnsi="Times New Roman" w:cs="Times New Roman"/>
          <w:i/>
          <w:iCs/>
          <w:noProof/>
          <w:sz w:val="24"/>
          <w:szCs w:val="24"/>
        </w:rPr>
        <w:t>Nature Reviews Neuroscience</w:t>
      </w:r>
      <w:r w:rsidRPr="00206C1A">
        <w:rPr>
          <w:rFonts w:ascii="Times New Roman" w:hAnsi="Times New Roman" w:cs="Times New Roman"/>
          <w:noProof/>
          <w:sz w:val="24"/>
          <w:szCs w:val="24"/>
        </w:rPr>
        <w:t xml:space="preserve"> vol. 14 786–799 (2013).</w:t>
      </w:r>
    </w:p>
    <w:p w14:paraId="20322ACA"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6.</w:t>
      </w:r>
      <w:r w:rsidRPr="00206C1A">
        <w:rPr>
          <w:rFonts w:ascii="Times New Roman" w:hAnsi="Times New Roman" w:cs="Times New Roman"/>
          <w:noProof/>
          <w:sz w:val="24"/>
          <w:szCs w:val="24"/>
        </w:rPr>
        <w:tab/>
        <w:t xml:space="preserve">Marsh, A. A. &amp; Blair, R. J. R. Deficits in facial affect recognition among antisocial populations: A meta-analysis. </w:t>
      </w:r>
      <w:r w:rsidRPr="00206C1A">
        <w:rPr>
          <w:rFonts w:ascii="Times New Roman" w:hAnsi="Times New Roman" w:cs="Times New Roman"/>
          <w:i/>
          <w:iCs/>
          <w:noProof/>
          <w:sz w:val="24"/>
          <w:szCs w:val="24"/>
        </w:rPr>
        <w:t>Neuroscience and Biobehavioral Reviews</w:t>
      </w:r>
      <w:r w:rsidRPr="00206C1A">
        <w:rPr>
          <w:rFonts w:ascii="Times New Roman" w:hAnsi="Times New Roman" w:cs="Times New Roman"/>
          <w:noProof/>
          <w:sz w:val="24"/>
          <w:szCs w:val="24"/>
        </w:rPr>
        <w:t xml:space="preserve"> vol. 32 454–465 (2008).</w:t>
      </w:r>
    </w:p>
    <w:p w14:paraId="3FA04546"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7.</w:t>
      </w:r>
      <w:r w:rsidRPr="00206C1A">
        <w:rPr>
          <w:rFonts w:ascii="Times New Roman" w:hAnsi="Times New Roman" w:cs="Times New Roman"/>
          <w:noProof/>
          <w:sz w:val="24"/>
          <w:szCs w:val="24"/>
        </w:rPr>
        <w:tab/>
        <w:t xml:space="preserve">Jones, A. P., Laurens, K. R., Herba, C. M., Barker, G. J. &amp; Viding, E. Amygdala hypoactivity to fearful faces in boys with conduct problems and callous-unemotional traits. </w:t>
      </w:r>
      <w:r w:rsidRPr="00206C1A">
        <w:rPr>
          <w:rFonts w:ascii="Times New Roman" w:hAnsi="Times New Roman" w:cs="Times New Roman"/>
          <w:i/>
          <w:iCs/>
          <w:noProof/>
          <w:sz w:val="24"/>
          <w:szCs w:val="24"/>
        </w:rPr>
        <w:t>Am. J. Psychiatry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166</w:t>
      </w:r>
      <w:r w:rsidRPr="00206C1A">
        <w:rPr>
          <w:rFonts w:ascii="Times New Roman" w:hAnsi="Times New Roman" w:cs="Times New Roman"/>
          <w:noProof/>
          <w:sz w:val="24"/>
          <w:szCs w:val="24"/>
        </w:rPr>
        <w:t>, 95–102 (2009).</w:t>
      </w:r>
    </w:p>
    <w:p w14:paraId="028E699F"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8.</w:t>
      </w:r>
      <w:r w:rsidRPr="00206C1A">
        <w:rPr>
          <w:rFonts w:ascii="Times New Roman" w:hAnsi="Times New Roman" w:cs="Times New Roman"/>
          <w:noProof/>
          <w:sz w:val="24"/>
          <w:szCs w:val="24"/>
        </w:rPr>
        <w:tab/>
        <w:t xml:space="preserve">Herpertz, S. C., Bertsch, K. &amp; Jeung, H. Neurobiology of Criterion A: self and interpersonal personality functioning. </w:t>
      </w:r>
      <w:r w:rsidRPr="00206C1A">
        <w:rPr>
          <w:rFonts w:ascii="Times New Roman" w:hAnsi="Times New Roman" w:cs="Times New Roman"/>
          <w:i/>
          <w:iCs/>
          <w:noProof/>
          <w:sz w:val="24"/>
          <w:szCs w:val="24"/>
        </w:rPr>
        <w:t>Curr. Opin. Psychol.</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21</w:t>
      </w:r>
      <w:r w:rsidRPr="00206C1A">
        <w:rPr>
          <w:rFonts w:ascii="Times New Roman" w:hAnsi="Times New Roman" w:cs="Times New Roman"/>
          <w:noProof/>
          <w:sz w:val="24"/>
          <w:szCs w:val="24"/>
        </w:rPr>
        <w:t>, (2018).</w:t>
      </w:r>
    </w:p>
    <w:p w14:paraId="2C76AE69"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9.</w:t>
      </w:r>
      <w:r w:rsidRPr="00206C1A">
        <w:rPr>
          <w:rFonts w:ascii="Times New Roman" w:hAnsi="Times New Roman" w:cs="Times New Roman"/>
          <w:noProof/>
          <w:sz w:val="24"/>
          <w:szCs w:val="24"/>
        </w:rPr>
        <w:tab/>
        <w:t xml:space="preserve">Decety, J., Skelly, L., Yoder, K. J. &amp; Kiehl, K. A. Neural processing of dynamic emotional facial expressions in psychopaths. </w:t>
      </w:r>
      <w:r w:rsidRPr="00206C1A">
        <w:rPr>
          <w:rFonts w:ascii="Times New Roman" w:hAnsi="Times New Roman" w:cs="Times New Roman"/>
          <w:i/>
          <w:iCs/>
          <w:noProof/>
          <w:sz w:val="24"/>
          <w:szCs w:val="24"/>
        </w:rPr>
        <w:t>Soc. Neurosci.</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9</w:t>
      </w:r>
      <w:r w:rsidRPr="00206C1A">
        <w:rPr>
          <w:rFonts w:ascii="Times New Roman" w:hAnsi="Times New Roman" w:cs="Times New Roman"/>
          <w:noProof/>
          <w:sz w:val="24"/>
          <w:szCs w:val="24"/>
        </w:rPr>
        <w:t>, 36–49 (2014).</w:t>
      </w:r>
    </w:p>
    <w:p w14:paraId="600DCE15"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10.</w:t>
      </w:r>
      <w:r w:rsidRPr="00206C1A">
        <w:rPr>
          <w:rFonts w:ascii="Times New Roman" w:hAnsi="Times New Roman" w:cs="Times New Roman"/>
          <w:noProof/>
          <w:sz w:val="24"/>
          <w:szCs w:val="24"/>
        </w:rPr>
        <w:tab/>
        <w:t xml:space="preserve">Seara-Cardoso, A., Sebastian, C. L., Viding, E. &amp; Roiser, J. P. Affective resonance in response to others’ emotional faces varies with affective ratings and psychopathic traits in amygdala and anterior insula. </w:t>
      </w:r>
      <w:r w:rsidRPr="00206C1A">
        <w:rPr>
          <w:rFonts w:ascii="Times New Roman" w:hAnsi="Times New Roman" w:cs="Times New Roman"/>
          <w:i/>
          <w:iCs/>
          <w:noProof/>
          <w:sz w:val="24"/>
          <w:szCs w:val="24"/>
        </w:rPr>
        <w:t>Soc. Neurosci.</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11</w:t>
      </w:r>
      <w:r w:rsidRPr="00206C1A">
        <w:rPr>
          <w:rFonts w:ascii="Times New Roman" w:hAnsi="Times New Roman" w:cs="Times New Roman"/>
          <w:noProof/>
          <w:sz w:val="24"/>
          <w:szCs w:val="24"/>
        </w:rPr>
        <w:t>, 140–152 (2016).</w:t>
      </w:r>
    </w:p>
    <w:p w14:paraId="0CA7E79B"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11.</w:t>
      </w:r>
      <w:r w:rsidRPr="00206C1A">
        <w:rPr>
          <w:rFonts w:ascii="Times New Roman" w:hAnsi="Times New Roman" w:cs="Times New Roman"/>
          <w:noProof/>
          <w:sz w:val="24"/>
          <w:szCs w:val="24"/>
        </w:rPr>
        <w:tab/>
        <w:t xml:space="preserve">Saß, H., Herpertz, S. &amp; Houben, I. Personality disorders: conceptual issues and responsibility. </w:t>
      </w:r>
      <w:r w:rsidRPr="00206C1A">
        <w:rPr>
          <w:rFonts w:ascii="Times New Roman" w:hAnsi="Times New Roman" w:cs="Times New Roman"/>
          <w:i/>
          <w:iCs/>
          <w:noProof/>
          <w:sz w:val="24"/>
          <w:szCs w:val="24"/>
        </w:rPr>
        <w:t>Jpn. J. Psychiatry Neurol.</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48 Suppl</w:t>
      </w:r>
      <w:r w:rsidRPr="00206C1A">
        <w:rPr>
          <w:rFonts w:ascii="Times New Roman" w:hAnsi="Times New Roman" w:cs="Times New Roman"/>
          <w:noProof/>
          <w:sz w:val="24"/>
          <w:szCs w:val="24"/>
        </w:rPr>
        <w:t>, 5–17 (1994).</w:t>
      </w:r>
    </w:p>
    <w:p w14:paraId="206CCEF9"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12.</w:t>
      </w:r>
      <w:r w:rsidRPr="00206C1A">
        <w:rPr>
          <w:rFonts w:ascii="Times New Roman" w:hAnsi="Times New Roman" w:cs="Times New Roman"/>
          <w:noProof/>
          <w:sz w:val="24"/>
          <w:szCs w:val="24"/>
        </w:rPr>
        <w:tab/>
        <w:t xml:space="preserve">Herpertz, S. C. Emotional processing in personality disorder. </w:t>
      </w:r>
      <w:r w:rsidRPr="00206C1A">
        <w:rPr>
          <w:rFonts w:ascii="Times New Roman" w:hAnsi="Times New Roman" w:cs="Times New Roman"/>
          <w:i/>
          <w:iCs/>
          <w:noProof/>
          <w:sz w:val="24"/>
          <w:szCs w:val="24"/>
        </w:rPr>
        <w:t>Curr. Psychiatry Rep.</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5</w:t>
      </w:r>
      <w:r w:rsidRPr="00206C1A">
        <w:rPr>
          <w:rFonts w:ascii="Times New Roman" w:hAnsi="Times New Roman" w:cs="Times New Roman"/>
          <w:noProof/>
          <w:sz w:val="24"/>
          <w:szCs w:val="24"/>
        </w:rPr>
        <w:t>, 23–27 (2003).</w:t>
      </w:r>
    </w:p>
    <w:p w14:paraId="094CD9A3"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13.</w:t>
      </w:r>
      <w:r w:rsidRPr="00206C1A">
        <w:rPr>
          <w:rFonts w:ascii="Times New Roman" w:hAnsi="Times New Roman" w:cs="Times New Roman"/>
          <w:noProof/>
          <w:sz w:val="24"/>
          <w:szCs w:val="24"/>
        </w:rPr>
        <w:tab/>
        <w:t xml:space="preserve">Kirsch, P.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Oxytocin modulates neural circuitry for social cognition and fear in humans. </w:t>
      </w:r>
      <w:r w:rsidRPr="00206C1A">
        <w:rPr>
          <w:rFonts w:ascii="Times New Roman" w:hAnsi="Times New Roman" w:cs="Times New Roman"/>
          <w:i/>
          <w:iCs/>
          <w:noProof/>
          <w:sz w:val="24"/>
          <w:szCs w:val="24"/>
        </w:rPr>
        <w:t>J. Neurosci.</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25</w:t>
      </w:r>
      <w:r w:rsidRPr="00206C1A">
        <w:rPr>
          <w:rFonts w:ascii="Times New Roman" w:hAnsi="Times New Roman" w:cs="Times New Roman"/>
          <w:noProof/>
          <w:sz w:val="24"/>
          <w:szCs w:val="24"/>
        </w:rPr>
        <w:t>, 11489–11493 (2005).</w:t>
      </w:r>
    </w:p>
    <w:p w14:paraId="6445F803"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14.</w:t>
      </w:r>
      <w:r w:rsidRPr="00206C1A">
        <w:rPr>
          <w:rFonts w:ascii="Times New Roman" w:hAnsi="Times New Roman" w:cs="Times New Roman"/>
          <w:noProof/>
          <w:sz w:val="24"/>
          <w:szCs w:val="24"/>
        </w:rPr>
        <w:tab/>
        <w:t xml:space="preserve">Domes, G.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Oxytocin Attenuates Amygdala Responses to Emotional Faces Regardless of Valence. </w:t>
      </w:r>
      <w:r w:rsidRPr="00206C1A">
        <w:rPr>
          <w:rFonts w:ascii="Times New Roman" w:hAnsi="Times New Roman" w:cs="Times New Roman"/>
          <w:i/>
          <w:iCs/>
          <w:noProof/>
          <w:sz w:val="24"/>
          <w:szCs w:val="24"/>
        </w:rPr>
        <w:t>Biol. Psychiatry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62</w:t>
      </w:r>
      <w:r w:rsidRPr="00206C1A">
        <w:rPr>
          <w:rFonts w:ascii="Times New Roman" w:hAnsi="Times New Roman" w:cs="Times New Roman"/>
          <w:noProof/>
          <w:sz w:val="24"/>
          <w:szCs w:val="24"/>
        </w:rPr>
        <w:t>, 1187–1190 (2007).</w:t>
      </w:r>
    </w:p>
    <w:p w14:paraId="6B4874F6"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lastRenderedPageBreak/>
        <w:t>15.</w:t>
      </w:r>
      <w:r w:rsidRPr="00206C1A">
        <w:rPr>
          <w:rFonts w:ascii="Times New Roman" w:hAnsi="Times New Roman" w:cs="Times New Roman"/>
          <w:noProof/>
          <w:sz w:val="24"/>
          <w:szCs w:val="24"/>
        </w:rPr>
        <w:tab/>
        <w:t xml:space="preserve">Tully, J., Gabay, A. S., Brown, D., Murphy, D. G. M. &amp; Blackwood, N. The effect of intranasal oxytocin on neural response to facial emotions in healthy adults as measured by functional MRI: A systematic review. </w:t>
      </w:r>
      <w:r w:rsidRPr="00206C1A">
        <w:rPr>
          <w:rFonts w:ascii="Times New Roman" w:hAnsi="Times New Roman" w:cs="Times New Roman"/>
          <w:i/>
          <w:iCs/>
          <w:noProof/>
          <w:sz w:val="24"/>
          <w:szCs w:val="24"/>
        </w:rPr>
        <w:t>Psychiatry Res. Neuroimaging</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272</w:t>
      </w:r>
      <w:r w:rsidRPr="00206C1A">
        <w:rPr>
          <w:rFonts w:ascii="Times New Roman" w:hAnsi="Times New Roman" w:cs="Times New Roman"/>
          <w:noProof/>
          <w:sz w:val="24"/>
          <w:szCs w:val="24"/>
        </w:rPr>
        <w:t>, 17–29 (2018).</w:t>
      </w:r>
    </w:p>
    <w:p w14:paraId="55BBF475"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16.</w:t>
      </w:r>
      <w:r w:rsidRPr="00206C1A">
        <w:rPr>
          <w:rFonts w:ascii="Times New Roman" w:hAnsi="Times New Roman" w:cs="Times New Roman"/>
          <w:noProof/>
          <w:sz w:val="24"/>
          <w:szCs w:val="24"/>
        </w:rPr>
        <w:tab/>
        <w:t xml:space="preserve">Rilling, J. K.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Sex differences in the neural and behavioral response to intranasal oxytocin and vasopressin during human social interaction. </w:t>
      </w:r>
      <w:r w:rsidRPr="00206C1A">
        <w:rPr>
          <w:rFonts w:ascii="Times New Roman" w:hAnsi="Times New Roman" w:cs="Times New Roman"/>
          <w:i/>
          <w:iCs/>
          <w:noProof/>
          <w:sz w:val="24"/>
          <w:szCs w:val="24"/>
        </w:rPr>
        <w:t>Psychoneuroendocrinology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39</w:t>
      </w:r>
      <w:r w:rsidRPr="00206C1A">
        <w:rPr>
          <w:rFonts w:ascii="Times New Roman" w:hAnsi="Times New Roman" w:cs="Times New Roman"/>
          <w:noProof/>
          <w:sz w:val="24"/>
          <w:szCs w:val="24"/>
        </w:rPr>
        <w:t>, 237–248 (2014).</w:t>
      </w:r>
    </w:p>
    <w:p w14:paraId="269E0658"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17.</w:t>
      </w:r>
      <w:r w:rsidRPr="00206C1A">
        <w:rPr>
          <w:rFonts w:ascii="Times New Roman" w:hAnsi="Times New Roman" w:cs="Times New Roman"/>
          <w:noProof/>
          <w:sz w:val="24"/>
          <w:szCs w:val="24"/>
        </w:rPr>
        <w:tab/>
        <w:t xml:space="preserve">Lieberz, J.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Kinetics of oxytocin effects on amygdala and striatal reactivity vary between women and men. </w:t>
      </w:r>
      <w:r w:rsidRPr="00206C1A">
        <w:rPr>
          <w:rFonts w:ascii="Times New Roman" w:hAnsi="Times New Roman" w:cs="Times New Roman"/>
          <w:i/>
          <w:iCs/>
          <w:noProof/>
          <w:sz w:val="24"/>
          <w:szCs w:val="24"/>
        </w:rPr>
        <w:t>Neuropsychopharmacology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45</w:t>
      </w:r>
      <w:r w:rsidRPr="00206C1A">
        <w:rPr>
          <w:rFonts w:ascii="Times New Roman" w:hAnsi="Times New Roman" w:cs="Times New Roman"/>
          <w:noProof/>
          <w:sz w:val="24"/>
          <w:szCs w:val="24"/>
        </w:rPr>
        <w:t>, 1134–1140 (2020).</w:t>
      </w:r>
    </w:p>
    <w:p w14:paraId="17662FA5"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18.</w:t>
      </w:r>
      <w:r w:rsidRPr="00206C1A">
        <w:rPr>
          <w:rFonts w:ascii="Times New Roman" w:hAnsi="Times New Roman" w:cs="Times New Roman"/>
          <w:noProof/>
          <w:sz w:val="24"/>
          <w:szCs w:val="24"/>
        </w:rPr>
        <w:tab/>
        <w:t xml:space="preserve">Lischke, A.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Oxytocin increases amygdala reactivity to threatening scenes in females. </w:t>
      </w:r>
      <w:r w:rsidRPr="00206C1A">
        <w:rPr>
          <w:rFonts w:ascii="Times New Roman" w:hAnsi="Times New Roman" w:cs="Times New Roman"/>
          <w:i/>
          <w:iCs/>
          <w:noProof/>
          <w:sz w:val="24"/>
          <w:szCs w:val="24"/>
        </w:rPr>
        <w:t>Psychoneuroendocrinology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37</w:t>
      </w:r>
      <w:r w:rsidRPr="00206C1A">
        <w:rPr>
          <w:rFonts w:ascii="Times New Roman" w:hAnsi="Times New Roman" w:cs="Times New Roman"/>
          <w:noProof/>
          <w:sz w:val="24"/>
          <w:szCs w:val="24"/>
        </w:rPr>
        <w:t>, 1431–1438 (2012).</w:t>
      </w:r>
    </w:p>
    <w:p w14:paraId="463E7FF8"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19.</w:t>
      </w:r>
      <w:r w:rsidRPr="00206C1A">
        <w:rPr>
          <w:rFonts w:ascii="Times New Roman" w:hAnsi="Times New Roman" w:cs="Times New Roman"/>
          <w:noProof/>
          <w:sz w:val="24"/>
          <w:szCs w:val="24"/>
        </w:rPr>
        <w:tab/>
        <w:t xml:space="preserve">Van Wingen, G. A.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Progesterone selectively increases amygdala reactivity in women. </w:t>
      </w:r>
      <w:r w:rsidRPr="00206C1A">
        <w:rPr>
          <w:rFonts w:ascii="Times New Roman" w:hAnsi="Times New Roman" w:cs="Times New Roman"/>
          <w:i/>
          <w:iCs/>
          <w:noProof/>
          <w:sz w:val="24"/>
          <w:szCs w:val="24"/>
        </w:rPr>
        <w:t>Mol. Psychiatry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13</w:t>
      </w:r>
      <w:r w:rsidRPr="00206C1A">
        <w:rPr>
          <w:rFonts w:ascii="Times New Roman" w:hAnsi="Times New Roman" w:cs="Times New Roman"/>
          <w:noProof/>
          <w:sz w:val="24"/>
          <w:szCs w:val="24"/>
        </w:rPr>
        <w:t>, 325–333 (2008).</w:t>
      </w:r>
    </w:p>
    <w:p w14:paraId="66C01B51"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20.</w:t>
      </w:r>
      <w:r w:rsidRPr="00206C1A">
        <w:rPr>
          <w:rFonts w:ascii="Times New Roman" w:hAnsi="Times New Roman" w:cs="Times New Roman"/>
          <w:noProof/>
          <w:sz w:val="24"/>
          <w:szCs w:val="24"/>
        </w:rPr>
        <w:tab/>
        <w:t xml:space="preserve">Borland, J. M., Rilling, J. K., Frantz, K. J. &amp; Albers, H. E. Sex-dependent regulation of social reward by oxytocin: an inverted U hypothesis. </w:t>
      </w:r>
      <w:r w:rsidRPr="00206C1A">
        <w:rPr>
          <w:rFonts w:ascii="Times New Roman" w:hAnsi="Times New Roman" w:cs="Times New Roman"/>
          <w:i/>
          <w:iCs/>
          <w:noProof/>
          <w:sz w:val="24"/>
          <w:szCs w:val="24"/>
        </w:rPr>
        <w:t>Neuropsychopharmacology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44</w:t>
      </w:r>
      <w:r w:rsidRPr="00206C1A">
        <w:rPr>
          <w:rFonts w:ascii="Times New Roman" w:hAnsi="Times New Roman" w:cs="Times New Roman"/>
          <w:noProof/>
          <w:sz w:val="24"/>
          <w:szCs w:val="24"/>
        </w:rPr>
        <w:t>, 97–110 (2019).</w:t>
      </w:r>
    </w:p>
    <w:p w14:paraId="72E4E48A"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21.</w:t>
      </w:r>
      <w:r w:rsidRPr="00206C1A">
        <w:rPr>
          <w:rFonts w:ascii="Times New Roman" w:hAnsi="Times New Roman" w:cs="Times New Roman"/>
          <w:noProof/>
          <w:sz w:val="24"/>
          <w:szCs w:val="24"/>
        </w:rPr>
        <w:tab/>
        <w:t xml:space="preserve">Winterton, A., Westlye, L. T., Steen, N. E., Andreassen, O. A. &amp; Quintana, D. S. Improving the precision of intranasal oxytocin research. </w:t>
      </w:r>
      <w:r w:rsidRPr="00206C1A">
        <w:rPr>
          <w:rFonts w:ascii="Times New Roman" w:hAnsi="Times New Roman" w:cs="Times New Roman"/>
          <w:i/>
          <w:iCs/>
          <w:noProof/>
          <w:sz w:val="24"/>
          <w:szCs w:val="24"/>
        </w:rPr>
        <w:t>Nat. Hum. Behav.</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5</w:t>
      </w:r>
      <w:r w:rsidRPr="00206C1A">
        <w:rPr>
          <w:rFonts w:ascii="Times New Roman" w:hAnsi="Times New Roman" w:cs="Times New Roman"/>
          <w:noProof/>
          <w:sz w:val="24"/>
          <w:szCs w:val="24"/>
        </w:rPr>
        <w:t>, 9–18 (2021).</w:t>
      </w:r>
    </w:p>
    <w:p w14:paraId="52207479"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22.</w:t>
      </w:r>
      <w:r w:rsidRPr="00206C1A">
        <w:rPr>
          <w:rFonts w:ascii="Times New Roman" w:hAnsi="Times New Roman" w:cs="Times New Roman"/>
          <w:noProof/>
          <w:sz w:val="24"/>
          <w:szCs w:val="24"/>
        </w:rPr>
        <w:tab/>
        <w:t xml:space="preserve">Martins, D., Gabay, A. S., Mehta, M. &amp; Paloyelis, Y. Salivary and plasmatic oxytocin are not reliable trait markers of the physiology of the oxytocin system in humans. </w:t>
      </w:r>
      <w:r w:rsidRPr="00206C1A">
        <w:rPr>
          <w:rFonts w:ascii="Times New Roman" w:hAnsi="Times New Roman" w:cs="Times New Roman"/>
          <w:i/>
          <w:iCs/>
          <w:noProof/>
          <w:sz w:val="24"/>
          <w:szCs w:val="24"/>
        </w:rPr>
        <w:t>Elife</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9</w:t>
      </w:r>
      <w:r w:rsidRPr="00206C1A">
        <w:rPr>
          <w:rFonts w:ascii="Times New Roman" w:hAnsi="Times New Roman" w:cs="Times New Roman"/>
          <w:noProof/>
          <w:sz w:val="24"/>
          <w:szCs w:val="24"/>
        </w:rPr>
        <w:t>, 1–19 (2020).</w:t>
      </w:r>
    </w:p>
    <w:p w14:paraId="422126FD"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23.</w:t>
      </w:r>
      <w:r w:rsidRPr="00206C1A">
        <w:rPr>
          <w:rFonts w:ascii="Times New Roman" w:hAnsi="Times New Roman" w:cs="Times New Roman"/>
          <w:noProof/>
          <w:sz w:val="24"/>
          <w:szCs w:val="24"/>
        </w:rPr>
        <w:tab/>
        <w:t xml:space="preserve">Schneider, S.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Boys do it the right way: sex-dependent amygdala lateralization during face processing in adolescents. </w:t>
      </w:r>
      <w:r w:rsidRPr="00206C1A">
        <w:rPr>
          <w:rFonts w:ascii="Times New Roman" w:hAnsi="Times New Roman" w:cs="Times New Roman"/>
          <w:i/>
          <w:iCs/>
          <w:noProof/>
          <w:sz w:val="24"/>
          <w:szCs w:val="24"/>
        </w:rPr>
        <w:t>Neuroimage</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56</w:t>
      </w:r>
      <w:r w:rsidRPr="00206C1A">
        <w:rPr>
          <w:rFonts w:ascii="Times New Roman" w:hAnsi="Times New Roman" w:cs="Times New Roman"/>
          <w:noProof/>
          <w:sz w:val="24"/>
          <w:szCs w:val="24"/>
        </w:rPr>
        <w:t>, 1847–1853 (2011).</w:t>
      </w:r>
    </w:p>
    <w:p w14:paraId="0CE19A5F"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24.</w:t>
      </w:r>
      <w:r w:rsidRPr="00206C1A">
        <w:rPr>
          <w:rFonts w:ascii="Times New Roman" w:hAnsi="Times New Roman" w:cs="Times New Roman"/>
          <w:noProof/>
          <w:sz w:val="24"/>
          <w:szCs w:val="24"/>
        </w:rPr>
        <w:tab/>
        <w:t xml:space="preserve">Fusar-Poli, P.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Functional atlas of emotional faces processing: A voxel-based meta-</w:t>
      </w:r>
      <w:r w:rsidRPr="00206C1A">
        <w:rPr>
          <w:rFonts w:ascii="Times New Roman" w:hAnsi="Times New Roman" w:cs="Times New Roman"/>
          <w:noProof/>
          <w:sz w:val="24"/>
          <w:szCs w:val="24"/>
        </w:rPr>
        <w:lastRenderedPageBreak/>
        <w:t xml:space="preserve">analysis of 105 functional magnetic resonance imaging studies. </w:t>
      </w:r>
      <w:r w:rsidRPr="00206C1A">
        <w:rPr>
          <w:rFonts w:ascii="Times New Roman" w:hAnsi="Times New Roman" w:cs="Times New Roman"/>
          <w:i/>
          <w:iCs/>
          <w:noProof/>
          <w:sz w:val="24"/>
          <w:szCs w:val="24"/>
        </w:rPr>
        <w:t>Journal of Psychiatry and Neuroscience</w:t>
      </w:r>
      <w:r w:rsidRPr="00206C1A">
        <w:rPr>
          <w:rFonts w:ascii="Times New Roman" w:hAnsi="Times New Roman" w:cs="Times New Roman"/>
          <w:noProof/>
          <w:sz w:val="24"/>
          <w:szCs w:val="24"/>
        </w:rPr>
        <w:t xml:space="preserve"> vol. 34 418–432 (2009).</w:t>
      </w:r>
    </w:p>
    <w:p w14:paraId="45EBD58D"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06C1A">
        <w:rPr>
          <w:rFonts w:ascii="Times New Roman" w:hAnsi="Times New Roman" w:cs="Times New Roman"/>
          <w:noProof/>
          <w:sz w:val="24"/>
          <w:szCs w:val="24"/>
        </w:rPr>
        <w:t>25.</w:t>
      </w:r>
      <w:r w:rsidRPr="00206C1A">
        <w:rPr>
          <w:rFonts w:ascii="Times New Roman" w:hAnsi="Times New Roman" w:cs="Times New Roman"/>
          <w:noProof/>
          <w:sz w:val="24"/>
          <w:szCs w:val="24"/>
        </w:rPr>
        <w:tab/>
        <w:t xml:space="preserve">Dadds, M. R. </w:t>
      </w:r>
      <w:r w:rsidRPr="00206C1A">
        <w:rPr>
          <w:rFonts w:ascii="Times New Roman" w:hAnsi="Times New Roman" w:cs="Times New Roman"/>
          <w:i/>
          <w:iCs/>
          <w:noProof/>
          <w:sz w:val="24"/>
          <w:szCs w:val="24"/>
        </w:rPr>
        <w:t>et al.</w:t>
      </w:r>
      <w:r w:rsidRPr="00206C1A">
        <w:rPr>
          <w:rFonts w:ascii="Times New Roman" w:hAnsi="Times New Roman" w:cs="Times New Roman"/>
          <w:noProof/>
          <w:sz w:val="24"/>
          <w:szCs w:val="24"/>
        </w:rPr>
        <w:t xml:space="preserve"> Attention to the eyes and fear-recognition deficits in child psychopathy. </w:t>
      </w:r>
      <w:r w:rsidRPr="00206C1A">
        <w:rPr>
          <w:rFonts w:ascii="Times New Roman" w:hAnsi="Times New Roman" w:cs="Times New Roman"/>
          <w:i/>
          <w:iCs/>
          <w:noProof/>
          <w:sz w:val="24"/>
          <w:szCs w:val="24"/>
        </w:rPr>
        <w:t>Br. J. Psychiatry</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189</w:t>
      </w:r>
      <w:r w:rsidRPr="00206C1A">
        <w:rPr>
          <w:rFonts w:ascii="Times New Roman" w:hAnsi="Times New Roman" w:cs="Times New Roman"/>
          <w:noProof/>
          <w:sz w:val="24"/>
          <w:szCs w:val="24"/>
        </w:rPr>
        <w:t>, 280–281 (2006).</w:t>
      </w:r>
    </w:p>
    <w:p w14:paraId="036C4E0E" w14:textId="77777777" w:rsidR="00206C1A" w:rsidRPr="00206C1A" w:rsidRDefault="00206C1A" w:rsidP="00206C1A">
      <w:pPr>
        <w:widowControl w:val="0"/>
        <w:autoSpaceDE w:val="0"/>
        <w:autoSpaceDN w:val="0"/>
        <w:adjustRightInd w:val="0"/>
        <w:spacing w:after="0" w:line="480" w:lineRule="auto"/>
        <w:ind w:left="640" w:hanging="640"/>
        <w:rPr>
          <w:rFonts w:ascii="Times New Roman" w:hAnsi="Times New Roman" w:cs="Times New Roman"/>
          <w:noProof/>
          <w:sz w:val="24"/>
        </w:rPr>
      </w:pPr>
      <w:r w:rsidRPr="00206C1A">
        <w:rPr>
          <w:rFonts w:ascii="Times New Roman" w:hAnsi="Times New Roman" w:cs="Times New Roman"/>
          <w:noProof/>
          <w:sz w:val="24"/>
          <w:szCs w:val="24"/>
        </w:rPr>
        <w:t>26.</w:t>
      </w:r>
      <w:r w:rsidRPr="00206C1A">
        <w:rPr>
          <w:rFonts w:ascii="Times New Roman" w:hAnsi="Times New Roman" w:cs="Times New Roman"/>
          <w:noProof/>
          <w:sz w:val="24"/>
          <w:szCs w:val="24"/>
        </w:rPr>
        <w:tab/>
        <w:t xml:space="preserve">Gamer, M., Zurowski, B. &amp; Büchel, C. Different amygdala subregions mediate valence-related and attentional effects of oxytocin in humans. </w:t>
      </w:r>
      <w:r w:rsidRPr="00206C1A">
        <w:rPr>
          <w:rFonts w:ascii="Times New Roman" w:hAnsi="Times New Roman" w:cs="Times New Roman"/>
          <w:i/>
          <w:iCs/>
          <w:noProof/>
          <w:sz w:val="24"/>
          <w:szCs w:val="24"/>
        </w:rPr>
        <w:t>Proc. Natl. Acad. Sci. U. S. A.</w:t>
      </w:r>
      <w:r w:rsidRPr="00206C1A">
        <w:rPr>
          <w:rFonts w:ascii="Times New Roman" w:hAnsi="Times New Roman" w:cs="Times New Roman"/>
          <w:noProof/>
          <w:sz w:val="24"/>
          <w:szCs w:val="24"/>
        </w:rPr>
        <w:t xml:space="preserve"> </w:t>
      </w:r>
      <w:r w:rsidRPr="00206C1A">
        <w:rPr>
          <w:rFonts w:ascii="Times New Roman" w:hAnsi="Times New Roman" w:cs="Times New Roman"/>
          <w:b/>
          <w:bCs/>
          <w:noProof/>
          <w:sz w:val="24"/>
          <w:szCs w:val="24"/>
        </w:rPr>
        <w:t>107</w:t>
      </w:r>
      <w:r w:rsidRPr="00206C1A">
        <w:rPr>
          <w:rFonts w:ascii="Times New Roman" w:hAnsi="Times New Roman" w:cs="Times New Roman"/>
          <w:noProof/>
          <w:sz w:val="24"/>
          <w:szCs w:val="24"/>
        </w:rPr>
        <w:t>, 9400–9405 (2010).</w:t>
      </w:r>
    </w:p>
    <w:p w14:paraId="13CE1FDA" w14:textId="78614BE1" w:rsidR="00206C1A" w:rsidRPr="003A34D8" w:rsidRDefault="00206C1A" w:rsidP="00114E4E">
      <w:pPr>
        <w:autoSpaceDE w:val="0"/>
        <w:autoSpaceDN w:val="0"/>
        <w:adjustRightInd w:val="0"/>
        <w:spacing w:after="0" w:line="480" w:lineRule="auto"/>
        <w:rPr>
          <w:rFonts w:ascii="Times New Roman" w:hAnsi="Times New Roman" w:cs="Times New Roman"/>
          <w:b/>
          <w:color w:val="231F20"/>
          <w:sz w:val="24"/>
          <w:szCs w:val="24"/>
        </w:rPr>
      </w:pPr>
      <w:r>
        <w:rPr>
          <w:rFonts w:ascii="Times New Roman" w:hAnsi="Times New Roman" w:cs="Times New Roman"/>
          <w:b/>
          <w:color w:val="231F20"/>
          <w:sz w:val="24"/>
          <w:szCs w:val="24"/>
        </w:rPr>
        <w:fldChar w:fldCharType="end"/>
      </w:r>
    </w:p>
    <w:sectPr w:rsidR="00206C1A" w:rsidRPr="003A34D8" w:rsidSect="005408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66EB5" w14:textId="77777777" w:rsidR="00B06D07" w:rsidRDefault="00B06D07" w:rsidP="00AD2C50">
      <w:pPr>
        <w:spacing w:after="0" w:line="240" w:lineRule="auto"/>
      </w:pPr>
      <w:r>
        <w:separator/>
      </w:r>
    </w:p>
  </w:endnote>
  <w:endnote w:type="continuationSeparator" w:id="0">
    <w:p w14:paraId="241617EC" w14:textId="77777777" w:rsidR="00B06D07" w:rsidRDefault="00B06D07" w:rsidP="00AD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36A09" w14:textId="77777777" w:rsidR="00B06D07" w:rsidRDefault="00B06D07" w:rsidP="00AD2C50">
      <w:pPr>
        <w:spacing w:after="0" w:line="240" w:lineRule="auto"/>
      </w:pPr>
      <w:r>
        <w:separator/>
      </w:r>
    </w:p>
  </w:footnote>
  <w:footnote w:type="continuationSeparator" w:id="0">
    <w:p w14:paraId="5BC25C4F" w14:textId="77777777" w:rsidR="00B06D07" w:rsidRDefault="00B06D07" w:rsidP="00AD2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950030"/>
      <w:docPartObj>
        <w:docPartGallery w:val="Page Numbers (Top of Page)"/>
        <w:docPartUnique/>
      </w:docPartObj>
    </w:sdtPr>
    <w:sdtEndPr/>
    <w:sdtContent>
      <w:p w14:paraId="30B4FD2C" w14:textId="5C779131" w:rsidR="00206C1A" w:rsidRDefault="00206C1A">
        <w:pPr>
          <w:pStyle w:val="Header"/>
          <w:jc w:val="right"/>
        </w:pPr>
        <w:r>
          <w:fldChar w:fldCharType="begin"/>
        </w:r>
        <w:r>
          <w:instrText>PAGE   \* MERGEFORMAT</w:instrText>
        </w:r>
        <w:r>
          <w:fldChar w:fldCharType="separate"/>
        </w:r>
        <w:r w:rsidRPr="0081695C">
          <w:rPr>
            <w:noProof/>
            <w:lang w:val="de-DE"/>
          </w:rPr>
          <w:t>20</w:t>
        </w:r>
        <w:r>
          <w:fldChar w:fldCharType="end"/>
        </w:r>
      </w:p>
    </w:sdtContent>
  </w:sdt>
  <w:p w14:paraId="3242B69E" w14:textId="77777777" w:rsidR="00206C1A" w:rsidRDefault="00206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74DC7"/>
    <w:multiLevelType w:val="multilevel"/>
    <w:tmpl w:val="FC0C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547A5"/>
    <w:multiLevelType w:val="hybridMultilevel"/>
    <w:tmpl w:val="72E2B57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AB83FEB"/>
    <w:multiLevelType w:val="multilevel"/>
    <w:tmpl w:val="A196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E6580"/>
    <w:multiLevelType w:val="multilevel"/>
    <w:tmpl w:val="6CAC9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261F25"/>
    <w:multiLevelType w:val="hybridMultilevel"/>
    <w:tmpl w:val="27264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E1790"/>
    <w:multiLevelType w:val="multilevel"/>
    <w:tmpl w:val="6CAC9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15287"/>
    <w:multiLevelType w:val="multilevel"/>
    <w:tmpl w:val="8E5E2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216DEF"/>
    <w:multiLevelType w:val="multilevel"/>
    <w:tmpl w:val="55C4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2B62D2"/>
    <w:multiLevelType w:val="hybridMultilevel"/>
    <w:tmpl w:val="963C1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FA4BDB"/>
    <w:multiLevelType w:val="multilevel"/>
    <w:tmpl w:val="AB0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2229E0"/>
    <w:multiLevelType w:val="multilevel"/>
    <w:tmpl w:val="788E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DC5A1C"/>
    <w:multiLevelType w:val="multilevel"/>
    <w:tmpl w:val="79FC2E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8DB4BAE"/>
    <w:multiLevelType w:val="multilevel"/>
    <w:tmpl w:val="8E5E2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9A4501B"/>
    <w:multiLevelType w:val="multilevel"/>
    <w:tmpl w:val="DAD4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274E1E"/>
    <w:multiLevelType w:val="hybridMultilevel"/>
    <w:tmpl w:val="71809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
  </w:num>
  <w:num w:numId="4">
    <w:abstractNumId w:val="14"/>
  </w:num>
  <w:num w:numId="5">
    <w:abstractNumId w:val="8"/>
  </w:num>
  <w:num w:numId="6">
    <w:abstractNumId w:val="4"/>
  </w:num>
  <w:num w:numId="7">
    <w:abstractNumId w:val="11"/>
  </w:num>
  <w:num w:numId="8">
    <w:abstractNumId w:val="3"/>
  </w:num>
  <w:num w:numId="9">
    <w:abstractNumId w:val="5"/>
  </w:num>
  <w:num w:numId="10">
    <w:abstractNumId w:val="7"/>
  </w:num>
  <w:num w:numId="11">
    <w:abstractNumId w:val="0"/>
  </w:num>
  <w:num w:numId="12">
    <w:abstractNumId w:val="10"/>
  </w:num>
  <w:num w:numId="13">
    <w:abstractNumId w:val="9"/>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warvrw3a2taaep05ivedd3avraxw29xt0e&quot;&gt;My EndNote Library&lt;record-ids&gt;&lt;item&gt;7721&lt;/item&gt;&lt;item&gt;7722&lt;/item&gt;&lt;/record-ids&gt;&lt;/item&gt;&lt;/Libraries&gt;"/>
  </w:docVars>
  <w:rsids>
    <w:rsidRoot w:val="00717A46"/>
    <w:rsid w:val="00004D17"/>
    <w:rsid w:val="0000542E"/>
    <w:rsid w:val="0001345A"/>
    <w:rsid w:val="000174CB"/>
    <w:rsid w:val="000205E5"/>
    <w:rsid w:val="00030EF1"/>
    <w:rsid w:val="00032C94"/>
    <w:rsid w:val="0003407B"/>
    <w:rsid w:val="00035BEC"/>
    <w:rsid w:val="0003656C"/>
    <w:rsid w:val="00040661"/>
    <w:rsid w:val="00043D04"/>
    <w:rsid w:val="000459F2"/>
    <w:rsid w:val="00047F6B"/>
    <w:rsid w:val="000522D0"/>
    <w:rsid w:val="00053166"/>
    <w:rsid w:val="00054BB9"/>
    <w:rsid w:val="000651C9"/>
    <w:rsid w:val="000655A8"/>
    <w:rsid w:val="00074E09"/>
    <w:rsid w:val="00077A42"/>
    <w:rsid w:val="00080DF9"/>
    <w:rsid w:val="000913EF"/>
    <w:rsid w:val="00091C73"/>
    <w:rsid w:val="000A1AA3"/>
    <w:rsid w:val="000A514F"/>
    <w:rsid w:val="000B1FA6"/>
    <w:rsid w:val="000C5236"/>
    <w:rsid w:val="000D6FCE"/>
    <w:rsid w:val="000F3C1D"/>
    <w:rsid w:val="000F63AF"/>
    <w:rsid w:val="000F72DE"/>
    <w:rsid w:val="000F73DF"/>
    <w:rsid w:val="00100E8C"/>
    <w:rsid w:val="00101BE6"/>
    <w:rsid w:val="00107097"/>
    <w:rsid w:val="00107776"/>
    <w:rsid w:val="00114E4E"/>
    <w:rsid w:val="00115780"/>
    <w:rsid w:val="00117842"/>
    <w:rsid w:val="001238DE"/>
    <w:rsid w:val="00126898"/>
    <w:rsid w:val="00131948"/>
    <w:rsid w:val="001326E0"/>
    <w:rsid w:val="00134D3B"/>
    <w:rsid w:val="0014153F"/>
    <w:rsid w:val="00143B1B"/>
    <w:rsid w:val="0014621F"/>
    <w:rsid w:val="001462E3"/>
    <w:rsid w:val="00150C55"/>
    <w:rsid w:val="00160F7D"/>
    <w:rsid w:val="00163929"/>
    <w:rsid w:val="00165A91"/>
    <w:rsid w:val="001666E3"/>
    <w:rsid w:val="00174E3D"/>
    <w:rsid w:val="001903E9"/>
    <w:rsid w:val="001956A5"/>
    <w:rsid w:val="001A4CED"/>
    <w:rsid w:val="001B5BB8"/>
    <w:rsid w:val="001C06A3"/>
    <w:rsid w:val="001C40D5"/>
    <w:rsid w:val="001D337C"/>
    <w:rsid w:val="001D5736"/>
    <w:rsid w:val="001D6FC4"/>
    <w:rsid w:val="001E083C"/>
    <w:rsid w:val="001F0AD2"/>
    <w:rsid w:val="001F32C6"/>
    <w:rsid w:val="001F566D"/>
    <w:rsid w:val="001F6C70"/>
    <w:rsid w:val="00205871"/>
    <w:rsid w:val="00206C1A"/>
    <w:rsid w:val="00207F51"/>
    <w:rsid w:val="00211C17"/>
    <w:rsid w:val="00213F9E"/>
    <w:rsid w:val="0021604C"/>
    <w:rsid w:val="00220192"/>
    <w:rsid w:val="00227573"/>
    <w:rsid w:val="00234DFD"/>
    <w:rsid w:val="00244C1A"/>
    <w:rsid w:val="00245342"/>
    <w:rsid w:val="002456F4"/>
    <w:rsid w:val="00254AB6"/>
    <w:rsid w:val="0025778C"/>
    <w:rsid w:val="00257CDC"/>
    <w:rsid w:val="00260CFA"/>
    <w:rsid w:val="00260E54"/>
    <w:rsid w:val="00263385"/>
    <w:rsid w:val="002660AD"/>
    <w:rsid w:val="002701F4"/>
    <w:rsid w:val="00284EDF"/>
    <w:rsid w:val="002918D1"/>
    <w:rsid w:val="00297467"/>
    <w:rsid w:val="002A0733"/>
    <w:rsid w:val="002A3ABA"/>
    <w:rsid w:val="002B3091"/>
    <w:rsid w:val="002B6D0E"/>
    <w:rsid w:val="002B78E1"/>
    <w:rsid w:val="002C7025"/>
    <w:rsid w:val="002D0479"/>
    <w:rsid w:val="002D0B07"/>
    <w:rsid w:val="002D360F"/>
    <w:rsid w:val="002D3C72"/>
    <w:rsid w:val="002E11E6"/>
    <w:rsid w:val="002E2AFB"/>
    <w:rsid w:val="002E733B"/>
    <w:rsid w:val="002F025C"/>
    <w:rsid w:val="002F6C48"/>
    <w:rsid w:val="002F71EA"/>
    <w:rsid w:val="003001ED"/>
    <w:rsid w:val="0030282F"/>
    <w:rsid w:val="00313456"/>
    <w:rsid w:val="00315376"/>
    <w:rsid w:val="00317254"/>
    <w:rsid w:val="00323946"/>
    <w:rsid w:val="003239BF"/>
    <w:rsid w:val="00327032"/>
    <w:rsid w:val="00327C6F"/>
    <w:rsid w:val="00333590"/>
    <w:rsid w:val="00343599"/>
    <w:rsid w:val="0035631A"/>
    <w:rsid w:val="00361972"/>
    <w:rsid w:val="00367F4B"/>
    <w:rsid w:val="003722EF"/>
    <w:rsid w:val="00381A07"/>
    <w:rsid w:val="003861A5"/>
    <w:rsid w:val="003867BB"/>
    <w:rsid w:val="00387306"/>
    <w:rsid w:val="0039195E"/>
    <w:rsid w:val="003A31DA"/>
    <w:rsid w:val="003A34D8"/>
    <w:rsid w:val="003A4CB7"/>
    <w:rsid w:val="003A72A0"/>
    <w:rsid w:val="003A7E26"/>
    <w:rsid w:val="003B57FE"/>
    <w:rsid w:val="003B6656"/>
    <w:rsid w:val="003C0C1C"/>
    <w:rsid w:val="003C4360"/>
    <w:rsid w:val="003E00CF"/>
    <w:rsid w:val="003E0550"/>
    <w:rsid w:val="003E2B7B"/>
    <w:rsid w:val="003E3D2E"/>
    <w:rsid w:val="003F31B0"/>
    <w:rsid w:val="003F6A94"/>
    <w:rsid w:val="003F7171"/>
    <w:rsid w:val="00400C1D"/>
    <w:rsid w:val="004042E9"/>
    <w:rsid w:val="00404E59"/>
    <w:rsid w:val="00413E13"/>
    <w:rsid w:val="00422B15"/>
    <w:rsid w:val="00422D00"/>
    <w:rsid w:val="0042371D"/>
    <w:rsid w:val="004273E6"/>
    <w:rsid w:val="00431CCA"/>
    <w:rsid w:val="00432CA5"/>
    <w:rsid w:val="00434627"/>
    <w:rsid w:val="004354DE"/>
    <w:rsid w:val="00435AE4"/>
    <w:rsid w:val="00440AB4"/>
    <w:rsid w:val="00444B06"/>
    <w:rsid w:val="00446976"/>
    <w:rsid w:val="00453AF9"/>
    <w:rsid w:val="00454E34"/>
    <w:rsid w:val="00455C8A"/>
    <w:rsid w:val="004609AC"/>
    <w:rsid w:val="0046255F"/>
    <w:rsid w:val="00473051"/>
    <w:rsid w:val="00473D46"/>
    <w:rsid w:val="00483D4A"/>
    <w:rsid w:val="004849C5"/>
    <w:rsid w:val="00484BA9"/>
    <w:rsid w:val="00490751"/>
    <w:rsid w:val="00491841"/>
    <w:rsid w:val="004A1DFC"/>
    <w:rsid w:val="004C09DA"/>
    <w:rsid w:val="004C5B8A"/>
    <w:rsid w:val="004C6186"/>
    <w:rsid w:val="004D01E6"/>
    <w:rsid w:val="004E1101"/>
    <w:rsid w:val="004E5015"/>
    <w:rsid w:val="004E525E"/>
    <w:rsid w:val="004E571C"/>
    <w:rsid w:val="004F0FD2"/>
    <w:rsid w:val="004F1F58"/>
    <w:rsid w:val="005021ED"/>
    <w:rsid w:val="00504B36"/>
    <w:rsid w:val="00514732"/>
    <w:rsid w:val="005201EF"/>
    <w:rsid w:val="00520900"/>
    <w:rsid w:val="00525E62"/>
    <w:rsid w:val="00533A1F"/>
    <w:rsid w:val="005349B5"/>
    <w:rsid w:val="005408F2"/>
    <w:rsid w:val="00544F47"/>
    <w:rsid w:val="00554B86"/>
    <w:rsid w:val="0056241F"/>
    <w:rsid w:val="005644B5"/>
    <w:rsid w:val="00566EA1"/>
    <w:rsid w:val="00567CB8"/>
    <w:rsid w:val="0057219D"/>
    <w:rsid w:val="005738FE"/>
    <w:rsid w:val="00574D20"/>
    <w:rsid w:val="005841C4"/>
    <w:rsid w:val="005854B3"/>
    <w:rsid w:val="00591380"/>
    <w:rsid w:val="00592F3A"/>
    <w:rsid w:val="005948C9"/>
    <w:rsid w:val="00596415"/>
    <w:rsid w:val="00596EAE"/>
    <w:rsid w:val="005A1204"/>
    <w:rsid w:val="005A4C35"/>
    <w:rsid w:val="005A6F88"/>
    <w:rsid w:val="005B3FF0"/>
    <w:rsid w:val="005B4407"/>
    <w:rsid w:val="005B4793"/>
    <w:rsid w:val="005B6F14"/>
    <w:rsid w:val="005B789E"/>
    <w:rsid w:val="005C0AE7"/>
    <w:rsid w:val="005C0C2B"/>
    <w:rsid w:val="005C50FD"/>
    <w:rsid w:val="005D0082"/>
    <w:rsid w:val="005D642D"/>
    <w:rsid w:val="005D65DB"/>
    <w:rsid w:val="005D6682"/>
    <w:rsid w:val="005D71C6"/>
    <w:rsid w:val="005E2C06"/>
    <w:rsid w:val="005F118D"/>
    <w:rsid w:val="00604F87"/>
    <w:rsid w:val="00605039"/>
    <w:rsid w:val="00605223"/>
    <w:rsid w:val="00605355"/>
    <w:rsid w:val="006151B7"/>
    <w:rsid w:val="00616A0A"/>
    <w:rsid w:val="006249A0"/>
    <w:rsid w:val="00625873"/>
    <w:rsid w:val="0063112F"/>
    <w:rsid w:val="00633564"/>
    <w:rsid w:val="00635CB8"/>
    <w:rsid w:val="006454AA"/>
    <w:rsid w:val="006456BF"/>
    <w:rsid w:val="006543A8"/>
    <w:rsid w:val="00654B51"/>
    <w:rsid w:val="00663056"/>
    <w:rsid w:val="00670CF8"/>
    <w:rsid w:val="006710B9"/>
    <w:rsid w:val="00671DDB"/>
    <w:rsid w:val="00673278"/>
    <w:rsid w:val="006804BC"/>
    <w:rsid w:val="00681856"/>
    <w:rsid w:val="00681EFE"/>
    <w:rsid w:val="0068643B"/>
    <w:rsid w:val="00690EF7"/>
    <w:rsid w:val="00693416"/>
    <w:rsid w:val="00693F27"/>
    <w:rsid w:val="006959EA"/>
    <w:rsid w:val="006A5A70"/>
    <w:rsid w:val="006A607E"/>
    <w:rsid w:val="006C0C24"/>
    <w:rsid w:val="006C427C"/>
    <w:rsid w:val="006C4CB6"/>
    <w:rsid w:val="006C4DCB"/>
    <w:rsid w:val="006D45FE"/>
    <w:rsid w:val="006D47F3"/>
    <w:rsid w:val="006E0348"/>
    <w:rsid w:val="006E2FE4"/>
    <w:rsid w:val="006E7597"/>
    <w:rsid w:val="006F1544"/>
    <w:rsid w:val="006F18EB"/>
    <w:rsid w:val="006F1B9A"/>
    <w:rsid w:val="006F3C11"/>
    <w:rsid w:val="00701B14"/>
    <w:rsid w:val="00701E6B"/>
    <w:rsid w:val="00707642"/>
    <w:rsid w:val="00711D02"/>
    <w:rsid w:val="00713004"/>
    <w:rsid w:val="007145A9"/>
    <w:rsid w:val="00717A46"/>
    <w:rsid w:val="00730996"/>
    <w:rsid w:val="0073161A"/>
    <w:rsid w:val="00733A6B"/>
    <w:rsid w:val="007341D9"/>
    <w:rsid w:val="007345A6"/>
    <w:rsid w:val="00734D68"/>
    <w:rsid w:val="007359C4"/>
    <w:rsid w:val="00747CEE"/>
    <w:rsid w:val="00753681"/>
    <w:rsid w:val="00754F60"/>
    <w:rsid w:val="00760F63"/>
    <w:rsid w:val="00765B56"/>
    <w:rsid w:val="00771DAD"/>
    <w:rsid w:val="00774003"/>
    <w:rsid w:val="007763B7"/>
    <w:rsid w:val="00776899"/>
    <w:rsid w:val="00776AF6"/>
    <w:rsid w:val="0078000C"/>
    <w:rsid w:val="00782B39"/>
    <w:rsid w:val="0079088A"/>
    <w:rsid w:val="007929E6"/>
    <w:rsid w:val="007A1346"/>
    <w:rsid w:val="007A7F0F"/>
    <w:rsid w:val="007B1E9C"/>
    <w:rsid w:val="007B4F4E"/>
    <w:rsid w:val="007B5CF7"/>
    <w:rsid w:val="007C5243"/>
    <w:rsid w:val="007D02E4"/>
    <w:rsid w:val="007D0F1C"/>
    <w:rsid w:val="007D12F0"/>
    <w:rsid w:val="007D30D0"/>
    <w:rsid w:val="007D4A79"/>
    <w:rsid w:val="007E2031"/>
    <w:rsid w:val="007E2634"/>
    <w:rsid w:val="007E40FE"/>
    <w:rsid w:val="007E649E"/>
    <w:rsid w:val="007F05C6"/>
    <w:rsid w:val="007F2C58"/>
    <w:rsid w:val="00812A86"/>
    <w:rsid w:val="0081394E"/>
    <w:rsid w:val="0081571F"/>
    <w:rsid w:val="0081695C"/>
    <w:rsid w:val="008175CC"/>
    <w:rsid w:val="00822AE5"/>
    <w:rsid w:val="0082432B"/>
    <w:rsid w:val="008264E7"/>
    <w:rsid w:val="00832E0E"/>
    <w:rsid w:val="00836F75"/>
    <w:rsid w:val="00837E91"/>
    <w:rsid w:val="00840968"/>
    <w:rsid w:val="00843811"/>
    <w:rsid w:val="00845E7D"/>
    <w:rsid w:val="0085028B"/>
    <w:rsid w:val="00850686"/>
    <w:rsid w:val="008535C6"/>
    <w:rsid w:val="0085443C"/>
    <w:rsid w:val="0085469F"/>
    <w:rsid w:val="00854D2C"/>
    <w:rsid w:val="00862412"/>
    <w:rsid w:val="00863C57"/>
    <w:rsid w:val="008708F0"/>
    <w:rsid w:val="008716D5"/>
    <w:rsid w:val="00871D3A"/>
    <w:rsid w:val="008751BC"/>
    <w:rsid w:val="00883D3B"/>
    <w:rsid w:val="00883E59"/>
    <w:rsid w:val="0088417B"/>
    <w:rsid w:val="008845FB"/>
    <w:rsid w:val="0089131E"/>
    <w:rsid w:val="008916B8"/>
    <w:rsid w:val="00894A5C"/>
    <w:rsid w:val="008A0E3A"/>
    <w:rsid w:val="008A24F4"/>
    <w:rsid w:val="008A66E6"/>
    <w:rsid w:val="008A7C36"/>
    <w:rsid w:val="008B2558"/>
    <w:rsid w:val="008D3C34"/>
    <w:rsid w:val="008E481F"/>
    <w:rsid w:val="008F256D"/>
    <w:rsid w:val="008F34C5"/>
    <w:rsid w:val="008F5F27"/>
    <w:rsid w:val="00900147"/>
    <w:rsid w:val="0091508B"/>
    <w:rsid w:val="009217D8"/>
    <w:rsid w:val="00922ED3"/>
    <w:rsid w:val="00926C0E"/>
    <w:rsid w:val="00931084"/>
    <w:rsid w:val="00931FC2"/>
    <w:rsid w:val="00933696"/>
    <w:rsid w:val="00941442"/>
    <w:rsid w:val="00941A99"/>
    <w:rsid w:val="009458C9"/>
    <w:rsid w:val="00950896"/>
    <w:rsid w:val="0095254D"/>
    <w:rsid w:val="00956A19"/>
    <w:rsid w:val="00957DC4"/>
    <w:rsid w:val="009607AB"/>
    <w:rsid w:val="00960B13"/>
    <w:rsid w:val="00964763"/>
    <w:rsid w:val="00965AA6"/>
    <w:rsid w:val="00971FB4"/>
    <w:rsid w:val="009749CC"/>
    <w:rsid w:val="00974E38"/>
    <w:rsid w:val="009752C4"/>
    <w:rsid w:val="00977201"/>
    <w:rsid w:val="00982DFD"/>
    <w:rsid w:val="00987C48"/>
    <w:rsid w:val="00987F61"/>
    <w:rsid w:val="009A1E4B"/>
    <w:rsid w:val="009A55FD"/>
    <w:rsid w:val="009A712E"/>
    <w:rsid w:val="009B3213"/>
    <w:rsid w:val="009B3527"/>
    <w:rsid w:val="009B7589"/>
    <w:rsid w:val="009C0A50"/>
    <w:rsid w:val="009C2BD8"/>
    <w:rsid w:val="009D39D8"/>
    <w:rsid w:val="009D4DAF"/>
    <w:rsid w:val="009D5AE9"/>
    <w:rsid w:val="009D7DB1"/>
    <w:rsid w:val="009E370D"/>
    <w:rsid w:val="009E4E92"/>
    <w:rsid w:val="009E6218"/>
    <w:rsid w:val="009E62AA"/>
    <w:rsid w:val="009F74A3"/>
    <w:rsid w:val="009F7945"/>
    <w:rsid w:val="00A0450F"/>
    <w:rsid w:val="00A176DE"/>
    <w:rsid w:val="00A21C6A"/>
    <w:rsid w:val="00A312B5"/>
    <w:rsid w:val="00A4031E"/>
    <w:rsid w:val="00A403C0"/>
    <w:rsid w:val="00A41231"/>
    <w:rsid w:val="00A446D1"/>
    <w:rsid w:val="00A47615"/>
    <w:rsid w:val="00A5289E"/>
    <w:rsid w:val="00A5352A"/>
    <w:rsid w:val="00A56AAE"/>
    <w:rsid w:val="00A5722B"/>
    <w:rsid w:val="00A62F8F"/>
    <w:rsid w:val="00A64E9F"/>
    <w:rsid w:val="00A65AAB"/>
    <w:rsid w:val="00A6775F"/>
    <w:rsid w:val="00A72016"/>
    <w:rsid w:val="00A72BEA"/>
    <w:rsid w:val="00A752DC"/>
    <w:rsid w:val="00A8077C"/>
    <w:rsid w:val="00A808C6"/>
    <w:rsid w:val="00A847EF"/>
    <w:rsid w:val="00A87C5C"/>
    <w:rsid w:val="00A9418B"/>
    <w:rsid w:val="00A96CF7"/>
    <w:rsid w:val="00AA098F"/>
    <w:rsid w:val="00AB0F1A"/>
    <w:rsid w:val="00AB1514"/>
    <w:rsid w:val="00AB1971"/>
    <w:rsid w:val="00AB26EF"/>
    <w:rsid w:val="00AB3739"/>
    <w:rsid w:val="00AC138B"/>
    <w:rsid w:val="00AC4D7A"/>
    <w:rsid w:val="00AC4FC7"/>
    <w:rsid w:val="00AD2C50"/>
    <w:rsid w:val="00AE2174"/>
    <w:rsid w:val="00AE4401"/>
    <w:rsid w:val="00AE4EAB"/>
    <w:rsid w:val="00AE6275"/>
    <w:rsid w:val="00AF018F"/>
    <w:rsid w:val="00AF1EA6"/>
    <w:rsid w:val="00AF7848"/>
    <w:rsid w:val="00B063E7"/>
    <w:rsid w:val="00B06D07"/>
    <w:rsid w:val="00B158B8"/>
    <w:rsid w:val="00B1599D"/>
    <w:rsid w:val="00B15FF7"/>
    <w:rsid w:val="00B226A0"/>
    <w:rsid w:val="00B2411A"/>
    <w:rsid w:val="00B43BF4"/>
    <w:rsid w:val="00B50245"/>
    <w:rsid w:val="00B50872"/>
    <w:rsid w:val="00B53CB9"/>
    <w:rsid w:val="00B55185"/>
    <w:rsid w:val="00B55199"/>
    <w:rsid w:val="00B56C8A"/>
    <w:rsid w:val="00B5726F"/>
    <w:rsid w:val="00B57FB2"/>
    <w:rsid w:val="00B61B58"/>
    <w:rsid w:val="00B65800"/>
    <w:rsid w:val="00B71E14"/>
    <w:rsid w:val="00B73E6B"/>
    <w:rsid w:val="00B742E6"/>
    <w:rsid w:val="00B77E59"/>
    <w:rsid w:val="00B85BFE"/>
    <w:rsid w:val="00B94073"/>
    <w:rsid w:val="00B963E5"/>
    <w:rsid w:val="00B96F75"/>
    <w:rsid w:val="00BA00F0"/>
    <w:rsid w:val="00BA08CB"/>
    <w:rsid w:val="00BA19A6"/>
    <w:rsid w:val="00BA2458"/>
    <w:rsid w:val="00BA28B8"/>
    <w:rsid w:val="00BA3292"/>
    <w:rsid w:val="00BB1D38"/>
    <w:rsid w:val="00BB21CD"/>
    <w:rsid w:val="00BB2C03"/>
    <w:rsid w:val="00BB47BF"/>
    <w:rsid w:val="00BB7C2E"/>
    <w:rsid w:val="00BC04E1"/>
    <w:rsid w:val="00BC1CE5"/>
    <w:rsid w:val="00BC315E"/>
    <w:rsid w:val="00BC510D"/>
    <w:rsid w:val="00BC6F59"/>
    <w:rsid w:val="00BC73E2"/>
    <w:rsid w:val="00BD07D5"/>
    <w:rsid w:val="00BD1FEF"/>
    <w:rsid w:val="00BD25EC"/>
    <w:rsid w:val="00BD50AF"/>
    <w:rsid w:val="00BD6938"/>
    <w:rsid w:val="00BE12BB"/>
    <w:rsid w:val="00BE2EB1"/>
    <w:rsid w:val="00BE6E8B"/>
    <w:rsid w:val="00BE789F"/>
    <w:rsid w:val="00BF1009"/>
    <w:rsid w:val="00BF3DB9"/>
    <w:rsid w:val="00BF5D9B"/>
    <w:rsid w:val="00C02F7D"/>
    <w:rsid w:val="00C12088"/>
    <w:rsid w:val="00C1276C"/>
    <w:rsid w:val="00C24206"/>
    <w:rsid w:val="00C25F73"/>
    <w:rsid w:val="00C3125A"/>
    <w:rsid w:val="00C349D2"/>
    <w:rsid w:val="00C361D9"/>
    <w:rsid w:val="00C40D6F"/>
    <w:rsid w:val="00C42F3F"/>
    <w:rsid w:val="00C453F9"/>
    <w:rsid w:val="00C460A4"/>
    <w:rsid w:val="00C46716"/>
    <w:rsid w:val="00C51929"/>
    <w:rsid w:val="00C5531F"/>
    <w:rsid w:val="00C61F19"/>
    <w:rsid w:val="00C647A9"/>
    <w:rsid w:val="00C64A97"/>
    <w:rsid w:val="00C7061E"/>
    <w:rsid w:val="00C725C3"/>
    <w:rsid w:val="00C741B3"/>
    <w:rsid w:val="00C76B19"/>
    <w:rsid w:val="00C82BFC"/>
    <w:rsid w:val="00C90449"/>
    <w:rsid w:val="00C93648"/>
    <w:rsid w:val="00C96FA1"/>
    <w:rsid w:val="00CA5063"/>
    <w:rsid w:val="00CA62C6"/>
    <w:rsid w:val="00CB25B5"/>
    <w:rsid w:val="00CB2D21"/>
    <w:rsid w:val="00CB4CAA"/>
    <w:rsid w:val="00CB508F"/>
    <w:rsid w:val="00CB759D"/>
    <w:rsid w:val="00CC1DC0"/>
    <w:rsid w:val="00CC7CFF"/>
    <w:rsid w:val="00CD20C8"/>
    <w:rsid w:val="00CD315B"/>
    <w:rsid w:val="00CE152A"/>
    <w:rsid w:val="00CE46E4"/>
    <w:rsid w:val="00CF127D"/>
    <w:rsid w:val="00CF201F"/>
    <w:rsid w:val="00CF71D9"/>
    <w:rsid w:val="00D00F91"/>
    <w:rsid w:val="00D05405"/>
    <w:rsid w:val="00D05E13"/>
    <w:rsid w:val="00D06402"/>
    <w:rsid w:val="00D1150F"/>
    <w:rsid w:val="00D116E7"/>
    <w:rsid w:val="00D12C4C"/>
    <w:rsid w:val="00D151D0"/>
    <w:rsid w:val="00D15D29"/>
    <w:rsid w:val="00D2460A"/>
    <w:rsid w:val="00D3186F"/>
    <w:rsid w:val="00D426AA"/>
    <w:rsid w:val="00D44E24"/>
    <w:rsid w:val="00D57C89"/>
    <w:rsid w:val="00D60D7C"/>
    <w:rsid w:val="00D60F03"/>
    <w:rsid w:val="00D72CBB"/>
    <w:rsid w:val="00D75584"/>
    <w:rsid w:val="00D806F1"/>
    <w:rsid w:val="00D80A8D"/>
    <w:rsid w:val="00D825AC"/>
    <w:rsid w:val="00D8362B"/>
    <w:rsid w:val="00D8715E"/>
    <w:rsid w:val="00D90D02"/>
    <w:rsid w:val="00D9276C"/>
    <w:rsid w:val="00DA24BD"/>
    <w:rsid w:val="00DB37C0"/>
    <w:rsid w:val="00DB4336"/>
    <w:rsid w:val="00DB573E"/>
    <w:rsid w:val="00DC05B0"/>
    <w:rsid w:val="00DC25B8"/>
    <w:rsid w:val="00DC2AAE"/>
    <w:rsid w:val="00DC3586"/>
    <w:rsid w:val="00DC3CFC"/>
    <w:rsid w:val="00DC4E52"/>
    <w:rsid w:val="00DC4F66"/>
    <w:rsid w:val="00DC5A19"/>
    <w:rsid w:val="00DD238C"/>
    <w:rsid w:val="00DD328F"/>
    <w:rsid w:val="00DD4DBF"/>
    <w:rsid w:val="00DD7F81"/>
    <w:rsid w:val="00DF032D"/>
    <w:rsid w:val="00DF6A2D"/>
    <w:rsid w:val="00DF7D5E"/>
    <w:rsid w:val="00E01DEF"/>
    <w:rsid w:val="00E02EA4"/>
    <w:rsid w:val="00E051A2"/>
    <w:rsid w:val="00E10867"/>
    <w:rsid w:val="00E11E5E"/>
    <w:rsid w:val="00E121B4"/>
    <w:rsid w:val="00E140BB"/>
    <w:rsid w:val="00E16662"/>
    <w:rsid w:val="00E34321"/>
    <w:rsid w:val="00E36DCB"/>
    <w:rsid w:val="00E37614"/>
    <w:rsid w:val="00E43210"/>
    <w:rsid w:val="00E44F3D"/>
    <w:rsid w:val="00E455F3"/>
    <w:rsid w:val="00E5028A"/>
    <w:rsid w:val="00E55BA4"/>
    <w:rsid w:val="00E61270"/>
    <w:rsid w:val="00E6388A"/>
    <w:rsid w:val="00E6449B"/>
    <w:rsid w:val="00E644B5"/>
    <w:rsid w:val="00E64774"/>
    <w:rsid w:val="00E65E7A"/>
    <w:rsid w:val="00E7168E"/>
    <w:rsid w:val="00E73ADD"/>
    <w:rsid w:val="00E73E76"/>
    <w:rsid w:val="00E765FE"/>
    <w:rsid w:val="00E83287"/>
    <w:rsid w:val="00E85BA1"/>
    <w:rsid w:val="00E86199"/>
    <w:rsid w:val="00E87553"/>
    <w:rsid w:val="00E908CF"/>
    <w:rsid w:val="00E922D6"/>
    <w:rsid w:val="00E94C33"/>
    <w:rsid w:val="00E9735D"/>
    <w:rsid w:val="00E97409"/>
    <w:rsid w:val="00EA424E"/>
    <w:rsid w:val="00EA6B65"/>
    <w:rsid w:val="00EC0389"/>
    <w:rsid w:val="00EC096B"/>
    <w:rsid w:val="00EC7D0F"/>
    <w:rsid w:val="00ED62FB"/>
    <w:rsid w:val="00ED64AC"/>
    <w:rsid w:val="00ED7620"/>
    <w:rsid w:val="00EE0A15"/>
    <w:rsid w:val="00EE6171"/>
    <w:rsid w:val="00EF2A84"/>
    <w:rsid w:val="00EF6324"/>
    <w:rsid w:val="00EF6B7D"/>
    <w:rsid w:val="00EF7C8C"/>
    <w:rsid w:val="00F0066E"/>
    <w:rsid w:val="00F115CF"/>
    <w:rsid w:val="00F1379A"/>
    <w:rsid w:val="00F13E9C"/>
    <w:rsid w:val="00F168A3"/>
    <w:rsid w:val="00F173B0"/>
    <w:rsid w:val="00F22DB9"/>
    <w:rsid w:val="00F31371"/>
    <w:rsid w:val="00F315EF"/>
    <w:rsid w:val="00F31A3A"/>
    <w:rsid w:val="00F40BD9"/>
    <w:rsid w:val="00F40F82"/>
    <w:rsid w:val="00F44D53"/>
    <w:rsid w:val="00F466B9"/>
    <w:rsid w:val="00F6016A"/>
    <w:rsid w:val="00F6476C"/>
    <w:rsid w:val="00F662C2"/>
    <w:rsid w:val="00F663DE"/>
    <w:rsid w:val="00F76ABB"/>
    <w:rsid w:val="00F83B17"/>
    <w:rsid w:val="00F84330"/>
    <w:rsid w:val="00F85562"/>
    <w:rsid w:val="00F86B08"/>
    <w:rsid w:val="00F873B3"/>
    <w:rsid w:val="00F928E3"/>
    <w:rsid w:val="00F92F36"/>
    <w:rsid w:val="00FA1BC1"/>
    <w:rsid w:val="00FA1F1D"/>
    <w:rsid w:val="00FA309E"/>
    <w:rsid w:val="00FA3E00"/>
    <w:rsid w:val="00FB5219"/>
    <w:rsid w:val="00FD16A1"/>
    <w:rsid w:val="00FD6535"/>
    <w:rsid w:val="00FE039F"/>
    <w:rsid w:val="00FE651F"/>
    <w:rsid w:val="00FF2B82"/>
    <w:rsid w:val="00FF2D1D"/>
    <w:rsid w:val="00FF329A"/>
    <w:rsid w:val="00FF7F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C0FF1"/>
  <w15:chartTrackingRefBased/>
  <w15:docId w15:val="{7E7F7C57-0EDF-4841-9AC7-71DAEE6A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5CF"/>
    <w:pPr>
      <w:spacing w:line="256" w:lineRule="auto"/>
    </w:pPr>
    <w:rPr>
      <w:lang w:val="en-GB"/>
    </w:rPr>
  </w:style>
  <w:style w:type="paragraph" w:styleId="Heading1">
    <w:name w:val="heading 1"/>
    <w:basedOn w:val="Normal"/>
    <w:next w:val="Normal"/>
    <w:link w:val="Heading1Char"/>
    <w:uiPriority w:val="9"/>
    <w:qFormat/>
    <w:rsid w:val="00A17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F71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506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F115CF"/>
    <w:pPr>
      <w:spacing w:line="240" w:lineRule="auto"/>
    </w:pPr>
    <w:rPr>
      <w:sz w:val="20"/>
      <w:szCs w:val="20"/>
    </w:rPr>
  </w:style>
  <w:style w:type="character" w:customStyle="1" w:styleId="CommentTextChar">
    <w:name w:val="Comment Text Char"/>
    <w:basedOn w:val="DefaultParagraphFont"/>
    <w:link w:val="CommentText"/>
    <w:uiPriority w:val="99"/>
    <w:rsid w:val="00F115CF"/>
    <w:rPr>
      <w:sz w:val="20"/>
      <w:szCs w:val="20"/>
      <w:lang w:val="en-GB"/>
    </w:rPr>
  </w:style>
  <w:style w:type="character" w:styleId="CommentReference">
    <w:name w:val="annotation reference"/>
    <w:basedOn w:val="DefaultParagraphFont"/>
    <w:uiPriority w:val="99"/>
    <w:semiHidden/>
    <w:unhideWhenUsed/>
    <w:rsid w:val="00F115CF"/>
    <w:rPr>
      <w:sz w:val="16"/>
      <w:szCs w:val="16"/>
    </w:rPr>
  </w:style>
  <w:style w:type="paragraph" w:styleId="BalloonText">
    <w:name w:val="Balloon Text"/>
    <w:basedOn w:val="Normal"/>
    <w:link w:val="BalloonTextChar"/>
    <w:uiPriority w:val="99"/>
    <w:semiHidden/>
    <w:unhideWhenUsed/>
    <w:rsid w:val="00F11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5CF"/>
    <w:rPr>
      <w:rFonts w:ascii="Segoe UI" w:hAnsi="Segoe UI" w:cs="Segoe UI"/>
      <w:sz w:val="18"/>
      <w:szCs w:val="18"/>
      <w:lang w:val="en-GB"/>
    </w:rPr>
  </w:style>
  <w:style w:type="paragraph" w:styleId="ListParagraph">
    <w:name w:val="List Paragraph"/>
    <w:basedOn w:val="Normal"/>
    <w:uiPriority w:val="34"/>
    <w:qFormat/>
    <w:rsid w:val="00E43210"/>
    <w:pPr>
      <w:ind w:left="720"/>
      <w:contextualSpacing/>
    </w:pPr>
  </w:style>
  <w:style w:type="character" w:styleId="Emphasis">
    <w:name w:val="Emphasis"/>
    <w:basedOn w:val="DefaultParagraphFont"/>
    <w:uiPriority w:val="20"/>
    <w:qFormat/>
    <w:rsid w:val="00776AF6"/>
    <w:rPr>
      <w:i/>
      <w:iCs/>
    </w:rPr>
  </w:style>
  <w:style w:type="paragraph" w:styleId="CommentSubject">
    <w:name w:val="annotation subject"/>
    <w:basedOn w:val="CommentText"/>
    <w:next w:val="CommentText"/>
    <w:link w:val="CommentSubjectChar"/>
    <w:uiPriority w:val="99"/>
    <w:semiHidden/>
    <w:unhideWhenUsed/>
    <w:rsid w:val="00F662C2"/>
    <w:rPr>
      <w:b/>
      <w:bCs/>
    </w:rPr>
  </w:style>
  <w:style w:type="character" w:customStyle="1" w:styleId="CommentSubjectChar">
    <w:name w:val="Comment Subject Char"/>
    <w:basedOn w:val="CommentTextChar"/>
    <w:link w:val="CommentSubject"/>
    <w:uiPriority w:val="99"/>
    <w:semiHidden/>
    <w:rsid w:val="00F662C2"/>
    <w:rPr>
      <w:b/>
      <w:bCs/>
      <w:sz w:val="20"/>
      <w:szCs w:val="20"/>
      <w:lang w:val="en-GB"/>
    </w:rPr>
  </w:style>
  <w:style w:type="paragraph" w:styleId="NormalWeb">
    <w:name w:val="Normal (Web)"/>
    <w:basedOn w:val="Normal"/>
    <w:uiPriority w:val="99"/>
    <w:unhideWhenUsed/>
    <w:rsid w:val="0003407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8643B"/>
    <w:rPr>
      <w:color w:val="0563C1" w:themeColor="hyperlink"/>
      <w:u w:val="single"/>
    </w:rPr>
  </w:style>
  <w:style w:type="paragraph" w:customStyle="1" w:styleId="p">
    <w:name w:val="p"/>
    <w:basedOn w:val="Normal"/>
    <w:rsid w:val="008506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850686"/>
    <w:rPr>
      <w:rFonts w:asciiTheme="majorHAnsi" w:eastAsiaTheme="majorEastAsia" w:hAnsiTheme="majorHAnsi" w:cstheme="majorBidi"/>
      <w:color w:val="1F3763" w:themeColor="accent1" w:themeShade="7F"/>
      <w:sz w:val="24"/>
      <w:szCs w:val="24"/>
      <w:lang w:val="en-GB"/>
    </w:rPr>
  </w:style>
  <w:style w:type="character" w:customStyle="1" w:styleId="Heading2Char">
    <w:name w:val="Heading 2 Char"/>
    <w:basedOn w:val="DefaultParagraphFont"/>
    <w:link w:val="Heading2"/>
    <w:uiPriority w:val="9"/>
    <w:semiHidden/>
    <w:rsid w:val="002F71EA"/>
    <w:rPr>
      <w:rFonts w:asciiTheme="majorHAnsi" w:eastAsiaTheme="majorEastAsia" w:hAnsiTheme="majorHAnsi" w:cstheme="majorBidi"/>
      <w:color w:val="2F5496" w:themeColor="accent1" w:themeShade="BF"/>
      <w:sz w:val="26"/>
      <w:szCs w:val="26"/>
      <w:lang w:val="en-GB"/>
    </w:rPr>
  </w:style>
  <w:style w:type="character" w:customStyle="1" w:styleId="UnresolvedMention1">
    <w:name w:val="Unresolved Mention1"/>
    <w:basedOn w:val="DefaultParagraphFont"/>
    <w:uiPriority w:val="99"/>
    <w:semiHidden/>
    <w:unhideWhenUsed/>
    <w:rsid w:val="00227573"/>
    <w:rPr>
      <w:color w:val="605E5C"/>
      <w:shd w:val="clear" w:color="auto" w:fill="E1DFDD"/>
    </w:rPr>
  </w:style>
  <w:style w:type="paragraph" w:customStyle="1" w:styleId="contact-details">
    <w:name w:val="contact-details"/>
    <w:basedOn w:val="Normal"/>
    <w:rsid w:val="002275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none">
    <w:name w:val="d-none"/>
    <w:basedOn w:val="DefaultParagraphFont"/>
    <w:rsid w:val="00227573"/>
  </w:style>
  <w:style w:type="character" w:styleId="FollowedHyperlink">
    <w:name w:val="FollowedHyperlink"/>
    <w:basedOn w:val="DefaultParagraphFont"/>
    <w:uiPriority w:val="99"/>
    <w:semiHidden/>
    <w:unhideWhenUsed/>
    <w:rsid w:val="00297467"/>
    <w:rPr>
      <w:color w:val="954F72" w:themeColor="followedHyperlink"/>
      <w:u w:val="single"/>
    </w:rPr>
  </w:style>
  <w:style w:type="paragraph" w:styleId="Header">
    <w:name w:val="header"/>
    <w:basedOn w:val="Normal"/>
    <w:link w:val="HeaderChar"/>
    <w:uiPriority w:val="99"/>
    <w:unhideWhenUsed/>
    <w:rsid w:val="00AD2C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2C50"/>
    <w:rPr>
      <w:lang w:val="en-GB"/>
    </w:rPr>
  </w:style>
  <w:style w:type="paragraph" w:styleId="Footer">
    <w:name w:val="footer"/>
    <w:basedOn w:val="Normal"/>
    <w:link w:val="FooterChar"/>
    <w:uiPriority w:val="99"/>
    <w:unhideWhenUsed/>
    <w:rsid w:val="00AD2C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2C50"/>
    <w:rPr>
      <w:lang w:val="en-GB"/>
    </w:rPr>
  </w:style>
  <w:style w:type="character" w:customStyle="1" w:styleId="element-citation">
    <w:name w:val="element-citation"/>
    <w:basedOn w:val="DefaultParagraphFont"/>
    <w:rsid w:val="00533A1F"/>
  </w:style>
  <w:style w:type="character" w:customStyle="1" w:styleId="ref-journal">
    <w:name w:val="ref-journal"/>
    <w:basedOn w:val="DefaultParagraphFont"/>
    <w:rsid w:val="00533A1F"/>
  </w:style>
  <w:style w:type="character" w:customStyle="1" w:styleId="ref-vol">
    <w:name w:val="ref-vol"/>
    <w:basedOn w:val="DefaultParagraphFont"/>
    <w:rsid w:val="00533A1F"/>
  </w:style>
  <w:style w:type="character" w:customStyle="1" w:styleId="nowrap">
    <w:name w:val="nowrap"/>
    <w:basedOn w:val="DefaultParagraphFont"/>
    <w:rsid w:val="00533A1F"/>
  </w:style>
  <w:style w:type="character" w:customStyle="1" w:styleId="Heading1Char">
    <w:name w:val="Heading 1 Char"/>
    <w:basedOn w:val="DefaultParagraphFont"/>
    <w:link w:val="Heading1"/>
    <w:uiPriority w:val="9"/>
    <w:rsid w:val="00A176DE"/>
    <w:rPr>
      <w:rFonts w:asciiTheme="majorHAnsi" w:eastAsiaTheme="majorEastAsia" w:hAnsiTheme="majorHAnsi" w:cstheme="majorBidi"/>
      <w:color w:val="2F5496" w:themeColor="accent1" w:themeShade="BF"/>
      <w:sz w:val="32"/>
      <w:szCs w:val="32"/>
      <w:lang w:val="en-GB"/>
    </w:rPr>
  </w:style>
  <w:style w:type="character" w:customStyle="1" w:styleId="authors-list-item">
    <w:name w:val="authors-list-item"/>
    <w:basedOn w:val="DefaultParagraphFont"/>
    <w:rsid w:val="00A176DE"/>
  </w:style>
  <w:style w:type="character" w:customStyle="1" w:styleId="author-sup-separator">
    <w:name w:val="author-sup-separator"/>
    <w:basedOn w:val="DefaultParagraphFont"/>
    <w:rsid w:val="00A176DE"/>
  </w:style>
  <w:style w:type="character" w:customStyle="1" w:styleId="comma">
    <w:name w:val="comma"/>
    <w:basedOn w:val="DefaultParagraphFont"/>
    <w:rsid w:val="00A176DE"/>
  </w:style>
  <w:style w:type="character" w:customStyle="1" w:styleId="Title1">
    <w:name w:val="Title1"/>
    <w:basedOn w:val="DefaultParagraphFont"/>
    <w:rsid w:val="00A176DE"/>
  </w:style>
  <w:style w:type="character" w:customStyle="1" w:styleId="identifier">
    <w:name w:val="identifier"/>
    <w:basedOn w:val="DefaultParagraphFont"/>
    <w:rsid w:val="00A176DE"/>
  </w:style>
  <w:style w:type="character" w:customStyle="1" w:styleId="id-label">
    <w:name w:val="id-label"/>
    <w:basedOn w:val="DefaultParagraphFont"/>
    <w:rsid w:val="00A176DE"/>
  </w:style>
  <w:style w:type="character" w:styleId="Strong">
    <w:name w:val="Strong"/>
    <w:basedOn w:val="DefaultParagraphFont"/>
    <w:uiPriority w:val="22"/>
    <w:qFormat/>
    <w:rsid w:val="00A176DE"/>
    <w:rPr>
      <w:b/>
      <w:bCs/>
    </w:rPr>
  </w:style>
  <w:style w:type="character" w:customStyle="1" w:styleId="embargo-date-block">
    <w:name w:val="embargo-date-block"/>
    <w:basedOn w:val="DefaultParagraphFont"/>
    <w:rsid w:val="00D8362B"/>
  </w:style>
  <w:style w:type="character" w:customStyle="1" w:styleId="docsum-authors">
    <w:name w:val="docsum-authors"/>
    <w:basedOn w:val="DefaultParagraphFont"/>
    <w:rsid w:val="004609AC"/>
  </w:style>
  <w:style w:type="character" w:customStyle="1" w:styleId="period">
    <w:name w:val="period"/>
    <w:basedOn w:val="DefaultParagraphFont"/>
    <w:rsid w:val="005B3FF0"/>
  </w:style>
  <w:style w:type="character" w:customStyle="1" w:styleId="cit">
    <w:name w:val="cit"/>
    <w:basedOn w:val="DefaultParagraphFont"/>
    <w:rsid w:val="005B3FF0"/>
  </w:style>
  <w:style w:type="character" w:customStyle="1" w:styleId="citation-doi">
    <w:name w:val="citation-doi"/>
    <w:basedOn w:val="DefaultParagraphFont"/>
    <w:rsid w:val="005B3FF0"/>
  </w:style>
  <w:style w:type="character" w:customStyle="1" w:styleId="secondary-date">
    <w:name w:val="secondary-date"/>
    <w:basedOn w:val="DefaultParagraphFont"/>
    <w:rsid w:val="005B3FF0"/>
  </w:style>
  <w:style w:type="paragraph" w:customStyle="1" w:styleId="EndNoteBibliographyTitle">
    <w:name w:val="EndNote Bibliography Title"/>
    <w:basedOn w:val="Normal"/>
    <w:link w:val="EndNoteBibliographyTitleZchn"/>
    <w:rsid w:val="0078000C"/>
    <w:pPr>
      <w:spacing w:after="0"/>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sid w:val="0078000C"/>
    <w:rPr>
      <w:rFonts w:ascii="Calibri" w:hAnsi="Calibri" w:cs="Calibri"/>
      <w:noProof/>
      <w:lang w:val="en-GB"/>
    </w:rPr>
  </w:style>
  <w:style w:type="paragraph" w:customStyle="1" w:styleId="EndNoteBibliography">
    <w:name w:val="EndNote Bibliography"/>
    <w:basedOn w:val="Normal"/>
    <w:link w:val="EndNoteBibliographyZchn"/>
    <w:rsid w:val="0078000C"/>
    <w:pPr>
      <w:spacing w:line="240" w:lineRule="auto"/>
    </w:pPr>
    <w:rPr>
      <w:rFonts w:ascii="Calibri" w:hAnsi="Calibri" w:cs="Calibri"/>
      <w:noProof/>
    </w:rPr>
  </w:style>
  <w:style w:type="character" w:customStyle="1" w:styleId="EndNoteBibliographyZchn">
    <w:name w:val="EndNote Bibliography Zchn"/>
    <w:basedOn w:val="DefaultParagraphFont"/>
    <w:link w:val="EndNoteBibliography"/>
    <w:rsid w:val="0078000C"/>
    <w:rPr>
      <w:rFonts w:ascii="Calibri" w:hAnsi="Calibri" w:cs="Calibri"/>
      <w:noProof/>
      <w:lang w:val="en-GB"/>
    </w:rPr>
  </w:style>
  <w:style w:type="character" w:customStyle="1" w:styleId="docsum-journal-citation">
    <w:name w:val="docsum-journal-citation"/>
    <w:basedOn w:val="DefaultParagraphFont"/>
    <w:rsid w:val="00BE789F"/>
  </w:style>
  <w:style w:type="character" w:customStyle="1" w:styleId="citation-part">
    <w:name w:val="citation-part"/>
    <w:basedOn w:val="DefaultParagraphFont"/>
    <w:rsid w:val="00BE789F"/>
  </w:style>
  <w:style w:type="character" w:customStyle="1" w:styleId="docsum-pmid">
    <w:name w:val="docsum-pmid"/>
    <w:basedOn w:val="DefaultParagraphFont"/>
    <w:rsid w:val="00BE789F"/>
  </w:style>
  <w:style w:type="paragraph" w:styleId="Revision">
    <w:name w:val="Revision"/>
    <w:hidden/>
    <w:uiPriority w:val="99"/>
    <w:semiHidden/>
    <w:rsid w:val="00EE6171"/>
    <w:pPr>
      <w:spacing w:after="0" w:line="240" w:lineRule="auto"/>
    </w:pPr>
    <w:rPr>
      <w:lang w:val="en-GB"/>
    </w:rPr>
  </w:style>
  <w:style w:type="character" w:customStyle="1" w:styleId="q4iawc">
    <w:name w:val="q4iawc"/>
    <w:basedOn w:val="DefaultParagraphFont"/>
    <w:rsid w:val="0077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31910">
      <w:bodyDiv w:val="1"/>
      <w:marLeft w:val="0"/>
      <w:marRight w:val="0"/>
      <w:marTop w:val="0"/>
      <w:marBottom w:val="0"/>
      <w:divBdr>
        <w:top w:val="none" w:sz="0" w:space="0" w:color="auto"/>
        <w:left w:val="none" w:sz="0" w:space="0" w:color="auto"/>
        <w:bottom w:val="none" w:sz="0" w:space="0" w:color="auto"/>
        <w:right w:val="none" w:sz="0" w:space="0" w:color="auto"/>
      </w:divBdr>
    </w:div>
    <w:div w:id="111091717">
      <w:bodyDiv w:val="1"/>
      <w:marLeft w:val="0"/>
      <w:marRight w:val="0"/>
      <w:marTop w:val="0"/>
      <w:marBottom w:val="0"/>
      <w:divBdr>
        <w:top w:val="none" w:sz="0" w:space="0" w:color="auto"/>
        <w:left w:val="none" w:sz="0" w:space="0" w:color="auto"/>
        <w:bottom w:val="none" w:sz="0" w:space="0" w:color="auto"/>
        <w:right w:val="none" w:sz="0" w:space="0" w:color="auto"/>
      </w:divBdr>
    </w:div>
    <w:div w:id="154495826">
      <w:bodyDiv w:val="1"/>
      <w:marLeft w:val="0"/>
      <w:marRight w:val="0"/>
      <w:marTop w:val="0"/>
      <w:marBottom w:val="0"/>
      <w:divBdr>
        <w:top w:val="none" w:sz="0" w:space="0" w:color="auto"/>
        <w:left w:val="none" w:sz="0" w:space="0" w:color="auto"/>
        <w:bottom w:val="none" w:sz="0" w:space="0" w:color="auto"/>
        <w:right w:val="none" w:sz="0" w:space="0" w:color="auto"/>
      </w:divBdr>
      <w:divsChild>
        <w:div w:id="1496218539">
          <w:marLeft w:val="0"/>
          <w:marRight w:val="0"/>
          <w:marTop w:val="0"/>
          <w:marBottom w:val="0"/>
          <w:divBdr>
            <w:top w:val="none" w:sz="0" w:space="0" w:color="auto"/>
            <w:left w:val="none" w:sz="0" w:space="0" w:color="auto"/>
            <w:bottom w:val="none" w:sz="0" w:space="0" w:color="auto"/>
            <w:right w:val="none" w:sz="0" w:space="0" w:color="auto"/>
          </w:divBdr>
        </w:div>
      </w:divsChild>
    </w:div>
    <w:div w:id="165556690">
      <w:bodyDiv w:val="1"/>
      <w:marLeft w:val="0"/>
      <w:marRight w:val="0"/>
      <w:marTop w:val="0"/>
      <w:marBottom w:val="0"/>
      <w:divBdr>
        <w:top w:val="none" w:sz="0" w:space="0" w:color="auto"/>
        <w:left w:val="none" w:sz="0" w:space="0" w:color="auto"/>
        <w:bottom w:val="none" w:sz="0" w:space="0" w:color="auto"/>
        <w:right w:val="none" w:sz="0" w:space="0" w:color="auto"/>
      </w:divBdr>
      <w:divsChild>
        <w:div w:id="855382016">
          <w:marLeft w:val="0"/>
          <w:marRight w:val="0"/>
          <w:marTop w:val="0"/>
          <w:marBottom w:val="0"/>
          <w:divBdr>
            <w:top w:val="none" w:sz="0" w:space="0" w:color="auto"/>
            <w:left w:val="none" w:sz="0" w:space="0" w:color="auto"/>
            <w:bottom w:val="none" w:sz="0" w:space="0" w:color="auto"/>
            <w:right w:val="none" w:sz="0" w:space="0" w:color="auto"/>
          </w:divBdr>
          <w:divsChild>
            <w:div w:id="1851337645">
              <w:marLeft w:val="0"/>
              <w:marRight w:val="0"/>
              <w:marTop w:val="0"/>
              <w:marBottom w:val="0"/>
              <w:divBdr>
                <w:top w:val="none" w:sz="0" w:space="0" w:color="auto"/>
                <w:left w:val="none" w:sz="0" w:space="0" w:color="auto"/>
                <w:bottom w:val="none" w:sz="0" w:space="0" w:color="auto"/>
                <w:right w:val="none" w:sz="0" w:space="0" w:color="auto"/>
              </w:divBdr>
              <w:divsChild>
                <w:div w:id="1856655078">
                  <w:marLeft w:val="0"/>
                  <w:marRight w:val="0"/>
                  <w:marTop w:val="0"/>
                  <w:marBottom w:val="0"/>
                  <w:divBdr>
                    <w:top w:val="none" w:sz="0" w:space="0" w:color="auto"/>
                    <w:left w:val="none" w:sz="0" w:space="0" w:color="auto"/>
                    <w:bottom w:val="none" w:sz="0" w:space="0" w:color="auto"/>
                    <w:right w:val="none" w:sz="0" w:space="0" w:color="auto"/>
                  </w:divBdr>
                  <w:divsChild>
                    <w:div w:id="9974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18921">
              <w:marLeft w:val="0"/>
              <w:marRight w:val="0"/>
              <w:marTop w:val="0"/>
              <w:marBottom w:val="0"/>
              <w:divBdr>
                <w:top w:val="none" w:sz="0" w:space="0" w:color="auto"/>
                <w:left w:val="none" w:sz="0" w:space="0" w:color="auto"/>
                <w:bottom w:val="none" w:sz="0" w:space="0" w:color="auto"/>
                <w:right w:val="none" w:sz="0" w:space="0" w:color="auto"/>
              </w:divBdr>
            </w:div>
          </w:divsChild>
        </w:div>
        <w:div w:id="997927946">
          <w:marLeft w:val="0"/>
          <w:marRight w:val="0"/>
          <w:marTop w:val="0"/>
          <w:marBottom w:val="0"/>
          <w:divBdr>
            <w:top w:val="none" w:sz="0" w:space="0" w:color="auto"/>
            <w:left w:val="none" w:sz="0" w:space="0" w:color="auto"/>
            <w:bottom w:val="none" w:sz="0" w:space="0" w:color="auto"/>
            <w:right w:val="none" w:sz="0" w:space="0" w:color="auto"/>
          </w:divBdr>
          <w:divsChild>
            <w:div w:id="883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8809">
      <w:bodyDiv w:val="1"/>
      <w:marLeft w:val="0"/>
      <w:marRight w:val="0"/>
      <w:marTop w:val="0"/>
      <w:marBottom w:val="0"/>
      <w:divBdr>
        <w:top w:val="none" w:sz="0" w:space="0" w:color="auto"/>
        <w:left w:val="none" w:sz="0" w:space="0" w:color="auto"/>
        <w:bottom w:val="none" w:sz="0" w:space="0" w:color="auto"/>
        <w:right w:val="none" w:sz="0" w:space="0" w:color="auto"/>
      </w:divBdr>
      <w:divsChild>
        <w:div w:id="1487430061">
          <w:marLeft w:val="0"/>
          <w:marRight w:val="0"/>
          <w:marTop w:val="0"/>
          <w:marBottom w:val="0"/>
          <w:divBdr>
            <w:top w:val="none" w:sz="0" w:space="0" w:color="auto"/>
            <w:left w:val="none" w:sz="0" w:space="0" w:color="auto"/>
            <w:bottom w:val="none" w:sz="0" w:space="0" w:color="auto"/>
            <w:right w:val="none" w:sz="0" w:space="0" w:color="auto"/>
          </w:divBdr>
          <w:divsChild>
            <w:div w:id="617637998">
              <w:marLeft w:val="0"/>
              <w:marRight w:val="0"/>
              <w:marTop w:val="0"/>
              <w:marBottom w:val="0"/>
              <w:divBdr>
                <w:top w:val="none" w:sz="0" w:space="0" w:color="auto"/>
                <w:left w:val="none" w:sz="0" w:space="0" w:color="auto"/>
                <w:bottom w:val="none" w:sz="0" w:space="0" w:color="auto"/>
                <w:right w:val="none" w:sz="0" w:space="0" w:color="auto"/>
              </w:divBdr>
              <w:divsChild>
                <w:div w:id="411972436">
                  <w:marLeft w:val="0"/>
                  <w:marRight w:val="0"/>
                  <w:marTop w:val="0"/>
                  <w:marBottom w:val="0"/>
                  <w:divBdr>
                    <w:top w:val="none" w:sz="0" w:space="0" w:color="auto"/>
                    <w:left w:val="none" w:sz="0" w:space="0" w:color="auto"/>
                    <w:bottom w:val="none" w:sz="0" w:space="0" w:color="auto"/>
                    <w:right w:val="none" w:sz="0" w:space="0" w:color="auto"/>
                  </w:divBdr>
                  <w:divsChild>
                    <w:div w:id="9699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8450">
              <w:marLeft w:val="0"/>
              <w:marRight w:val="0"/>
              <w:marTop w:val="0"/>
              <w:marBottom w:val="0"/>
              <w:divBdr>
                <w:top w:val="none" w:sz="0" w:space="0" w:color="auto"/>
                <w:left w:val="none" w:sz="0" w:space="0" w:color="auto"/>
                <w:bottom w:val="none" w:sz="0" w:space="0" w:color="auto"/>
                <w:right w:val="none" w:sz="0" w:space="0" w:color="auto"/>
              </w:divBdr>
            </w:div>
          </w:divsChild>
        </w:div>
        <w:div w:id="136656533">
          <w:marLeft w:val="0"/>
          <w:marRight w:val="0"/>
          <w:marTop w:val="0"/>
          <w:marBottom w:val="0"/>
          <w:divBdr>
            <w:top w:val="none" w:sz="0" w:space="0" w:color="auto"/>
            <w:left w:val="none" w:sz="0" w:space="0" w:color="auto"/>
            <w:bottom w:val="none" w:sz="0" w:space="0" w:color="auto"/>
            <w:right w:val="none" w:sz="0" w:space="0" w:color="auto"/>
          </w:divBdr>
          <w:divsChild>
            <w:div w:id="10535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7118">
      <w:bodyDiv w:val="1"/>
      <w:marLeft w:val="0"/>
      <w:marRight w:val="0"/>
      <w:marTop w:val="0"/>
      <w:marBottom w:val="0"/>
      <w:divBdr>
        <w:top w:val="none" w:sz="0" w:space="0" w:color="auto"/>
        <w:left w:val="none" w:sz="0" w:space="0" w:color="auto"/>
        <w:bottom w:val="none" w:sz="0" w:space="0" w:color="auto"/>
        <w:right w:val="none" w:sz="0" w:space="0" w:color="auto"/>
      </w:divBdr>
    </w:div>
    <w:div w:id="373232501">
      <w:bodyDiv w:val="1"/>
      <w:marLeft w:val="0"/>
      <w:marRight w:val="0"/>
      <w:marTop w:val="0"/>
      <w:marBottom w:val="0"/>
      <w:divBdr>
        <w:top w:val="none" w:sz="0" w:space="0" w:color="auto"/>
        <w:left w:val="none" w:sz="0" w:space="0" w:color="auto"/>
        <w:bottom w:val="none" w:sz="0" w:space="0" w:color="auto"/>
        <w:right w:val="none" w:sz="0" w:space="0" w:color="auto"/>
      </w:divBdr>
    </w:div>
    <w:div w:id="415371988">
      <w:bodyDiv w:val="1"/>
      <w:marLeft w:val="0"/>
      <w:marRight w:val="0"/>
      <w:marTop w:val="0"/>
      <w:marBottom w:val="0"/>
      <w:divBdr>
        <w:top w:val="none" w:sz="0" w:space="0" w:color="auto"/>
        <w:left w:val="none" w:sz="0" w:space="0" w:color="auto"/>
        <w:bottom w:val="none" w:sz="0" w:space="0" w:color="auto"/>
        <w:right w:val="none" w:sz="0" w:space="0" w:color="auto"/>
      </w:divBdr>
      <w:divsChild>
        <w:div w:id="229729296">
          <w:marLeft w:val="0"/>
          <w:marRight w:val="0"/>
          <w:marTop w:val="200"/>
          <w:marBottom w:val="200"/>
          <w:divBdr>
            <w:top w:val="none" w:sz="0" w:space="0" w:color="auto"/>
            <w:left w:val="none" w:sz="0" w:space="0" w:color="auto"/>
            <w:bottom w:val="none" w:sz="0" w:space="0" w:color="auto"/>
            <w:right w:val="none" w:sz="0" w:space="0" w:color="auto"/>
          </w:divBdr>
        </w:div>
        <w:div w:id="1672249033">
          <w:marLeft w:val="0"/>
          <w:marRight w:val="0"/>
          <w:marTop w:val="200"/>
          <w:marBottom w:val="200"/>
          <w:divBdr>
            <w:top w:val="none" w:sz="0" w:space="0" w:color="auto"/>
            <w:left w:val="none" w:sz="0" w:space="0" w:color="auto"/>
            <w:bottom w:val="none" w:sz="0" w:space="0" w:color="auto"/>
            <w:right w:val="none" w:sz="0" w:space="0" w:color="auto"/>
          </w:divBdr>
        </w:div>
      </w:divsChild>
    </w:div>
    <w:div w:id="504827936">
      <w:bodyDiv w:val="1"/>
      <w:marLeft w:val="0"/>
      <w:marRight w:val="0"/>
      <w:marTop w:val="0"/>
      <w:marBottom w:val="0"/>
      <w:divBdr>
        <w:top w:val="none" w:sz="0" w:space="0" w:color="auto"/>
        <w:left w:val="none" w:sz="0" w:space="0" w:color="auto"/>
        <w:bottom w:val="none" w:sz="0" w:space="0" w:color="auto"/>
        <w:right w:val="none" w:sz="0" w:space="0" w:color="auto"/>
      </w:divBdr>
    </w:div>
    <w:div w:id="765805675">
      <w:bodyDiv w:val="1"/>
      <w:marLeft w:val="0"/>
      <w:marRight w:val="0"/>
      <w:marTop w:val="0"/>
      <w:marBottom w:val="0"/>
      <w:divBdr>
        <w:top w:val="none" w:sz="0" w:space="0" w:color="auto"/>
        <w:left w:val="none" w:sz="0" w:space="0" w:color="auto"/>
        <w:bottom w:val="none" w:sz="0" w:space="0" w:color="auto"/>
        <w:right w:val="none" w:sz="0" w:space="0" w:color="auto"/>
      </w:divBdr>
    </w:div>
    <w:div w:id="923680877">
      <w:bodyDiv w:val="1"/>
      <w:marLeft w:val="0"/>
      <w:marRight w:val="0"/>
      <w:marTop w:val="0"/>
      <w:marBottom w:val="0"/>
      <w:divBdr>
        <w:top w:val="none" w:sz="0" w:space="0" w:color="auto"/>
        <w:left w:val="none" w:sz="0" w:space="0" w:color="auto"/>
        <w:bottom w:val="none" w:sz="0" w:space="0" w:color="auto"/>
        <w:right w:val="none" w:sz="0" w:space="0" w:color="auto"/>
      </w:divBdr>
      <w:divsChild>
        <w:div w:id="2052723568">
          <w:marLeft w:val="0"/>
          <w:marRight w:val="0"/>
          <w:marTop w:val="0"/>
          <w:marBottom w:val="0"/>
          <w:divBdr>
            <w:top w:val="none" w:sz="0" w:space="0" w:color="auto"/>
            <w:left w:val="none" w:sz="0" w:space="0" w:color="auto"/>
            <w:bottom w:val="none" w:sz="0" w:space="0" w:color="auto"/>
            <w:right w:val="none" w:sz="0" w:space="0" w:color="auto"/>
          </w:divBdr>
        </w:div>
      </w:divsChild>
    </w:div>
    <w:div w:id="1099176000">
      <w:bodyDiv w:val="1"/>
      <w:marLeft w:val="0"/>
      <w:marRight w:val="0"/>
      <w:marTop w:val="0"/>
      <w:marBottom w:val="0"/>
      <w:divBdr>
        <w:top w:val="none" w:sz="0" w:space="0" w:color="auto"/>
        <w:left w:val="none" w:sz="0" w:space="0" w:color="auto"/>
        <w:bottom w:val="none" w:sz="0" w:space="0" w:color="auto"/>
        <w:right w:val="none" w:sz="0" w:space="0" w:color="auto"/>
      </w:divBdr>
      <w:divsChild>
        <w:div w:id="3749297">
          <w:marLeft w:val="0"/>
          <w:marRight w:val="0"/>
          <w:marTop w:val="0"/>
          <w:marBottom w:val="0"/>
          <w:divBdr>
            <w:top w:val="none" w:sz="0" w:space="0" w:color="auto"/>
            <w:left w:val="none" w:sz="0" w:space="0" w:color="auto"/>
            <w:bottom w:val="none" w:sz="0" w:space="0" w:color="auto"/>
            <w:right w:val="none" w:sz="0" w:space="0" w:color="auto"/>
          </w:divBdr>
          <w:divsChild>
            <w:div w:id="1823545550">
              <w:marLeft w:val="0"/>
              <w:marRight w:val="0"/>
              <w:marTop w:val="0"/>
              <w:marBottom w:val="0"/>
              <w:divBdr>
                <w:top w:val="none" w:sz="0" w:space="0" w:color="auto"/>
                <w:left w:val="none" w:sz="0" w:space="0" w:color="auto"/>
                <w:bottom w:val="none" w:sz="0" w:space="0" w:color="auto"/>
                <w:right w:val="none" w:sz="0" w:space="0" w:color="auto"/>
              </w:divBdr>
              <w:divsChild>
                <w:div w:id="936518855">
                  <w:marLeft w:val="0"/>
                  <w:marRight w:val="0"/>
                  <w:marTop w:val="0"/>
                  <w:marBottom w:val="0"/>
                  <w:divBdr>
                    <w:top w:val="none" w:sz="0" w:space="0" w:color="auto"/>
                    <w:left w:val="none" w:sz="0" w:space="0" w:color="auto"/>
                    <w:bottom w:val="none" w:sz="0" w:space="0" w:color="auto"/>
                    <w:right w:val="none" w:sz="0" w:space="0" w:color="auto"/>
                  </w:divBdr>
                  <w:divsChild>
                    <w:div w:id="207010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57064">
              <w:marLeft w:val="0"/>
              <w:marRight w:val="0"/>
              <w:marTop w:val="0"/>
              <w:marBottom w:val="0"/>
              <w:divBdr>
                <w:top w:val="none" w:sz="0" w:space="0" w:color="auto"/>
                <w:left w:val="none" w:sz="0" w:space="0" w:color="auto"/>
                <w:bottom w:val="none" w:sz="0" w:space="0" w:color="auto"/>
                <w:right w:val="none" w:sz="0" w:space="0" w:color="auto"/>
              </w:divBdr>
            </w:div>
          </w:divsChild>
        </w:div>
        <w:div w:id="148833479">
          <w:marLeft w:val="0"/>
          <w:marRight w:val="0"/>
          <w:marTop w:val="0"/>
          <w:marBottom w:val="0"/>
          <w:divBdr>
            <w:top w:val="none" w:sz="0" w:space="0" w:color="auto"/>
            <w:left w:val="none" w:sz="0" w:space="0" w:color="auto"/>
            <w:bottom w:val="none" w:sz="0" w:space="0" w:color="auto"/>
            <w:right w:val="none" w:sz="0" w:space="0" w:color="auto"/>
          </w:divBdr>
          <w:divsChild>
            <w:div w:id="14531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7832">
      <w:bodyDiv w:val="1"/>
      <w:marLeft w:val="0"/>
      <w:marRight w:val="0"/>
      <w:marTop w:val="0"/>
      <w:marBottom w:val="0"/>
      <w:divBdr>
        <w:top w:val="none" w:sz="0" w:space="0" w:color="auto"/>
        <w:left w:val="none" w:sz="0" w:space="0" w:color="auto"/>
        <w:bottom w:val="none" w:sz="0" w:space="0" w:color="auto"/>
        <w:right w:val="none" w:sz="0" w:space="0" w:color="auto"/>
      </w:divBdr>
    </w:div>
    <w:div w:id="1273170288">
      <w:bodyDiv w:val="1"/>
      <w:marLeft w:val="0"/>
      <w:marRight w:val="0"/>
      <w:marTop w:val="0"/>
      <w:marBottom w:val="0"/>
      <w:divBdr>
        <w:top w:val="none" w:sz="0" w:space="0" w:color="auto"/>
        <w:left w:val="none" w:sz="0" w:space="0" w:color="auto"/>
        <w:bottom w:val="none" w:sz="0" w:space="0" w:color="auto"/>
        <w:right w:val="none" w:sz="0" w:space="0" w:color="auto"/>
      </w:divBdr>
      <w:divsChild>
        <w:div w:id="1343707242">
          <w:marLeft w:val="0"/>
          <w:marRight w:val="0"/>
          <w:marTop w:val="200"/>
          <w:marBottom w:val="200"/>
          <w:divBdr>
            <w:top w:val="none" w:sz="0" w:space="0" w:color="auto"/>
            <w:left w:val="none" w:sz="0" w:space="0" w:color="auto"/>
            <w:bottom w:val="none" w:sz="0" w:space="0" w:color="auto"/>
            <w:right w:val="none" w:sz="0" w:space="0" w:color="auto"/>
          </w:divBdr>
        </w:div>
        <w:div w:id="1865941718">
          <w:marLeft w:val="0"/>
          <w:marRight w:val="0"/>
          <w:marTop w:val="200"/>
          <w:marBottom w:val="200"/>
          <w:divBdr>
            <w:top w:val="none" w:sz="0" w:space="0" w:color="auto"/>
            <w:left w:val="none" w:sz="0" w:space="0" w:color="auto"/>
            <w:bottom w:val="none" w:sz="0" w:space="0" w:color="auto"/>
            <w:right w:val="none" w:sz="0" w:space="0" w:color="auto"/>
          </w:divBdr>
        </w:div>
        <w:div w:id="1466389745">
          <w:marLeft w:val="0"/>
          <w:marRight w:val="0"/>
          <w:marTop w:val="200"/>
          <w:marBottom w:val="200"/>
          <w:divBdr>
            <w:top w:val="none" w:sz="0" w:space="0" w:color="auto"/>
            <w:left w:val="none" w:sz="0" w:space="0" w:color="auto"/>
            <w:bottom w:val="none" w:sz="0" w:space="0" w:color="auto"/>
            <w:right w:val="none" w:sz="0" w:space="0" w:color="auto"/>
          </w:divBdr>
        </w:div>
      </w:divsChild>
    </w:div>
    <w:div w:id="1313369561">
      <w:bodyDiv w:val="1"/>
      <w:marLeft w:val="0"/>
      <w:marRight w:val="0"/>
      <w:marTop w:val="0"/>
      <w:marBottom w:val="0"/>
      <w:divBdr>
        <w:top w:val="none" w:sz="0" w:space="0" w:color="auto"/>
        <w:left w:val="none" w:sz="0" w:space="0" w:color="auto"/>
        <w:bottom w:val="none" w:sz="0" w:space="0" w:color="auto"/>
        <w:right w:val="none" w:sz="0" w:space="0" w:color="auto"/>
      </w:divBdr>
    </w:div>
    <w:div w:id="1341397585">
      <w:bodyDiv w:val="1"/>
      <w:marLeft w:val="0"/>
      <w:marRight w:val="0"/>
      <w:marTop w:val="0"/>
      <w:marBottom w:val="0"/>
      <w:divBdr>
        <w:top w:val="none" w:sz="0" w:space="0" w:color="auto"/>
        <w:left w:val="none" w:sz="0" w:space="0" w:color="auto"/>
        <w:bottom w:val="none" w:sz="0" w:space="0" w:color="auto"/>
        <w:right w:val="none" w:sz="0" w:space="0" w:color="auto"/>
      </w:divBdr>
    </w:div>
    <w:div w:id="1440371174">
      <w:bodyDiv w:val="1"/>
      <w:marLeft w:val="0"/>
      <w:marRight w:val="0"/>
      <w:marTop w:val="0"/>
      <w:marBottom w:val="0"/>
      <w:divBdr>
        <w:top w:val="none" w:sz="0" w:space="0" w:color="auto"/>
        <w:left w:val="none" w:sz="0" w:space="0" w:color="auto"/>
        <w:bottom w:val="none" w:sz="0" w:space="0" w:color="auto"/>
        <w:right w:val="none" w:sz="0" w:space="0" w:color="auto"/>
      </w:divBdr>
    </w:div>
    <w:div w:id="1507090686">
      <w:bodyDiv w:val="1"/>
      <w:marLeft w:val="0"/>
      <w:marRight w:val="0"/>
      <w:marTop w:val="0"/>
      <w:marBottom w:val="0"/>
      <w:divBdr>
        <w:top w:val="none" w:sz="0" w:space="0" w:color="auto"/>
        <w:left w:val="none" w:sz="0" w:space="0" w:color="auto"/>
        <w:bottom w:val="none" w:sz="0" w:space="0" w:color="auto"/>
        <w:right w:val="none" w:sz="0" w:space="0" w:color="auto"/>
      </w:divBdr>
    </w:div>
    <w:div w:id="1589272456">
      <w:bodyDiv w:val="1"/>
      <w:marLeft w:val="0"/>
      <w:marRight w:val="0"/>
      <w:marTop w:val="0"/>
      <w:marBottom w:val="0"/>
      <w:divBdr>
        <w:top w:val="none" w:sz="0" w:space="0" w:color="auto"/>
        <w:left w:val="none" w:sz="0" w:space="0" w:color="auto"/>
        <w:bottom w:val="none" w:sz="0" w:space="0" w:color="auto"/>
        <w:right w:val="none" w:sz="0" w:space="0" w:color="auto"/>
      </w:divBdr>
    </w:div>
    <w:div w:id="1674256186">
      <w:bodyDiv w:val="1"/>
      <w:marLeft w:val="0"/>
      <w:marRight w:val="0"/>
      <w:marTop w:val="0"/>
      <w:marBottom w:val="0"/>
      <w:divBdr>
        <w:top w:val="none" w:sz="0" w:space="0" w:color="auto"/>
        <w:left w:val="none" w:sz="0" w:space="0" w:color="auto"/>
        <w:bottom w:val="none" w:sz="0" w:space="0" w:color="auto"/>
        <w:right w:val="none" w:sz="0" w:space="0" w:color="auto"/>
      </w:divBdr>
      <w:divsChild>
        <w:div w:id="1484199740">
          <w:marLeft w:val="0"/>
          <w:marRight w:val="0"/>
          <w:marTop w:val="0"/>
          <w:marBottom w:val="0"/>
          <w:divBdr>
            <w:top w:val="none" w:sz="0" w:space="0" w:color="auto"/>
            <w:left w:val="none" w:sz="0" w:space="0" w:color="auto"/>
            <w:bottom w:val="none" w:sz="0" w:space="0" w:color="auto"/>
            <w:right w:val="none" w:sz="0" w:space="0" w:color="auto"/>
          </w:divBdr>
          <w:divsChild>
            <w:div w:id="1346399969">
              <w:marLeft w:val="0"/>
              <w:marRight w:val="0"/>
              <w:marTop w:val="0"/>
              <w:marBottom w:val="0"/>
              <w:divBdr>
                <w:top w:val="none" w:sz="0" w:space="0" w:color="auto"/>
                <w:left w:val="none" w:sz="0" w:space="0" w:color="auto"/>
                <w:bottom w:val="none" w:sz="0" w:space="0" w:color="auto"/>
                <w:right w:val="none" w:sz="0" w:space="0" w:color="auto"/>
              </w:divBdr>
              <w:divsChild>
                <w:div w:id="13680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71833">
      <w:bodyDiv w:val="1"/>
      <w:marLeft w:val="0"/>
      <w:marRight w:val="0"/>
      <w:marTop w:val="0"/>
      <w:marBottom w:val="0"/>
      <w:divBdr>
        <w:top w:val="none" w:sz="0" w:space="0" w:color="auto"/>
        <w:left w:val="none" w:sz="0" w:space="0" w:color="auto"/>
        <w:bottom w:val="none" w:sz="0" w:space="0" w:color="auto"/>
        <w:right w:val="none" w:sz="0" w:space="0" w:color="auto"/>
      </w:divBdr>
      <w:divsChild>
        <w:div w:id="124589574">
          <w:marLeft w:val="0"/>
          <w:marRight w:val="0"/>
          <w:marTop w:val="0"/>
          <w:marBottom w:val="0"/>
          <w:divBdr>
            <w:top w:val="none" w:sz="0" w:space="0" w:color="auto"/>
            <w:left w:val="none" w:sz="0" w:space="0" w:color="auto"/>
            <w:bottom w:val="none" w:sz="0" w:space="0" w:color="auto"/>
            <w:right w:val="none" w:sz="0" w:space="0" w:color="auto"/>
          </w:divBdr>
          <w:divsChild>
            <w:div w:id="1303459020">
              <w:marLeft w:val="0"/>
              <w:marRight w:val="0"/>
              <w:marTop w:val="0"/>
              <w:marBottom w:val="0"/>
              <w:divBdr>
                <w:top w:val="none" w:sz="0" w:space="0" w:color="auto"/>
                <w:left w:val="none" w:sz="0" w:space="0" w:color="auto"/>
                <w:bottom w:val="none" w:sz="0" w:space="0" w:color="auto"/>
                <w:right w:val="none" w:sz="0" w:space="0" w:color="auto"/>
              </w:divBdr>
              <w:divsChild>
                <w:div w:id="196276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20672">
      <w:bodyDiv w:val="1"/>
      <w:marLeft w:val="0"/>
      <w:marRight w:val="0"/>
      <w:marTop w:val="0"/>
      <w:marBottom w:val="0"/>
      <w:divBdr>
        <w:top w:val="none" w:sz="0" w:space="0" w:color="auto"/>
        <w:left w:val="none" w:sz="0" w:space="0" w:color="auto"/>
        <w:bottom w:val="none" w:sz="0" w:space="0" w:color="auto"/>
        <w:right w:val="none" w:sz="0" w:space="0" w:color="auto"/>
      </w:divBdr>
    </w:div>
    <w:div w:id="1887065230">
      <w:bodyDiv w:val="1"/>
      <w:marLeft w:val="0"/>
      <w:marRight w:val="0"/>
      <w:marTop w:val="0"/>
      <w:marBottom w:val="0"/>
      <w:divBdr>
        <w:top w:val="none" w:sz="0" w:space="0" w:color="auto"/>
        <w:left w:val="none" w:sz="0" w:space="0" w:color="auto"/>
        <w:bottom w:val="none" w:sz="0" w:space="0" w:color="auto"/>
        <w:right w:val="none" w:sz="0" w:space="0" w:color="auto"/>
      </w:divBdr>
      <w:divsChild>
        <w:div w:id="904680173">
          <w:marLeft w:val="0"/>
          <w:marRight w:val="0"/>
          <w:marTop w:val="0"/>
          <w:marBottom w:val="0"/>
          <w:divBdr>
            <w:top w:val="none" w:sz="0" w:space="0" w:color="auto"/>
            <w:left w:val="none" w:sz="0" w:space="0" w:color="auto"/>
            <w:bottom w:val="none" w:sz="0" w:space="0" w:color="auto"/>
            <w:right w:val="none" w:sz="0" w:space="0" w:color="auto"/>
          </w:divBdr>
          <w:divsChild>
            <w:div w:id="292833129">
              <w:marLeft w:val="0"/>
              <w:marRight w:val="0"/>
              <w:marTop w:val="0"/>
              <w:marBottom w:val="0"/>
              <w:divBdr>
                <w:top w:val="none" w:sz="0" w:space="0" w:color="auto"/>
                <w:left w:val="none" w:sz="0" w:space="0" w:color="auto"/>
                <w:bottom w:val="none" w:sz="0" w:space="0" w:color="auto"/>
                <w:right w:val="none" w:sz="0" w:space="0" w:color="auto"/>
              </w:divBdr>
              <w:divsChild>
                <w:div w:id="296182484">
                  <w:marLeft w:val="0"/>
                  <w:marRight w:val="0"/>
                  <w:marTop w:val="0"/>
                  <w:marBottom w:val="0"/>
                  <w:divBdr>
                    <w:top w:val="none" w:sz="0" w:space="0" w:color="auto"/>
                    <w:left w:val="none" w:sz="0" w:space="0" w:color="auto"/>
                    <w:bottom w:val="none" w:sz="0" w:space="0" w:color="auto"/>
                    <w:right w:val="none" w:sz="0" w:space="0" w:color="auto"/>
                  </w:divBdr>
                  <w:divsChild>
                    <w:div w:id="1813323728">
                      <w:marLeft w:val="0"/>
                      <w:marRight w:val="0"/>
                      <w:marTop w:val="0"/>
                      <w:marBottom w:val="0"/>
                      <w:divBdr>
                        <w:top w:val="none" w:sz="0" w:space="0" w:color="auto"/>
                        <w:left w:val="none" w:sz="0" w:space="0" w:color="auto"/>
                        <w:bottom w:val="none" w:sz="0" w:space="0" w:color="auto"/>
                        <w:right w:val="none" w:sz="0" w:space="0" w:color="auto"/>
                      </w:divBdr>
                      <w:divsChild>
                        <w:div w:id="889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428070">
          <w:marLeft w:val="0"/>
          <w:marRight w:val="0"/>
          <w:marTop w:val="0"/>
          <w:marBottom w:val="0"/>
          <w:divBdr>
            <w:top w:val="none" w:sz="0" w:space="0" w:color="auto"/>
            <w:left w:val="none" w:sz="0" w:space="0" w:color="auto"/>
            <w:bottom w:val="none" w:sz="0" w:space="0" w:color="auto"/>
            <w:right w:val="none" w:sz="0" w:space="0" w:color="auto"/>
          </w:divBdr>
          <w:divsChild>
            <w:div w:id="1481920166">
              <w:marLeft w:val="0"/>
              <w:marRight w:val="0"/>
              <w:marTop w:val="0"/>
              <w:marBottom w:val="0"/>
              <w:divBdr>
                <w:top w:val="none" w:sz="0" w:space="0" w:color="auto"/>
                <w:left w:val="none" w:sz="0" w:space="0" w:color="auto"/>
                <w:bottom w:val="none" w:sz="0" w:space="0" w:color="auto"/>
                <w:right w:val="none" w:sz="0" w:space="0" w:color="auto"/>
              </w:divBdr>
              <w:divsChild>
                <w:div w:id="157450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18538">
      <w:bodyDiv w:val="1"/>
      <w:marLeft w:val="0"/>
      <w:marRight w:val="0"/>
      <w:marTop w:val="0"/>
      <w:marBottom w:val="0"/>
      <w:divBdr>
        <w:top w:val="none" w:sz="0" w:space="0" w:color="auto"/>
        <w:left w:val="none" w:sz="0" w:space="0" w:color="auto"/>
        <w:bottom w:val="none" w:sz="0" w:space="0" w:color="auto"/>
        <w:right w:val="none" w:sz="0" w:space="0" w:color="auto"/>
      </w:divBdr>
    </w:div>
    <w:div w:id="1962490691">
      <w:bodyDiv w:val="1"/>
      <w:marLeft w:val="0"/>
      <w:marRight w:val="0"/>
      <w:marTop w:val="0"/>
      <w:marBottom w:val="0"/>
      <w:divBdr>
        <w:top w:val="none" w:sz="0" w:space="0" w:color="auto"/>
        <w:left w:val="none" w:sz="0" w:space="0" w:color="auto"/>
        <w:bottom w:val="none" w:sz="0" w:space="0" w:color="auto"/>
        <w:right w:val="none" w:sz="0" w:space="0" w:color="auto"/>
      </w:divBdr>
    </w:div>
    <w:div w:id="1989091052">
      <w:bodyDiv w:val="1"/>
      <w:marLeft w:val="0"/>
      <w:marRight w:val="0"/>
      <w:marTop w:val="0"/>
      <w:marBottom w:val="0"/>
      <w:divBdr>
        <w:top w:val="none" w:sz="0" w:space="0" w:color="auto"/>
        <w:left w:val="none" w:sz="0" w:space="0" w:color="auto"/>
        <w:bottom w:val="none" w:sz="0" w:space="0" w:color="auto"/>
        <w:right w:val="none" w:sz="0" w:space="0" w:color="auto"/>
      </w:divBdr>
      <w:divsChild>
        <w:div w:id="355545622">
          <w:marLeft w:val="0"/>
          <w:marRight w:val="0"/>
          <w:marTop w:val="0"/>
          <w:marBottom w:val="0"/>
          <w:divBdr>
            <w:top w:val="none" w:sz="0" w:space="0" w:color="auto"/>
            <w:left w:val="none" w:sz="0" w:space="0" w:color="auto"/>
            <w:bottom w:val="none" w:sz="0" w:space="0" w:color="auto"/>
            <w:right w:val="none" w:sz="0" w:space="0" w:color="auto"/>
          </w:divBdr>
          <w:divsChild>
            <w:div w:id="549922230">
              <w:marLeft w:val="0"/>
              <w:marRight w:val="0"/>
              <w:marTop w:val="0"/>
              <w:marBottom w:val="0"/>
              <w:divBdr>
                <w:top w:val="none" w:sz="0" w:space="0" w:color="auto"/>
                <w:left w:val="none" w:sz="0" w:space="0" w:color="auto"/>
                <w:bottom w:val="none" w:sz="0" w:space="0" w:color="auto"/>
                <w:right w:val="none" w:sz="0" w:space="0" w:color="auto"/>
              </w:divBdr>
              <w:divsChild>
                <w:div w:id="1833720939">
                  <w:marLeft w:val="0"/>
                  <w:marRight w:val="0"/>
                  <w:marTop w:val="0"/>
                  <w:marBottom w:val="0"/>
                  <w:divBdr>
                    <w:top w:val="none" w:sz="0" w:space="0" w:color="auto"/>
                    <w:left w:val="none" w:sz="0" w:space="0" w:color="auto"/>
                    <w:bottom w:val="none" w:sz="0" w:space="0" w:color="auto"/>
                    <w:right w:val="none" w:sz="0" w:space="0" w:color="auto"/>
                  </w:divBdr>
                  <w:divsChild>
                    <w:div w:id="19970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62202">
              <w:marLeft w:val="0"/>
              <w:marRight w:val="0"/>
              <w:marTop w:val="0"/>
              <w:marBottom w:val="0"/>
              <w:divBdr>
                <w:top w:val="none" w:sz="0" w:space="0" w:color="auto"/>
                <w:left w:val="none" w:sz="0" w:space="0" w:color="auto"/>
                <w:bottom w:val="none" w:sz="0" w:space="0" w:color="auto"/>
                <w:right w:val="none" w:sz="0" w:space="0" w:color="auto"/>
              </w:divBdr>
            </w:div>
          </w:divsChild>
        </w:div>
        <w:div w:id="930353747">
          <w:marLeft w:val="0"/>
          <w:marRight w:val="0"/>
          <w:marTop w:val="0"/>
          <w:marBottom w:val="0"/>
          <w:divBdr>
            <w:top w:val="none" w:sz="0" w:space="0" w:color="auto"/>
            <w:left w:val="none" w:sz="0" w:space="0" w:color="auto"/>
            <w:bottom w:val="none" w:sz="0" w:space="0" w:color="auto"/>
            <w:right w:val="none" w:sz="0" w:space="0" w:color="auto"/>
          </w:divBdr>
          <w:divsChild>
            <w:div w:id="5204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27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67063-D428-4ACA-8091-0CAD1ABBF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14</Pages>
  <Words>14603</Words>
  <Characters>83240</Characters>
  <Application>Microsoft Office Word</Application>
  <DocSecurity>0</DocSecurity>
  <Lines>693</Lines>
  <Paragraphs>195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beta hydroxamin</dc:creator>
  <cp:keywords/>
  <dc:description/>
  <cp:lastModifiedBy>beta hydroxamin</cp:lastModifiedBy>
  <cp:revision>39</cp:revision>
  <cp:lastPrinted>2022-08-11T08:39:00Z</cp:lastPrinted>
  <dcterms:created xsi:type="dcterms:W3CDTF">2022-10-16T18:47:00Z</dcterms:created>
  <dcterms:modified xsi:type="dcterms:W3CDTF">2022-11-10T15:50:00Z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810ed6ce-64f5-3926-bf87-046a855697a2</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