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7FBB" w14:textId="77777777" w:rsidR="00025276" w:rsidRDefault="007F587D">
      <w:pPr>
        <w:rPr>
          <w:b/>
        </w:rPr>
      </w:pPr>
      <w:r>
        <w:rPr>
          <w:b/>
        </w:rPr>
        <w:t>Supplement to: Predictors of placebo response in three large clinical trials of the V1a receptor antagonist balovaptan in autism spectrum disorder</w:t>
      </w:r>
    </w:p>
    <w:p w14:paraId="25C27FBC" w14:textId="77777777" w:rsidR="00025276" w:rsidRDefault="007F587D">
      <w:pPr>
        <w:spacing w:line="360" w:lineRule="auto"/>
      </w:pPr>
      <w:r>
        <w:t xml:space="preserve">Russell Tobe, Yajing Zhu, Teresa </w:t>
      </w:r>
      <w:proofErr w:type="spellStart"/>
      <w:r>
        <w:t>Gleissl</w:t>
      </w:r>
      <w:proofErr w:type="spellEnd"/>
      <w:r>
        <w:t xml:space="preserve">, Simona </w:t>
      </w:r>
      <w:proofErr w:type="spellStart"/>
      <w:r>
        <w:t>Rossomanno</w:t>
      </w:r>
      <w:proofErr w:type="spellEnd"/>
      <w:r>
        <w:t xml:space="preserve">, Jeremy </w:t>
      </w:r>
      <w:proofErr w:type="spellStart"/>
      <w:r>
        <w:t>Veenstra-Vanderweele</w:t>
      </w:r>
      <w:proofErr w:type="spellEnd"/>
      <w:r>
        <w:t>, Janice Smith, Eric Hollander</w:t>
      </w:r>
    </w:p>
    <w:p w14:paraId="25C27FBD" w14:textId="77777777" w:rsidR="00025276" w:rsidRDefault="00025276"/>
    <w:p w14:paraId="25C27FBE" w14:textId="77777777" w:rsidR="00025276" w:rsidRDefault="00025276"/>
    <w:p w14:paraId="25C27FBF" w14:textId="77777777" w:rsidR="00025276" w:rsidRDefault="00025276"/>
    <w:p w14:paraId="25C27FC0" w14:textId="77777777" w:rsidR="00025276" w:rsidRDefault="00025276"/>
    <w:p w14:paraId="25C27FC1" w14:textId="77777777" w:rsidR="00025276" w:rsidRDefault="00025276"/>
    <w:p w14:paraId="25C27FC2" w14:textId="77777777" w:rsidR="00025276" w:rsidRDefault="00025276"/>
    <w:p w14:paraId="25C27FC3" w14:textId="77777777" w:rsidR="00025276" w:rsidRDefault="00025276"/>
    <w:p w14:paraId="25C27FC4" w14:textId="77777777" w:rsidR="00025276" w:rsidRDefault="00025276"/>
    <w:p w14:paraId="25C27FC5" w14:textId="77777777" w:rsidR="00025276" w:rsidRDefault="00025276"/>
    <w:p w14:paraId="25C27FC6" w14:textId="77777777" w:rsidR="00025276" w:rsidRDefault="00025276"/>
    <w:p w14:paraId="25C27FC7" w14:textId="77777777" w:rsidR="00025276" w:rsidRDefault="00025276">
      <w:pPr>
        <w:sectPr w:rsidR="00025276">
          <w:headerReference w:type="default" r:id="rId7"/>
          <w:footerReference w:type="default" r:id="rId8"/>
          <w:pgSz w:w="11906" w:h="16838"/>
          <w:pgMar w:top="1440" w:right="1440" w:bottom="1440" w:left="1440" w:header="708" w:footer="708" w:gutter="0"/>
          <w:pgNumType w:start="1"/>
          <w:cols w:space="720"/>
        </w:sectPr>
      </w:pPr>
    </w:p>
    <w:p w14:paraId="4DFCB9FE" w14:textId="7AA6D645" w:rsidR="000F5936" w:rsidRPr="004546D8" w:rsidRDefault="00661FDA">
      <w:pPr>
        <w:rPr>
          <w:b/>
          <w:bCs/>
          <w:color w:val="000000"/>
        </w:rPr>
      </w:pPr>
      <w:r w:rsidRPr="00C73D92">
        <w:rPr>
          <w:b/>
          <w:bCs/>
        </w:rPr>
        <w:lastRenderedPageBreak/>
        <w:t>Clinical Global Impression Scale – Severity (</w:t>
      </w:r>
      <w:r w:rsidR="00257E03" w:rsidRPr="004546D8">
        <w:rPr>
          <w:b/>
          <w:bCs/>
          <w:color w:val="000000"/>
        </w:rPr>
        <w:t>CGI-S</w:t>
      </w:r>
      <w:r>
        <w:rPr>
          <w:b/>
          <w:bCs/>
          <w:color w:val="000000"/>
        </w:rPr>
        <w:t>)</w:t>
      </w:r>
      <w:r w:rsidR="00257E03" w:rsidRPr="004546D8">
        <w:rPr>
          <w:b/>
          <w:bCs/>
          <w:color w:val="000000"/>
        </w:rPr>
        <w:t xml:space="preserve"> </w:t>
      </w:r>
      <w:r w:rsidR="00257E03" w:rsidRPr="00257E03">
        <w:rPr>
          <w:b/>
          <w:bCs/>
          <w:color w:val="000000"/>
        </w:rPr>
        <w:t>category</w:t>
      </w:r>
      <w:r w:rsidR="00257E03" w:rsidRPr="004546D8">
        <w:rPr>
          <w:b/>
          <w:bCs/>
          <w:color w:val="000000"/>
        </w:rPr>
        <w:t xml:space="preserve"> grouping</w:t>
      </w:r>
    </w:p>
    <w:p w14:paraId="573AB179" w14:textId="50F01AF3" w:rsidR="000F5936" w:rsidRPr="004546D8" w:rsidRDefault="000F5936" w:rsidP="004546D8">
      <w:pPr>
        <w:spacing w:line="360" w:lineRule="auto"/>
        <w:rPr>
          <w:color w:val="000000"/>
        </w:rPr>
      </w:pPr>
      <w:r w:rsidRPr="004546D8">
        <w:rPr>
          <w:color w:val="000000"/>
        </w:rPr>
        <w:t xml:space="preserve">Grouping of the CGI-S categories were based primarily on </w:t>
      </w:r>
      <w:r w:rsidR="00257E03">
        <w:rPr>
          <w:color w:val="000000"/>
        </w:rPr>
        <w:t xml:space="preserve">the </w:t>
      </w:r>
      <w:r w:rsidRPr="004546D8">
        <w:rPr>
          <w:color w:val="000000"/>
        </w:rPr>
        <w:t>distributional properties of the data, to avoid skewing the results by having categories</w:t>
      </w:r>
      <w:r w:rsidR="00B9135C">
        <w:rPr>
          <w:color w:val="000000"/>
        </w:rPr>
        <w:t xml:space="preserve"> </w:t>
      </w:r>
      <w:r w:rsidR="00291645">
        <w:rPr>
          <w:color w:val="000000"/>
        </w:rPr>
        <w:t>that</w:t>
      </w:r>
      <w:r w:rsidR="00B9135C">
        <w:rPr>
          <w:color w:val="000000"/>
        </w:rPr>
        <w:t xml:space="preserve"> were too small</w:t>
      </w:r>
      <w:r w:rsidRPr="004546D8">
        <w:rPr>
          <w:color w:val="000000"/>
        </w:rPr>
        <w:t xml:space="preserve">. In each trial population, </w:t>
      </w:r>
      <w:r w:rsidR="00A24BBE">
        <w:rPr>
          <w:color w:val="000000"/>
        </w:rPr>
        <w:t>“</w:t>
      </w:r>
      <w:r w:rsidRPr="004546D8">
        <w:rPr>
          <w:color w:val="000000"/>
        </w:rPr>
        <w:t>moderately ill</w:t>
      </w:r>
      <w:r w:rsidR="00A24BBE">
        <w:rPr>
          <w:color w:val="000000"/>
        </w:rPr>
        <w:t>”</w:t>
      </w:r>
      <w:r w:rsidRPr="004546D8">
        <w:rPr>
          <w:color w:val="000000"/>
        </w:rPr>
        <w:t xml:space="preserve"> </w:t>
      </w:r>
      <w:r w:rsidR="00A455CD">
        <w:rPr>
          <w:color w:val="000000"/>
        </w:rPr>
        <w:t>include</w:t>
      </w:r>
      <w:r w:rsidR="0028551C">
        <w:rPr>
          <w:color w:val="000000"/>
        </w:rPr>
        <w:t>d</w:t>
      </w:r>
      <w:r w:rsidRPr="004546D8">
        <w:rPr>
          <w:color w:val="000000"/>
        </w:rPr>
        <w:t xml:space="preserve"> </w:t>
      </w:r>
      <w:r w:rsidR="00241CE1">
        <w:rPr>
          <w:color w:val="000000"/>
        </w:rPr>
        <w:t>the</w:t>
      </w:r>
      <w:r w:rsidRPr="004546D8">
        <w:rPr>
          <w:color w:val="000000"/>
        </w:rPr>
        <w:t xml:space="preserve"> largest share </w:t>
      </w:r>
      <w:r w:rsidR="0028551C">
        <w:rPr>
          <w:color w:val="000000"/>
        </w:rPr>
        <w:t xml:space="preserve">of the population </w:t>
      </w:r>
      <w:r w:rsidRPr="004546D8">
        <w:rPr>
          <w:color w:val="000000"/>
        </w:rPr>
        <w:t xml:space="preserve">(around 60%) while </w:t>
      </w:r>
      <w:r w:rsidR="00A24BBE">
        <w:rPr>
          <w:color w:val="000000"/>
        </w:rPr>
        <w:t>“</w:t>
      </w:r>
      <w:r w:rsidR="007E573B" w:rsidRPr="00C80E18">
        <w:rPr>
          <w:color w:val="000000"/>
        </w:rPr>
        <w:t>markedly ill" (30%)</w:t>
      </w:r>
      <w:r w:rsidR="007E573B">
        <w:rPr>
          <w:color w:val="000000"/>
        </w:rPr>
        <w:t xml:space="preserve"> include</w:t>
      </w:r>
      <w:r w:rsidR="0028551C">
        <w:rPr>
          <w:color w:val="000000"/>
        </w:rPr>
        <w:t>d</w:t>
      </w:r>
      <w:r w:rsidR="007E573B" w:rsidRPr="00C80E18">
        <w:rPr>
          <w:color w:val="000000"/>
        </w:rPr>
        <w:t xml:space="preserve"> </w:t>
      </w:r>
      <w:r w:rsidRPr="004546D8">
        <w:rPr>
          <w:color w:val="000000"/>
        </w:rPr>
        <w:t>the second largest share</w:t>
      </w:r>
      <w:r w:rsidR="007E573B">
        <w:rPr>
          <w:color w:val="000000"/>
        </w:rPr>
        <w:t xml:space="preserve">. </w:t>
      </w:r>
      <w:r w:rsidRPr="004546D8">
        <w:rPr>
          <w:color w:val="000000"/>
        </w:rPr>
        <w:t xml:space="preserve">Grouping </w:t>
      </w:r>
      <w:r w:rsidR="004F689D" w:rsidRPr="004F689D">
        <w:rPr>
          <w:color w:val="000000"/>
        </w:rPr>
        <w:t>the</w:t>
      </w:r>
      <w:r w:rsidR="004F689D">
        <w:rPr>
          <w:color w:val="000000"/>
        </w:rPr>
        <w:t xml:space="preserve">se two populations </w:t>
      </w:r>
      <w:r w:rsidR="00A455CD" w:rsidRPr="00A455CD">
        <w:rPr>
          <w:color w:val="000000"/>
        </w:rPr>
        <w:t>together</w:t>
      </w:r>
      <w:r w:rsidRPr="004546D8">
        <w:rPr>
          <w:color w:val="000000"/>
        </w:rPr>
        <w:t xml:space="preserve"> or keeping each separate </w:t>
      </w:r>
      <w:r w:rsidR="00A455CD">
        <w:rPr>
          <w:color w:val="000000"/>
        </w:rPr>
        <w:t>would</w:t>
      </w:r>
      <w:r w:rsidRPr="004546D8">
        <w:rPr>
          <w:color w:val="000000"/>
        </w:rPr>
        <w:t xml:space="preserve"> </w:t>
      </w:r>
      <w:r w:rsidR="0028551C">
        <w:rPr>
          <w:color w:val="000000"/>
        </w:rPr>
        <w:t xml:space="preserve">have </w:t>
      </w:r>
      <w:r w:rsidR="0028551C" w:rsidRPr="004546D8">
        <w:rPr>
          <w:color w:val="000000"/>
        </w:rPr>
        <w:t>result</w:t>
      </w:r>
      <w:r w:rsidR="0028551C">
        <w:rPr>
          <w:color w:val="000000"/>
        </w:rPr>
        <w:t>ed</w:t>
      </w:r>
      <w:r w:rsidR="0028551C" w:rsidRPr="004546D8">
        <w:rPr>
          <w:color w:val="000000"/>
        </w:rPr>
        <w:t xml:space="preserve"> </w:t>
      </w:r>
      <w:r w:rsidRPr="004546D8">
        <w:rPr>
          <w:color w:val="000000"/>
        </w:rPr>
        <w:t xml:space="preserve">in </w:t>
      </w:r>
      <w:r w:rsidR="00A455CD">
        <w:rPr>
          <w:color w:val="000000"/>
        </w:rPr>
        <w:t xml:space="preserve">an </w:t>
      </w:r>
      <w:r w:rsidRPr="004546D8">
        <w:rPr>
          <w:color w:val="000000"/>
        </w:rPr>
        <w:t xml:space="preserve">overly small size </w:t>
      </w:r>
      <w:r w:rsidR="00A455CD">
        <w:rPr>
          <w:color w:val="000000"/>
        </w:rPr>
        <w:t>for</w:t>
      </w:r>
      <w:r w:rsidRPr="004546D8">
        <w:rPr>
          <w:color w:val="000000"/>
        </w:rPr>
        <w:t xml:space="preserve"> the remaining categories. Therefore, </w:t>
      </w:r>
      <w:r w:rsidR="00C251C0">
        <w:rPr>
          <w:color w:val="000000"/>
        </w:rPr>
        <w:t>we</w:t>
      </w:r>
      <w:r w:rsidR="00811468">
        <w:rPr>
          <w:color w:val="000000"/>
        </w:rPr>
        <w:t xml:space="preserve"> split these </w:t>
      </w:r>
      <w:r w:rsidRPr="004546D8">
        <w:rPr>
          <w:color w:val="000000"/>
        </w:rPr>
        <w:t xml:space="preserve">two </w:t>
      </w:r>
      <w:r w:rsidR="00811468">
        <w:rPr>
          <w:color w:val="000000"/>
        </w:rPr>
        <w:t>large</w:t>
      </w:r>
      <w:r w:rsidRPr="004546D8">
        <w:rPr>
          <w:color w:val="000000"/>
        </w:rPr>
        <w:t xml:space="preserve"> categories and </w:t>
      </w:r>
      <w:r w:rsidR="00B3377E">
        <w:rPr>
          <w:color w:val="000000"/>
        </w:rPr>
        <w:t>combined</w:t>
      </w:r>
      <w:r w:rsidRPr="004546D8">
        <w:rPr>
          <w:color w:val="000000"/>
        </w:rPr>
        <w:t xml:space="preserve"> </w:t>
      </w:r>
      <w:r w:rsidR="00B3377E">
        <w:rPr>
          <w:color w:val="000000"/>
        </w:rPr>
        <w:t xml:space="preserve">them with the adjacent </w:t>
      </w:r>
      <w:r w:rsidRPr="004546D8">
        <w:rPr>
          <w:color w:val="000000"/>
        </w:rPr>
        <w:t>close</w:t>
      </w:r>
      <w:r w:rsidR="00811468">
        <w:rPr>
          <w:color w:val="000000"/>
        </w:rPr>
        <w:t>ly related</w:t>
      </w:r>
      <w:r w:rsidRPr="004546D8">
        <w:rPr>
          <w:color w:val="000000"/>
        </w:rPr>
        <w:t xml:space="preserve"> categories </w:t>
      </w:r>
      <w:r w:rsidR="00DB64B6">
        <w:rPr>
          <w:color w:val="000000"/>
        </w:rPr>
        <w:t>whilst still considering clinical interpretations</w:t>
      </w:r>
      <w:r w:rsidRPr="004546D8">
        <w:rPr>
          <w:color w:val="000000"/>
        </w:rPr>
        <w:t>.</w:t>
      </w:r>
    </w:p>
    <w:p w14:paraId="687E6111" w14:textId="2E02BA32" w:rsidR="00D15BDF" w:rsidRDefault="00D15BDF" w:rsidP="00D15BDF">
      <w:pPr>
        <w:rPr>
          <w:b/>
        </w:rPr>
      </w:pPr>
      <w:r>
        <w:rPr>
          <w:b/>
        </w:rPr>
        <w:t xml:space="preserve">Summary of </w:t>
      </w:r>
      <w:r w:rsidRPr="00FD25C3">
        <w:rPr>
          <w:b/>
        </w:rPr>
        <w:t xml:space="preserve">changes in Vineland-II </w:t>
      </w:r>
      <w:r w:rsidR="00DF1D29" w:rsidRPr="00DF1D29">
        <w:rPr>
          <w:b/>
        </w:rPr>
        <w:t xml:space="preserve">two-domain composite </w:t>
      </w:r>
      <w:r w:rsidR="00DF1D29">
        <w:rPr>
          <w:b/>
        </w:rPr>
        <w:t>(</w:t>
      </w:r>
      <w:r w:rsidR="00DF1D29" w:rsidRPr="00DF1D29">
        <w:rPr>
          <w:b/>
        </w:rPr>
        <w:t>2DC</w:t>
      </w:r>
      <w:r w:rsidR="00DF1D29">
        <w:rPr>
          <w:b/>
        </w:rPr>
        <w:t>)</w:t>
      </w:r>
      <w:r w:rsidR="00DF1D29" w:rsidRPr="00DF1D29">
        <w:rPr>
          <w:b/>
        </w:rPr>
        <w:t xml:space="preserve"> </w:t>
      </w:r>
      <w:r w:rsidRPr="00FD25C3">
        <w:rPr>
          <w:b/>
        </w:rPr>
        <w:t xml:space="preserve">and </w:t>
      </w:r>
      <w:r w:rsidR="009454D1" w:rsidRPr="00C73D92">
        <w:rPr>
          <w:b/>
          <w:bCs/>
          <w:color w:val="000000"/>
        </w:rPr>
        <w:t>CGI</w:t>
      </w:r>
      <w:r w:rsidR="009454D1" w:rsidRPr="00C73D92">
        <w:rPr>
          <w:rFonts w:asciiTheme="minorHAnsi" w:hAnsiTheme="minorHAnsi" w:cstheme="minorHAnsi"/>
          <w:b/>
          <w:bCs/>
          <w:color w:val="000000"/>
          <w:sz w:val="24"/>
          <w:szCs w:val="24"/>
        </w:rPr>
        <w:t xml:space="preserve"> </w:t>
      </w:r>
      <w:r w:rsidR="009454D1" w:rsidRPr="00C73D92">
        <w:rPr>
          <w:rFonts w:asciiTheme="minorHAnsi" w:hAnsiTheme="minorHAnsi" w:cstheme="minorHAnsi"/>
          <w:b/>
          <w:bCs/>
          <w:color w:val="202124"/>
          <w:shd w:val="clear" w:color="auto" w:fill="FFFFFF"/>
        </w:rPr>
        <w:t>–</w:t>
      </w:r>
      <w:r w:rsidR="009454D1" w:rsidRPr="00C73D92">
        <w:rPr>
          <w:rFonts w:ascii="Arial" w:hAnsi="Arial" w:cs="Arial"/>
          <w:b/>
          <w:bCs/>
          <w:color w:val="202124"/>
          <w:shd w:val="clear" w:color="auto" w:fill="FFFFFF"/>
        </w:rPr>
        <w:t xml:space="preserve"> </w:t>
      </w:r>
      <w:r w:rsidR="009454D1" w:rsidRPr="00C73D92">
        <w:rPr>
          <w:b/>
          <w:bCs/>
          <w:color w:val="000000"/>
        </w:rPr>
        <w:t xml:space="preserve">Improvement </w:t>
      </w:r>
      <w:r w:rsidR="00491000" w:rsidRPr="00C73D92">
        <w:rPr>
          <w:b/>
          <w:bCs/>
          <w:color w:val="000000"/>
        </w:rPr>
        <w:t>(</w:t>
      </w:r>
      <w:r w:rsidRPr="00FD25C3">
        <w:rPr>
          <w:b/>
        </w:rPr>
        <w:t>CGI</w:t>
      </w:r>
      <w:r>
        <w:rPr>
          <w:b/>
        </w:rPr>
        <w:t>-I</w:t>
      </w:r>
      <w:r w:rsidR="00491000">
        <w:rPr>
          <w:b/>
        </w:rPr>
        <w:t>)</w:t>
      </w:r>
      <w:r>
        <w:rPr>
          <w:b/>
        </w:rPr>
        <w:t xml:space="preserve"> in the balovaptan trials</w:t>
      </w:r>
    </w:p>
    <w:p w14:paraId="17064716" w14:textId="4166A63F" w:rsidR="00DF1D29" w:rsidRPr="00DF1D29" w:rsidRDefault="00D15BDF" w:rsidP="00DF1D29">
      <w:pPr>
        <w:pBdr>
          <w:top w:val="nil"/>
          <w:left w:val="nil"/>
          <w:bottom w:val="nil"/>
          <w:right w:val="nil"/>
          <w:between w:val="nil"/>
        </w:pBdr>
        <w:spacing w:after="0" w:line="360" w:lineRule="auto"/>
        <w:rPr>
          <w:color w:val="000000"/>
        </w:rPr>
      </w:pPr>
      <w:r w:rsidRPr="004546D8">
        <w:rPr>
          <w:color w:val="000000"/>
        </w:rPr>
        <w:t xml:space="preserve">In VANILLA </w:t>
      </w:r>
      <w:r w:rsidR="00105F2F">
        <w:rPr>
          <w:color w:val="000000"/>
        </w:rPr>
        <w:t xml:space="preserve">the </w:t>
      </w:r>
      <w:r w:rsidRPr="004546D8">
        <w:rPr>
          <w:color w:val="000000"/>
        </w:rPr>
        <w:t xml:space="preserve">Vineland-II 2DC was not used, treatment differences between balovaptan and placebo increased with dose and were driven by improvements on the Vineland-II scores for the </w:t>
      </w:r>
      <w:r w:rsidR="005F6D54">
        <w:rPr>
          <w:color w:val="000000"/>
        </w:rPr>
        <w:t>S</w:t>
      </w:r>
      <w:r w:rsidRPr="004546D8">
        <w:rPr>
          <w:color w:val="000000"/>
        </w:rPr>
        <w:t xml:space="preserve">ocialization and </w:t>
      </w:r>
      <w:r w:rsidR="005F6D54">
        <w:rPr>
          <w:color w:val="000000"/>
        </w:rPr>
        <w:t>C</w:t>
      </w:r>
      <w:r w:rsidRPr="004546D8">
        <w:rPr>
          <w:color w:val="000000"/>
        </w:rPr>
        <w:t>ommunication domains</w:t>
      </w:r>
      <w:r w:rsidR="007C2146">
        <w:rPr>
          <w:color w:val="000000"/>
        </w:rPr>
        <w:t xml:space="preserve"> </w:t>
      </w:r>
      <w:r w:rsidR="00322B69">
        <w:rPr>
          <w:noProof/>
          <w:color w:val="000000"/>
        </w:rPr>
        <w:t>[1]</w:t>
      </w:r>
      <w:r w:rsidR="00105F2F">
        <w:rPr>
          <w:color w:val="000000"/>
        </w:rPr>
        <w:t>.</w:t>
      </w:r>
      <w:r w:rsidR="00DF1D29" w:rsidRPr="00DF1D29">
        <w:t xml:space="preserve"> </w:t>
      </w:r>
      <w:r w:rsidR="00DF1D29" w:rsidRPr="00DF1D29">
        <w:rPr>
          <w:color w:val="000000"/>
        </w:rPr>
        <w:t>A post</w:t>
      </w:r>
      <w:r w:rsidR="00420A51">
        <w:rPr>
          <w:color w:val="000000"/>
        </w:rPr>
        <w:t>-</w:t>
      </w:r>
      <w:r w:rsidR="00DF1D29" w:rsidRPr="00DF1D29">
        <w:rPr>
          <w:color w:val="000000"/>
        </w:rPr>
        <w:t>hoc analysis of VANILLA participants</w:t>
      </w:r>
    </w:p>
    <w:p w14:paraId="535EB020" w14:textId="7D0AE54D" w:rsidR="00D15BDF" w:rsidRDefault="00DF1D29" w:rsidP="00DF1D29">
      <w:pPr>
        <w:pBdr>
          <w:top w:val="nil"/>
          <w:left w:val="nil"/>
          <w:bottom w:val="nil"/>
          <w:right w:val="nil"/>
          <w:between w:val="nil"/>
        </w:pBdr>
        <w:spacing w:after="0" w:line="360" w:lineRule="auto"/>
        <w:rPr>
          <w:color w:val="000000"/>
        </w:rPr>
      </w:pPr>
      <w:r w:rsidRPr="00DF1D29">
        <w:rPr>
          <w:color w:val="000000"/>
        </w:rPr>
        <w:t>using a composite measure of the Vineland-II</w:t>
      </w:r>
      <w:r>
        <w:rPr>
          <w:color w:val="000000"/>
        </w:rPr>
        <w:t xml:space="preserve"> </w:t>
      </w:r>
      <w:r w:rsidRPr="00DF1D29">
        <w:rPr>
          <w:color w:val="000000"/>
        </w:rPr>
        <w:t>2DC showed significant improvements with balovaptan 10 mg versus placebo</w:t>
      </w:r>
      <w:r w:rsidR="007C2146">
        <w:rPr>
          <w:color w:val="000000"/>
        </w:rPr>
        <w:t xml:space="preserve"> </w:t>
      </w:r>
      <w:r w:rsidR="00322B69">
        <w:rPr>
          <w:noProof/>
          <w:color w:val="000000"/>
        </w:rPr>
        <w:t>[2]</w:t>
      </w:r>
      <w:r w:rsidR="002B6B2D">
        <w:rPr>
          <w:color w:val="000000"/>
        </w:rPr>
        <w:t>.</w:t>
      </w:r>
      <w:r w:rsidR="00E55470">
        <w:rPr>
          <w:color w:val="000000"/>
        </w:rPr>
        <w:t xml:space="preserve"> </w:t>
      </w:r>
      <w:r w:rsidR="00D15BDF">
        <w:rPr>
          <w:color w:val="000000"/>
        </w:rPr>
        <w:t>I</w:t>
      </w:r>
      <w:r w:rsidR="00D15BDF" w:rsidRPr="00CD3D90">
        <w:rPr>
          <w:color w:val="000000"/>
        </w:rPr>
        <w:t>n V1aduct and aV1ation at Weeks 12 and 24 no significant improvement in the balovaptan group compared with placebo were seen in change from baseline in Vineland-II 2DC score</w:t>
      </w:r>
      <w:r w:rsidR="00322B69">
        <w:rPr>
          <w:color w:val="000000"/>
        </w:rPr>
        <w:t xml:space="preserve"> </w:t>
      </w:r>
      <w:r w:rsidR="00882FDE">
        <w:rPr>
          <w:noProof/>
          <w:color w:val="000000"/>
        </w:rPr>
        <w:t>[3, 4]</w:t>
      </w:r>
      <w:r w:rsidR="00D15BDF" w:rsidRPr="00CD3D90">
        <w:rPr>
          <w:color w:val="000000"/>
        </w:rPr>
        <w:t>.</w:t>
      </w:r>
      <w:r w:rsidR="00CD3D90" w:rsidRPr="00CD3D90">
        <w:rPr>
          <w:color w:val="000000"/>
        </w:rPr>
        <w:t xml:space="preserve"> </w:t>
      </w:r>
      <w:r w:rsidR="00CD3D90" w:rsidRPr="0002256C">
        <w:t xml:space="preserve">In V1aduct there was a larger than expected placebo effect in change from baseline in Vineland-II 2DC score at Week 24 with 41.4% of the balovaptan group participants reporting an improvement of ≥6 points </w:t>
      </w:r>
      <w:r w:rsidR="00CE5B9E" w:rsidRPr="00CE5B9E">
        <w:t xml:space="preserve">compared with </w:t>
      </w:r>
      <w:r w:rsidR="00CD3D90" w:rsidRPr="0002256C">
        <w:t>48.5% of the placebo group</w:t>
      </w:r>
      <w:r w:rsidR="00B320F5">
        <w:t xml:space="preserve"> </w:t>
      </w:r>
      <w:r w:rsidR="00322B69">
        <w:rPr>
          <w:noProof/>
        </w:rPr>
        <w:t>[3]</w:t>
      </w:r>
      <w:r w:rsidR="000F2767">
        <w:t>.</w:t>
      </w:r>
      <w:r w:rsidR="00CD3D90" w:rsidRPr="0002256C">
        <w:t xml:space="preserve"> In aV1ation there w</w:t>
      </w:r>
      <w:r w:rsidR="00016A88">
        <w:t>ere</w:t>
      </w:r>
      <w:r w:rsidR="00CD3D90" w:rsidRPr="0002256C">
        <w:t xml:space="preserve"> no differences </w:t>
      </w:r>
      <w:r w:rsidR="006F05B3">
        <w:t xml:space="preserve">in </w:t>
      </w:r>
      <w:r w:rsidR="001F36EA" w:rsidRPr="001F36EA">
        <w:t>change from baseline on the Vineland-II 2DC</w:t>
      </w:r>
      <w:r w:rsidR="006B3158">
        <w:t>,</w:t>
      </w:r>
      <w:r w:rsidR="00CD3D90" w:rsidRPr="0002256C">
        <w:t xml:space="preserve"> balovaptan (</w:t>
      </w:r>
      <w:r w:rsidR="006F05B3" w:rsidRPr="006F05B3">
        <w:t>adjusted least-squares mean</w:t>
      </w:r>
      <w:r w:rsidR="006F05B3">
        <w:t xml:space="preserve"> </w:t>
      </w:r>
      <w:r w:rsidR="00636EED">
        <w:t>[</w:t>
      </w:r>
      <w:r w:rsidR="006F05B3">
        <w:t>LSM]</w:t>
      </w:r>
      <w:r w:rsidR="00CD3D90" w:rsidRPr="0002256C">
        <w:t xml:space="preserve">, 2.17; </w:t>
      </w:r>
      <w:r w:rsidR="002056D9">
        <w:t>standard error [SE]</w:t>
      </w:r>
      <w:r w:rsidR="00CD3D90" w:rsidRPr="0002256C">
        <w:t>, 1.11) compared with placebo (LSM, 2.34; SE</w:t>
      </w:r>
      <w:r w:rsidR="00491000">
        <w:t>,</w:t>
      </w:r>
      <w:r w:rsidR="00CD3D90" w:rsidRPr="0002256C">
        <w:t xml:space="preserve"> 1.15) at Week 24</w:t>
      </w:r>
      <w:r w:rsidR="00236EBE">
        <w:t xml:space="preserve"> </w:t>
      </w:r>
      <w:r w:rsidR="00520C2C">
        <w:rPr>
          <w:noProof/>
          <w:color w:val="000000"/>
        </w:rPr>
        <w:t>[4]</w:t>
      </w:r>
      <w:r w:rsidR="00322B69" w:rsidRPr="00CD3D90">
        <w:rPr>
          <w:color w:val="000000"/>
        </w:rPr>
        <w:t>.</w:t>
      </w:r>
      <w:r w:rsidR="008C6316">
        <w:rPr>
          <w:color w:val="000000"/>
        </w:rPr>
        <w:t xml:space="preserve"> </w:t>
      </w:r>
      <w:r w:rsidR="0028551C">
        <w:rPr>
          <w:color w:val="000000"/>
        </w:rPr>
        <w:t>In V1aduct n</w:t>
      </w:r>
      <w:r w:rsidR="00F865F2" w:rsidRPr="004546D8">
        <w:rPr>
          <w:color w:val="000000"/>
        </w:rPr>
        <w:t>o consistent treatment effect was observed on the CGI-I scales</w:t>
      </w:r>
      <w:r w:rsidR="0028551C">
        <w:rPr>
          <w:color w:val="000000"/>
        </w:rPr>
        <w:t>, although a</w:t>
      </w:r>
      <w:r w:rsidR="00D15BDF" w:rsidRPr="003172FE">
        <w:rPr>
          <w:color w:val="000000"/>
        </w:rPr>
        <w:t xml:space="preserve"> numerically higher percentage of responders defined by CGI-I criteria (scores of 1 or 2) was observed in all three balovaptan doses compared with placebo at Week 12</w:t>
      </w:r>
      <w:r w:rsidR="00322B69">
        <w:rPr>
          <w:color w:val="000000"/>
        </w:rPr>
        <w:t xml:space="preserve"> </w:t>
      </w:r>
      <w:r w:rsidR="00322B69">
        <w:rPr>
          <w:noProof/>
          <w:color w:val="000000"/>
        </w:rPr>
        <w:t>[1]</w:t>
      </w:r>
      <w:r w:rsidR="00D15BDF">
        <w:rPr>
          <w:color w:val="000000"/>
        </w:rPr>
        <w:t xml:space="preserve">. </w:t>
      </w:r>
      <w:r w:rsidR="00AC4BE2">
        <w:rPr>
          <w:color w:val="000000"/>
        </w:rPr>
        <w:t>I</w:t>
      </w:r>
      <w:r w:rsidR="00D15BDF" w:rsidRPr="003172FE">
        <w:rPr>
          <w:color w:val="000000"/>
        </w:rPr>
        <w:t>n V1aduct a considerable proportion of participants in the placebo group reported improvements in CGI-I at Week 12 and Week 24</w:t>
      </w:r>
      <w:r w:rsidR="00322B69">
        <w:rPr>
          <w:color w:val="000000"/>
        </w:rPr>
        <w:t xml:space="preserve"> </w:t>
      </w:r>
      <w:r w:rsidR="00322B69">
        <w:rPr>
          <w:noProof/>
          <w:color w:val="000000"/>
        </w:rPr>
        <w:t>[3]</w:t>
      </w:r>
      <w:r w:rsidR="00D15BDF">
        <w:rPr>
          <w:color w:val="000000"/>
        </w:rPr>
        <w:t xml:space="preserve">. </w:t>
      </w:r>
      <w:r w:rsidR="00D15BDF" w:rsidRPr="00DF5CA4">
        <w:rPr>
          <w:color w:val="000000"/>
        </w:rPr>
        <w:t xml:space="preserve">In aV1ation at </w:t>
      </w:r>
      <w:r w:rsidR="00D15BDF">
        <w:rPr>
          <w:color w:val="000000"/>
        </w:rPr>
        <w:t>W</w:t>
      </w:r>
      <w:r w:rsidR="00D15BDF" w:rsidRPr="00DF5CA4">
        <w:rPr>
          <w:color w:val="000000"/>
        </w:rPr>
        <w:t>eeks 12 and 24, there were no differences in the proportion of responders defined by CGI-I criteria between balovaptan and placebo</w:t>
      </w:r>
      <w:r w:rsidR="00D15BDF">
        <w:rPr>
          <w:color w:val="000000"/>
        </w:rPr>
        <w:t xml:space="preserve"> </w:t>
      </w:r>
      <w:r w:rsidR="000F5D3A">
        <w:rPr>
          <w:noProof/>
          <w:color w:val="000000"/>
        </w:rPr>
        <w:t>[4]</w:t>
      </w:r>
      <w:r w:rsidR="00322B69" w:rsidRPr="00CD3D90">
        <w:rPr>
          <w:color w:val="000000"/>
        </w:rPr>
        <w:t>.</w:t>
      </w:r>
    </w:p>
    <w:p w14:paraId="5F74982A" w14:textId="2289D74A" w:rsidR="00B97DF0" w:rsidRDefault="00B97DF0">
      <w:pPr>
        <w:rPr>
          <w:b/>
        </w:rPr>
      </w:pPr>
      <w:r>
        <w:rPr>
          <w:b/>
        </w:rPr>
        <w:br w:type="page"/>
      </w:r>
    </w:p>
    <w:p w14:paraId="0F43CA84" w14:textId="5002DD17" w:rsidR="00D46AA9" w:rsidRDefault="00021777">
      <w:pPr>
        <w:rPr>
          <w:b/>
        </w:rPr>
      </w:pPr>
      <w:r>
        <w:rPr>
          <w:b/>
        </w:rPr>
        <w:lastRenderedPageBreak/>
        <w:t>Tables</w:t>
      </w:r>
    </w:p>
    <w:p w14:paraId="25C27FC8" w14:textId="06ABFE34" w:rsidR="00025276" w:rsidRDefault="007F587D">
      <w:r>
        <w:rPr>
          <w:b/>
        </w:rPr>
        <w:t xml:space="preserve">Table S1. </w:t>
      </w:r>
      <w:r>
        <w:t xml:space="preserve">Baseline characteristics of participants in the balovaptan and placebo arms of the V1aduct (a) Week 12 and (b) Week 24 cohorts. </w:t>
      </w:r>
    </w:p>
    <w:p w14:paraId="25C27FC9" w14:textId="77777777" w:rsidR="00025276" w:rsidRDefault="007F587D">
      <w:pPr>
        <w:tabs>
          <w:tab w:val="left" w:pos="1730"/>
        </w:tabs>
      </w:pPr>
      <w:r>
        <w:rPr>
          <w:b/>
        </w:rPr>
        <w:t>Table S2.</w:t>
      </w:r>
      <w:r>
        <w:t xml:space="preserve"> Baseline characteristics of participants in the balovaptan and placebo arms of the aV1ation (a) Week 12 and (b) Week 24 cohorts. </w:t>
      </w:r>
    </w:p>
    <w:p w14:paraId="25C27FCA" w14:textId="77777777" w:rsidR="00025276" w:rsidRDefault="007F587D">
      <w:r>
        <w:rPr>
          <w:b/>
        </w:rPr>
        <w:t>Table S3.</w:t>
      </w:r>
      <w:r>
        <w:t xml:space="preserve"> Baseline characteristics of participants in the balovaptan and placebo arms of the VANILLA Week 12 cohort. </w:t>
      </w:r>
    </w:p>
    <w:p w14:paraId="4EA74078" w14:textId="252D3BA9" w:rsidR="00021777" w:rsidRDefault="00021777"/>
    <w:p w14:paraId="7DACDA1B" w14:textId="77777777" w:rsidR="00F8036F" w:rsidRDefault="00F8036F">
      <w:pPr>
        <w:rPr>
          <w:b/>
          <w:bCs/>
        </w:rPr>
      </w:pPr>
      <w:r>
        <w:rPr>
          <w:b/>
          <w:bCs/>
        </w:rPr>
        <w:br w:type="page"/>
      </w:r>
    </w:p>
    <w:p w14:paraId="791BA3BB" w14:textId="11156ABF" w:rsidR="00021777" w:rsidRPr="004546D8" w:rsidRDefault="00021777">
      <w:pPr>
        <w:rPr>
          <w:b/>
          <w:bCs/>
        </w:rPr>
      </w:pPr>
      <w:r w:rsidRPr="004546D8">
        <w:rPr>
          <w:b/>
          <w:bCs/>
        </w:rPr>
        <w:lastRenderedPageBreak/>
        <w:t>Figures</w:t>
      </w:r>
    </w:p>
    <w:p w14:paraId="25C27FCF" w14:textId="77777777" w:rsidR="00025276" w:rsidRDefault="007F587D">
      <w:r>
        <w:rPr>
          <w:noProof/>
        </w:rPr>
        <w:drawing>
          <wp:inline distT="0" distB="0" distL="0" distR="0" wp14:anchorId="25C27FEB" wp14:editId="25C27FEC">
            <wp:extent cx="5731510" cy="7458710"/>
            <wp:effectExtent l="0" t="0" r="0" b="0"/>
            <wp:docPr id="13" name="image4.jpg" descr="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jpg" descr="Chart&#10;&#10;Description automatically generated with medium confidence"/>
                    <pic:cNvPicPr preferRelativeResize="0"/>
                  </pic:nvPicPr>
                  <pic:blipFill>
                    <a:blip r:embed="rId9"/>
                    <a:srcRect/>
                    <a:stretch>
                      <a:fillRect/>
                    </a:stretch>
                  </pic:blipFill>
                  <pic:spPr>
                    <a:xfrm>
                      <a:off x="0" y="0"/>
                      <a:ext cx="5731510" cy="7458710"/>
                    </a:xfrm>
                    <a:prstGeom prst="rect">
                      <a:avLst/>
                    </a:prstGeom>
                    <a:ln/>
                  </pic:spPr>
                </pic:pic>
              </a:graphicData>
            </a:graphic>
          </wp:inline>
        </w:drawing>
      </w:r>
    </w:p>
    <w:p w14:paraId="25C27FD0" w14:textId="77777777" w:rsidR="00025276" w:rsidRDefault="007F587D">
      <w:pPr>
        <w:rPr>
          <w:b/>
        </w:rPr>
        <w:sectPr w:rsidR="00025276">
          <w:pgSz w:w="11906" w:h="16838"/>
          <w:pgMar w:top="1440" w:right="1440" w:bottom="1440" w:left="1440" w:header="708" w:footer="708" w:gutter="0"/>
          <w:cols w:space="720"/>
        </w:sectPr>
      </w:pPr>
      <w:r>
        <w:rPr>
          <w:b/>
        </w:rPr>
        <w:t xml:space="preserve">Figure S1. </w:t>
      </w:r>
      <w:r>
        <w:t>Distributions of comorbidities and concomitant medications in the placebo arms of the aV1ation, VANILLA, and V1aduct study cohorts. Comorbidities experienced by less than 10 individuals were grouped in the “Others” category. Concomitant medications taken by less than 10 individuals were grouped in the “Others” category. NEC not elsewhere classified.</w:t>
      </w:r>
    </w:p>
    <w:p w14:paraId="25C27FD2" w14:textId="2EF546E6" w:rsidR="00025276" w:rsidRDefault="00E27D85">
      <w:pPr>
        <w:rPr>
          <w:b/>
        </w:rPr>
      </w:pPr>
      <w:r>
        <w:rPr>
          <w:noProof/>
        </w:rPr>
        <w:lastRenderedPageBreak/>
        <w:drawing>
          <wp:inline distT="0" distB="0" distL="0" distR="0" wp14:anchorId="12ADA04D" wp14:editId="24C4D9D4">
            <wp:extent cx="5731510" cy="5982970"/>
            <wp:effectExtent l="0" t="0" r="254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10"/>
                    <a:stretch>
                      <a:fillRect/>
                    </a:stretch>
                  </pic:blipFill>
                  <pic:spPr>
                    <a:xfrm>
                      <a:off x="0" y="0"/>
                      <a:ext cx="5731510" cy="5982970"/>
                    </a:xfrm>
                    <a:prstGeom prst="rect">
                      <a:avLst/>
                    </a:prstGeom>
                  </pic:spPr>
                </pic:pic>
              </a:graphicData>
            </a:graphic>
          </wp:inline>
        </w:drawing>
      </w:r>
    </w:p>
    <w:p w14:paraId="25C27FD3" w14:textId="77777777" w:rsidR="00025276" w:rsidRDefault="00025276">
      <w:pPr>
        <w:rPr>
          <w:b/>
        </w:rPr>
      </w:pPr>
    </w:p>
    <w:p w14:paraId="25C27FD4" w14:textId="68F80B84" w:rsidR="00025276" w:rsidRDefault="00527ABB">
      <w:sdt>
        <w:sdtPr>
          <w:tag w:val="goog_rdk_0"/>
          <w:id w:val="730818903"/>
        </w:sdtPr>
        <w:sdtEndPr/>
        <w:sdtContent/>
      </w:sdt>
      <w:r w:rsidR="007F587D" w:rsidRPr="00AA4BFB">
        <w:rPr>
          <w:b/>
        </w:rPr>
        <w:t xml:space="preserve">Figure S2. </w:t>
      </w:r>
      <w:r w:rsidR="007F587D" w:rsidRPr="00AA4BFB">
        <w:t>Distributions</w:t>
      </w:r>
      <w:r w:rsidR="007F587D">
        <w:t xml:space="preserve"> of outcomes and predictors by study in the Week 12 and Week 24 pooled placebo cohorts</w:t>
      </w:r>
      <w:sdt>
        <w:sdtPr>
          <w:tag w:val="goog_rdk_2"/>
          <w:id w:val="-1326967791"/>
        </w:sdtPr>
        <w:sdtEndPr/>
        <w:sdtContent>
          <w:r w:rsidR="007F587D">
            <w:t xml:space="preserve"> showing</w:t>
          </w:r>
        </w:sdtContent>
      </w:sdt>
      <w:sdt>
        <w:sdtPr>
          <w:tag w:val="goog_rdk_4"/>
          <w:id w:val="867874566"/>
        </w:sdtPr>
        <w:sdtEndPr/>
        <w:sdtContent>
          <w:r w:rsidR="007F587D">
            <w:t xml:space="preserve"> the behavior of corresponding cohorts, longitudinally. Only complete cases were included therefore Week 12 and Week 24 cohorts are disparate. </w:t>
          </w:r>
        </w:sdtContent>
      </w:sdt>
      <w:r w:rsidR="006204D1">
        <w:t xml:space="preserve">This figure </w:t>
      </w:r>
      <w:r w:rsidR="000436BD" w:rsidRPr="000436BD">
        <w:t>shows the alignment (same shape and trajectory) of the</w:t>
      </w:r>
      <w:r w:rsidR="00FC5CB2" w:rsidRPr="00FC5CB2">
        <w:t xml:space="preserve"> </w:t>
      </w:r>
      <w:r w:rsidR="00FC5CB2" w:rsidRPr="000436BD">
        <w:t>red (Week 12)</w:t>
      </w:r>
      <w:r w:rsidR="00FC5CB2">
        <w:t xml:space="preserve"> </w:t>
      </w:r>
      <w:r w:rsidR="004C05AF">
        <w:t>and b</w:t>
      </w:r>
      <w:r w:rsidR="000436BD" w:rsidRPr="000436BD">
        <w:t xml:space="preserve">lue (Week 24) </w:t>
      </w:r>
      <w:r w:rsidR="00FC5CB2" w:rsidRPr="000436BD">
        <w:t xml:space="preserve">curves </w:t>
      </w:r>
      <w:r w:rsidR="000436BD" w:rsidRPr="000436BD">
        <w:t xml:space="preserve">in </w:t>
      </w:r>
      <w:proofErr w:type="gramStart"/>
      <w:r w:rsidR="00D15BDF">
        <w:t xml:space="preserve">the </w:t>
      </w:r>
      <w:r w:rsidR="000436BD" w:rsidRPr="000436BD">
        <w:t>majority of</w:t>
      </w:r>
      <w:proofErr w:type="gramEnd"/>
      <w:r w:rsidR="000436BD" w:rsidRPr="000436BD">
        <w:t xml:space="preserve"> the scales, indicating similar behavior of patients. </w:t>
      </w:r>
      <w:r w:rsidR="00A77C6D">
        <w:t>C</w:t>
      </w:r>
      <w:r w:rsidR="000436BD" w:rsidRPr="000436BD">
        <w:t>ontrast scales with less alignment of curves highlight specific behavior differences of patients</w:t>
      </w:r>
      <w:r w:rsidR="00A24BBE">
        <w:t>,</w:t>
      </w:r>
      <w:r w:rsidR="000436BD" w:rsidRPr="000436BD">
        <w:t xml:space="preserve"> e.g.</w:t>
      </w:r>
      <w:r w:rsidR="008A0249">
        <w:t>,</w:t>
      </w:r>
      <w:r w:rsidR="000436BD" w:rsidRPr="000436BD">
        <w:t xml:space="preserve"> site</w:t>
      </w:r>
      <w:r w:rsidR="00ED0A71">
        <w:t xml:space="preserve"> </w:t>
      </w:r>
      <w:r w:rsidR="000436BD" w:rsidRPr="000436BD">
        <w:t>dropout by arm shows a different dropout pattern.</w:t>
      </w:r>
      <w:r w:rsidR="006204D1">
        <w:t xml:space="preserve"> </w:t>
      </w:r>
      <w:r w:rsidR="007F587D">
        <w:t>VABS_2DC indicates the plot for “CFB in VABS_2DC”. “VABS_2DC_baseline” indicates baseline distribution. Complete cases only. 2DC two</w:t>
      </w:r>
      <w:r w:rsidR="00457B5E">
        <w:t>-</w:t>
      </w:r>
      <w:r w:rsidR="007F587D">
        <w:t>domain composite, BBMI baseline BMI, BMI body mass index, CFB change from baseline, COM communication, SOC socialization, PedsQL Pediatric Quality of Life Inventory, RBS-R Repetitive Behavior Scale – Revised, SRS-2 Social Responsiveness Scale, 2</w:t>
      </w:r>
      <w:r w:rsidR="007F587D">
        <w:rPr>
          <w:vertAlign w:val="superscript"/>
        </w:rPr>
        <w:t>nd</w:t>
      </w:r>
      <w:r w:rsidR="007F587D">
        <w:t xml:space="preserve"> edition, VABS Vineland Adaptive Behavior Scales.</w:t>
      </w:r>
    </w:p>
    <w:p w14:paraId="6A8ADCE0" w14:textId="77777777" w:rsidR="00C16415" w:rsidRDefault="00C16415">
      <w:pPr>
        <w:sectPr w:rsidR="00C16415" w:rsidSect="00C16415">
          <w:pgSz w:w="11906" w:h="16838"/>
          <w:pgMar w:top="1440" w:right="1440" w:bottom="1440" w:left="1440" w:header="708" w:footer="708" w:gutter="0"/>
          <w:cols w:space="720"/>
          <w:docGrid w:linePitch="299"/>
        </w:sectPr>
      </w:pPr>
    </w:p>
    <w:p w14:paraId="25C27FD9" w14:textId="77777777" w:rsidR="00025276" w:rsidRDefault="00025276"/>
    <w:p w14:paraId="25C27FDA" w14:textId="77777777" w:rsidR="00025276" w:rsidRDefault="007F587D">
      <w:r>
        <w:rPr>
          <w:noProof/>
        </w:rPr>
        <w:drawing>
          <wp:inline distT="0" distB="0" distL="0" distR="0" wp14:anchorId="25C27FEF" wp14:editId="25C27FF0">
            <wp:extent cx="8753295" cy="3877463"/>
            <wp:effectExtent l="0" t="0" r="0" b="0"/>
            <wp:docPr id="14" name="image1.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ox and whisker chart&#10;&#10;Description automatically generated"/>
                    <pic:cNvPicPr preferRelativeResize="0"/>
                  </pic:nvPicPr>
                  <pic:blipFill>
                    <a:blip r:embed="rId11"/>
                    <a:srcRect/>
                    <a:stretch>
                      <a:fillRect/>
                    </a:stretch>
                  </pic:blipFill>
                  <pic:spPr>
                    <a:xfrm>
                      <a:off x="0" y="0"/>
                      <a:ext cx="8753295" cy="3877463"/>
                    </a:xfrm>
                    <a:prstGeom prst="rect">
                      <a:avLst/>
                    </a:prstGeom>
                    <a:ln/>
                  </pic:spPr>
                </pic:pic>
              </a:graphicData>
            </a:graphic>
          </wp:inline>
        </w:drawing>
      </w:r>
    </w:p>
    <w:p w14:paraId="25C27FDB" w14:textId="55E5E1D4" w:rsidR="00025276" w:rsidRDefault="007F587D">
      <w:pPr>
        <w:sectPr w:rsidR="00025276" w:rsidSect="004546D8">
          <w:pgSz w:w="16838" w:h="11906" w:orient="landscape"/>
          <w:pgMar w:top="1440" w:right="1440" w:bottom="1440" w:left="1440" w:header="708" w:footer="708" w:gutter="0"/>
          <w:cols w:space="720"/>
          <w:docGrid w:linePitch="299"/>
        </w:sectPr>
      </w:pPr>
      <w:r>
        <w:rPr>
          <w:b/>
        </w:rPr>
        <w:t xml:space="preserve">Figure S3. </w:t>
      </w:r>
      <w:r>
        <w:t>Performance of candidate models on Step 1 (predictor selection) for</w:t>
      </w:r>
      <w:r>
        <w:rPr>
          <w:b/>
        </w:rPr>
        <w:t xml:space="preserve"> </w:t>
      </w:r>
      <w:r>
        <w:t>CGI-I at Week 12. Highly similar results were observed at Week 24; Week 24 results are not reported, to avoid repetitive data presentation. ROC value was close to 0.5, indicating poor fit. CGI</w:t>
      </w:r>
      <w:r w:rsidR="00C77DAF">
        <w:t>-</w:t>
      </w:r>
      <w:r>
        <w:t xml:space="preserve">I Clinical Global Impressions Scale – Improvement, ROC area under the receiver operating curve, spec specificity, </w:t>
      </w:r>
      <w:proofErr w:type="spellStart"/>
      <w:r>
        <w:t>sens</w:t>
      </w:r>
      <w:proofErr w:type="spellEnd"/>
      <w:r>
        <w:t xml:space="preserve"> sensitivity. </w:t>
      </w:r>
    </w:p>
    <w:p w14:paraId="25C27FDC" w14:textId="77777777" w:rsidR="00025276" w:rsidRDefault="00025276">
      <w:pPr>
        <w:tabs>
          <w:tab w:val="left" w:pos="952"/>
        </w:tabs>
      </w:pPr>
    </w:p>
    <w:p w14:paraId="25C27FDD" w14:textId="77777777" w:rsidR="00025276" w:rsidRDefault="007F587D">
      <w:r>
        <w:rPr>
          <w:noProof/>
        </w:rPr>
        <w:drawing>
          <wp:inline distT="0" distB="0" distL="0" distR="0" wp14:anchorId="25C27FF1" wp14:editId="25C27FF2">
            <wp:extent cx="5774431" cy="4943179"/>
            <wp:effectExtent l="0" t="0" r="0" b="0"/>
            <wp:docPr id="17" name="image3.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Chart, scatter chart&#10;&#10;Description automatically generated"/>
                    <pic:cNvPicPr preferRelativeResize="0"/>
                  </pic:nvPicPr>
                  <pic:blipFill>
                    <a:blip r:embed="rId12"/>
                    <a:srcRect/>
                    <a:stretch>
                      <a:fillRect/>
                    </a:stretch>
                  </pic:blipFill>
                  <pic:spPr>
                    <a:xfrm>
                      <a:off x="0" y="0"/>
                      <a:ext cx="5774431" cy="4943179"/>
                    </a:xfrm>
                    <a:prstGeom prst="rect">
                      <a:avLst/>
                    </a:prstGeom>
                    <a:ln/>
                  </pic:spPr>
                </pic:pic>
              </a:graphicData>
            </a:graphic>
          </wp:inline>
        </w:drawing>
      </w:r>
    </w:p>
    <w:p w14:paraId="25C27FDE" w14:textId="6E7B266D" w:rsidR="00025276" w:rsidRDefault="007F587D">
      <w:pPr>
        <w:tabs>
          <w:tab w:val="left" w:pos="1245"/>
        </w:tabs>
      </w:pPr>
      <w:r>
        <w:rPr>
          <w:b/>
        </w:rPr>
        <w:t>Figure S4.</w:t>
      </w:r>
      <w:r>
        <w:t xml:space="preserve"> Variable selection for change from baseline in CGI-I in the pooled Week 12 cohort. </w:t>
      </w:r>
      <w:sdt>
        <w:sdtPr>
          <w:tag w:val="goog_rdk_10"/>
          <w:id w:val="-496195085"/>
        </w:sdtPr>
        <w:sdtEndPr/>
        <w:sdtContent>
          <w:r>
            <w:t xml:space="preserve">Importance values are based on the estimated standard coefficient with values within </w:t>
          </w:r>
          <w:r w:rsidR="00EB79C1">
            <w:rPr>
              <w:rStyle w:val="cf01"/>
            </w:rPr>
            <w:t>+/–</w:t>
          </w:r>
          <w:r>
            <w:t xml:space="preserve">1.96 (range set at </w:t>
          </w:r>
          <w:r w:rsidR="00EB79C1">
            <w:rPr>
              <w:rStyle w:val="cf01"/>
            </w:rPr>
            <w:t>+/–</w:t>
          </w:r>
          <w:r>
            <w:t xml:space="preserve">2) being </w:t>
          </w:r>
          <w:r w:rsidR="00491BCE">
            <w:t>non-</w:t>
          </w:r>
          <w:r>
            <w:t xml:space="preserve">significant, and values outside of –2 and 2 being significant. </w:t>
          </w:r>
        </w:sdtContent>
      </w:sdt>
      <w:sdt>
        <w:sdtPr>
          <w:tag w:val="goog_rdk_11"/>
          <w:id w:val="796719355"/>
        </w:sdtPr>
        <w:sdtEndPr/>
        <w:sdtContent>
          <w:r>
            <w:t xml:space="preserve">All the variables were non-significant in this model and hence </w:t>
          </w:r>
          <w:r w:rsidR="00D15032">
            <w:t>S</w:t>
          </w:r>
          <w:r>
            <w:t xml:space="preserve">tep 2 of the analyses were not carried forward for CGI-I. </w:t>
          </w:r>
        </w:sdtContent>
      </w:sdt>
      <w:r w:rsidR="005173EC" w:rsidRPr="005173EC">
        <w:t>CGI</w:t>
      </w:r>
      <w:r w:rsidR="00C77DAF">
        <w:t>-</w:t>
      </w:r>
      <w:r w:rsidR="005173EC" w:rsidRPr="005173EC">
        <w:t>I Clinical Global Impressions Scale – Improvement</w:t>
      </w:r>
      <w:r>
        <w:t>, COM communication, EU Europe, IQ intelligence quotient, PedsQL Pediatric Quality of Life Inventory, NEG negative, POS positive, RBS-R Repetitive Behavior Scale – Revised, SOC socialization, VABS Vineland Adaptive Behavior Scales.</w:t>
      </w:r>
    </w:p>
    <w:p w14:paraId="25C27FDF" w14:textId="77777777" w:rsidR="00025276" w:rsidRDefault="00025276"/>
    <w:p w14:paraId="25C27FE0" w14:textId="77777777" w:rsidR="00025276" w:rsidRDefault="00025276"/>
    <w:p w14:paraId="25C27FE1" w14:textId="77777777" w:rsidR="00025276" w:rsidRDefault="00025276"/>
    <w:p w14:paraId="25C27FE2" w14:textId="77777777" w:rsidR="00025276" w:rsidRDefault="00025276"/>
    <w:p w14:paraId="25C27FE3" w14:textId="77777777" w:rsidR="00025276" w:rsidRDefault="00025276"/>
    <w:p w14:paraId="25C27FE4" w14:textId="77777777" w:rsidR="00025276" w:rsidRDefault="00025276"/>
    <w:p w14:paraId="25C27FE5" w14:textId="77777777" w:rsidR="00025276" w:rsidRDefault="00025276"/>
    <w:p w14:paraId="25C27FE6" w14:textId="77777777" w:rsidR="00025276" w:rsidRDefault="00025276"/>
    <w:p w14:paraId="25C27FE7" w14:textId="77777777" w:rsidR="00025276" w:rsidRDefault="00025276"/>
    <w:p w14:paraId="25C27FE8" w14:textId="77777777" w:rsidR="00025276" w:rsidRDefault="007F587D">
      <w:pPr>
        <w:rPr>
          <w:b/>
        </w:rPr>
      </w:pPr>
      <w:r>
        <w:rPr>
          <w:noProof/>
        </w:rPr>
        <w:drawing>
          <wp:inline distT="0" distB="0" distL="0" distR="0" wp14:anchorId="25C27FF3" wp14:editId="25C27FF4">
            <wp:extent cx="5731510" cy="5069801"/>
            <wp:effectExtent l="0" t="0" r="0" b="0"/>
            <wp:docPr id="16" name="image2.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bar chart&#10;&#10;Description automatically generated"/>
                    <pic:cNvPicPr preferRelativeResize="0"/>
                  </pic:nvPicPr>
                  <pic:blipFill>
                    <a:blip r:embed="rId13"/>
                    <a:srcRect b="313"/>
                    <a:stretch>
                      <a:fillRect/>
                    </a:stretch>
                  </pic:blipFill>
                  <pic:spPr>
                    <a:xfrm>
                      <a:off x="0" y="0"/>
                      <a:ext cx="5731510" cy="5069801"/>
                    </a:xfrm>
                    <a:prstGeom prst="rect">
                      <a:avLst/>
                    </a:prstGeom>
                    <a:ln/>
                  </pic:spPr>
                </pic:pic>
              </a:graphicData>
            </a:graphic>
          </wp:inline>
        </w:drawing>
      </w:r>
    </w:p>
    <w:p w14:paraId="25C27FE9" w14:textId="77777777" w:rsidR="00025276" w:rsidRDefault="00025276">
      <w:pPr>
        <w:rPr>
          <w:b/>
        </w:rPr>
      </w:pPr>
    </w:p>
    <w:p w14:paraId="1000BCE2" w14:textId="77777777" w:rsidR="008A323B" w:rsidRDefault="007F587D">
      <w:r>
        <w:rPr>
          <w:b/>
        </w:rPr>
        <w:t>Figure S5.</w:t>
      </w:r>
      <w:r>
        <w:t xml:space="preserve"> Correlations between predictors at baseline. Associations between RBS-R subscales and other predictors were very low, while associations between the subscales themselves were high (the darker the blue box, the higher the correlation). BBMI Baseline BMI, BMI Body mass index, CGISCAT Clinical Global Impressions Scale – Severity, category, EU Europe, IQ Intelligence Quotient, M Male, RBS-R repetitive behavior scale – Revised, VABS 2DC Vineland Adaptive Behavior Scales, Y Yes.</w:t>
      </w:r>
    </w:p>
    <w:p w14:paraId="43832D7B" w14:textId="0174174F" w:rsidR="008A323B" w:rsidRDefault="008A323B">
      <w:r>
        <w:br w:type="page"/>
      </w:r>
    </w:p>
    <w:p w14:paraId="5DAEF309" w14:textId="5A1851DF" w:rsidR="008A323B" w:rsidRPr="004546D8" w:rsidRDefault="008A323B">
      <w:pPr>
        <w:rPr>
          <w:b/>
          <w:bCs/>
        </w:rPr>
      </w:pPr>
      <w:r w:rsidRPr="004546D8">
        <w:rPr>
          <w:b/>
          <w:bCs/>
        </w:rPr>
        <w:lastRenderedPageBreak/>
        <w:t>References</w:t>
      </w:r>
    </w:p>
    <w:p w14:paraId="290B7B8A" w14:textId="77777777" w:rsidR="009F194E" w:rsidRPr="009F194E" w:rsidRDefault="009F194E" w:rsidP="009F194E">
      <w:pPr>
        <w:rPr>
          <w:noProof/>
          <w:lang w:val="en-GB"/>
        </w:rPr>
      </w:pPr>
      <w:r w:rsidRPr="009F194E">
        <w:rPr>
          <w:noProof/>
          <w:lang w:val="en-GB"/>
        </w:rPr>
        <w:t>1.</w:t>
      </w:r>
      <w:r w:rsidRPr="009F194E">
        <w:rPr>
          <w:noProof/>
          <w:lang w:val="en-GB"/>
        </w:rPr>
        <w:tab/>
        <w:t xml:space="preserve">Bolognani F, Del Valle Rubido M, Squassante L, Wandel C, Derks M, Murtagh L, et al. A phase 2 clinical trial of a vasopressin V1a receptor antagonist shows improved adaptive behaviors in men with autism spectrum disorder. Sci Transl Med. 2019;11:eaat7838. </w:t>
      </w:r>
    </w:p>
    <w:p w14:paraId="388F2883" w14:textId="77777777" w:rsidR="009F194E" w:rsidRPr="009F194E" w:rsidRDefault="009F194E" w:rsidP="009F194E">
      <w:pPr>
        <w:rPr>
          <w:noProof/>
          <w:lang w:val="en-GB"/>
        </w:rPr>
      </w:pPr>
      <w:r w:rsidRPr="009F194E">
        <w:rPr>
          <w:noProof/>
          <w:lang w:val="en-GB"/>
        </w:rPr>
        <w:t>2.</w:t>
      </w:r>
      <w:r w:rsidRPr="009F194E">
        <w:rPr>
          <w:noProof/>
          <w:lang w:val="en-GB"/>
        </w:rPr>
        <w:tab/>
        <w:t>Jacob S, Anagnostou E, Hollander E, Jou R, McNamara N, Sikich L, et al. Key insights gained from the balovaptan clinical development program. Mol Autism. 2022;13:25.</w:t>
      </w:r>
    </w:p>
    <w:p w14:paraId="6711F916" w14:textId="77777777" w:rsidR="009F194E" w:rsidRPr="009F194E" w:rsidRDefault="009F194E" w:rsidP="009F194E">
      <w:pPr>
        <w:rPr>
          <w:noProof/>
          <w:lang w:val="en-GB"/>
        </w:rPr>
      </w:pPr>
      <w:r w:rsidRPr="009F194E">
        <w:rPr>
          <w:noProof/>
          <w:lang w:val="en-GB"/>
        </w:rPr>
        <w:t>3.</w:t>
      </w:r>
      <w:r w:rsidRPr="009F194E">
        <w:rPr>
          <w:noProof/>
          <w:lang w:val="en-GB"/>
        </w:rPr>
        <w:tab/>
        <w:t xml:space="preserve">Jacob S, Veenstra-VanderWeele J, Murphy D, McCracken J, Smith J, Sanders K, et al. Efficacy and safety of balovaptan for socialisation and communication difficulties in autistic adults in North America and Europe: a phase 3, randomised, placebo-controlled trial. Lancet Psychiatry. 2022;9:199–210. </w:t>
      </w:r>
    </w:p>
    <w:p w14:paraId="25C27FEA" w14:textId="378DB67B" w:rsidR="00025276" w:rsidRDefault="009F194E" w:rsidP="009F194E">
      <w:r w:rsidRPr="009F194E">
        <w:rPr>
          <w:noProof/>
          <w:lang w:val="en-GB"/>
        </w:rPr>
        <w:t>4.</w:t>
      </w:r>
      <w:r w:rsidRPr="009F194E">
        <w:rPr>
          <w:noProof/>
          <w:lang w:val="en-GB"/>
        </w:rPr>
        <w:tab/>
        <w:t>Hollander E, Jacob S, Jou R, McNamara N, Sikich L, Tobe R, et al. Balovaptan vs placebo for social communication in childhood autism spectrum disorder: a randomized clinical trial. JAMA Psychiatry. 2022;79:760–9.</w:t>
      </w:r>
    </w:p>
    <w:sectPr w:rsidR="0002527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DB6F" w14:textId="77777777" w:rsidR="00037509" w:rsidRDefault="00037509">
      <w:pPr>
        <w:spacing w:after="0" w:line="240" w:lineRule="auto"/>
      </w:pPr>
      <w:r>
        <w:separator/>
      </w:r>
    </w:p>
  </w:endnote>
  <w:endnote w:type="continuationSeparator" w:id="0">
    <w:p w14:paraId="72E1D55A" w14:textId="77777777" w:rsidR="00037509" w:rsidRDefault="00037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7FFC" w14:textId="77777777" w:rsidR="00025276" w:rsidRDefault="0002527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3E6A" w14:textId="77777777" w:rsidR="00037509" w:rsidRDefault="00037509">
      <w:pPr>
        <w:spacing w:after="0" w:line="240" w:lineRule="auto"/>
      </w:pPr>
      <w:r>
        <w:separator/>
      </w:r>
    </w:p>
  </w:footnote>
  <w:footnote w:type="continuationSeparator" w:id="0">
    <w:p w14:paraId="0F32431D" w14:textId="77777777" w:rsidR="00037509" w:rsidRDefault="00037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7FFB" w14:textId="77777777" w:rsidR="00025276" w:rsidRDefault="00025276">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vx0002ne9t5bew0xppvtxjasz9xstrrr95&quot;&gt;abbie.saunders@articulatescience.com&lt;record-ids&gt;&lt;item&gt;6299&lt;/item&gt;&lt;item&gt;7074&lt;/item&gt;&lt;item&gt;7989&lt;/item&gt;&lt;item&gt;8613&lt;/item&gt;&lt;/record-ids&gt;&lt;/item&gt;&lt;/Libraries&gt;"/>
  </w:docVars>
  <w:rsids>
    <w:rsidRoot w:val="00025276"/>
    <w:rsid w:val="00000492"/>
    <w:rsid w:val="00016A88"/>
    <w:rsid w:val="00021777"/>
    <w:rsid w:val="0002256C"/>
    <w:rsid w:val="00025276"/>
    <w:rsid w:val="00031F01"/>
    <w:rsid w:val="00037509"/>
    <w:rsid w:val="00037D10"/>
    <w:rsid w:val="000436BD"/>
    <w:rsid w:val="00055C4C"/>
    <w:rsid w:val="000635E3"/>
    <w:rsid w:val="00072360"/>
    <w:rsid w:val="000801B1"/>
    <w:rsid w:val="000A2718"/>
    <w:rsid w:val="000C2931"/>
    <w:rsid w:val="000E2947"/>
    <w:rsid w:val="000F2767"/>
    <w:rsid w:val="000F34F8"/>
    <w:rsid w:val="000F5936"/>
    <w:rsid w:val="000F5D3A"/>
    <w:rsid w:val="00105F2F"/>
    <w:rsid w:val="00132F61"/>
    <w:rsid w:val="00137221"/>
    <w:rsid w:val="00163E02"/>
    <w:rsid w:val="001B474D"/>
    <w:rsid w:val="001B4A29"/>
    <w:rsid w:val="001F36EA"/>
    <w:rsid w:val="001F4151"/>
    <w:rsid w:val="002056D9"/>
    <w:rsid w:val="002166B1"/>
    <w:rsid w:val="00236EBE"/>
    <w:rsid w:val="00241CE1"/>
    <w:rsid w:val="00257E03"/>
    <w:rsid w:val="00282764"/>
    <w:rsid w:val="0028551C"/>
    <w:rsid w:val="00291645"/>
    <w:rsid w:val="00295717"/>
    <w:rsid w:val="002A4CD0"/>
    <w:rsid w:val="002B6B2D"/>
    <w:rsid w:val="002E5554"/>
    <w:rsid w:val="0030331C"/>
    <w:rsid w:val="0031470C"/>
    <w:rsid w:val="003152A4"/>
    <w:rsid w:val="003172FE"/>
    <w:rsid w:val="00322B69"/>
    <w:rsid w:val="00371C40"/>
    <w:rsid w:val="003735D0"/>
    <w:rsid w:val="003817F6"/>
    <w:rsid w:val="00392802"/>
    <w:rsid w:val="003A4048"/>
    <w:rsid w:val="003B27E1"/>
    <w:rsid w:val="003C3A88"/>
    <w:rsid w:val="003C7F8F"/>
    <w:rsid w:val="003D66CB"/>
    <w:rsid w:val="003F7BFC"/>
    <w:rsid w:val="00420A51"/>
    <w:rsid w:val="00440617"/>
    <w:rsid w:val="00440BEB"/>
    <w:rsid w:val="00442E4B"/>
    <w:rsid w:val="004546D8"/>
    <w:rsid w:val="00457B5E"/>
    <w:rsid w:val="0046323B"/>
    <w:rsid w:val="00472DF8"/>
    <w:rsid w:val="00474A85"/>
    <w:rsid w:val="00475519"/>
    <w:rsid w:val="00491000"/>
    <w:rsid w:val="00491BCE"/>
    <w:rsid w:val="00494BEF"/>
    <w:rsid w:val="004C05AF"/>
    <w:rsid w:val="004D4573"/>
    <w:rsid w:val="004F689D"/>
    <w:rsid w:val="005048F8"/>
    <w:rsid w:val="00506955"/>
    <w:rsid w:val="005173EC"/>
    <w:rsid w:val="00520C2C"/>
    <w:rsid w:val="00527ABB"/>
    <w:rsid w:val="00542D53"/>
    <w:rsid w:val="00544C46"/>
    <w:rsid w:val="00554B18"/>
    <w:rsid w:val="00590CE7"/>
    <w:rsid w:val="005F6D54"/>
    <w:rsid w:val="006204D1"/>
    <w:rsid w:val="006343A7"/>
    <w:rsid w:val="00634B61"/>
    <w:rsid w:val="00635E70"/>
    <w:rsid w:val="00636EED"/>
    <w:rsid w:val="00644591"/>
    <w:rsid w:val="00661FDA"/>
    <w:rsid w:val="006771F7"/>
    <w:rsid w:val="006A0A4D"/>
    <w:rsid w:val="006B093E"/>
    <w:rsid w:val="006B3158"/>
    <w:rsid w:val="006C58F8"/>
    <w:rsid w:val="006C5AC5"/>
    <w:rsid w:val="006E0728"/>
    <w:rsid w:val="006F05B3"/>
    <w:rsid w:val="007122CB"/>
    <w:rsid w:val="00747548"/>
    <w:rsid w:val="0075788F"/>
    <w:rsid w:val="00794F51"/>
    <w:rsid w:val="007B6854"/>
    <w:rsid w:val="007C2146"/>
    <w:rsid w:val="007C7551"/>
    <w:rsid w:val="007E573B"/>
    <w:rsid w:val="007F587D"/>
    <w:rsid w:val="00811468"/>
    <w:rsid w:val="00827057"/>
    <w:rsid w:val="00842F1F"/>
    <w:rsid w:val="0086171D"/>
    <w:rsid w:val="00882FDE"/>
    <w:rsid w:val="008A0249"/>
    <w:rsid w:val="008A323B"/>
    <w:rsid w:val="008B256A"/>
    <w:rsid w:val="008B5D6A"/>
    <w:rsid w:val="008C6316"/>
    <w:rsid w:val="00941F2A"/>
    <w:rsid w:val="009454D1"/>
    <w:rsid w:val="00954429"/>
    <w:rsid w:val="00994818"/>
    <w:rsid w:val="009C2450"/>
    <w:rsid w:val="009E1F73"/>
    <w:rsid w:val="009F194E"/>
    <w:rsid w:val="009F32C2"/>
    <w:rsid w:val="009F4AC1"/>
    <w:rsid w:val="00A04E7F"/>
    <w:rsid w:val="00A079CF"/>
    <w:rsid w:val="00A24BBE"/>
    <w:rsid w:val="00A41AA5"/>
    <w:rsid w:val="00A455CD"/>
    <w:rsid w:val="00A56CD2"/>
    <w:rsid w:val="00A61E45"/>
    <w:rsid w:val="00A72926"/>
    <w:rsid w:val="00A77C6D"/>
    <w:rsid w:val="00A83A60"/>
    <w:rsid w:val="00A84E10"/>
    <w:rsid w:val="00A95719"/>
    <w:rsid w:val="00AA206E"/>
    <w:rsid w:val="00AA266D"/>
    <w:rsid w:val="00AA4BFB"/>
    <w:rsid w:val="00AC4BE2"/>
    <w:rsid w:val="00AD295C"/>
    <w:rsid w:val="00B02EA1"/>
    <w:rsid w:val="00B0310F"/>
    <w:rsid w:val="00B2103D"/>
    <w:rsid w:val="00B320F5"/>
    <w:rsid w:val="00B3377E"/>
    <w:rsid w:val="00B537D8"/>
    <w:rsid w:val="00B82EF5"/>
    <w:rsid w:val="00B9135C"/>
    <w:rsid w:val="00B91BCD"/>
    <w:rsid w:val="00B97DF0"/>
    <w:rsid w:val="00BC073F"/>
    <w:rsid w:val="00BC6984"/>
    <w:rsid w:val="00BF31D2"/>
    <w:rsid w:val="00BF377A"/>
    <w:rsid w:val="00C0190E"/>
    <w:rsid w:val="00C16415"/>
    <w:rsid w:val="00C225DA"/>
    <w:rsid w:val="00C251C0"/>
    <w:rsid w:val="00C268A6"/>
    <w:rsid w:val="00C73D92"/>
    <w:rsid w:val="00C77DAF"/>
    <w:rsid w:val="00C83AC2"/>
    <w:rsid w:val="00CB67A8"/>
    <w:rsid w:val="00CC16AC"/>
    <w:rsid w:val="00CD3D90"/>
    <w:rsid w:val="00CD60E7"/>
    <w:rsid w:val="00CE5B9E"/>
    <w:rsid w:val="00D15032"/>
    <w:rsid w:val="00D15BDF"/>
    <w:rsid w:val="00D46AA9"/>
    <w:rsid w:val="00D54ADE"/>
    <w:rsid w:val="00D64830"/>
    <w:rsid w:val="00D66240"/>
    <w:rsid w:val="00D814A0"/>
    <w:rsid w:val="00D8684C"/>
    <w:rsid w:val="00DA3377"/>
    <w:rsid w:val="00DB38F2"/>
    <w:rsid w:val="00DB64B6"/>
    <w:rsid w:val="00DC297F"/>
    <w:rsid w:val="00DD05A4"/>
    <w:rsid w:val="00DF1D29"/>
    <w:rsid w:val="00DF7866"/>
    <w:rsid w:val="00E25DBF"/>
    <w:rsid w:val="00E27D85"/>
    <w:rsid w:val="00E44D34"/>
    <w:rsid w:val="00E47935"/>
    <w:rsid w:val="00E5438D"/>
    <w:rsid w:val="00E55470"/>
    <w:rsid w:val="00EB79C1"/>
    <w:rsid w:val="00ED0A71"/>
    <w:rsid w:val="00F1415F"/>
    <w:rsid w:val="00F41130"/>
    <w:rsid w:val="00F443F5"/>
    <w:rsid w:val="00F457EC"/>
    <w:rsid w:val="00F55853"/>
    <w:rsid w:val="00F62584"/>
    <w:rsid w:val="00F63EFB"/>
    <w:rsid w:val="00F8036F"/>
    <w:rsid w:val="00F848C7"/>
    <w:rsid w:val="00F865F2"/>
    <w:rsid w:val="00FC5CB2"/>
    <w:rsid w:val="00FC6760"/>
    <w:rsid w:val="00FD25C3"/>
    <w:rsid w:val="00FD698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27FBB"/>
  <w15:docId w15:val="{2106B089-9E86-45FC-AA3A-F8F3474F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92489C"/>
    <w:rPr>
      <w:sz w:val="16"/>
      <w:szCs w:val="16"/>
    </w:rPr>
  </w:style>
  <w:style w:type="paragraph" w:styleId="CommentText">
    <w:name w:val="annotation text"/>
    <w:basedOn w:val="Normal"/>
    <w:link w:val="CommentTextChar"/>
    <w:uiPriority w:val="99"/>
    <w:unhideWhenUsed/>
    <w:rsid w:val="0092489C"/>
    <w:pPr>
      <w:spacing w:line="240" w:lineRule="auto"/>
    </w:pPr>
    <w:rPr>
      <w:sz w:val="20"/>
      <w:szCs w:val="20"/>
    </w:rPr>
  </w:style>
  <w:style w:type="character" w:customStyle="1" w:styleId="CommentTextChar">
    <w:name w:val="Comment Text Char"/>
    <w:basedOn w:val="DefaultParagraphFont"/>
    <w:link w:val="CommentText"/>
    <w:uiPriority w:val="99"/>
    <w:rsid w:val="0092489C"/>
    <w:rPr>
      <w:sz w:val="20"/>
      <w:szCs w:val="20"/>
    </w:rPr>
  </w:style>
  <w:style w:type="table" w:styleId="TableGrid">
    <w:name w:val="Table Grid"/>
    <w:basedOn w:val="TableNormal"/>
    <w:uiPriority w:val="39"/>
    <w:rsid w:val="00924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2489C"/>
    <w:rPr>
      <w:b/>
      <w:bCs/>
    </w:rPr>
  </w:style>
  <w:style w:type="character" w:customStyle="1" w:styleId="CommentSubjectChar">
    <w:name w:val="Comment Subject Char"/>
    <w:basedOn w:val="CommentTextChar"/>
    <w:link w:val="CommentSubject"/>
    <w:uiPriority w:val="99"/>
    <w:semiHidden/>
    <w:rsid w:val="0092489C"/>
    <w:rPr>
      <w:b/>
      <w:bCs/>
      <w:sz w:val="20"/>
      <w:szCs w:val="20"/>
    </w:rPr>
  </w:style>
  <w:style w:type="paragraph" w:styleId="Header">
    <w:name w:val="header"/>
    <w:basedOn w:val="Normal"/>
    <w:link w:val="HeaderChar"/>
    <w:uiPriority w:val="99"/>
    <w:unhideWhenUsed/>
    <w:rsid w:val="00117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DC0"/>
  </w:style>
  <w:style w:type="paragraph" w:styleId="Footer">
    <w:name w:val="footer"/>
    <w:basedOn w:val="Normal"/>
    <w:link w:val="FooterChar"/>
    <w:uiPriority w:val="99"/>
    <w:unhideWhenUsed/>
    <w:rsid w:val="00117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DC0"/>
  </w:style>
  <w:style w:type="paragraph" w:styleId="Revision">
    <w:name w:val="Revision"/>
    <w:hidden/>
    <w:uiPriority w:val="99"/>
    <w:semiHidden/>
    <w:rsid w:val="003231A8"/>
    <w:pPr>
      <w:spacing w:after="0" w:line="240" w:lineRule="auto"/>
    </w:pPr>
  </w:style>
  <w:style w:type="paragraph" w:styleId="BalloonText">
    <w:name w:val="Balloon Text"/>
    <w:basedOn w:val="Normal"/>
    <w:link w:val="BalloonTextChar"/>
    <w:uiPriority w:val="99"/>
    <w:semiHidden/>
    <w:unhideWhenUsed/>
    <w:rsid w:val="00EB5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58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67F6B"/>
    <w:rPr>
      <w:color w:val="0563C1" w:themeColor="hyperlink"/>
      <w:u w:val="single"/>
    </w:rPr>
  </w:style>
  <w:style w:type="character" w:styleId="UnresolvedMention">
    <w:name w:val="Unresolved Mention"/>
    <w:basedOn w:val="DefaultParagraphFont"/>
    <w:uiPriority w:val="99"/>
    <w:semiHidden/>
    <w:unhideWhenUsed/>
    <w:rsid w:val="00F67F6B"/>
    <w:rPr>
      <w:color w:val="605E5C"/>
      <w:shd w:val="clear" w:color="auto" w:fill="E1DFDD"/>
    </w:rPr>
  </w:style>
  <w:style w:type="character" w:customStyle="1" w:styleId="cf01">
    <w:name w:val="cf01"/>
    <w:basedOn w:val="DefaultParagraphFont"/>
    <w:rsid w:val="00AA266D"/>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8A323B"/>
    <w:pPr>
      <w:spacing w:after="0"/>
      <w:jc w:val="center"/>
    </w:pPr>
    <w:rPr>
      <w:noProof/>
      <w:lang w:val="en-GB"/>
    </w:rPr>
  </w:style>
  <w:style w:type="character" w:customStyle="1" w:styleId="EndNoteBibliographyTitleChar">
    <w:name w:val="EndNote Bibliography Title Char"/>
    <w:basedOn w:val="DefaultParagraphFont"/>
    <w:link w:val="EndNoteBibliographyTitle"/>
    <w:rsid w:val="008A323B"/>
    <w:rPr>
      <w:noProof/>
      <w:lang w:val="en-GB"/>
    </w:rPr>
  </w:style>
  <w:style w:type="paragraph" w:customStyle="1" w:styleId="EndNoteBibliography">
    <w:name w:val="EndNote Bibliography"/>
    <w:basedOn w:val="Normal"/>
    <w:link w:val="EndNoteBibliographyChar"/>
    <w:rsid w:val="008A323B"/>
    <w:pPr>
      <w:spacing w:line="240" w:lineRule="auto"/>
    </w:pPr>
    <w:rPr>
      <w:noProof/>
      <w:lang w:val="en-GB"/>
    </w:rPr>
  </w:style>
  <w:style w:type="character" w:customStyle="1" w:styleId="EndNoteBibliographyChar">
    <w:name w:val="EndNote Bibliography Char"/>
    <w:basedOn w:val="DefaultParagraphFont"/>
    <w:link w:val="EndNoteBibliography"/>
    <w:rsid w:val="008A323B"/>
    <w:rPr>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s0qGOxK0vn11kVGbg6F42NXZbw==">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Davis (AS)</dc:creator>
  <cp:lastModifiedBy>Frank Biegun</cp:lastModifiedBy>
  <cp:revision>2</cp:revision>
  <dcterms:created xsi:type="dcterms:W3CDTF">2023-03-08T17:06:00Z</dcterms:created>
  <dcterms:modified xsi:type="dcterms:W3CDTF">2023-03-08T17:06:00Z</dcterms:modified>
</cp:coreProperties>
</file>