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D22" w:rsidRPr="00EA3DEC" w:rsidRDefault="002C1D22" w:rsidP="002C1D22">
      <w:pPr>
        <w:pStyle w:val="Heading1"/>
        <w:spacing w:before="0" w:after="0"/>
        <w:rPr>
          <w:rFonts w:cs="Times New Roman"/>
          <w:color w:val="auto"/>
        </w:rPr>
      </w:pPr>
      <w:r w:rsidRPr="00EA3DEC">
        <w:rPr>
          <w:rFonts w:cs="Times New Roman"/>
          <w:color w:val="auto"/>
        </w:rPr>
        <w:t>SUPPLEMENTARY MATERIALS</w:t>
      </w:r>
    </w:p>
    <w:p w:rsidR="002C1D22" w:rsidRPr="00EA3DEC" w:rsidRDefault="002C1D22" w:rsidP="002C1D22">
      <w:pPr>
        <w:pStyle w:val="Heading2"/>
        <w:spacing w:before="0" w:after="0"/>
        <w:rPr>
          <w:rFonts w:cs="Times New Roman"/>
          <w:color w:val="auto"/>
        </w:rPr>
      </w:pPr>
      <w:r w:rsidRPr="00EA3DEC">
        <w:rPr>
          <w:rFonts w:cs="Times New Roman"/>
          <w:color w:val="auto"/>
        </w:rPr>
        <w:t>Materials and Methods</w:t>
      </w:r>
    </w:p>
    <w:p w:rsidR="002C1D22" w:rsidRPr="00EA3DEC" w:rsidRDefault="002C1D22" w:rsidP="002C1D22">
      <w:pPr>
        <w:rPr>
          <w:rFonts w:cs="Times New Roman"/>
          <w:b/>
          <w:bCs/>
          <w:sz w:val="28"/>
          <w:szCs w:val="28"/>
        </w:rPr>
      </w:pPr>
      <w:r w:rsidRPr="00EA3DEC">
        <w:rPr>
          <w:rFonts w:cs="Times New Roman"/>
          <w:b/>
          <w:bCs/>
          <w:sz w:val="28"/>
          <w:szCs w:val="28"/>
        </w:rPr>
        <w:t>Animals</w:t>
      </w:r>
    </w:p>
    <w:p w:rsidR="002C1D22" w:rsidRPr="00EA3DEC" w:rsidRDefault="002C1D22" w:rsidP="002C1D22">
      <w:pPr>
        <w:pStyle w:val="NormalWeb"/>
        <w:spacing w:before="0" w:beforeAutospacing="0" w:after="0" w:afterAutospacing="0"/>
        <w:rPr>
          <w:rFonts w:cs="Times New Roman"/>
        </w:rPr>
      </w:pPr>
      <w:r w:rsidRPr="00EA3DEC">
        <w:rPr>
          <w:rFonts w:cs="Times New Roman"/>
        </w:rPr>
        <w:t xml:space="preserve">Rats were housed in temperature (24±1 °C) and humidity (50±10 </w:t>
      </w:r>
      <w:proofErr w:type="gramStart"/>
      <w:r w:rsidRPr="00EA3DEC">
        <w:rPr>
          <w:rFonts w:cs="Times New Roman"/>
        </w:rPr>
        <w:t>%</w:t>
      </w:r>
      <w:proofErr w:type="gramEnd"/>
      <w:r w:rsidRPr="00EA3DEC">
        <w:rPr>
          <w:rFonts w:cs="Times New Roman"/>
        </w:rPr>
        <w:t xml:space="preserve">) controlled rooms under a 12-hour light-dark cycle, with ad libitum chow (Special Diets Services, VR1) and water. Breeding pairs </w:t>
      </w:r>
      <w:proofErr w:type="gramStart"/>
      <w:r w:rsidRPr="00EA3DEC">
        <w:rPr>
          <w:rFonts w:cs="Times New Roman"/>
        </w:rPr>
        <w:t>were cohoused</w:t>
      </w:r>
      <w:proofErr w:type="gramEnd"/>
      <w:r w:rsidRPr="00EA3DEC">
        <w:rPr>
          <w:rFonts w:cs="Times New Roman"/>
        </w:rPr>
        <w:t xml:space="preserve"> for 5 days, and dams were isolated for the remainder of pregnancy. Litters </w:t>
      </w:r>
      <w:proofErr w:type="gramStart"/>
      <w:r w:rsidRPr="00EA3DEC">
        <w:rPr>
          <w:rFonts w:cs="Times New Roman"/>
        </w:rPr>
        <w:t>were culled</w:t>
      </w:r>
      <w:proofErr w:type="gramEnd"/>
      <w:r w:rsidRPr="00EA3DEC">
        <w:rPr>
          <w:rFonts w:cs="Times New Roman"/>
        </w:rPr>
        <w:t xml:space="preserve"> to 8-10 pups per litter on postnatal day 0 (P0) to minimise maternal care variations. Pups were individually marked on P3 with a green tattoo (Micro-Tattooing System, Harvard Apparatus, USA; Ketchum Animal Tattoo Ink Paste, Canada) for identification. After weaning (P21), animals were group-housed (3-4 rats per cage, </w:t>
      </w:r>
      <w:proofErr w:type="spellStart"/>
      <w:r w:rsidRPr="00EA3DEC">
        <w:rPr>
          <w:rFonts w:cs="Times New Roman"/>
        </w:rPr>
        <w:t>Tecniplast</w:t>
      </w:r>
      <w:proofErr w:type="spellEnd"/>
      <w:r w:rsidRPr="00EA3DEC">
        <w:rPr>
          <w:rFonts w:cs="Times New Roman"/>
        </w:rPr>
        <w:t xml:space="preserve"> 1291H </w:t>
      </w:r>
      <w:proofErr w:type="spellStart"/>
      <w:r w:rsidRPr="00EA3DEC">
        <w:rPr>
          <w:rFonts w:cs="Times New Roman"/>
        </w:rPr>
        <w:t>Eurostandard</w:t>
      </w:r>
      <w:proofErr w:type="spellEnd"/>
      <w:r w:rsidRPr="00EA3DEC">
        <w:rPr>
          <w:rFonts w:cs="Times New Roman"/>
        </w:rPr>
        <w:t xml:space="preserve"> III H) with same-age, same-sex and same-treatment mates, in a reverse circadian light-dark cycle room (lights on at 7 PM, off at 7 AM) and habituated to experimenters for one week before behavioural testing. </w:t>
      </w:r>
    </w:p>
    <w:p w:rsidR="002C1D22" w:rsidRPr="00EA3DEC" w:rsidRDefault="002C1D22" w:rsidP="002C1D22">
      <w:pPr>
        <w:pStyle w:val="Heading3"/>
        <w:rPr>
          <w:rFonts w:cs="Times New Roman"/>
          <w:color w:val="auto"/>
        </w:rPr>
      </w:pPr>
      <w:r w:rsidRPr="00EA3DEC">
        <w:rPr>
          <w:rFonts w:cs="Times New Roman"/>
          <w:color w:val="auto"/>
        </w:rPr>
        <w:t>Perinatal Asphyxia Insult (PA)</w:t>
      </w:r>
    </w:p>
    <w:p w:rsidR="002C1D22" w:rsidRPr="00EA3DEC" w:rsidRDefault="002C1D22" w:rsidP="002C1D22">
      <w:pPr>
        <w:pStyle w:val="NormalWeb"/>
        <w:spacing w:before="0" w:beforeAutospacing="0" w:after="0" w:afterAutospacing="0"/>
        <w:rPr>
          <w:rFonts w:cs="Times New Roman"/>
        </w:rPr>
      </w:pPr>
      <w:r w:rsidRPr="00EA3DEC">
        <w:rPr>
          <w:rFonts w:cs="Times New Roman"/>
        </w:rPr>
        <w:t xml:space="preserve">At P7, male and female pups were separated dams, weighted, and randomly assigned to treatment chambers (30x15x20 cm) with perforated </w:t>
      </w:r>
      <w:proofErr w:type="spellStart"/>
      <w:r w:rsidRPr="00EA3DEC">
        <w:rPr>
          <w:rFonts w:cs="Times New Roman"/>
        </w:rPr>
        <w:t>plexiglass</w:t>
      </w:r>
      <w:proofErr w:type="spellEnd"/>
      <w:r w:rsidRPr="00EA3DEC">
        <w:rPr>
          <w:rFonts w:cs="Times New Roman"/>
        </w:rPr>
        <w:t xml:space="preserve"> dividers for individual isolation during PA and recovery. Chambers </w:t>
      </w:r>
      <w:proofErr w:type="gramStart"/>
      <w:r w:rsidRPr="00EA3DEC">
        <w:rPr>
          <w:rFonts w:cs="Times New Roman"/>
        </w:rPr>
        <w:t>were placed</w:t>
      </w:r>
      <w:proofErr w:type="gramEnd"/>
      <w:r w:rsidRPr="00EA3DEC">
        <w:rPr>
          <w:rFonts w:cs="Times New Roman"/>
        </w:rPr>
        <w:t xml:space="preserve"> in an isothermal water bath (35.6 °C; WNB 45, </w:t>
      </w:r>
      <w:proofErr w:type="spellStart"/>
      <w:r w:rsidRPr="00EA3DEC">
        <w:rPr>
          <w:rFonts w:cs="Times New Roman"/>
        </w:rPr>
        <w:t>Memmert</w:t>
      </w:r>
      <w:proofErr w:type="spellEnd"/>
      <w:r w:rsidRPr="00EA3DEC">
        <w:rPr>
          <w:rFonts w:cs="Times New Roman"/>
        </w:rPr>
        <w:t xml:space="preserve">, Germany). Based on pilot experiments, the pups </w:t>
      </w:r>
      <w:proofErr w:type="gramStart"/>
      <w:r w:rsidRPr="00EA3DEC">
        <w:rPr>
          <w:rFonts w:cs="Times New Roman"/>
        </w:rPr>
        <w:t>were kept</w:t>
      </w:r>
      <w:proofErr w:type="gramEnd"/>
      <w:r w:rsidRPr="00EA3DEC">
        <w:rPr>
          <w:rFonts w:cs="Times New Roman"/>
        </w:rPr>
        <w:t xml:space="preserve"> for 45 minutes to equilibrate their core temperature to </w:t>
      </w:r>
      <w:proofErr w:type="spellStart"/>
      <w:r w:rsidRPr="00EA3DEC">
        <w:rPr>
          <w:rFonts w:cs="Times New Roman"/>
        </w:rPr>
        <w:t>normothermia</w:t>
      </w:r>
      <w:proofErr w:type="spellEnd"/>
      <w:r w:rsidRPr="00EA3DEC">
        <w:rPr>
          <w:rFonts w:cs="Times New Roman"/>
        </w:rPr>
        <w:t xml:space="preserve"> (37.0-37.5 °C).</w:t>
      </w:r>
    </w:p>
    <w:p w:rsidR="002C1D22" w:rsidRPr="00EA3DEC" w:rsidRDefault="002C1D22" w:rsidP="002C1D22">
      <w:pPr>
        <w:pStyle w:val="NormalWeb"/>
        <w:spacing w:before="0" w:beforeAutospacing="0" w:after="0" w:afterAutospacing="0"/>
        <w:rPr>
          <w:rFonts w:cs="Times New Roman"/>
          <w:b/>
        </w:rPr>
      </w:pPr>
      <w:r w:rsidRPr="00EA3DEC">
        <w:rPr>
          <w:rFonts w:cs="Times New Roman"/>
        </w:rPr>
        <w:t>Thereafter, treatment chambers were filled with a PA-inducing gas mixture (4% O</w:t>
      </w:r>
      <w:r w:rsidRPr="00EA3DEC">
        <w:rPr>
          <w:rFonts w:cs="Times New Roman"/>
          <w:vertAlign w:val="subscript"/>
        </w:rPr>
        <w:t>2</w:t>
      </w:r>
      <w:r w:rsidRPr="00EA3DEC">
        <w:rPr>
          <w:rFonts w:cs="Times New Roman"/>
        </w:rPr>
        <w:t xml:space="preserve"> and 20% CO</w:t>
      </w:r>
      <w:r w:rsidRPr="00EA3DEC">
        <w:rPr>
          <w:rFonts w:cs="Times New Roman"/>
          <w:vertAlign w:val="subscript"/>
        </w:rPr>
        <w:t>2</w:t>
      </w:r>
      <w:r w:rsidRPr="00EA3DEC">
        <w:rPr>
          <w:rFonts w:cs="Times New Roman"/>
        </w:rPr>
        <w:t xml:space="preserve"> in N</w:t>
      </w:r>
      <w:r w:rsidRPr="00EA3DEC">
        <w:rPr>
          <w:rFonts w:cs="Times New Roman"/>
          <w:vertAlign w:val="subscript"/>
        </w:rPr>
        <w:t>2</w:t>
      </w:r>
      <w:r w:rsidRPr="00EA3DEC">
        <w:rPr>
          <w:rFonts w:cs="Times New Roman"/>
        </w:rPr>
        <w:t xml:space="preserve">; Messer </w:t>
      </w:r>
      <w:proofErr w:type="spellStart"/>
      <w:r w:rsidRPr="00EA3DEC">
        <w:rPr>
          <w:rFonts w:cs="Times New Roman"/>
        </w:rPr>
        <w:t>Hungarogáz</w:t>
      </w:r>
      <w:proofErr w:type="spellEnd"/>
      <w:r w:rsidRPr="00EA3DEC">
        <w:rPr>
          <w:rFonts w:cs="Times New Roman"/>
        </w:rPr>
        <w:t xml:space="preserve"> Ltd, Hungary), with continuous O</w:t>
      </w:r>
      <w:r w:rsidRPr="00EA3DEC">
        <w:rPr>
          <w:rFonts w:cs="Times New Roman"/>
          <w:vertAlign w:val="subscript"/>
        </w:rPr>
        <w:t>2</w:t>
      </w:r>
      <w:r w:rsidRPr="00EA3DEC">
        <w:rPr>
          <w:rFonts w:cs="Times New Roman"/>
        </w:rPr>
        <w:t xml:space="preserve"> and CO</w:t>
      </w:r>
      <w:r w:rsidRPr="00EA3DEC">
        <w:rPr>
          <w:rFonts w:cs="Times New Roman"/>
          <w:vertAlign w:val="subscript"/>
        </w:rPr>
        <w:t>2</w:t>
      </w:r>
      <w:r w:rsidRPr="00EA3DEC">
        <w:rPr>
          <w:rFonts w:cs="Times New Roman"/>
        </w:rPr>
        <w:t xml:space="preserve"> concentration monitoring (TR250Z Oxygen Sensor, K-33 BLG Sensor, CO</w:t>
      </w:r>
      <w:r w:rsidRPr="00EA3DEC">
        <w:rPr>
          <w:rFonts w:cs="Times New Roman"/>
          <w:vertAlign w:val="subscript"/>
        </w:rPr>
        <w:t>2</w:t>
      </w:r>
      <w:r w:rsidRPr="00EA3DEC">
        <w:rPr>
          <w:rFonts w:cs="Times New Roman"/>
        </w:rPr>
        <w:t xml:space="preserve">Meter Inc., USA). After 15 minutes of exposure to the PA-inducing gas mixture, the chambers </w:t>
      </w:r>
      <w:proofErr w:type="gramStart"/>
      <w:r w:rsidRPr="00EA3DEC">
        <w:rPr>
          <w:rFonts w:cs="Times New Roman"/>
        </w:rPr>
        <w:t xml:space="preserve">were opened and ventilated </w:t>
      </w:r>
      <w:r w:rsidRPr="00EA3DEC">
        <w:rPr>
          <w:rFonts w:cs="Times New Roman"/>
        </w:rPr>
        <w:lastRenderedPageBreak/>
        <w:t xml:space="preserve">to restore </w:t>
      </w:r>
      <w:proofErr w:type="spellStart"/>
      <w:r w:rsidRPr="00EA3DEC">
        <w:rPr>
          <w:rFonts w:cs="Times New Roman"/>
        </w:rPr>
        <w:t>normoxia</w:t>
      </w:r>
      <w:proofErr w:type="spellEnd"/>
      <w:proofErr w:type="gramEnd"/>
      <w:r w:rsidRPr="00EA3DEC">
        <w:rPr>
          <w:rFonts w:cs="Times New Roman"/>
        </w:rPr>
        <w:t xml:space="preserve">. The pups </w:t>
      </w:r>
      <w:proofErr w:type="gramStart"/>
      <w:r w:rsidRPr="00EA3DEC">
        <w:rPr>
          <w:rFonts w:cs="Times New Roman"/>
        </w:rPr>
        <w:t>were allowed</w:t>
      </w:r>
      <w:proofErr w:type="gramEnd"/>
      <w:r w:rsidRPr="00EA3DEC">
        <w:rPr>
          <w:rFonts w:cs="Times New Roman"/>
        </w:rPr>
        <w:t xml:space="preserve"> to recover from the insult for 45 minutes before returning to dams. PA resulted in 25-30% mortality, with no sex differences. No further mortality occurred among pups. Control pups </w:t>
      </w:r>
      <w:proofErr w:type="gramStart"/>
      <w:r w:rsidRPr="00EA3DEC">
        <w:rPr>
          <w:rFonts w:cs="Times New Roman"/>
        </w:rPr>
        <w:t>were separated</w:t>
      </w:r>
      <w:proofErr w:type="gramEnd"/>
      <w:r w:rsidRPr="00EA3DEC">
        <w:rPr>
          <w:rFonts w:cs="Times New Roman"/>
        </w:rPr>
        <w:t xml:space="preserve"> from dams for the same duration in chambers filled with room air throughout the experiment (</w:t>
      </w:r>
      <w:r w:rsidRPr="00EA3DEC">
        <w:rPr>
          <w:rFonts w:cs="Times New Roman"/>
          <w:bCs/>
        </w:rPr>
        <w:t>Fig. 1A</w:t>
      </w:r>
      <w:r w:rsidRPr="00EA3DEC">
        <w:rPr>
          <w:rFonts w:cs="Times New Roman"/>
        </w:rPr>
        <w:t xml:space="preserve">). Animals </w:t>
      </w:r>
      <w:proofErr w:type="gramStart"/>
      <w:r w:rsidRPr="00EA3DEC">
        <w:rPr>
          <w:rFonts w:cs="Times New Roman"/>
        </w:rPr>
        <w:t>were semi-randomly assigned</w:t>
      </w:r>
      <w:proofErr w:type="gramEnd"/>
      <w:r w:rsidRPr="00EA3DEC">
        <w:rPr>
          <w:rFonts w:cs="Times New Roman"/>
        </w:rPr>
        <w:t xml:space="preserve"> to experimental groups within litters, using alternation to avoid litter effects and ensure balanced group sizes.</w:t>
      </w:r>
    </w:p>
    <w:p w:rsidR="002C1D22" w:rsidRPr="00EA3DEC" w:rsidRDefault="002C1D22" w:rsidP="002C1D22">
      <w:pPr>
        <w:pStyle w:val="Heading3"/>
        <w:rPr>
          <w:rFonts w:cs="Times New Roman"/>
          <w:color w:val="auto"/>
        </w:rPr>
      </w:pPr>
      <w:r w:rsidRPr="00EA3DEC">
        <w:rPr>
          <w:rFonts w:cs="Times New Roman"/>
          <w:color w:val="auto"/>
        </w:rPr>
        <w:t>Behavioral testing</w:t>
      </w:r>
    </w:p>
    <w:p w:rsidR="002C1D22" w:rsidRPr="00EA3DEC" w:rsidRDefault="002C1D22" w:rsidP="002C1D22">
      <w:pPr>
        <w:pStyle w:val="NormalWeb"/>
        <w:spacing w:before="0" w:beforeAutospacing="0" w:after="0" w:afterAutospacing="0"/>
      </w:pPr>
      <w:r w:rsidRPr="00EA3DEC">
        <w:rPr>
          <w:szCs w:val="24"/>
          <w:lang w:val="en-GB" w:eastAsia="en-GB"/>
        </w:rPr>
        <w:t xml:space="preserve">Juvenile and adult </w:t>
      </w:r>
      <w:proofErr w:type="spellStart"/>
      <w:r w:rsidRPr="00EA3DEC">
        <w:rPr>
          <w:szCs w:val="24"/>
          <w:lang w:val="en-GB" w:eastAsia="en-GB"/>
        </w:rPr>
        <w:t>behavioral</w:t>
      </w:r>
      <w:proofErr w:type="spellEnd"/>
      <w:r w:rsidRPr="00EA3DEC">
        <w:rPr>
          <w:szCs w:val="24"/>
          <w:lang w:val="en-GB" w:eastAsia="en-GB"/>
        </w:rPr>
        <w:t xml:space="preserve"> experiments </w:t>
      </w:r>
      <w:proofErr w:type="gramStart"/>
      <w:r w:rsidRPr="00EA3DEC">
        <w:rPr>
          <w:szCs w:val="24"/>
          <w:lang w:val="en-GB" w:eastAsia="en-GB"/>
        </w:rPr>
        <w:t>were performed</w:t>
      </w:r>
      <w:proofErr w:type="gramEnd"/>
      <w:r w:rsidRPr="00EA3DEC">
        <w:rPr>
          <w:szCs w:val="24"/>
          <w:lang w:val="en-GB" w:eastAsia="en-GB"/>
        </w:rPr>
        <w:t xml:space="preserve"> during the first half of the active (dark) cycle in a separate experimental room. To minimise confounding effects and carry-over between tests, the assessment started with the less stressful tests and ended with those </w:t>
      </w:r>
      <w:proofErr w:type="spellStart"/>
      <w:r w:rsidRPr="00EA3DEC">
        <w:rPr>
          <w:szCs w:val="24"/>
          <w:lang w:val="en-GB" w:eastAsia="en-GB"/>
        </w:rPr>
        <w:t>recquiring</w:t>
      </w:r>
      <w:proofErr w:type="spellEnd"/>
      <w:r w:rsidRPr="00EA3DEC">
        <w:rPr>
          <w:szCs w:val="24"/>
          <w:lang w:val="en-GB" w:eastAsia="en-GB"/>
        </w:rPr>
        <w:t xml:space="preserve"> food-restriction (e.g., 5-CSRTT). To adhere to ethical guidelines and reduce animal use, each animal participated in multiple tests, ensuring comprehensive assessment without </w:t>
      </w:r>
      <w:proofErr w:type="spellStart"/>
      <w:r w:rsidRPr="00EA3DEC">
        <w:rPr>
          <w:szCs w:val="24"/>
          <w:lang w:val="en-GB" w:eastAsia="en-GB"/>
        </w:rPr>
        <w:t>overtesting</w:t>
      </w:r>
      <w:proofErr w:type="spellEnd"/>
      <w:r w:rsidRPr="00EA3DEC">
        <w:rPr>
          <w:szCs w:val="24"/>
          <w:lang w:val="en-GB" w:eastAsia="en-GB"/>
        </w:rPr>
        <w:t xml:space="preserve">. </w:t>
      </w:r>
      <w:proofErr w:type="gramStart"/>
      <w:r w:rsidRPr="00EA3DEC">
        <w:rPr>
          <w:szCs w:val="24"/>
          <w:lang w:val="en-GB" w:eastAsia="en-GB"/>
        </w:rPr>
        <w:t xml:space="preserve">The early neurodevelopmental tests, </w:t>
      </w:r>
      <w:proofErr w:type="spellStart"/>
      <w:r w:rsidRPr="00EA3DEC">
        <w:rPr>
          <w:szCs w:val="24"/>
          <w:lang w:val="en-GB" w:eastAsia="en-GB"/>
        </w:rPr>
        <w:t>playfight</w:t>
      </w:r>
      <w:proofErr w:type="spellEnd"/>
      <w:r w:rsidRPr="00EA3DEC">
        <w:rPr>
          <w:szCs w:val="24"/>
          <w:lang w:val="en-GB" w:eastAsia="en-GB"/>
        </w:rPr>
        <w:t xml:space="preserve">, accelerating </w:t>
      </w:r>
      <w:proofErr w:type="spellStart"/>
      <w:r w:rsidRPr="00EA3DEC">
        <w:rPr>
          <w:szCs w:val="24"/>
          <w:lang w:val="en-GB" w:eastAsia="en-GB"/>
        </w:rPr>
        <w:t>rotarod</w:t>
      </w:r>
      <w:proofErr w:type="spellEnd"/>
      <w:r w:rsidRPr="00EA3DEC">
        <w:rPr>
          <w:szCs w:val="24"/>
          <w:lang w:val="en-GB" w:eastAsia="en-GB"/>
        </w:rPr>
        <w:t>, social interaction test, resident-intruder test, and Y-maze tests were analysed manually in a blind manner or by Solomon Coder (</w:t>
      </w:r>
      <w:hyperlink r:id="rId6" w:history="1">
        <w:r w:rsidRPr="00EA3DEC">
          <w:rPr>
            <w:szCs w:val="24"/>
            <w:lang w:val="en-GB" w:eastAsia="en-GB"/>
          </w:rPr>
          <w:t>https://solomon-coder.software.informer.com/download/</w:t>
        </w:r>
      </w:hyperlink>
      <w:r w:rsidRPr="00EA3DEC">
        <w:rPr>
          <w:szCs w:val="24"/>
          <w:lang w:val="en-GB" w:eastAsia="en-GB"/>
        </w:rPr>
        <w:t xml:space="preserve">.), while the hole-board, open-field, elevated plus maze, sociability and social recognition, contextual fear learning and Morris water maze tests were analysed with </w:t>
      </w:r>
      <w:proofErr w:type="spellStart"/>
      <w:r w:rsidRPr="00EA3DEC">
        <w:rPr>
          <w:szCs w:val="24"/>
          <w:lang w:val="en-GB" w:eastAsia="en-GB"/>
        </w:rPr>
        <w:t>EthoVision</w:t>
      </w:r>
      <w:proofErr w:type="spellEnd"/>
      <w:r w:rsidRPr="00EA3DEC">
        <w:rPr>
          <w:szCs w:val="24"/>
          <w:lang w:val="en-GB" w:eastAsia="en-GB"/>
        </w:rPr>
        <w:t xml:space="preserve"> XT 13 or 15 software (</w:t>
      </w:r>
      <w:proofErr w:type="spellStart"/>
      <w:r w:rsidRPr="00EA3DEC">
        <w:rPr>
          <w:szCs w:val="24"/>
          <w:lang w:val="en-GB" w:eastAsia="en-GB"/>
        </w:rPr>
        <w:t>Noldus</w:t>
      </w:r>
      <w:proofErr w:type="spellEnd"/>
      <w:r w:rsidRPr="00EA3DEC">
        <w:rPr>
          <w:szCs w:val="24"/>
          <w:lang w:val="en-GB" w:eastAsia="en-GB"/>
        </w:rPr>
        <w:t xml:space="preserve"> Information Technologies, </w:t>
      </w:r>
      <w:proofErr w:type="spellStart"/>
      <w:r w:rsidRPr="00EA3DEC">
        <w:rPr>
          <w:szCs w:val="24"/>
          <w:lang w:val="en-GB" w:eastAsia="en-GB"/>
        </w:rPr>
        <w:t>Wageningen</w:t>
      </w:r>
      <w:proofErr w:type="spellEnd"/>
      <w:r w:rsidRPr="00EA3DEC">
        <w:rPr>
          <w:szCs w:val="24"/>
          <w:lang w:val="en-GB" w:eastAsia="en-GB"/>
        </w:rPr>
        <w:t>, The Netherlands).</w:t>
      </w:r>
      <w:proofErr w:type="gramEnd"/>
      <w:r w:rsidRPr="00EA3DEC">
        <w:rPr>
          <w:szCs w:val="24"/>
          <w:lang w:val="en-GB" w:eastAsia="en-GB"/>
        </w:rPr>
        <w:t xml:space="preserve"> The delay discounting, 5-CSRTT, set-shifted 5-CSRTT and Go/no-Go tasks </w:t>
      </w:r>
      <w:proofErr w:type="gramStart"/>
      <w:r w:rsidRPr="00EA3DEC">
        <w:rPr>
          <w:szCs w:val="24"/>
          <w:lang w:val="en-GB" w:eastAsia="en-GB"/>
        </w:rPr>
        <w:t>were performed</w:t>
      </w:r>
      <w:proofErr w:type="gramEnd"/>
      <w:r w:rsidRPr="00EA3DEC">
        <w:rPr>
          <w:szCs w:val="24"/>
          <w:lang w:val="en-GB" w:eastAsia="en-GB"/>
        </w:rPr>
        <w:t xml:space="preserve"> in automated operant chambers (Med Associates, USA). The testing tools </w:t>
      </w:r>
      <w:proofErr w:type="gramStart"/>
      <w:r w:rsidRPr="00EA3DEC">
        <w:rPr>
          <w:szCs w:val="24"/>
          <w:lang w:val="en-GB" w:eastAsia="en-GB"/>
        </w:rPr>
        <w:t>were cleaned with soapy water or 70% ethanol between the trials and dried with a paper towel</w:t>
      </w:r>
      <w:proofErr w:type="gramEnd"/>
      <w:r w:rsidRPr="00EA3DEC">
        <w:rPr>
          <w:szCs w:val="24"/>
          <w:lang w:val="en-GB" w:eastAsia="en-GB"/>
        </w:rPr>
        <w:t>. </w:t>
      </w:r>
    </w:p>
    <w:p w:rsidR="002C1D22" w:rsidRPr="00EA3DEC" w:rsidRDefault="002C1D22" w:rsidP="002C1D22">
      <w:pPr>
        <w:pStyle w:val="NormalWeb"/>
        <w:spacing w:before="0" w:beforeAutospacing="0" w:after="0" w:afterAutospacing="0"/>
        <w:rPr>
          <w:rFonts w:cs="Times New Roman"/>
        </w:rPr>
      </w:pPr>
      <w:r w:rsidRPr="00EA3DEC">
        <w:rPr>
          <w:szCs w:val="24"/>
          <w:lang w:val="en-GB" w:eastAsia="en-GB"/>
        </w:rPr>
        <w:t>In cognitive tests performed in automated operant chambers, the feeding of the subjects was restricted throughout the testing period to increase their motivation for food rewards (45 mg, Dustless Precision Pellet F0021, Bio-</w:t>
      </w:r>
      <w:proofErr w:type="spellStart"/>
      <w:r w:rsidRPr="00EA3DEC">
        <w:rPr>
          <w:szCs w:val="24"/>
          <w:lang w:val="en-GB" w:eastAsia="en-GB"/>
        </w:rPr>
        <w:t>Serv</w:t>
      </w:r>
      <w:proofErr w:type="spellEnd"/>
      <w:r w:rsidRPr="00EA3DEC">
        <w:rPr>
          <w:szCs w:val="24"/>
          <w:lang w:val="en-GB" w:eastAsia="en-GB"/>
        </w:rPr>
        <w:t xml:space="preserve">, USA). Four days before the </w:t>
      </w:r>
      <w:proofErr w:type="gramStart"/>
      <w:r w:rsidRPr="00EA3DEC">
        <w:rPr>
          <w:szCs w:val="24"/>
          <w:lang w:val="en-GB" w:eastAsia="en-GB"/>
        </w:rPr>
        <w:t>operant</w:t>
      </w:r>
      <w:proofErr w:type="gramEnd"/>
      <w:r w:rsidRPr="00EA3DEC">
        <w:rPr>
          <w:szCs w:val="24"/>
          <w:lang w:val="en-GB" w:eastAsia="en-GB"/>
        </w:rPr>
        <w:t xml:space="preserve"> tests the animals were separated and kept individually for precise dosage of the amount of the restricted food </w:t>
      </w:r>
      <w:r w:rsidRPr="00EA3DEC">
        <w:rPr>
          <w:szCs w:val="24"/>
          <w:lang w:val="en-GB" w:eastAsia="en-GB"/>
        </w:rPr>
        <w:lastRenderedPageBreak/>
        <w:t xml:space="preserve">pellets. Animals </w:t>
      </w:r>
      <w:proofErr w:type="gramStart"/>
      <w:r w:rsidRPr="00EA3DEC">
        <w:rPr>
          <w:szCs w:val="24"/>
          <w:lang w:val="en-GB" w:eastAsia="en-GB"/>
        </w:rPr>
        <w:t>were weighed</w:t>
      </w:r>
      <w:proofErr w:type="gramEnd"/>
      <w:r w:rsidRPr="00EA3DEC">
        <w:rPr>
          <w:szCs w:val="24"/>
          <w:lang w:val="en-GB" w:eastAsia="en-GB"/>
        </w:rPr>
        <w:t xml:space="preserve"> every three days and their food was adjusted to keep them at 85-95% of their original body weight. Females were not assessed for </w:t>
      </w:r>
      <w:proofErr w:type="spellStart"/>
      <w:r w:rsidRPr="00EA3DEC">
        <w:rPr>
          <w:szCs w:val="24"/>
          <w:lang w:val="en-GB" w:eastAsia="en-GB"/>
        </w:rPr>
        <w:t>estrous</w:t>
      </w:r>
      <w:proofErr w:type="spellEnd"/>
      <w:r w:rsidRPr="00EA3DEC">
        <w:rPr>
          <w:szCs w:val="24"/>
          <w:lang w:val="en-GB" w:eastAsia="en-GB"/>
        </w:rPr>
        <w:t xml:space="preserve"> cycle phases during </w:t>
      </w:r>
      <w:proofErr w:type="spellStart"/>
      <w:r w:rsidRPr="00EA3DEC">
        <w:rPr>
          <w:szCs w:val="24"/>
          <w:lang w:val="en-GB" w:eastAsia="en-GB"/>
        </w:rPr>
        <w:t>behavioral</w:t>
      </w:r>
      <w:proofErr w:type="spellEnd"/>
      <w:r w:rsidRPr="00EA3DEC">
        <w:rPr>
          <w:szCs w:val="24"/>
          <w:lang w:val="en-GB" w:eastAsia="en-GB"/>
        </w:rPr>
        <w:t xml:space="preserve"> </w:t>
      </w:r>
      <w:proofErr w:type="gramStart"/>
      <w:r w:rsidRPr="00EA3DEC">
        <w:rPr>
          <w:szCs w:val="24"/>
          <w:lang w:val="en-GB" w:eastAsia="en-GB"/>
        </w:rPr>
        <w:t>testing</w:t>
      </w:r>
      <w:proofErr w:type="gramEnd"/>
      <w:r w:rsidRPr="00EA3DEC">
        <w:rPr>
          <w:szCs w:val="24"/>
          <w:lang w:val="en-GB" w:eastAsia="en-GB"/>
        </w:rPr>
        <w:t xml:space="preserve"> as this would have been difficult to achieve without disturbing complex behavioural studies. However, behavioural assessments extended over multiple days likely encompassing all stages across the testing period.</w:t>
      </w:r>
      <w:r w:rsidRPr="00EA3DEC">
        <w:rPr>
          <w:rFonts w:cs="Times New Roman"/>
        </w:rPr>
        <w:t xml:space="preserve"> </w:t>
      </w:r>
      <w:r w:rsidRPr="00EA3DEC">
        <w:rPr>
          <w:szCs w:val="24"/>
          <w:lang w:val="en-GB" w:eastAsia="en-GB"/>
        </w:rPr>
        <w:t>At the end of behavioural assessments, termination with CO</w:t>
      </w:r>
      <w:r w:rsidRPr="00EA3DEC">
        <w:rPr>
          <w:szCs w:val="24"/>
          <w:vertAlign w:val="subscript"/>
          <w:lang w:val="en-GB" w:eastAsia="en-GB"/>
        </w:rPr>
        <w:t>2</w:t>
      </w:r>
      <w:r w:rsidRPr="00EA3DEC">
        <w:rPr>
          <w:sz w:val="22"/>
        </w:rPr>
        <w:t xml:space="preserve"> </w:t>
      </w:r>
      <w:proofErr w:type="gramStart"/>
      <w:r w:rsidRPr="00EA3DEC">
        <w:rPr>
          <w:sz w:val="22"/>
        </w:rPr>
        <w:t>was performed</w:t>
      </w:r>
      <w:proofErr w:type="gramEnd"/>
      <w:r w:rsidRPr="00EA3DEC">
        <w:rPr>
          <w:sz w:val="22"/>
        </w:rPr>
        <w:t xml:space="preserve"> on those animals who did not take part in histological studies.</w:t>
      </w:r>
    </w:p>
    <w:p w:rsidR="002C1D22" w:rsidRPr="00EA3DEC" w:rsidRDefault="002C1D22" w:rsidP="002C1D22">
      <w:pPr>
        <w:pStyle w:val="NormalWeb"/>
        <w:spacing w:before="0" w:beforeAutospacing="0" w:after="0" w:afterAutospacing="0"/>
        <w:rPr>
          <w:sz w:val="22"/>
        </w:rPr>
      </w:pPr>
    </w:p>
    <w:p w:rsidR="002C1D22" w:rsidRPr="00EA3DEC" w:rsidRDefault="002C1D22" w:rsidP="002C1D22">
      <w:pPr>
        <w:pStyle w:val="Heading4"/>
      </w:pPr>
      <w:r w:rsidRPr="00EA3DEC">
        <w:t>Early neurodevelopmental testing for robust neurological defects</w:t>
      </w:r>
    </w:p>
    <w:p w:rsidR="002C1D22" w:rsidRPr="00EA3DEC" w:rsidRDefault="002C1D22" w:rsidP="002C1D22">
      <w:pPr>
        <w:pStyle w:val="NormalWeb"/>
        <w:spacing w:before="0" w:beforeAutospacing="0" w:after="0" w:afterAutospacing="0"/>
        <w:rPr>
          <w:szCs w:val="24"/>
          <w:lang w:val="en-GB" w:eastAsia="en-GB"/>
        </w:rPr>
      </w:pPr>
      <w:r w:rsidRPr="00EA3DEC">
        <w:rPr>
          <w:szCs w:val="24"/>
          <w:lang w:val="en-GB" w:eastAsia="en-GB"/>
        </w:rPr>
        <w:t>Pups underwent neurological tests for gross motor assessment and ultrasonic vocalization measurement at age P8 (24h after the PA insult). The number of animals tested was 15-16/ treatment group.</w:t>
      </w:r>
    </w:p>
    <w:p w:rsidR="002C1D22" w:rsidRPr="00EA3DEC" w:rsidRDefault="002C1D22" w:rsidP="002C1D22">
      <w:pPr>
        <w:pStyle w:val="NormalWeb"/>
        <w:spacing w:before="0" w:beforeAutospacing="0" w:after="0" w:afterAutospacing="0"/>
        <w:rPr>
          <w:szCs w:val="24"/>
          <w:lang w:val="en-GB" w:eastAsia="en-GB"/>
        </w:rPr>
      </w:pPr>
      <w:r w:rsidRPr="00EA3DEC">
        <w:rPr>
          <w:b/>
          <w:szCs w:val="24"/>
          <w:lang w:val="en-GB" w:eastAsia="en-GB"/>
        </w:rPr>
        <w:t>Surface righting reflex test</w:t>
      </w:r>
      <w:r w:rsidRPr="00EA3DEC">
        <w:rPr>
          <w:szCs w:val="24"/>
          <w:lang w:val="en-GB" w:eastAsia="en-GB"/>
        </w:rPr>
        <w:t>: To investigate the intactness of the locomotor and vestibular systems</w:t>
      </w:r>
      <w:r w:rsidRPr="00EA3DEC">
        <w:rPr>
          <w:szCs w:val="24"/>
          <w:lang w:val="en-GB" w:eastAsia="en-GB"/>
        </w:rPr>
        <w:fldChar w:fldCharType="begin" w:fldLock="1"/>
      </w:r>
      <w:r w:rsidR="00E57E01">
        <w:rPr>
          <w:szCs w:val="24"/>
          <w:lang w:val="en-GB" w:eastAsia="en-GB"/>
        </w:rPr>
        <w:instrText>ADDIN CSL_CITATION {"citationItems":[{"id":"ITEM-1","itemData":{"DOI":"10.1016/0003-3472(75)90114-1","ISSN":"0003-3472 (Print)","PMID":"1200422","abstract":"In laboratory rats (Rattus norvegicus) aged 1 to 21 days emergence of postural  and locomotor skills was studied in the open field and in experimental situations with homing used as motivation. Righting is mediated initially by curving and rocking of the trunk, later head and shoulder are rotated, and lastly the hindlimbs turn and provide co-ordinated support. Pivoting prodominates during the second half of the first week, crawling during most of the second week, and walking or running by the end of the second week. Balancing on narrow paths and compensating for lateral displacement on rotating rods mature later, as do various skills (climbing up or down on inclined surfaces, rods and ropes, and jumping across gaps) that require substantial hindlimb co-ordiantion.","author":[{"dropping-particle":"","family":"Altman","given":"J","non-dropping-particle":"","parse-names":false,"suffix":""},{"dropping-particle":"","family":"Sudarshan","given":"K","non-dropping-particle":"","parse-names":false,"suffix":""}],"container-title":"Animal behaviour","id":"ITEM-1","issue":"4","issued":{"date-parts":[["1975","11"]]},"language":"eng","page":"896-920","publisher-place":"England","title":"Postnatal development of locomotion in the laboratory rat.","type":"article-journal","volume":"23"},"uris":["http://www.mendeley.com/documents/?uuid=814a1355-9754-41a6-95c5-74bb14d6bd5b","http://www.mendeley.com/documents/?uuid=ea4ce297-2cf9-4d2b-bc2f-2f1fceee1067"]}],"mendeley":{"formattedCitation":"&lt;sup&gt;1&lt;/sup&gt;","plainTextFormattedCitation":"1","previouslyFormattedCitation":"&lt;sup&gt;1&lt;/sup&gt;"},"properties":{"noteIndex":0},"schema":"https://github.com/citation-style-language/schema/raw/master/csl-citation.json"}</w:instrText>
      </w:r>
      <w:r w:rsidRPr="00EA3DEC">
        <w:rPr>
          <w:szCs w:val="24"/>
          <w:lang w:val="en-GB" w:eastAsia="en-GB"/>
        </w:rPr>
        <w:fldChar w:fldCharType="separate"/>
      </w:r>
      <w:r w:rsidR="00E57E01" w:rsidRPr="00E57E01">
        <w:rPr>
          <w:noProof/>
          <w:szCs w:val="24"/>
          <w:vertAlign w:val="superscript"/>
          <w:lang w:val="en-GB" w:eastAsia="en-GB"/>
        </w:rPr>
        <w:t>1</w:t>
      </w:r>
      <w:r w:rsidRPr="00EA3DEC">
        <w:rPr>
          <w:szCs w:val="24"/>
          <w:lang w:val="en-GB" w:eastAsia="en-GB"/>
        </w:rPr>
        <w:fldChar w:fldCharType="end"/>
      </w:r>
      <w:r w:rsidRPr="00EA3DEC">
        <w:rPr>
          <w:szCs w:val="24"/>
          <w:lang w:val="en-GB" w:eastAsia="en-GB"/>
        </w:rPr>
        <w:t>, the pups were placed in supine position on a supporting surface. The time needed to return to their normal prone position with all paws on the surface (max. 30 sec) and the side of the turning was registered.</w:t>
      </w:r>
    </w:p>
    <w:p w:rsidR="002C1D22" w:rsidRPr="00EA3DEC" w:rsidRDefault="002C1D22" w:rsidP="002C1D22">
      <w:pPr>
        <w:pStyle w:val="NormalWeb"/>
        <w:spacing w:before="0" w:beforeAutospacing="0" w:after="0" w:afterAutospacing="0"/>
        <w:rPr>
          <w:szCs w:val="24"/>
          <w:lang w:val="en-GB" w:eastAsia="en-GB"/>
        </w:rPr>
      </w:pPr>
      <w:r w:rsidRPr="00EA3DEC">
        <w:rPr>
          <w:b/>
          <w:szCs w:val="24"/>
          <w:lang w:val="en-GB" w:eastAsia="en-GB"/>
        </w:rPr>
        <w:t>Negative geotaxis test</w:t>
      </w:r>
      <w:r w:rsidRPr="00EA3DEC">
        <w:rPr>
          <w:szCs w:val="24"/>
          <w:lang w:val="en-GB" w:eastAsia="en-GB"/>
        </w:rPr>
        <w:t>: To assess the sensorimotor integrity, coordination and vestibular response of the pups</w:t>
      </w:r>
      <w:r w:rsidRPr="00EA3DEC">
        <w:rPr>
          <w:szCs w:val="24"/>
          <w:lang w:val="en-GB" w:eastAsia="en-GB"/>
        </w:rPr>
        <w:fldChar w:fldCharType="begin" w:fldLock="1"/>
      </w:r>
      <w:r w:rsidR="00E57E01">
        <w:rPr>
          <w:szCs w:val="24"/>
          <w:lang w:val="en-GB" w:eastAsia="en-GB"/>
        </w:rPr>
        <w:instrText>ADDIN CSL_CITATION {"citationItems":[{"id":"ITEM-1","itemData":{"DOI":"10.1080/00222895.2015.1024824","ISSN":"1940-1027 (Electronic)","PMID":"25923475","abstract":"This study was designed to verify whether different lactation conditions  influenced nervous system development. The authors used motor tasks to verify changes in exploratory activity and muscle strength of weaned rats from different litter sizes and evaluated the applicability of the grid-walking test for assessing motor abnormalities caused by undernutrition. Alterations in litter size during the suckling period perturbed the nutritional status of pups, which exhibited body weight differences between the groups. Large-litter (L) pups showed significant delays in achieving developmental milestones and neurological reflexes compared to the small-litter (S) and medium-litter (M) pups. The S, M, and L group pups exhibited similar exploratory responses and muscle strength. In the grid-walking and foot-fault tests, the L group pups traveled shorter distances and, consequently, had less footsteps. However, the percentages of foot faults in the L group were higher than S and M groups. These results reflect delayed maturation of structures responsible for sensorimotor responses, such as the cerebellum, because much cerebellar maturation takes place postnatally. This is the first study to report that early undernutrition in pups resulted in suboptimal performances on the grid-walking and foot-fault tests and that the former test was sensitive to alterations caused by nutritional deficiency.","author":[{"dropping-particle":"","family":"Horiquini Barbosa","given":"Everton","non-dropping-particle":"","parse-names":false,"suffix":""},{"dropping-particle":"","family":"Vallim","given":"José Henrique","non-dropping-particle":"","parse-names":false,"suffix":""},{"dropping-particle":"","family":"Lachat","given":"João-José","non-dropping-particle":"","parse-names":false,"suffix":""},{"dropping-particle":"","family":"Castro","given":"Vera Lucia S S","non-dropping-particle":"de","parse-names":false,"suffix":""}],"container-title":"Journal of motor behavior","id":"ITEM-1","issue":"1","issued":{"date-parts":[["2016"]]},"language":"eng","page":"5-12","publisher-place":"United States","title":"Assessments of Motor Abnormalities on the Grid-Walking and Foot-Fault Tests From  Undernutrition in Wistar Rats.","type":"article-journal","volume":"48"},"uris":["http://www.mendeley.com/documents/?uuid=cda6a344-8d27-4936-8fc0-440896e0a601","http://www.mendeley.com/documents/?uuid=10190879-befc-4654-9511-864d2af6b3f3"]}],"mendeley":{"formattedCitation":"&lt;sup&gt;2&lt;/sup&gt;","plainTextFormattedCitation":"2","previouslyFormattedCitation":"&lt;sup&gt;2&lt;/sup&gt;"},"properties":{"noteIndex":0},"schema":"https://github.com/citation-style-language/schema/raw/master/csl-citation.json"}</w:instrText>
      </w:r>
      <w:r w:rsidRPr="00EA3DEC">
        <w:rPr>
          <w:szCs w:val="24"/>
          <w:lang w:val="en-GB" w:eastAsia="en-GB"/>
        </w:rPr>
        <w:fldChar w:fldCharType="separate"/>
      </w:r>
      <w:r w:rsidR="00E57E01" w:rsidRPr="00E57E01">
        <w:rPr>
          <w:noProof/>
          <w:szCs w:val="24"/>
          <w:vertAlign w:val="superscript"/>
          <w:lang w:val="en-GB" w:eastAsia="en-GB"/>
        </w:rPr>
        <w:t>2</w:t>
      </w:r>
      <w:r w:rsidRPr="00EA3DEC">
        <w:rPr>
          <w:szCs w:val="24"/>
          <w:lang w:val="en-GB" w:eastAsia="en-GB"/>
        </w:rPr>
        <w:fldChar w:fldCharType="end"/>
      </w:r>
      <w:r w:rsidRPr="00EA3DEC">
        <w:rPr>
          <w:szCs w:val="24"/>
          <w:lang w:val="en-GB" w:eastAsia="en-GB"/>
        </w:rPr>
        <w:t>, they were placed on an inclined board at 45</w:t>
      </w:r>
      <w:r w:rsidRPr="00EA3DEC">
        <w:rPr>
          <w:szCs w:val="24"/>
          <w:vertAlign w:val="superscript"/>
          <w:lang w:val="en-GB" w:eastAsia="en-GB"/>
        </w:rPr>
        <w:t>o</w:t>
      </w:r>
      <w:r w:rsidRPr="00EA3DEC">
        <w:rPr>
          <w:szCs w:val="24"/>
          <w:lang w:val="en-GB" w:eastAsia="en-GB"/>
        </w:rPr>
        <w:t xml:space="preserve"> (30x30 cm) covered by cloth paper facing downward. The time needed for the pups to rotate 180o and take an uphill position (max. 45 sec) </w:t>
      </w:r>
      <w:proofErr w:type="gramStart"/>
      <w:r w:rsidRPr="00EA3DEC">
        <w:rPr>
          <w:szCs w:val="24"/>
          <w:lang w:val="en-GB" w:eastAsia="en-GB"/>
        </w:rPr>
        <w:t>was recorded and analysed</w:t>
      </w:r>
      <w:proofErr w:type="gramEnd"/>
      <w:r w:rsidRPr="00EA3DEC">
        <w:rPr>
          <w:szCs w:val="24"/>
          <w:lang w:val="en-GB" w:eastAsia="en-GB"/>
        </w:rPr>
        <w:t>.</w:t>
      </w:r>
    </w:p>
    <w:p w:rsidR="002C1D22" w:rsidRPr="00EA3DEC" w:rsidRDefault="002C1D22" w:rsidP="002C1D22">
      <w:pPr>
        <w:pStyle w:val="NormalWeb"/>
        <w:spacing w:before="0" w:beforeAutospacing="0" w:after="0" w:afterAutospacing="0"/>
        <w:rPr>
          <w:szCs w:val="24"/>
          <w:lang w:val="en-GB" w:eastAsia="en-GB"/>
        </w:rPr>
      </w:pPr>
      <w:r w:rsidRPr="00EA3DEC">
        <w:rPr>
          <w:b/>
          <w:szCs w:val="24"/>
          <w:lang w:val="en-GB" w:eastAsia="en-GB"/>
        </w:rPr>
        <w:t>Measurement of ultrasonic vocalization (USV)</w:t>
      </w:r>
      <w:r w:rsidRPr="00EA3DEC">
        <w:rPr>
          <w:szCs w:val="24"/>
          <w:lang w:val="en-GB" w:eastAsia="en-GB"/>
        </w:rPr>
        <w:t>: To measure separation-induced US vocalization, a common test of neonatal emotional function</w:t>
      </w:r>
      <w:r w:rsidRPr="00EA3DEC">
        <w:rPr>
          <w:szCs w:val="24"/>
          <w:lang w:val="en-GB" w:eastAsia="en-GB"/>
        </w:rPr>
        <w:fldChar w:fldCharType="begin" w:fldLock="1"/>
      </w:r>
      <w:r w:rsidR="00E57E01">
        <w:rPr>
          <w:szCs w:val="24"/>
          <w:lang w:val="en-GB" w:eastAsia="en-GB"/>
        </w:rPr>
        <w:instrText>ADDIN CSL_CITATION {"citationItems":[{"id":"ITEM-1","itemData":{"DOI":"10.1016/0306-4530(95)00042-9","ISSN":"0306-4530 (Print)","PMID":"8774063","abstract":"This paper reviews our growing understanding of the external environmental and  the internal neuroregulatory mechanisms for the infant rat's vocal response to abrupt isolation from nest, littermates and mother. Interactions of the rat pup with specific components of its animate and inanimate environment have been identified and found to exert a tonic regulatory action on the neural systems mediating ultrasonic vocalization (USV). In isolation, withdrawal of these regulators produces an acute outburst of calling. Changes in rate of ultrasonic calling in response to administration of receptor agonist and antagonist agents generally correspond to the effects of those agents on measures of anxiety in adult animals and in human clinical populations, suggesting a conservation of neural substrates for anxiety in evolution and in development. The inhibition of isolation calling in response to predator cues and its potentiation by brief exposure to maternal cues, represent novel forms of regulation with implications for neuroendocrine development and for the neurobiology of early cognitive-emotional processes.","author":[{"dropping-particle":"","family":"Hofer","given":"M A","non-dropping-particle":"","parse-names":false,"suffix":""}],"container-title":"Psychoneuroendocrinology","id":"ITEM-1","issue":"2","issued":{"date-parts":[["1996","2"]]},"language":"eng","page":"203-217","publisher-place":"England","title":"Multiple regulators of ultrasonic vocalization in the infant rat.","type":"article-journal","volume":"21"},"uris":["http://www.mendeley.com/documents/?uuid=e2a17583-ee25-4093-8575-d835cb081c0c","http://www.mendeley.com/documents/?uuid=d321a4c9-6501-4d55-887f-3726fbc51def"]}],"mendeley":{"formattedCitation":"&lt;sup&gt;3&lt;/sup&gt;","plainTextFormattedCitation":"3","previouslyFormattedCitation":"&lt;sup&gt;3&lt;/sup&gt;"},"properties":{"noteIndex":0},"schema":"https://github.com/citation-style-language/schema/raw/master/csl-citation.json"}</w:instrText>
      </w:r>
      <w:r w:rsidRPr="00EA3DEC">
        <w:rPr>
          <w:szCs w:val="24"/>
          <w:lang w:val="en-GB" w:eastAsia="en-GB"/>
        </w:rPr>
        <w:fldChar w:fldCharType="separate"/>
      </w:r>
      <w:r w:rsidR="00E57E01" w:rsidRPr="00E57E01">
        <w:rPr>
          <w:noProof/>
          <w:szCs w:val="24"/>
          <w:vertAlign w:val="superscript"/>
          <w:lang w:val="en-GB" w:eastAsia="en-GB"/>
        </w:rPr>
        <w:t>3</w:t>
      </w:r>
      <w:r w:rsidRPr="00EA3DEC">
        <w:rPr>
          <w:szCs w:val="24"/>
          <w:lang w:val="en-GB" w:eastAsia="en-GB"/>
        </w:rPr>
        <w:fldChar w:fldCharType="end"/>
      </w:r>
      <w:r w:rsidRPr="00EA3DEC">
        <w:rPr>
          <w:szCs w:val="24"/>
          <w:lang w:val="en-GB" w:eastAsia="en-GB"/>
        </w:rPr>
        <w:t xml:space="preserve">, pups (P8) were individually placed in a glass beaker (Ø 12 cm, 18 cm high) without bedding or heating for 10 minutes. All animals </w:t>
      </w:r>
      <w:proofErr w:type="gramStart"/>
      <w:r w:rsidRPr="00EA3DEC">
        <w:rPr>
          <w:szCs w:val="24"/>
          <w:lang w:val="en-GB" w:eastAsia="en-GB"/>
        </w:rPr>
        <w:t>were tested</w:t>
      </w:r>
      <w:proofErr w:type="gramEnd"/>
      <w:r w:rsidRPr="00EA3DEC">
        <w:rPr>
          <w:szCs w:val="24"/>
          <w:lang w:val="en-GB" w:eastAsia="en-GB"/>
        </w:rPr>
        <w:t xml:space="preserve"> under identical environmental conditions, and the influence of ambient temperature on vocalisation was consistent across groups. </w:t>
      </w:r>
      <w:r w:rsidRPr="00EA3DEC">
        <w:rPr>
          <w:szCs w:val="24"/>
          <w:lang w:val="en-GB" w:eastAsia="en-GB"/>
        </w:rPr>
        <w:tab/>
        <w:t xml:space="preserve">  Ultrasonic microphones (CIEL-</w:t>
      </w:r>
      <w:proofErr w:type="spellStart"/>
      <w:r w:rsidRPr="00EA3DEC">
        <w:rPr>
          <w:szCs w:val="24"/>
          <w:lang w:val="en-GB" w:eastAsia="en-GB"/>
        </w:rPr>
        <w:t>Electronique</w:t>
      </w:r>
      <w:proofErr w:type="spellEnd"/>
      <w:r w:rsidRPr="00EA3DEC">
        <w:rPr>
          <w:szCs w:val="24"/>
          <w:lang w:val="en-GB" w:eastAsia="en-GB"/>
        </w:rPr>
        <w:t xml:space="preserve"> CDB 205 R2) placed 10 cm above the beaker converted the vocalizations to </w:t>
      </w:r>
      <w:r w:rsidRPr="00EA3DEC">
        <w:rPr>
          <w:szCs w:val="24"/>
          <w:lang w:val="en-GB" w:eastAsia="en-GB"/>
        </w:rPr>
        <w:lastRenderedPageBreak/>
        <w:t xml:space="preserve">audible sounds. Audacity 2.0.5 (Creative Commons, USA) free software </w:t>
      </w:r>
      <w:proofErr w:type="gramStart"/>
      <w:r w:rsidRPr="00EA3DEC">
        <w:rPr>
          <w:szCs w:val="24"/>
          <w:lang w:val="en-GB" w:eastAsia="en-GB"/>
        </w:rPr>
        <w:t>was used</w:t>
      </w:r>
      <w:proofErr w:type="gramEnd"/>
      <w:r w:rsidRPr="00EA3DEC">
        <w:rPr>
          <w:szCs w:val="24"/>
          <w:lang w:val="en-GB" w:eastAsia="en-GB"/>
        </w:rPr>
        <w:t xml:space="preserve"> to register the time-pattern (frequency and cumulative duration) and spectrum of the vocalizations. The recordings were later analysed by a Rat Call Counter, developed by S. Zsebők</w:t>
      </w:r>
      <w:r w:rsidRPr="00EA3DEC">
        <w:rPr>
          <w:szCs w:val="24"/>
          <w:lang w:val="en-GB" w:eastAsia="en-GB"/>
        </w:rPr>
        <w:fldChar w:fldCharType="begin" w:fldLock="1"/>
      </w:r>
      <w:r w:rsidR="00E57E01">
        <w:rPr>
          <w:szCs w:val="24"/>
          <w:lang w:val="en-GB" w:eastAsia="en-GB"/>
        </w:rPr>
        <w:instrText>ADDIN CSL_CITATION {"citationItems":[{"id":"ITEM-1","itemData":{"DOI":"10.3390/brainsci11040444","ISSN":"2076-3425","abstract":"&lt;p&gt;In adults, vasopressin exerts an anxiogenic effect, but less is known about the perinatal period. As a sign of distress, rat pups emit ultrasonic vocalizations when they are separated from their mothers, known as maternal separation-induced ultrasonic vocalization (MS-USV). Previously, reduced MS-USV was reported in 7–8-day-old genetically vasopressin-deficient Brattleboro rats. Here, we aimed to examine the contributing vasopressin receptor (VR) subtypes using Wistar pups. MS-USV was recorded for 10 min, 30 min after vasopressin (V) 1aR, V1bR or V2R antagonist treatment (SR49059, SSR149415, SR121463B; 3, 10 and 30 mg/kg, intraperitoneal). Sedation was studied by the righting reflex and negative geotaxis, and finally, the stress hormone levels were measured by radioimmunoassay. The vasopressin-deficient pups showed decreased MS-USV and adrenocorticotropin levels even after a saline injection, with unchanged corticosterone levels. Thirty mg/kg of V1aR-antagonist increased the corticosterone levels. All V1bR antagonist doses decreased the MS-USV and adrenocorticotropin, while 10 + 10 mg/kg of V1aR and V1bR antagonists decreased MS-USV without influencing the stress hormones. Three mg/kg of V2R antagonist enhanced MS-USV, while 30 mg/kg increased the stress hormone levels. We confirmed that vasopressin deficiency already caused anxiolytic effects in pups. V1bRs are the most important player in connection with their adrenocorticotropin (ACTH)-regulatory role, but a combination of V1aR and V1bR antagonists might be also beneficial through other mechanisms, reducing the possibility of side effects. In contrast, antagonizing the V2Rs may be stressful due to an induction of imbalance in saltwater homeostasis.&lt;/p&gt;","author":[{"dropping-particle":"","family":"Török","given":"Bibiána","non-dropping-particle":"","parse-names":false,"suffix":""},{"dropping-particle":"","family":"Fodor","given":"Anna","non-dropping-particle":"","parse-names":false,"suffix":""},{"dropping-particle":"","family":"Zsebők","given":"Sándor","non-dropping-particle":"","parse-names":false,"suffix":""},{"dropping-particle":"","family":"Sipos","given":"Eszter","non-dropping-particle":"","parse-names":false,"suffix":""},{"dropping-particle":"","family":"Zelena","given":"Dóra","non-dropping-particle":"","parse-names":false,"suffix":""}],"container-title":"Brain Sciences","id":"ITEM-1","issue":"4","issued":{"date-parts":[["2021","3","30"]]},"title":"The Effect of Vasopressin Antagonists on Maternal-Separation-Induced Ultrasonic Vocalization and Stress-Hormone Level Increase during the Early Postnatal Period","type":"article-journal","volume":"11"},"uris":["http://www.mendeley.com/documents/?uuid=561f2a8f-9a30-4f38-98a8-9593cb3b46d6","http://www.mendeley.com/documents/?uuid=6bcc89b5-ae83-47ad-ad50-0b3e72613d7f"]}],"mendeley":{"formattedCitation":"&lt;sup&gt;4&lt;/sup&gt;","plainTextFormattedCitation":"4","previouslyFormattedCitation":"&lt;sup&gt;4&lt;/sup&gt;"},"properties":{"noteIndex":0},"schema":"https://github.com/citation-style-language/schema/raw/master/csl-citation.json"}</w:instrText>
      </w:r>
      <w:r w:rsidRPr="00EA3DEC">
        <w:rPr>
          <w:szCs w:val="24"/>
          <w:lang w:val="en-GB" w:eastAsia="en-GB"/>
        </w:rPr>
        <w:fldChar w:fldCharType="separate"/>
      </w:r>
      <w:r w:rsidR="00E57E01" w:rsidRPr="00E57E01">
        <w:rPr>
          <w:noProof/>
          <w:szCs w:val="24"/>
          <w:vertAlign w:val="superscript"/>
          <w:lang w:val="en-GB" w:eastAsia="en-GB"/>
        </w:rPr>
        <w:t>4</w:t>
      </w:r>
      <w:r w:rsidRPr="00EA3DEC">
        <w:rPr>
          <w:szCs w:val="24"/>
          <w:lang w:val="en-GB" w:eastAsia="en-GB"/>
        </w:rPr>
        <w:fldChar w:fldCharType="end"/>
      </w:r>
      <w:r w:rsidRPr="00EA3DEC">
        <w:rPr>
          <w:szCs w:val="24"/>
          <w:lang w:val="en-GB" w:eastAsia="en-GB"/>
        </w:rPr>
        <w:t>. The threshold value was set at a signal amplitude of 0.4 mV to exclude background noise.</w:t>
      </w:r>
    </w:p>
    <w:p w:rsidR="002C1D22" w:rsidRPr="00EA3DEC" w:rsidRDefault="002C1D22" w:rsidP="002C1D22">
      <w:pPr>
        <w:pStyle w:val="Heading4"/>
      </w:pPr>
      <w:r w:rsidRPr="00EA3DEC">
        <w:t>Juvenile emotional and cognitive testing</w:t>
      </w:r>
    </w:p>
    <w:p w:rsidR="002C1D22" w:rsidRPr="00EA3DEC" w:rsidRDefault="002C1D22" w:rsidP="002C1D22">
      <w:pPr>
        <w:pStyle w:val="NormalWeb"/>
        <w:spacing w:before="0" w:beforeAutospacing="0" w:after="0" w:afterAutospacing="0"/>
        <w:rPr>
          <w:szCs w:val="24"/>
          <w:lang w:val="en-GB" w:eastAsia="en-GB"/>
        </w:rPr>
      </w:pPr>
      <w:proofErr w:type="spellStart"/>
      <w:r w:rsidRPr="00EA3DEC">
        <w:rPr>
          <w:b/>
          <w:szCs w:val="24"/>
          <w:lang w:val="en-GB" w:eastAsia="en-GB"/>
        </w:rPr>
        <w:t>Playfight</w:t>
      </w:r>
      <w:proofErr w:type="spellEnd"/>
      <w:r w:rsidRPr="00EA3DEC">
        <w:rPr>
          <w:b/>
          <w:szCs w:val="24"/>
          <w:lang w:val="en-GB" w:eastAsia="en-GB"/>
        </w:rPr>
        <w:t xml:space="preserve"> test:</w:t>
      </w:r>
      <w:r w:rsidRPr="00EA3DEC">
        <w:rPr>
          <w:szCs w:val="24"/>
          <w:lang w:val="en-GB" w:eastAsia="en-GB"/>
        </w:rPr>
        <w:t xml:space="preserve"> </w:t>
      </w:r>
      <w:proofErr w:type="spellStart"/>
      <w:r w:rsidRPr="00EA3DEC">
        <w:rPr>
          <w:szCs w:val="24"/>
          <w:lang w:val="en-GB" w:eastAsia="en-GB"/>
        </w:rPr>
        <w:t>Playfight</w:t>
      </w:r>
      <w:proofErr w:type="spellEnd"/>
      <w:r w:rsidRPr="00EA3DEC">
        <w:rPr>
          <w:szCs w:val="24"/>
          <w:lang w:val="en-GB" w:eastAsia="en-GB"/>
        </w:rPr>
        <w:t xml:space="preserve"> test was performed at the age of 26-28 days to examine the animals’ early social and aggressive </w:t>
      </w:r>
      <w:proofErr w:type="spellStart"/>
      <w:r w:rsidRPr="00EA3DEC">
        <w:rPr>
          <w:szCs w:val="24"/>
          <w:lang w:val="en-GB" w:eastAsia="en-GB"/>
        </w:rPr>
        <w:t>behavioral</w:t>
      </w:r>
      <w:proofErr w:type="spellEnd"/>
      <w:r w:rsidRPr="00EA3DEC">
        <w:rPr>
          <w:szCs w:val="24"/>
          <w:lang w:val="en-GB" w:eastAsia="en-GB"/>
        </w:rPr>
        <w:t xml:space="preserve"> patterns</w:t>
      </w:r>
      <w:r w:rsidRPr="00EA3DEC">
        <w:rPr>
          <w:szCs w:val="24"/>
          <w:lang w:val="en-GB" w:eastAsia="en-GB"/>
        </w:rPr>
        <w:fldChar w:fldCharType="begin" w:fldLock="1"/>
      </w:r>
      <w:r w:rsidR="00E57E01">
        <w:rPr>
          <w:szCs w:val="24"/>
          <w:lang w:val="en-GB" w:eastAsia="en-GB"/>
        </w:rPr>
        <w:instrText>ADDIN CSL_CITATION {"citationItems":[{"id":"ITEM-1","itemData":{"DOI":"10.1016/s0149-7634(96)00020-6","ISSN":"0149-7634 (Print)","PMID":"9168267","abstract":"Social play behavior is one of the earliest forms of non-mother-directed social  behavior appearing in ontogeny in mammalian species. During the last century, there has been a lot of debate on the significance of social play behavior, but behavioral studies have indicated that social play behavior is a separate and relevant category of behavior. The present review provides a comprehensive survey of studies on the neurobiology of social play behavior. Evidence is presented that opioid and dopamine systems play a role in the reward aspect of social play behavior. The role of cholinergic, noradrenergic and opioid systems in attentional processes underlying the generation of social play behavior and the involvement of androgens in the sexual differentiation of social play behavior in rats is summarized. It is concluded that there is not only behavioral, but also neurobiological evidence to suggest that social play behavior represents a separate category of behavior, instead of a precursor for adult social, sexual or aggressive behavior.","author":[{"dropping-particle":"","family":"Vanderschuren","given":"L J","non-dropping-particle":"","parse-names":false,"suffix":""},{"dropping-particle":"","family":"Niesink","given":"R J","non-dropping-particle":"","parse-names":false,"suffix":""},{"dropping-particle":"","family":"Ree","given":"J M","non-dropping-particle":"Van","parse-names":false,"suffix":""}],"container-title":"Neuroscience and biobehavioral reviews","id":"ITEM-1","issue":"3","issued":{"date-parts":[["1997","5"]]},"language":"eng","page":"309-326","publisher-place":"United States","title":"The neurobiology of social play behavior in rats.","type":"article-journal","volume":"21"},"uris":["http://www.mendeley.com/documents/?uuid=230f4e51-3432-4ae2-bdf5-9b422b0f1958","http://www.mendeley.com/documents/?uuid=a93e70c1-897a-4fb4-aa55-bb5cfbb08654"]}],"mendeley":{"formattedCitation":"&lt;sup&gt;5&lt;/sup&gt;","plainTextFormattedCitation":"5","previouslyFormattedCitation":"&lt;sup&gt;5&lt;/sup&gt;"},"properties":{"noteIndex":0},"schema":"https://github.com/citation-style-language/schema/raw/master/csl-citation.json"}</w:instrText>
      </w:r>
      <w:r w:rsidRPr="00EA3DEC">
        <w:rPr>
          <w:szCs w:val="24"/>
          <w:lang w:val="en-GB" w:eastAsia="en-GB"/>
        </w:rPr>
        <w:fldChar w:fldCharType="separate"/>
      </w:r>
      <w:r w:rsidR="00E57E01" w:rsidRPr="00E57E01">
        <w:rPr>
          <w:noProof/>
          <w:szCs w:val="24"/>
          <w:vertAlign w:val="superscript"/>
          <w:lang w:val="en-GB" w:eastAsia="en-GB"/>
        </w:rPr>
        <w:t>5</w:t>
      </w:r>
      <w:r w:rsidRPr="00EA3DEC">
        <w:rPr>
          <w:szCs w:val="24"/>
          <w:lang w:val="en-GB" w:eastAsia="en-GB"/>
        </w:rPr>
        <w:fldChar w:fldCharType="end"/>
      </w:r>
      <w:r w:rsidRPr="00EA3DEC">
        <w:rPr>
          <w:szCs w:val="24"/>
          <w:lang w:val="en-GB" w:eastAsia="en-GB"/>
        </w:rPr>
        <w:t xml:space="preserve">. The number of animals tested was 10/ treatment group. After two days of 10min individual habituation to the test room and cages, the animals were isolated for 3.5h in standard home cages and then placed in the testing cage in pairs, and video recorded for 10 minutes. Rats of the same sex and treatment but unfamiliar to each other were paired. One of the animals was marked with semi-permanent dye for easier differentiation one day prior to </w:t>
      </w:r>
      <w:proofErr w:type="spellStart"/>
      <w:r w:rsidRPr="00EA3DEC">
        <w:rPr>
          <w:szCs w:val="24"/>
          <w:lang w:val="en-GB" w:eastAsia="en-GB"/>
        </w:rPr>
        <w:t>testing.The</w:t>
      </w:r>
      <w:proofErr w:type="spellEnd"/>
      <w:r w:rsidRPr="00EA3DEC">
        <w:rPr>
          <w:szCs w:val="24"/>
          <w:lang w:val="en-GB" w:eastAsia="en-GB"/>
        </w:rPr>
        <w:t xml:space="preserve"> frequency and duration of exploring, sniffing, grooming, pouncing, pinning, jabbing, kicking or defence were measured using an event recorder software based on the criteria previously described by </w:t>
      </w:r>
      <w:proofErr w:type="spellStart"/>
      <w:r w:rsidRPr="00EA3DEC">
        <w:rPr>
          <w:szCs w:val="24"/>
          <w:lang w:val="en-GB" w:eastAsia="en-GB"/>
        </w:rPr>
        <w:t>Veenema</w:t>
      </w:r>
      <w:proofErr w:type="spellEnd"/>
      <w:r w:rsidRPr="00EA3DEC">
        <w:rPr>
          <w:szCs w:val="24"/>
          <w:lang w:val="en-GB" w:eastAsia="en-GB"/>
        </w:rPr>
        <w:t xml:space="preserve"> and colleagues</w:t>
      </w:r>
      <w:r w:rsidRPr="00EA3DEC">
        <w:rPr>
          <w:szCs w:val="24"/>
          <w:lang w:val="en-GB" w:eastAsia="en-GB"/>
        </w:rPr>
        <w:fldChar w:fldCharType="begin" w:fldLock="1"/>
      </w:r>
      <w:r w:rsidR="00E57E01">
        <w:rPr>
          <w:szCs w:val="24"/>
          <w:lang w:val="en-GB" w:eastAsia="en-GB"/>
        </w:rPr>
        <w:instrText>ADDIN CSL_CITATION {"citationItems":[{"id":"ITEM-1","itemData":{"DOI":"10.1016/j.psyneuen.2008.10.017","ISSN":"0306-4530 (Print)","PMID":"19056182","abstract":"Early life stress is a risk factor for altered adult emotionality including  impaired social behavior, enhanced aggression and violence. These behavioral deficits most likely have an earlier onset in life. We recently demonstrated that maternal separation (MS, 3h daily on postnatal day 1-14) increased intermale aggression in adult Wistar rats. Here, we investigated whether MS induced alterations in juvenile play-fighting, which is a precursor of aggression. MS increased offensive play-fighting behaviors in juvenile male rats, as indicated by a twofold increase in the number of nape attacks, a higher frequency of offensive pulling and biting, and a lower frequency of submissive play behaviors. Furthermore, MS rats showed higher plasma corticosterone levels and higher vasopressin mRNA expression in the paraventricular nucleus and the bed nucleus of the stria terminalis compared with control rats during the early dark phase. Thus, MS enhanced aggressive play-fighting accompanied by changes in several relevant neuroendocrine parameters. Taken together with previous findings, the increase in aggressive behaviors both at juvenile and adult age illustrates that exposure to MS alters the way rats cope with social conflict situations throughout life.","author":[{"dropping-particle":"","family":"Veenema","given":"Alexa H","non-dropping-particle":"","parse-names":false,"suffix":""},{"dropping-particle":"","family":"Neumann","given":"Inga D","non-dropping-particle":"","parse-names":false,"suffix":""}],"container-title":"Psychoneuroendocrinology","id":"ITEM-1","issue":"3","issued":{"date-parts":[["2009","4"]]},"language":"eng","page":"463-467","publisher-place":"England","title":"Maternal separation enhances offensive play-fighting, basal corticosterone and  hypothalamic vasopressin mRNA expression in juvenile male rats.","type":"article-journal","volume":"34"},"uris":["http://www.mendeley.com/documents/?uuid=9cc50300-a71f-415e-a67b-76ed8c688a4b","http://www.mendeley.com/documents/?uuid=93093b70-0a37-4e30-9f44-3972e3bec81c"]}],"mendeley":{"formattedCitation":"&lt;sup&gt;6&lt;/sup&gt;","plainTextFormattedCitation":"6","previouslyFormattedCitation":"&lt;sup&gt;6&lt;/sup&gt;"},"properties":{"noteIndex":0},"schema":"https://github.com/citation-style-language/schema/raw/master/csl-citation.json"}</w:instrText>
      </w:r>
      <w:r w:rsidRPr="00EA3DEC">
        <w:rPr>
          <w:szCs w:val="24"/>
          <w:lang w:val="en-GB" w:eastAsia="en-GB"/>
        </w:rPr>
        <w:fldChar w:fldCharType="separate"/>
      </w:r>
      <w:r w:rsidR="00E57E01" w:rsidRPr="00E57E01">
        <w:rPr>
          <w:noProof/>
          <w:szCs w:val="24"/>
          <w:vertAlign w:val="superscript"/>
          <w:lang w:val="en-GB" w:eastAsia="en-GB"/>
        </w:rPr>
        <w:t>6</w:t>
      </w:r>
      <w:r w:rsidRPr="00EA3DEC">
        <w:rPr>
          <w:szCs w:val="24"/>
          <w:lang w:val="en-GB" w:eastAsia="en-GB"/>
        </w:rPr>
        <w:fldChar w:fldCharType="end"/>
      </w:r>
      <w:r w:rsidRPr="00EA3DEC">
        <w:rPr>
          <w:szCs w:val="24"/>
          <w:lang w:val="en-GB" w:eastAsia="en-GB"/>
        </w:rPr>
        <w:t>.</w:t>
      </w:r>
    </w:p>
    <w:p w:rsidR="002C1D22" w:rsidRPr="00EA3DEC" w:rsidRDefault="002C1D22" w:rsidP="002C1D22">
      <w:pPr>
        <w:pStyle w:val="NormalWeb"/>
        <w:spacing w:before="0" w:beforeAutospacing="0" w:after="0" w:afterAutospacing="0"/>
        <w:rPr>
          <w:szCs w:val="24"/>
          <w:lang w:val="en-GB" w:eastAsia="en-GB"/>
        </w:rPr>
      </w:pPr>
      <w:r w:rsidRPr="00EA3DEC">
        <w:rPr>
          <w:b/>
          <w:szCs w:val="24"/>
          <w:lang w:val="en-GB" w:eastAsia="en-GB"/>
        </w:rPr>
        <w:t>Hole-board test:</w:t>
      </w:r>
      <w:r w:rsidRPr="00EA3DEC">
        <w:rPr>
          <w:szCs w:val="24"/>
          <w:lang w:val="en-GB" w:eastAsia="en-GB"/>
        </w:rPr>
        <w:t xml:space="preserve"> At adolescent age (P30-35) the rats took part in a hole-board test to examine their exploratory </w:t>
      </w:r>
      <w:proofErr w:type="spellStart"/>
      <w:r w:rsidRPr="00EA3DEC">
        <w:rPr>
          <w:szCs w:val="24"/>
          <w:lang w:val="en-GB" w:eastAsia="en-GB"/>
        </w:rPr>
        <w:t>behavior</w:t>
      </w:r>
      <w:proofErr w:type="spellEnd"/>
      <w:r w:rsidRPr="00EA3DEC">
        <w:rPr>
          <w:szCs w:val="24"/>
          <w:lang w:val="en-GB" w:eastAsia="en-GB"/>
        </w:rPr>
        <w:t xml:space="preserve"> and spatial learning abilities</w:t>
      </w:r>
      <w:r w:rsidRPr="00EA3DEC">
        <w:rPr>
          <w:szCs w:val="24"/>
          <w:lang w:val="en-GB" w:eastAsia="en-GB"/>
        </w:rPr>
        <w:fldChar w:fldCharType="begin" w:fldLock="1"/>
      </w:r>
      <w:r w:rsidR="00E57E01">
        <w:rPr>
          <w:szCs w:val="24"/>
          <w:lang w:val="en-GB" w:eastAsia="en-GB"/>
        </w:rPr>
        <w:instrText>ADDIN CSL_CITATION {"citationItems":[{"id":"ITEM-1","itemData":{"DOI":"10.1093/ilar/ilu013","ISSN":"1930-6180 (Electronic)","PMID":"25225309","abstract":"Maneuvering safely through the environment is central to survival of almost all  species. The ability to do this depends on learning and remembering locations. This capacity is encoded in the brain by two systems: one using cues outside the organism (distal cues), allocentric navigation, and one using self-movement, internal cues and nearby proximal cues, egocentric navigation. Allocentric navigation involves the hippocampus, entorhinal cortex, and surrounding structures; in humans this system encodes allocentric, semantic, and episodic memory. This form of memory is assessed in laboratory animals in many ways, but the dominant form of assessment is the Morris water maze (MWM). Egocentric navigation involves the dorsal striatum and connected structures; in humans this system encodes routes and integrated paths and, when overlearned, becomes procedural memory. In this article, several allocentric assessment methods for rodents are reviewed and compared with the MWM. MWM advantages (little training required, no food deprivation, ease of testing, rapid and reliable learning, insensitivity to differences in body weight and appetite, absence of nonperformers, control methods for proximal cue learning, and performance effects) and disadvantages (concern about stress, perhaps not as sensitive for working memory) are discussed. Evidence-based design improvements and testing methods are reviewed for both rats and mice. Experimental factors that apply generally to spatial navigation and to MWM specifically are considered. It is concluded that, on balance, the MWM has more advantages than disadvantages and compares favorably with other allocentric navigation tasks.","author":[{"dropping-particle":"V","family":"Vorhees","given":"Charles","non-dropping-particle":"","parse-names":false,"suffix":""},{"dropping-particle":"","family":"Williams","given":"Michael T","non-dropping-particle":"","parse-names":false,"suffix":""}],"container-title":"ILAR journal","id":"ITEM-1","issue":"2","issued":{"date-parts":[["2014"]]},"language":"eng","page":"310-332","publisher-place":"England","title":"Assessing spatial learning and memory in rodents.","type":"article-journal","volume":"55"},"uris":["http://www.mendeley.com/documents/?uuid=a1bb1b20-3b59-4b18-a336-7c3738a87a3a","http://www.mendeley.com/documents/?uuid=0ae98408-cfe9-4c90-9d82-f042eeb3b2bd"]}],"mendeley":{"formattedCitation":"&lt;sup&gt;7&lt;/sup&gt;","plainTextFormattedCitation":"7","previouslyFormattedCitation":"&lt;sup&gt;7&lt;/sup&gt;"},"properties":{"noteIndex":0},"schema":"https://github.com/citation-style-language/schema/raw/master/csl-citation.json"}</w:instrText>
      </w:r>
      <w:r w:rsidRPr="00EA3DEC">
        <w:rPr>
          <w:szCs w:val="24"/>
          <w:lang w:val="en-GB" w:eastAsia="en-GB"/>
        </w:rPr>
        <w:fldChar w:fldCharType="separate"/>
      </w:r>
      <w:r w:rsidR="00E57E01" w:rsidRPr="00E57E01">
        <w:rPr>
          <w:noProof/>
          <w:szCs w:val="24"/>
          <w:vertAlign w:val="superscript"/>
          <w:lang w:val="en-GB" w:eastAsia="en-GB"/>
        </w:rPr>
        <w:t>7</w:t>
      </w:r>
      <w:r w:rsidRPr="00EA3DEC">
        <w:rPr>
          <w:szCs w:val="24"/>
          <w:lang w:val="en-GB" w:eastAsia="en-GB"/>
        </w:rPr>
        <w:fldChar w:fldCharType="end"/>
      </w:r>
      <w:r w:rsidRPr="00EA3DEC">
        <w:rPr>
          <w:szCs w:val="24"/>
          <w:lang w:val="en-GB" w:eastAsia="en-GB"/>
        </w:rPr>
        <w:t xml:space="preserve">. The number of animals tested was 15-16/ treatment group. Before the test, the animals were food-deprived for 1h to increase their motivation. On the habituation day the animals </w:t>
      </w:r>
      <w:proofErr w:type="gramStart"/>
      <w:r w:rsidRPr="00EA3DEC">
        <w:rPr>
          <w:szCs w:val="24"/>
          <w:lang w:val="en-GB" w:eastAsia="en-GB"/>
        </w:rPr>
        <w:t>were placed</w:t>
      </w:r>
      <w:proofErr w:type="gramEnd"/>
      <w:r w:rsidRPr="00EA3DEC">
        <w:rPr>
          <w:szCs w:val="24"/>
          <w:lang w:val="en-GB" w:eastAsia="en-GB"/>
        </w:rPr>
        <w:t xml:space="preserve"> in the test boxes for 10 min to explore the arena (79 × 54 × 35 cm, black plastic box) that had 16 uniformly positioned round holes in its floor. On days 2-4 (learning phase) every hole </w:t>
      </w:r>
      <w:proofErr w:type="gramStart"/>
      <w:r w:rsidRPr="00EA3DEC">
        <w:rPr>
          <w:szCs w:val="24"/>
          <w:lang w:val="en-GB" w:eastAsia="en-GB"/>
        </w:rPr>
        <w:t>was filled</w:t>
      </w:r>
      <w:proofErr w:type="gramEnd"/>
      <w:r w:rsidRPr="00EA3DEC">
        <w:rPr>
          <w:szCs w:val="24"/>
          <w:lang w:val="en-GB" w:eastAsia="en-GB"/>
        </w:rPr>
        <w:t xml:space="preserve"> with one sugar pellet (45 mg Dustless Precision Pellet F0021, Bio-</w:t>
      </w:r>
      <w:proofErr w:type="spellStart"/>
      <w:r w:rsidRPr="00EA3DEC">
        <w:rPr>
          <w:szCs w:val="24"/>
          <w:lang w:val="en-GB" w:eastAsia="en-GB"/>
        </w:rPr>
        <w:t>Serv</w:t>
      </w:r>
      <w:proofErr w:type="spellEnd"/>
      <w:r w:rsidRPr="00EA3DEC">
        <w:rPr>
          <w:szCs w:val="24"/>
          <w:lang w:val="en-GB" w:eastAsia="en-GB"/>
        </w:rPr>
        <w:t xml:space="preserve">, USA) and the edge of each hole was marked with a piece of white adhesive tape. This phase took 5 min or less </w:t>
      </w:r>
      <w:proofErr w:type="gramStart"/>
      <w:r w:rsidRPr="00EA3DEC">
        <w:rPr>
          <w:szCs w:val="24"/>
          <w:lang w:val="en-GB" w:eastAsia="en-GB"/>
        </w:rPr>
        <w:t>if</w:t>
      </w:r>
      <w:proofErr w:type="gramEnd"/>
      <w:r w:rsidRPr="00EA3DEC">
        <w:rPr>
          <w:szCs w:val="24"/>
          <w:lang w:val="en-GB" w:eastAsia="en-GB"/>
        </w:rPr>
        <w:t xml:space="preserve"> the animal ate all the pellets in a shorter time. On days </w:t>
      </w:r>
      <w:proofErr w:type="gramStart"/>
      <w:r w:rsidRPr="00EA3DEC">
        <w:rPr>
          <w:szCs w:val="24"/>
          <w:lang w:val="en-GB" w:eastAsia="en-GB"/>
        </w:rPr>
        <w:t>5-6</w:t>
      </w:r>
      <w:proofErr w:type="gramEnd"/>
      <w:r w:rsidRPr="00EA3DEC">
        <w:rPr>
          <w:szCs w:val="24"/>
          <w:lang w:val="en-GB" w:eastAsia="en-GB"/>
        </w:rPr>
        <w:t xml:space="preserve"> (test phase, 5 min or less) only four holes were filled and marked and the animals were expected to learn that only the marked holes contain food pellets. On </w:t>
      </w:r>
      <w:proofErr w:type="gramStart"/>
      <w:r w:rsidRPr="00EA3DEC">
        <w:rPr>
          <w:szCs w:val="24"/>
          <w:lang w:val="en-GB" w:eastAsia="en-GB"/>
        </w:rPr>
        <w:t>days</w:t>
      </w:r>
      <w:proofErr w:type="gramEnd"/>
      <w:r w:rsidRPr="00EA3DEC">
        <w:rPr>
          <w:szCs w:val="24"/>
          <w:lang w:val="en-GB" w:eastAsia="en-GB"/>
        </w:rPr>
        <w:t xml:space="preserve"> 7-8 (reverse learning test phase) four other holes were filled and marked to examine the animals’ ability to flexibly associate the newly marked holes with the reward. The latency to eat all pellets and the number of correct and incorrect nose pokes were measured (the latter two only in reverse learning phase).</w:t>
      </w:r>
    </w:p>
    <w:p w:rsidR="002C1D22" w:rsidRPr="00EA3DEC" w:rsidRDefault="002C1D22" w:rsidP="002C1D22">
      <w:pPr>
        <w:pStyle w:val="NormalWeb"/>
        <w:spacing w:before="0" w:beforeAutospacing="0" w:after="0" w:afterAutospacing="0"/>
        <w:rPr>
          <w:szCs w:val="24"/>
          <w:lang w:val="en-GB" w:eastAsia="en-GB"/>
        </w:rPr>
      </w:pPr>
      <w:r w:rsidRPr="00EA3DEC">
        <w:rPr>
          <w:b/>
          <w:szCs w:val="24"/>
          <w:lang w:val="en-GB" w:eastAsia="en-GB"/>
        </w:rPr>
        <w:t>Y-maze test:</w:t>
      </w:r>
      <w:r w:rsidRPr="00EA3DEC">
        <w:rPr>
          <w:szCs w:val="24"/>
          <w:lang w:val="en-GB" w:eastAsia="en-GB"/>
        </w:rPr>
        <w:t xml:space="preserve"> The Y-maze is a </w:t>
      </w:r>
      <w:proofErr w:type="spellStart"/>
      <w:r w:rsidRPr="00EA3DEC">
        <w:rPr>
          <w:szCs w:val="24"/>
          <w:lang w:val="en-GB" w:eastAsia="en-GB"/>
        </w:rPr>
        <w:t>behavioral</w:t>
      </w:r>
      <w:proofErr w:type="spellEnd"/>
      <w:r w:rsidRPr="00EA3DEC">
        <w:rPr>
          <w:szCs w:val="24"/>
          <w:lang w:val="en-GB" w:eastAsia="en-GB"/>
        </w:rPr>
        <w:t xml:space="preserve"> test that measures the willingness of rodents to explore new environments and is widely used for testing spatial working memory</w:t>
      </w:r>
      <w:r w:rsidRPr="00EA3DEC">
        <w:rPr>
          <w:szCs w:val="24"/>
          <w:lang w:val="en-GB" w:eastAsia="en-GB"/>
        </w:rPr>
        <w:fldChar w:fldCharType="begin" w:fldLock="1"/>
      </w:r>
      <w:r w:rsidR="00E57E01">
        <w:rPr>
          <w:szCs w:val="24"/>
          <w:lang w:val="en-GB" w:eastAsia="en-GB"/>
        </w:rPr>
        <w:instrText>ADDIN CSL_CITATION {"citationItems":[{"id":"ITEM-1","itemData":{"DOI":"10.1007/978-1-4939-8994-2_10","ISSN":"1940-6029 (Electronic)","PMID":"30535688","abstract":"The Y-maze can be used to assess short term memory in mice. Spontaneous  alternation, a measure of spatial working memory, can be assessed by allowing mice to explore all three arms of the maze and is driven by an innate curiosity of rodents to explore previously unvisited areas. A mouse with intact working memory, and hence intact prefrontal cortical functions, will remember the arms previously visited and show a tendency to enter a less recently visited arm. Spatial reference memory, which is underlined by the hippocampus, can also be tested by placing the test mice into the Y-maze with one arm closed off during training. After an inter-trial interval of for example 1 h, the mouse should remember which arm it has not explored previously and should visit this arm more often. This chapter describes the pre-test conditions, the materials required and the protocol for conducting and interpreting the results of these two related tests.","author":[{"dropping-particle":"","family":"Kraeuter","given":"Ann-Katrin","non-dropping-particle":"","parse-names":false,"suffix":""},{"dropping-particle":"","family":"Guest","given":"Paul C","non-dropping-particle":"","parse-names":false,"suffix":""},{"dropping-particle":"","family":"Sarnyai","given":"Zoltán","non-dropping-particle":"","parse-names":false,"suffix":""}],"container-title":"Methods in molecular biology (Clifton, N.J.)","id":"ITEM-1","issued":{"date-parts":[["2019"]]},"language":"eng","page":"105-111","publisher-place":"United States","title":"The Y-Maze for Assessment of Spatial Working and Reference Memory in Mice.","type":"article-journal","volume":"1916"},"uris":["http://www.mendeley.com/documents/?uuid=f8c340e2-2cee-42a2-9e10-9fdbfb0ac354","http://www.mendeley.com/documents/?uuid=186f29c4-137a-4c31-9c3b-10bba305850a"]}],"mendeley":{"formattedCitation":"&lt;sup&gt;8&lt;/sup&gt;","plainTextFormattedCitation":"8","previouslyFormattedCitation":"&lt;sup&gt;8&lt;/sup&gt;"},"properties":{"noteIndex":0},"schema":"https://github.com/citation-style-language/schema/raw/master/csl-citation.json"}</w:instrText>
      </w:r>
      <w:r w:rsidRPr="00EA3DEC">
        <w:rPr>
          <w:szCs w:val="24"/>
          <w:lang w:val="en-GB" w:eastAsia="en-GB"/>
        </w:rPr>
        <w:fldChar w:fldCharType="separate"/>
      </w:r>
      <w:r w:rsidR="00E57E01" w:rsidRPr="00E57E01">
        <w:rPr>
          <w:noProof/>
          <w:szCs w:val="24"/>
          <w:vertAlign w:val="superscript"/>
          <w:lang w:val="en-GB" w:eastAsia="en-GB"/>
        </w:rPr>
        <w:t>8</w:t>
      </w:r>
      <w:r w:rsidRPr="00EA3DEC">
        <w:rPr>
          <w:szCs w:val="24"/>
          <w:lang w:val="en-GB" w:eastAsia="en-GB"/>
        </w:rPr>
        <w:fldChar w:fldCharType="end"/>
      </w:r>
      <w:r w:rsidRPr="00EA3DEC">
        <w:rPr>
          <w:szCs w:val="24"/>
          <w:lang w:val="en-GB" w:eastAsia="en-GB"/>
        </w:rPr>
        <w:t xml:space="preserve">. The number of animals tested was 15-16/ treatment group. The subjects (P24) were placed in a Y-shaped grey </w:t>
      </w:r>
      <w:proofErr w:type="spellStart"/>
      <w:r w:rsidRPr="00EA3DEC">
        <w:rPr>
          <w:szCs w:val="24"/>
          <w:lang w:val="en-GB" w:eastAsia="en-GB"/>
        </w:rPr>
        <w:t>plexiglass</w:t>
      </w:r>
      <w:proofErr w:type="spellEnd"/>
      <w:r w:rsidRPr="00EA3DEC">
        <w:rPr>
          <w:szCs w:val="24"/>
          <w:lang w:val="en-GB" w:eastAsia="en-GB"/>
        </w:rPr>
        <w:t xml:space="preserve"> maze (arm 45 × 17 × 30 cm, the angle enclosed by the arms is uniformly 120°) for 5 minutes, with the test-room brightness adjusted to ≤ 60 lux. The percentage of spontaneous alterations was later analysed. A spontaneous alternation </w:t>
      </w:r>
      <w:proofErr w:type="gramStart"/>
      <w:r w:rsidRPr="00EA3DEC">
        <w:rPr>
          <w:szCs w:val="24"/>
          <w:lang w:val="en-GB" w:eastAsia="en-GB"/>
        </w:rPr>
        <w:t>was defined</w:t>
      </w:r>
      <w:proofErr w:type="gramEnd"/>
      <w:r w:rsidRPr="00EA3DEC">
        <w:rPr>
          <w:szCs w:val="24"/>
          <w:lang w:val="en-GB" w:eastAsia="en-GB"/>
        </w:rPr>
        <w:t xml:space="preserve"> by entering into the three arms consecutively without repeated same-arm visits. The alternation index was defined as the ratio of actual and possible alterations (defined as the total number of arm entries minus two) multiplied by 100 as shown in the following equation: Alternation% = [Number of alterations</w:t>
      </w:r>
      <w:proofErr w:type="gramStart"/>
      <w:r w:rsidRPr="00EA3DEC">
        <w:rPr>
          <w:szCs w:val="24"/>
          <w:lang w:val="en-GB" w:eastAsia="en-GB"/>
        </w:rPr>
        <w:t>/(</w:t>
      </w:r>
      <w:proofErr w:type="gramEnd"/>
      <w:r w:rsidRPr="00EA3DEC">
        <w:rPr>
          <w:szCs w:val="24"/>
          <w:lang w:val="en-GB" w:eastAsia="en-GB"/>
        </w:rPr>
        <w:t>Total arm entries − 2)] × 100.</w:t>
      </w:r>
    </w:p>
    <w:p w:rsidR="002C1D22" w:rsidRPr="00EA3DEC" w:rsidRDefault="002C1D22" w:rsidP="002C1D22">
      <w:pPr>
        <w:pStyle w:val="Heading4"/>
      </w:pPr>
      <w:r w:rsidRPr="00EA3DEC">
        <w:t>Adult behavioral tests</w:t>
      </w:r>
    </w:p>
    <w:p w:rsidR="002C1D22" w:rsidRPr="00EA3DEC" w:rsidRDefault="002C1D22" w:rsidP="002C1D22">
      <w:pPr>
        <w:pStyle w:val="NormalWeb"/>
        <w:spacing w:before="0" w:beforeAutospacing="0" w:after="0" w:afterAutospacing="0"/>
        <w:rPr>
          <w:rFonts w:cs="Times New Roman"/>
          <w:szCs w:val="24"/>
          <w:lang w:val="en-GB" w:eastAsia="en-GB"/>
        </w:rPr>
      </w:pPr>
      <w:proofErr w:type="spellStart"/>
      <w:r w:rsidRPr="00EA3DEC">
        <w:rPr>
          <w:rFonts w:cs="Times New Roman"/>
          <w:b/>
          <w:szCs w:val="24"/>
          <w:lang w:val="en-GB" w:eastAsia="en-GB"/>
        </w:rPr>
        <w:t>Rotarod</w:t>
      </w:r>
      <w:proofErr w:type="spellEnd"/>
      <w:r w:rsidRPr="00EA3DEC">
        <w:rPr>
          <w:rFonts w:cs="Times New Roman"/>
          <w:b/>
          <w:szCs w:val="24"/>
          <w:lang w:val="en-GB" w:eastAsia="en-GB"/>
        </w:rPr>
        <w:t xml:space="preserve"> test:</w:t>
      </w:r>
      <w:r w:rsidRPr="00EA3DEC">
        <w:rPr>
          <w:rFonts w:cs="Times New Roman"/>
          <w:szCs w:val="24"/>
          <w:lang w:val="en-GB" w:eastAsia="en-GB"/>
        </w:rPr>
        <w:t xml:space="preserve"> The </w:t>
      </w:r>
      <w:proofErr w:type="spellStart"/>
      <w:r w:rsidRPr="00EA3DEC">
        <w:rPr>
          <w:rFonts w:cs="Times New Roman"/>
          <w:szCs w:val="24"/>
          <w:lang w:val="en-GB" w:eastAsia="en-GB"/>
        </w:rPr>
        <w:t>rotarod</w:t>
      </w:r>
      <w:proofErr w:type="spellEnd"/>
      <w:r w:rsidRPr="00EA3DEC">
        <w:rPr>
          <w:rFonts w:cs="Times New Roman"/>
          <w:szCs w:val="24"/>
          <w:lang w:val="en-GB" w:eastAsia="en-GB"/>
        </w:rPr>
        <w:t xml:space="preserve"> test is used to assess the sensorimotor coordination and motor learning in rodents</w:t>
      </w:r>
      <w:r w:rsidRPr="00EA3DEC">
        <w:rPr>
          <w:rFonts w:cs="Times New Roman"/>
          <w:szCs w:val="24"/>
          <w:lang w:val="en-GB" w:eastAsia="en-GB"/>
        </w:rPr>
        <w:fldChar w:fldCharType="begin" w:fldLock="1"/>
      </w:r>
      <w:r w:rsidR="00E57E01">
        <w:rPr>
          <w:rFonts w:cs="Times New Roman"/>
          <w:szCs w:val="24"/>
          <w:lang w:val="en-GB" w:eastAsia="en-GB"/>
        </w:rPr>
        <w:instrText>ADDIN CSL_CITATION {"citationItems":[{"id":"ITEM-1","itemData":{"DOI":"10.1016/j.jneumeth.2010.03.026","ISSN":"1872-678X (Electronic)","PMID":"20359499","abstract":"The rotarod test is widely used to evaluate the motor coordination of rodents,  and is especially sensitive in detecting cerebellar dysfunction. However, mice with striatal dopamine depletion show only mild or no motor deficit on the typical accelerating rotarod. This suggests that dopamine-depleted mice are useful as animal models for non-motor symptoms, because the influence of motor deficit is minimum and easy to discriminate from cognitive aspects of the behavioral change. The typical accelerating rotarod test is designed to evaluate maximal motor performance and is not optimized to detect motor skill learning. In an attempt to make the test more selective to motor skill learning rather than maximal gait performance, we modified the rotarod test by using a slowly rotating large drum to obtain a steep learning curve. Furthermore, administration of nomifensine, a dopamine uptake inhibitor, improved the learning. On the other hand, apomorphine, an agonist of dopamine autoreceptor, a dopaminergic toxin, 1-methyl-4-phenyl-1,2,3,6-tetrahydropyridine (MPTP) impaired the learning. These pharmacological profiles fit the involvement of the so-called phasic dopamine neurotransmission. Using our modified procedure, we found impaired learning of Parkin-deficit mice, which has not been detected in typical accelerating rotarod. The modified rotarod test would be useful for evaluation of dopamine involvement in the acquisition of motor skill learning.","author":[{"dropping-particle":"","family":"Shiotsuki","given":"Hiromi","non-dropping-particle":"","parse-names":false,"suffix":""},{"dropping-particle":"","family":"Yoshimi","given":"Kenji","non-dropping-particle":"","parse-names":false,"suffix":""},{"dropping-particle":"","family":"Shimo","given":"Yasushi","non-dropping-particle":"","parse-names":false,"suffix":""},{"dropping-particle":"","family":"Funayama","given":"Manabu","non-dropping-particle":"","parse-names":false,"suffix":""},{"dropping-particle":"","family":"Takamatsu","given":"Yukio","non-dropping-particle":"","parse-names":false,"suffix":""},{"dropping-particle":"","family":"Ikeda","given":"Kazutaka","non-dropping-particle":"","parse-names":false,"suffix":""},{"dropping-particle":"","family":"Takahashi","given":"Ryosuke","non-dropping-particle":"","parse-names":false,"suffix":""},{"dropping-particle":"","family":"Kitazawa","given":"Shigeru","non-dropping-particle":"","parse-names":false,"suffix":""},{"dropping-particle":"","family":"Hattori","given":"Nobutaka","non-dropping-particle":"","parse-names":false,"suffix":""}],"container-title":"Journal of neuroscience methods","id":"ITEM-1","issue":"2","issued":{"date-parts":[["2010","6"]]},"language":"eng","page":"180-185","publisher-place":"Netherlands","title":"A rotarod test for evaluation of motor skill learning.","type":"article-journal","volume":"189"},"uris":["http://www.mendeley.com/documents/?uuid=a93d25b3-c764-4c47-97d4-7ba1bddeb7b3","http://www.mendeley.com/documents/?uuid=d7b0c859-f3bc-4924-92b4-f184d808ed83"]}],"mendeley":{"formattedCitation":"&lt;sup&gt;9&lt;/sup&gt;","plainTextFormattedCitation":"9","previouslyFormattedCitation":"&lt;sup&gt;9&lt;/sup&gt;"},"properties":{"noteIndex":0},"schema":"https://github.com/citation-style-language/schema/raw/master/csl-citation.json"}</w:instrText>
      </w:r>
      <w:r w:rsidRPr="00EA3DEC">
        <w:rPr>
          <w:rFonts w:cs="Times New Roman"/>
          <w:szCs w:val="24"/>
          <w:lang w:val="en-GB" w:eastAsia="en-GB"/>
        </w:rPr>
        <w:fldChar w:fldCharType="separate"/>
      </w:r>
      <w:r w:rsidR="00E57E01" w:rsidRPr="00E57E01">
        <w:rPr>
          <w:rFonts w:cs="Times New Roman"/>
          <w:noProof/>
          <w:szCs w:val="24"/>
          <w:vertAlign w:val="superscript"/>
          <w:lang w:val="en-GB" w:eastAsia="en-GB"/>
        </w:rPr>
        <w:t>9</w:t>
      </w:r>
      <w:r w:rsidRPr="00EA3DEC">
        <w:rPr>
          <w:rFonts w:cs="Times New Roman"/>
          <w:szCs w:val="24"/>
          <w:lang w:val="en-GB" w:eastAsia="en-GB"/>
        </w:rPr>
        <w:fldChar w:fldCharType="end"/>
      </w:r>
      <w:r w:rsidRPr="00EA3DEC">
        <w:rPr>
          <w:rFonts w:cs="Times New Roman"/>
          <w:szCs w:val="24"/>
          <w:lang w:val="en-GB" w:eastAsia="en-GB"/>
        </w:rPr>
        <w:t xml:space="preserve">. Here, on day 1 (training day) the </w:t>
      </w:r>
      <w:proofErr w:type="spellStart"/>
      <w:r w:rsidRPr="00EA3DEC">
        <w:rPr>
          <w:rFonts w:cs="Times New Roman"/>
          <w:szCs w:val="24"/>
          <w:lang w:val="en-GB" w:eastAsia="en-GB"/>
        </w:rPr>
        <w:t>rotarod</w:t>
      </w:r>
      <w:proofErr w:type="spellEnd"/>
      <w:r w:rsidRPr="00EA3DEC">
        <w:rPr>
          <w:rFonts w:cs="Times New Roman"/>
          <w:szCs w:val="24"/>
          <w:lang w:val="en-GB" w:eastAsia="en-GB"/>
        </w:rPr>
        <w:t xml:space="preserve"> (IITC, USA) was set to a constant rotation speed of 4 rpm and the animals were placed on the rod for a maximum of 5 times until they were able to stay on it for 180 sec; Thirty-minute </w:t>
      </w:r>
      <w:proofErr w:type="spellStart"/>
      <w:r w:rsidRPr="00EA3DEC">
        <w:rPr>
          <w:rFonts w:cs="Times New Roman"/>
          <w:szCs w:val="24"/>
          <w:lang w:val="en-GB" w:eastAsia="en-GB"/>
        </w:rPr>
        <w:t>intertrial</w:t>
      </w:r>
      <w:proofErr w:type="spellEnd"/>
      <w:r w:rsidRPr="00EA3DEC">
        <w:rPr>
          <w:rFonts w:cs="Times New Roman"/>
          <w:szCs w:val="24"/>
          <w:lang w:val="en-GB" w:eastAsia="en-GB"/>
        </w:rPr>
        <w:t xml:space="preserve"> intervals were applied between attempts. On day </w:t>
      </w:r>
      <w:proofErr w:type="gramStart"/>
      <w:r w:rsidRPr="00EA3DEC">
        <w:rPr>
          <w:rFonts w:cs="Times New Roman"/>
          <w:szCs w:val="24"/>
          <w:lang w:val="en-GB" w:eastAsia="en-GB"/>
        </w:rPr>
        <w:t>2</w:t>
      </w:r>
      <w:proofErr w:type="gramEnd"/>
      <w:r w:rsidRPr="00EA3DEC">
        <w:rPr>
          <w:rFonts w:cs="Times New Roman"/>
          <w:szCs w:val="24"/>
          <w:lang w:val="en-GB" w:eastAsia="en-GB"/>
        </w:rPr>
        <w:t xml:space="preserve"> (test day) the </w:t>
      </w:r>
      <w:proofErr w:type="spellStart"/>
      <w:r w:rsidRPr="00EA3DEC">
        <w:rPr>
          <w:rFonts w:cs="Times New Roman"/>
          <w:szCs w:val="24"/>
          <w:lang w:val="en-GB" w:eastAsia="en-GB"/>
        </w:rPr>
        <w:t>rotarod</w:t>
      </w:r>
      <w:proofErr w:type="spellEnd"/>
      <w:r w:rsidRPr="00EA3DEC">
        <w:rPr>
          <w:rFonts w:cs="Times New Roman"/>
          <w:szCs w:val="24"/>
          <w:lang w:val="en-GB" w:eastAsia="en-GB"/>
        </w:rPr>
        <w:t xml:space="preserve"> was set to an accelerating speed of 4 to 25 rpm in 180 sec and the animals’ latency to fall was measured. The brightness in the room </w:t>
      </w:r>
      <w:proofErr w:type="gramStart"/>
      <w:r w:rsidRPr="00EA3DEC">
        <w:rPr>
          <w:rFonts w:cs="Times New Roman"/>
          <w:szCs w:val="24"/>
          <w:lang w:val="en-GB" w:eastAsia="en-GB"/>
        </w:rPr>
        <w:t>was adjusted</w:t>
      </w:r>
      <w:proofErr w:type="gramEnd"/>
      <w:r w:rsidRPr="00EA3DEC">
        <w:rPr>
          <w:rFonts w:cs="Times New Roman"/>
          <w:szCs w:val="24"/>
          <w:lang w:val="en-GB" w:eastAsia="en-GB"/>
        </w:rPr>
        <w:t xml:space="preserve"> to 70 lux or less during the experiment. The number of animals tested was 9-12/ treatment group.</w:t>
      </w:r>
    </w:p>
    <w:p w:rsidR="002C1D22" w:rsidRPr="00EA3DEC" w:rsidRDefault="002C1D22" w:rsidP="002C1D22">
      <w:pPr>
        <w:pStyle w:val="NormalWeb"/>
        <w:spacing w:before="0" w:beforeAutospacing="0" w:after="0" w:afterAutospacing="0"/>
        <w:rPr>
          <w:rFonts w:cs="Times New Roman"/>
          <w:szCs w:val="24"/>
          <w:lang w:val="en-GB" w:eastAsia="en-GB"/>
        </w:rPr>
      </w:pPr>
      <w:r w:rsidRPr="00EA3DEC">
        <w:rPr>
          <w:rFonts w:cs="Times New Roman"/>
          <w:b/>
          <w:szCs w:val="24"/>
          <w:lang w:val="en-GB" w:eastAsia="en-GB"/>
        </w:rPr>
        <w:t>Open field test:</w:t>
      </w:r>
      <w:r w:rsidRPr="00EA3DEC">
        <w:rPr>
          <w:rFonts w:cs="Times New Roman"/>
          <w:szCs w:val="24"/>
          <w:lang w:val="en-GB" w:eastAsia="en-GB"/>
        </w:rPr>
        <w:t xml:space="preserve"> Open field (OF) test was performed at a young (P33, N= 5-9/ treatment group) and older adult (P87, N= 6-11/ treatment group) age under infrared lighting to evaluate the locomotion, exploratory </w:t>
      </w:r>
      <w:proofErr w:type="spellStart"/>
      <w:r w:rsidRPr="00EA3DEC">
        <w:rPr>
          <w:rFonts w:cs="Times New Roman"/>
          <w:szCs w:val="24"/>
          <w:lang w:val="en-GB" w:eastAsia="en-GB"/>
        </w:rPr>
        <w:t>behavior</w:t>
      </w:r>
      <w:proofErr w:type="spellEnd"/>
      <w:r w:rsidRPr="00EA3DEC">
        <w:rPr>
          <w:rFonts w:cs="Times New Roman"/>
          <w:szCs w:val="24"/>
          <w:lang w:val="en-GB" w:eastAsia="en-GB"/>
        </w:rPr>
        <w:t xml:space="preserve"> and anxiety state of the animals</w:t>
      </w:r>
      <w:r w:rsidRPr="00EA3DEC">
        <w:rPr>
          <w:rFonts w:cs="Times New Roman"/>
          <w:szCs w:val="24"/>
          <w:lang w:val="en-GB" w:eastAsia="en-GB"/>
        </w:rPr>
        <w:fldChar w:fldCharType="begin" w:fldLock="1"/>
      </w:r>
      <w:r w:rsidR="00E57E01">
        <w:rPr>
          <w:rFonts w:cs="Times New Roman"/>
          <w:szCs w:val="24"/>
          <w:lang w:val="en-GB" w:eastAsia="en-GB"/>
        </w:rPr>
        <w:instrText>ADDIN CSL_CITATION {"citationItems":[{"id":"ITEM-1","itemData":{"DOI":"10.1097/FBP.0b013e328343d7b2","ISSN":"1473-5849 (Electronic)","PMID":"21285873","abstract":"N-methyl-D-asparate (NMDA)-mediated glutamatergic neurotransmission is strongly  involved in the development of trauma-induced behavioral dysfunctions, and indirect evidence suggests that NR2B subunit-expressing NMDA receptors are primarily involved in this process. Earlier studies showed that NR2B blockers inhibit the acquisition of conditioned fear, a frequently used model of post-traumatic stress disorder, but their effects on the expression of conditioned fear was poorly studied. We investigated here the effects of the selective serotonin reuptake blocker, fluoxetine, the NMDA blocker, MK-801, and the NR2B subunit blocker, Ro25-6981 on the expression of conditioned fear. Rats received 10 foot shocks administered over 5 min and were tested 24 h later in the shocking context. Treatments were administered 1 h before testing. Shocks dramatically increased freezing and reduced exploration. MK-801 and Ro25-6981 significantly ameliorated both changes. The effects of fluoxetine were less pronounced. In the open field, MK-801 increased locomotion, ataxia, and stereotypy (effects typical of NMDA blockade). Neither fluoxetine nor Ro25-6981 affected locomotion in the open field. Thus, the NR2B-specific NMDA blockade preserved the beneficial effects of general NMDA antagonists on the expression of conditioned fear but did not produce the locomotor side-effects typical of the latter. These findings warrant further studies on the effects of NR2B antagonists in models of post-traumatic stress disorder.","author":[{"dropping-particle":"","family":"Haller","given":"Jozsef","non-dropping-particle":"","parse-names":false,"suffix":""},{"dropping-particle":"","family":"Nagy","given":"Rita","non-dropping-particle":"","parse-names":false,"suffix":""},{"dropping-particle":"","family":"Toth","given":"Mate","non-dropping-particle":"","parse-names":false,"suffix":""},{"dropping-particle":"","family":"Pelczer","given":"Katalin Gyimesine","non-dropping-particle":"","parse-names":false,"suffix":""},{"dropping-particle":"","family":"Mikics","given":"Eva","non-dropping-particle":"","parse-names":false,"suffix":""}],"container-title":"Behavioural pharmacology","id":"ITEM-1","issue":"2","issued":{"date-parts":[["2011","4"]]},"language":"eng","page":"113-121","publisher-place":"England","title":"NR2B subunit-specific NMDA antagonist Ro25-6981 inhibits the expression of  conditioned fear: a comparison with the NMDA antagonist MK-801 and fluoxetine.","type":"article-journal","volume":"22"},"uris":["http://www.mendeley.com/documents/?uuid=d13dce75-2fea-4300-94ae-78fdebfabb22","http://www.mendeley.com/documents/?uuid=70b3d674-40cd-4900-9c4b-2bc840003168"]}],"mendeley":{"formattedCitation":"&lt;sup&gt;10&lt;/sup&gt;","plainTextFormattedCitation":"10","previouslyFormattedCitation":"&lt;sup&gt;10&lt;/sup&gt;"},"properties":{"noteIndex":0},"schema":"https://github.com/citation-style-language/schema/raw/master/csl-citation.json"}</w:instrText>
      </w:r>
      <w:r w:rsidRPr="00EA3DEC">
        <w:rPr>
          <w:rFonts w:cs="Times New Roman"/>
          <w:szCs w:val="24"/>
          <w:lang w:val="en-GB" w:eastAsia="en-GB"/>
        </w:rPr>
        <w:fldChar w:fldCharType="separate"/>
      </w:r>
      <w:r w:rsidR="00E57E01" w:rsidRPr="00E57E01">
        <w:rPr>
          <w:rFonts w:cs="Times New Roman"/>
          <w:noProof/>
          <w:szCs w:val="24"/>
          <w:vertAlign w:val="superscript"/>
          <w:lang w:val="en-GB" w:eastAsia="en-GB"/>
        </w:rPr>
        <w:t>10</w:t>
      </w:r>
      <w:r w:rsidRPr="00EA3DEC">
        <w:rPr>
          <w:rFonts w:cs="Times New Roman"/>
          <w:szCs w:val="24"/>
          <w:lang w:val="en-GB" w:eastAsia="en-GB"/>
        </w:rPr>
        <w:fldChar w:fldCharType="end"/>
      </w:r>
      <w:r w:rsidRPr="00EA3DEC">
        <w:rPr>
          <w:rFonts w:cs="Times New Roman"/>
          <w:szCs w:val="24"/>
          <w:lang w:val="en-GB" w:eastAsia="en-GB"/>
        </w:rPr>
        <w:t xml:space="preserve">. The distance travelled, as well as the number of entries and time spent in the </w:t>
      </w:r>
      <w:proofErr w:type="spellStart"/>
      <w:r w:rsidRPr="00EA3DEC">
        <w:rPr>
          <w:rFonts w:cs="Times New Roman"/>
          <w:szCs w:val="24"/>
          <w:lang w:val="en-GB" w:eastAsia="en-GB"/>
        </w:rPr>
        <w:t>center</w:t>
      </w:r>
      <w:proofErr w:type="spellEnd"/>
      <w:r w:rsidRPr="00EA3DEC">
        <w:rPr>
          <w:rFonts w:cs="Times New Roman"/>
          <w:szCs w:val="24"/>
          <w:lang w:val="en-GB" w:eastAsia="en-GB"/>
        </w:rPr>
        <w:t xml:space="preserve"> zone (50% area of the whole arena) of the OF box were analysed during the 10-minute trial period. At </w:t>
      </w:r>
      <w:proofErr w:type="gramStart"/>
      <w:r w:rsidRPr="00EA3DEC">
        <w:rPr>
          <w:rFonts w:cs="Times New Roman"/>
          <w:szCs w:val="24"/>
          <w:lang w:val="en-GB" w:eastAsia="en-GB"/>
        </w:rPr>
        <w:t>age</w:t>
      </w:r>
      <w:proofErr w:type="gramEnd"/>
      <w:r w:rsidRPr="00EA3DEC">
        <w:rPr>
          <w:rFonts w:cs="Times New Roman"/>
          <w:szCs w:val="24"/>
          <w:lang w:val="en-GB" w:eastAsia="en-GB"/>
        </w:rPr>
        <w:t xml:space="preserve"> P33 the size of the black coloured OF apparatus was 79x54x35 cm, at age P87 a circular OF arena was used (100 cm Ø, 35 cm high wall).</w:t>
      </w:r>
    </w:p>
    <w:p w:rsidR="002C1D22" w:rsidRPr="00EA3DEC" w:rsidRDefault="002C1D22" w:rsidP="002C1D22">
      <w:pPr>
        <w:pStyle w:val="NormalWeb"/>
        <w:spacing w:before="0" w:beforeAutospacing="0" w:after="0" w:afterAutospacing="0"/>
        <w:rPr>
          <w:rFonts w:cs="Times New Roman"/>
          <w:szCs w:val="24"/>
          <w:lang w:val="en-GB" w:eastAsia="en-GB"/>
        </w:rPr>
      </w:pPr>
      <w:r w:rsidRPr="00EA3DEC">
        <w:rPr>
          <w:rFonts w:cs="Times New Roman"/>
          <w:b/>
          <w:szCs w:val="24"/>
          <w:lang w:val="en-GB" w:eastAsia="en-GB"/>
        </w:rPr>
        <w:t>Elevated plus-maze test:</w:t>
      </w:r>
      <w:r w:rsidRPr="00EA3DEC">
        <w:rPr>
          <w:rFonts w:cs="Times New Roman"/>
          <w:szCs w:val="24"/>
          <w:lang w:val="en-GB" w:eastAsia="en-GB"/>
        </w:rPr>
        <w:t xml:space="preserve"> The elevated plus-maze test (EPM) was performed to assess the locomotion and anxiety state of the animals by analysing the total distance travelled, the number of entries and time spent in the open arms during the 5-minute trial period</w:t>
      </w:r>
      <w:r w:rsidRPr="00EA3DEC">
        <w:rPr>
          <w:rFonts w:cs="Times New Roman"/>
          <w:szCs w:val="24"/>
          <w:lang w:val="en-GB" w:eastAsia="en-GB"/>
        </w:rPr>
        <w:fldChar w:fldCharType="begin" w:fldLock="1"/>
      </w:r>
      <w:r w:rsidR="00E57E01">
        <w:rPr>
          <w:rFonts w:cs="Times New Roman"/>
          <w:szCs w:val="24"/>
          <w:lang w:val="en-GB" w:eastAsia="en-GB"/>
        </w:rPr>
        <w:instrText>ADDIN CSL_CITATION {"citationItems":[{"id":"ITEM-1","itemData":{"DOI":"10.1016/0165-0270(85)90031-7","ISSN":"0165-0270 (Print)","PMID":"2864480","abstract":"A novel test for the selective identification of anxiolytic and anxiogenic drug  effects in the rat is described, using an elevated + -maze consisting of two open arms and two enclosed arms. The use of this test for detecting such drug effects was validated behaviourally, physiologically, and pharmacologically. Rats made significantly fewer entries into the open arms than into the closed arms, and spent significantly less time in open arms. Confinement to the open arms was associated with the observation of significantly more anxiety-related behaviours, and of significantly greater plasma corticosterone concentrations, than confinement to the closed arms. Neither novelty nor illumination was a significant contributor to the behaviour of the rats on the + -maze. A significant increase in the percentage of time spent on the open arms and the number of entries into the open arms was observed only within clinically effective anxiolytics (chlordiazepoxide, diazepam and, less effectively, phenobarbitone). Compounds that cause anxiety in man significantly reduced the percentage of entries into, and time spent on, the open arms (yohimbine, pentylenetetrazole, caffeine, amphetamine). Neither antidepressants nor major tranquilisers had a specific effect. Exposure to a holeboard immediately before placement on the + -maze showed that behaviour on the maze was not clearly correlated either with exploratory head-dipping or spontaneous locomotor activity.","author":[{"dropping-particle":"","family":"Pellow","given":"S","non-dropping-particle":"","parse-names":false,"suffix":""},{"dropping-particle":"","family":"Chopin","given":"P","non-dropping-particle":"","parse-names":false,"suffix":""},{"dropping-particle":"","family":"File","given":"S E","non-dropping-particle":"","parse-names":false,"suffix":""},{"dropping-particle":"","family":"Briley","given":"M","non-dropping-particle":"","parse-names":false,"suffix":""}],"container-title":"Journal of neuroscience methods","id":"ITEM-1","issue":"3","issued":{"date-parts":[["1985","8"]]},"language":"eng","page":"149-167","publisher-place":"Netherlands","title":"Validation of open:closed arm entries in an elevated plus-maze as a measure of  anxiety in the rat.","type":"article-journal","volume":"14"},"uris":["http://www.mendeley.com/documents/?uuid=b9a2d2e3-1f6e-4052-a63a-f1f7230280ce","http://www.mendeley.com/documents/?uuid=663d9a06-67c7-450b-8f19-eb3db383d5e8"]}],"mendeley":{"formattedCitation":"&lt;sup&gt;11&lt;/sup&gt;","plainTextFormattedCitation":"11","previouslyFormattedCitation":"&lt;sup&gt;11&lt;/sup&gt;"},"properties":{"noteIndex":0},"schema":"https://github.com/citation-style-language/schema/raw/master/csl-citation.json"}</w:instrText>
      </w:r>
      <w:r w:rsidRPr="00EA3DEC">
        <w:rPr>
          <w:rFonts w:cs="Times New Roman"/>
          <w:szCs w:val="24"/>
          <w:lang w:val="en-GB" w:eastAsia="en-GB"/>
        </w:rPr>
        <w:fldChar w:fldCharType="separate"/>
      </w:r>
      <w:r w:rsidR="00E57E01" w:rsidRPr="00E57E01">
        <w:rPr>
          <w:rFonts w:cs="Times New Roman"/>
          <w:noProof/>
          <w:szCs w:val="24"/>
          <w:vertAlign w:val="superscript"/>
          <w:lang w:val="en-GB" w:eastAsia="en-GB"/>
        </w:rPr>
        <w:t>11</w:t>
      </w:r>
      <w:r w:rsidRPr="00EA3DEC">
        <w:rPr>
          <w:rFonts w:cs="Times New Roman"/>
          <w:szCs w:val="24"/>
          <w:lang w:val="en-GB" w:eastAsia="en-GB"/>
        </w:rPr>
        <w:fldChar w:fldCharType="end"/>
      </w:r>
      <w:r w:rsidRPr="00EA3DEC">
        <w:rPr>
          <w:rFonts w:cs="Times New Roman"/>
          <w:szCs w:val="24"/>
          <w:lang w:val="en-GB" w:eastAsia="en-GB"/>
        </w:rPr>
        <w:t xml:space="preserve">. The number of animals tested was 6-11/ treatment group. The subjects were placed in the central area of a plus-shaped maze facing a closed arm of the grey </w:t>
      </w:r>
      <w:proofErr w:type="spellStart"/>
      <w:r w:rsidRPr="00EA3DEC">
        <w:rPr>
          <w:rFonts w:cs="Times New Roman"/>
          <w:szCs w:val="24"/>
          <w:lang w:val="en-GB" w:eastAsia="en-GB"/>
        </w:rPr>
        <w:t>plexiglass</w:t>
      </w:r>
      <w:proofErr w:type="spellEnd"/>
      <w:r w:rsidRPr="00EA3DEC">
        <w:rPr>
          <w:rFonts w:cs="Times New Roman"/>
          <w:szCs w:val="24"/>
          <w:lang w:val="en-GB" w:eastAsia="en-GB"/>
        </w:rPr>
        <w:t xml:space="preserve"> EPM apparatus, which was elevated to a height of 70 cm, each arm having 42x12 cm floor space, and the closed arms having 35 cm high walls; infrared lighting was used during testing.</w:t>
      </w:r>
    </w:p>
    <w:p w:rsidR="002C1D22" w:rsidRPr="00EA3DEC" w:rsidRDefault="002C1D22" w:rsidP="002C1D22">
      <w:pPr>
        <w:pStyle w:val="NormalWeb"/>
        <w:spacing w:before="0" w:beforeAutospacing="0" w:after="0" w:afterAutospacing="0"/>
        <w:rPr>
          <w:rFonts w:cs="Times New Roman"/>
          <w:szCs w:val="24"/>
          <w:lang w:val="en-GB" w:eastAsia="en-GB"/>
        </w:rPr>
      </w:pPr>
      <w:r w:rsidRPr="00EA3DEC">
        <w:rPr>
          <w:rFonts w:cs="Times New Roman"/>
          <w:b/>
          <w:szCs w:val="24"/>
          <w:lang w:val="en-GB" w:eastAsia="en-GB"/>
        </w:rPr>
        <w:t xml:space="preserve">Delay discounting procedure: </w:t>
      </w:r>
      <w:r w:rsidRPr="00EA3DEC">
        <w:rPr>
          <w:rFonts w:cs="Times New Roman"/>
          <w:szCs w:val="24"/>
          <w:lang w:val="en-GB" w:eastAsia="en-GB"/>
        </w:rPr>
        <w:t xml:space="preserve">The delay discounting procedure (DD) measures the impulsive </w:t>
      </w:r>
      <w:proofErr w:type="spellStart"/>
      <w:r w:rsidRPr="00EA3DEC">
        <w:rPr>
          <w:rFonts w:cs="Times New Roman"/>
          <w:szCs w:val="24"/>
          <w:lang w:val="en-GB" w:eastAsia="en-GB"/>
        </w:rPr>
        <w:t>behavior</w:t>
      </w:r>
      <w:proofErr w:type="spellEnd"/>
      <w:r w:rsidRPr="00EA3DEC">
        <w:rPr>
          <w:rFonts w:cs="Times New Roman"/>
          <w:szCs w:val="24"/>
          <w:lang w:val="en-GB" w:eastAsia="en-GB"/>
        </w:rPr>
        <w:t xml:space="preserve"> of rodents</w:t>
      </w:r>
      <w:r w:rsidRPr="00EA3DEC">
        <w:rPr>
          <w:rFonts w:cs="Times New Roman"/>
          <w:szCs w:val="24"/>
          <w:vertAlign w:val="superscript"/>
          <w:lang w:val="en-GB" w:eastAsia="en-GB"/>
        </w:rPr>
        <w:t>51</w:t>
      </w:r>
      <w:r w:rsidRPr="00EA3DEC">
        <w:rPr>
          <w:rFonts w:cs="Times New Roman"/>
          <w:szCs w:val="24"/>
          <w:lang w:val="en-GB" w:eastAsia="en-GB"/>
        </w:rPr>
        <w:t xml:space="preserve">. The number of animals tested was 6-11/ treatment group. The procedure was performed on food restricted animals similarly to that employed by </w:t>
      </w:r>
      <w:proofErr w:type="spellStart"/>
      <w:r w:rsidRPr="00EA3DEC">
        <w:rPr>
          <w:rFonts w:cs="Times New Roman"/>
          <w:szCs w:val="24"/>
          <w:lang w:val="en-GB" w:eastAsia="en-GB"/>
        </w:rPr>
        <w:t>Adriani</w:t>
      </w:r>
      <w:proofErr w:type="spellEnd"/>
      <w:r w:rsidRPr="00EA3DEC">
        <w:rPr>
          <w:rFonts w:cs="Times New Roman"/>
          <w:szCs w:val="24"/>
          <w:lang w:val="en-GB" w:eastAsia="en-GB"/>
        </w:rPr>
        <w:t xml:space="preserve"> et al.</w:t>
      </w:r>
      <w:r w:rsidRPr="00EA3DEC">
        <w:rPr>
          <w:rFonts w:cs="Times New Roman"/>
          <w:szCs w:val="24"/>
          <w:lang w:val="en-GB" w:eastAsia="en-GB"/>
        </w:rPr>
        <w:fldChar w:fldCharType="begin" w:fldLock="1"/>
      </w:r>
      <w:r w:rsidR="00E57E01">
        <w:rPr>
          <w:rFonts w:cs="Times New Roman"/>
          <w:szCs w:val="24"/>
          <w:lang w:val="en-GB" w:eastAsia="en-GB"/>
        </w:rPr>
        <w:instrText>ADDIN CSL_CITATION {"citationItems":[{"id":"ITEM-1","itemData":{"DOI":"10.1289/ehp.5856","ISSN":"0091-6765","author":[{"dropping-particle":"","family":"Adriani","given":"Walter","non-dropping-particle":"","parse-names":false,"suffix":""},{"dropping-particle":"Della","family":"Seta","given":"Daniele","non-dropping-particle":"","parse-names":false,"suffix":""},{"dropping-particle":"","family":"Dessì-Fulgheri","given":"Francesco","non-dropping-particle":"","parse-names":false,"suffix":""},{"dropping-particle":"","family":"Farabollini","given":"Francesca","non-dropping-particle":"","parse-names":false,"suffix":""},{"dropping-particle":"","family":"Laviola","given":"Giovanni","non-dropping-particle":"","parse-names":false,"suffix":""}],"container-title":"Environmental Health Perspectives","id":"ITEM-1","issue":"4","issued":{"date-parts":[["2003","4"]]},"title":"Altered profiles of spontaneous novelty seeking, impulsive behavior, and response to D-amphetamine in rats perinatally exposed to bisphenol A.","type":"article-journal","volume":"111"},"uris":["http://www.mendeley.com/documents/?uuid=06796ac0-6fcc-426c-b4b1-82aec24ec50b","http://www.mendeley.com/documents/?uuid=360f6807-1bee-4af2-a70f-8021e6a0b630"]}],"mendeley":{"formattedCitation":"&lt;sup&gt;12&lt;/sup&gt;","plainTextFormattedCitation":"12","previouslyFormattedCitation":"&lt;sup&gt;12&lt;/sup&gt;"},"properties":{"noteIndex":0},"schema":"https://github.com/citation-style-language/schema/raw/master/csl-citation.json"}</w:instrText>
      </w:r>
      <w:r w:rsidRPr="00EA3DEC">
        <w:rPr>
          <w:rFonts w:cs="Times New Roman"/>
          <w:szCs w:val="24"/>
          <w:lang w:val="en-GB" w:eastAsia="en-GB"/>
        </w:rPr>
        <w:fldChar w:fldCharType="separate"/>
      </w:r>
      <w:r w:rsidR="00E57E01" w:rsidRPr="00E57E01">
        <w:rPr>
          <w:rFonts w:cs="Times New Roman"/>
          <w:noProof/>
          <w:szCs w:val="24"/>
          <w:vertAlign w:val="superscript"/>
          <w:lang w:val="en-GB" w:eastAsia="en-GB"/>
        </w:rPr>
        <w:t>12</w:t>
      </w:r>
      <w:r w:rsidRPr="00EA3DEC">
        <w:rPr>
          <w:rFonts w:cs="Times New Roman"/>
          <w:szCs w:val="24"/>
          <w:lang w:val="en-GB" w:eastAsia="en-GB"/>
        </w:rPr>
        <w:fldChar w:fldCharType="end"/>
      </w:r>
      <w:r w:rsidRPr="00EA3DEC">
        <w:rPr>
          <w:rFonts w:cs="Times New Roman"/>
          <w:szCs w:val="24"/>
          <w:lang w:val="en-GB" w:eastAsia="en-GB"/>
        </w:rPr>
        <w:t xml:space="preserve"> and adopted to our automated operant chamber system (Med Associates, USA). </w:t>
      </w:r>
      <w:proofErr w:type="gramStart"/>
      <w:r w:rsidRPr="00EA3DEC">
        <w:rPr>
          <w:rFonts w:cs="Times New Roman"/>
          <w:szCs w:val="24"/>
          <w:lang w:val="en-GB" w:eastAsia="en-GB"/>
        </w:rPr>
        <w:t>The DD procedure started with a training phase (30 min daily for 5 days) in which subjects were trained to respond on one of the two nose poke response holes placed on the operant chamber wall in order to receive a ‘small reward’ of one sugar pellet (45 mg Dustless Precision Pellet F0021, Bio-</w:t>
      </w:r>
      <w:proofErr w:type="spellStart"/>
      <w:r w:rsidRPr="00EA3DEC">
        <w:rPr>
          <w:rFonts w:cs="Times New Roman"/>
          <w:szCs w:val="24"/>
          <w:lang w:val="en-GB" w:eastAsia="en-GB"/>
        </w:rPr>
        <w:t>Serv</w:t>
      </w:r>
      <w:proofErr w:type="spellEnd"/>
      <w:r w:rsidRPr="00EA3DEC">
        <w:rPr>
          <w:rFonts w:cs="Times New Roman"/>
          <w:szCs w:val="24"/>
          <w:lang w:val="en-GB" w:eastAsia="en-GB"/>
        </w:rPr>
        <w:t>, USA), while response on the other nose poke response hole resulted in the delivery of a ‘large reward’ of 5 sugar pellets.</w:t>
      </w:r>
      <w:proofErr w:type="gramEnd"/>
      <w:r w:rsidRPr="00EA3DEC">
        <w:rPr>
          <w:rFonts w:cs="Times New Roman"/>
          <w:szCs w:val="24"/>
          <w:lang w:val="en-GB" w:eastAsia="en-GB"/>
        </w:rPr>
        <w:t xml:space="preserve"> Rewards </w:t>
      </w:r>
      <w:proofErr w:type="gramStart"/>
      <w:r w:rsidRPr="00EA3DEC">
        <w:rPr>
          <w:rFonts w:cs="Times New Roman"/>
          <w:szCs w:val="24"/>
          <w:lang w:val="en-GB" w:eastAsia="en-GB"/>
        </w:rPr>
        <w:t>were delivered</w:t>
      </w:r>
      <w:proofErr w:type="gramEnd"/>
      <w:r w:rsidRPr="00EA3DEC">
        <w:rPr>
          <w:rFonts w:cs="Times New Roman"/>
          <w:szCs w:val="24"/>
          <w:lang w:val="en-GB" w:eastAsia="en-GB"/>
        </w:rPr>
        <w:t xml:space="preserve"> to a pellet delivery receptacle placed between the two nose poke holes. The side of the ‘large-reward’ hole </w:t>
      </w:r>
      <w:proofErr w:type="gramStart"/>
      <w:r w:rsidRPr="00EA3DEC">
        <w:rPr>
          <w:rFonts w:cs="Times New Roman"/>
          <w:szCs w:val="24"/>
          <w:lang w:val="en-GB" w:eastAsia="en-GB"/>
        </w:rPr>
        <w:t>was randomly assigned</w:t>
      </w:r>
      <w:proofErr w:type="gramEnd"/>
      <w:r w:rsidRPr="00EA3DEC">
        <w:rPr>
          <w:rFonts w:cs="Times New Roman"/>
          <w:szCs w:val="24"/>
          <w:lang w:val="en-GB" w:eastAsia="en-GB"/>
        </w:rPr>
        <w:t xml:space="preserve"> in order to avoid side-preference. Each subject was placed in the same chamber with a constant </w:t>
      </w:r>
      <w:proofErr w:type="gramStart"/>
      <w:r w:rsidRPr="00EA3DEC">
        <w:rPr>
          <w:rFonts w:cs="Times New Roman"/>
          <w:szCs w:val="24"/>
          <w:lang w:val="en-GB" w:eastAsia="en-GB"/>
        </w:rPr>
        <w:t>hole</w:t>
      </w:r>
      <w:proofErr w:type="gramEnd"/>
      <w:r w:rsidRPr="00EA3DEC">
        <w:rPr>
          <w:rFonts w:cs="Times New Roman"/>
          <w:szCs w:val="24"/>
          <w:lang w:val="en-GB" w:eastAsia="en-GB"/>
        </w:rPr>
        <w:t xml:space="preserve"> assignment throughout the entire testing period. Chamber light </w:t>
      </w:r>
      <w:proofErr w:type="gramStart"/>
      <w:r w:rsidRPr="00EA3DEC">
        <w:rPr>
          <w:rFonts w:cs="Times New Roman"/>
          <w:szCs w:val="24"/>
          <w:lang w:val="en-GB" w:eastAsia="en-GB"/>
        </w:rPr>
        <w:t>was switched on</w:t>
      </w:r>
      <w:proofErr w:type="gramEnd"/>
      <w:r w:rsidRPr="00EA3DEC">
        <w:rPr>
          <w:rFonts w:cs="Times New Roman"/>
          <w:szCs w:val="24"/>
          <w:lang w:val="en-GB" w:eastAsia="en-GB"/>
        </w:rPr>
        <w:t xml:space="preserve"> for a 25 s time-out (TO) period following a response on any of the holes, making the chamber light a cue associated with a correct response. During the TO period nose-pokes were recorded but not rewarded. At the end of the training phase, subjects showed a preference for the ‘large reward’ </w:t>
      </w:r>
      <w:proofErr w:type="gramStart"/>
      <w:r w:rsidRPr="00EA3DEC">
        <w:rPr>
          <w:rFonts w:cs="Times New Roman"/>
          <w:szCs w:val="24"/>
          <w:lang w:val="en-GB" w:eastAsia="en-GB"/>
        </w:rPr>
        <w:t>nose poke response hole</w:t>
      </w:r>
      <w:proofErr w:type="gramEnd"/>
      <w:r w:rsidRPr="00EA3DEC">
        <w:rPr>
          <w:rFonts w:cs="Times New Roman"/>
          <w:szCs w:val="24"/>
          <w:lang w:val="en-GB" w:eastAsia="en-GB"/>
        </w:rPr>
        <w:t xml:space="preserve"> in approximately 90% of all trials. In the test phase (30 min daily for 8 </w:t>
      </w:r>
      <w:proofErr w:type="gramStart"/>
      <w:r w:rsidRPr="00EA3DEC">
        <w:rPr>
          <w:rFonts w:cs="Times New Roman"/>
          <w:szCs w:val="24"/>
          <w:lang w:val="en-GB" w:eastAsia="en-GB"/>
        </w:rPr>
        <w:t>days)</w:t>
      </w:r>
      <w:proofErr w:type="gramEnd"/>
      <w:r w:rsidRPr="00EA3DEC">
        <w:rPr>
          <w:rFonts w:cs="Times New Roman"/>
          <w:szCs w:val="24"/>
          <w:lang w:val="en-GB" w:eastAsia="en-GB"/>
        </w:rPr>
        <w:t xml:space="preserve"> a delay was inserted before ‘large reward’ delivery. The length of the delay </w:t>
      </w:r>
      <w:proofErr w:type="gramStart"/>
      <w:r w:rsidRPr="00EA3DEC">
        <w:rPr>
          <w:rFonts w:cs="Times New Roman"/>
          <w:szCs w:val="24"/>
          <w:lang w:val="en-GB" w:eastAsia="en-GB"/>
        </w:rPr>
        <w:t>was progressively increased</w:t>
      </w:r>
      <w:proofErr w:type="gramEnd"/>
      <w:r w:rsidRPr="00EA3DEC">
        <w:rPr>
          <w:rFonts w:cs="Times New Roman"/>
          <w:szCs w:val="24"/>
          <w:lang w:val="en-GB" w:eastAsia="en-GB"/>
        </w:rPr>
        <w:t xml:space="preserve"> daily (10, 20, 30, 45, 60, 80, 100 and 120 s). ‘Small rewards’ were delivered immediately after nose poke. In this phase, subjects </w:t>
      </w:r>
      <w:proofErr w:type="gramStart"/>
      <w:r w:rsidRPr="00EA3DEC">
        <w:rPr>
          <w:rFonts w:cs="Times New Roman"/>
          <w:szCs w:val="24"/>
          <w:lang w:val="en-GB" w:eastAsia="en-GB"/>
        </w:rPr>
        <w:t>were expected</w:t>
      </w:r>
      <w:proofErr w:type="gramEnd"/>
      <w:r w:rsidRPr="00EA3DEC">
        <w:rPr>
          <w:rFonts w:cs="Times New Roman"/>
          <w:szCs w:val="24"/>
          <w:lang w:val="en-GB" w:eastAsia="en-GB"/>
        </w:rPr>
        <w:t xml:space="preserve"> to gradually switch their preference from the delayed ‘large reward’ to the immediate ‘small reward’. During the training phase, the learning capacity of the animals </w:t>
      </w:r>
      <w:proofErr w:type="gramStart"/>
      <w:r w:rsidRPr="00EA3DEC">
        <w:rPr>
          <w:rFonts w:cs="Times New Roman"/>
          <w:szCs w:val="24"/>
          <w:lang w:val="en-GB" w:eastAsia="en-GB"/>
        </w:rPr>
        <w:t>was assessed</w:t>
      </w:r>
      <w:proofErr w:type="gramEnd"/>
      <w:r w:rsidRPr="00EA3DEC">
        <w:rPr>
          <w:rFonts w:cs="Times New Roman"/>
          <w:szCs w:val="24"/>
          <w:lang w:val="en-GB" w:eastAsia="en-GB"/>
        </w:rPr>
        <w:t xml:space="preserve"> by analysing the increase in large reward preference. In the test phase, impulsive </w:t>
      </w:r>
      <w:proofErr w:type="spellStart"/>
      <w:r w:rsidRPr="00EA3DEC">
        <w:rPr>
          <w:rFonts w:cs="Times New Roman"/>
          <w:szCs w:val="24"/>
          <w:lang w:val="en-GB" w:eastAsia="en-GB"/>
        </w:rPr>
        <w:t>behavior</w:t>
      </w:r>
      <w:proofErr w:type="spellEnd"/>
      <w:r w:rsidRPr="00EA3DEC">
        <w:rPr>
          <w:rFonts w:cs="Times New Roman"/>
          <w:szCs w:val="24"/>
          <w:lang w:val="en-GB" w:eastAsia="en-GB"/>
        </w:rPr>
        <w:t xml:space="preserve"> </w:t>
      </w:r>
      <w:proofErr w:type="gramStart"/>
      <w:r w:rsidRPr="00EA3DEC">
        <w:rPr>
          <w:rFonts w:cs="Times New Roman"/>
          <w:szCs w:val="24"/>
          <w:lang w:val="en-GB" w:eastAsia="en-GB"/>
        </w:rPr>
        <w:t>was indicated</w:t>
      </w:r>
      <w:proofErr w:type="gramEnd"/>
      <w:r w:rsidRPr="00EA3DEC">
        <w:rPr>
          <w:rFonts w:cs="Times New Roman"/>
          <w:szCs w:val="24"/>
          <w:lang w:val="en-GB" w:eastAsia="en-GB"/>
        </w:rPr>
        <w:t xml:space="preserve"> by the increased preference of the small immediate reward. The number of inadequate responses </w:t>
      </w:r>
      <w:proofErr w:type="gramStart"/>
      <w:r w:rsidRPr="00EA3DEC">
        <w:rPr>
          <w:rFonts w:cs="Times New Roman"/>
          <w:szCs w:val="24"/>
          <w:lang w:val="en-GB" w:eastAsia="en-GB"/>
        </w:rPr>
        <w:t>was also recorded</w:t>
      </w:r>
      <w:proofErr w:type="gramEnd"/>
      <w:r w:rsidRPr="00EA3DEC">
        <w:rPr>
          <w:rFonts w:cs="Times New Roman"/>
          <w:szCs w:val="24"/>
          <w:lang w:val="en-GB" w:eastAsia="en-GB"/>
        </w:rPr>
        <w:t>, representing premature reactions during time-out and delay periods reflecting motor impulsivity, the inability to inhibit inappropriate actions.</w:t>
      </w:r>
    </w:p>
    <w:p w:rsidR="002C1D22" w:rsidRPr="00EA3DEC" w:rsidRDefault="002C1D22" w:rsidP="002C1D22">
      <w:pPr>
        <w:pStyle w:val="NormalWeb"/>
        <w:spacing w:before="0" w:beforeAutospacing="0" w:after="0" w:afterAutospacing="0"/>
        <w:rPr>
          <w:rFonts w:cs="Times New Roman"/>
          <w:szCs w:val="24"/>
          <w:lang w:val="en-GB" w:eastAsia="en-GB"/>
        </w:rPr>
      </w:pPr>
      <w:r w:rsidRPr="00EA3DEC">
        <w:rPr>
          <w:rFonts w:cs="Times New Roman"/>
          <w:b/>
          <w:szCs w:val="24"/>
          <w:lang w:val="en-GB" w:eastAsia="en-GB"/>
        </w:rPr>
        <w:t>Morris water maze test:</w:t>
      </w:r>
      <w:r w:rsidRPr="00EA3DEC">
        <w:rPr>
          <w:rFonts w:cs="Times New Roman"/>
          <w:szCs w:val="24"/>
          <w:lang w:val="en-GB" w:eastAsia="en-GB"/>
        </w:rPr>
        <w:t xml:space="preserve"> To study the spatial learning and memory of the rats, a modified Morris water maze test (MWM) was performed</w:t>
      </w:r>
      <w:r w:rsidRPr="00EA3DEC">
        <w:rPr>
          <w:rFonts w:cs="Times New Roman"/>
          <w:szCs w:val="24"/>
          <w:lang w:val="en-GB" w:eastAsia="en-GB"/>
        </w:rPr>
        <w:fldChar w:fldCharType="begin" w:fldLock="1"/>
      </w:r>
      <w:r w:rsidR="00E57E01">
        <w:rPr>
          <w:rFonts w:cs="Times New Roman"/>
          <w:szCs w:val="24"/>
          <w:lang w:val="en-GB" w:eastAsia="en-GB"/>
        </w:rPr>
        <w:instrText>ADDIN CSL_CITATION {"citationItems":[{"id":"ITEM-1","itemData":{"DOI":"10.1016/0165-0270(84)90007-4","ISSN":"0165-0270 (Print)","PMID":"6471907","abstract":"Developments of an open-field water-maze procedure in which rats learn to escape  from opaque water onto a hidden platform are described. These include a procedure (A) for automatically tracking the spatial location of a hooded rat without the use of attached light-emitting diodes; (B) for studying different aspects of spatial memory (e.g. working memory); and (C) for studying non-spatial discrimination learning. The speed with which rats learn these tasks suggests that they may lend themselves to a variety of behavioural investigations, including pharmacological work and studies of cerebral function.","author":[{"dropping-particle":"","family":"Morris","given":"R","non-dropping-particle":"","parse-names":false,"suffix":""}],"container-title":"Journal of neuroscience methods","id":"ITEM-1","issue":"1","issued":{"date-parts":[["1984","5"]]},"language":"eng","page":"47-60","publisher-place":"Netherlands","title":"Developments of a water-maze procedure for studying spatial learning in the rat.","type":"article-journal","volume":"11"},"uris":["http://www.mendeley.com/documents/?uuid=d08ab2e6-bf59-4bb9-8789-adb72d83e4cf","http://www.mendeley.com/documents/?uuid=267c36ab-13e3-4ce0-87a3-d51c89b6db72"]}],"mendeley":{"formattedCitation":"&lt;sup&gt;13&lt;/sup&gt;","plainTextFormattedCitation":"13","previouslyFormattedCitation":"&lt;sup&gt;13&lt;/sup&gt;"},"properties":{"noteIndex":0},"schema":"https://github.com/citation-style-language/schema/raw/master/csl-citation.json"}</w:instrText>
      </w:r>
      <w:r w:rsidRPr="00EA3DEC">
        <w:rPr>
          <w:rFonts w:cs="Times New Roman"/>
          <w:szCs w:val="24"/>
          <w:lang w:val="en-GB" w:eastAsia="en-GB"/>
        </w:rPr>
        <w:fldChar w:fldCharType="separate"/>
      </w:r>
      <w:r w:rsidR="00E57E01" w:rsidRPr="00E57E01">
        <w:rPr>
          <w:rFonts w:cs="Times New Roman"/>
          <w:noProof/>
          <w:szCs w:val="24"/>
          <w:vertAlign w:val="superscript"/>
          <w:lang w:val="en-GB" w:eastAsia="en-GB"/>
        </w:rPr>
        <w:t>13</w:t>
      </w:r>
      <w:r w:rsidRPr="00EA3DEC">
        <w:rPr>
          <w:rFonts w:cs="Times New Roman"/>
          <w:szCs w:val="24"/>
          <w:lang w:val="en-GB" w:eastAsia="en-GB"/>
        </w:rPr>
        <w:fldChar w:fldCharType="end"/>
      </w:r>
      <w:r w:rsidRPr="00EA3DEC">
        <w:rPr>
          <w:rFonts w:cs="Times New Roman"/>
          <w:szCs w:val="24"/>
          <w:lang w:val="en-GB" w:eastAsia="en-GB"/>
        </w:rPr>
        <w:t xml:space="preserve">. A black coloured, round shaped tank (Ø180 cm, 60 cm high) </w:t>
      </w:r>
      <w:proofErr w:type="gramStart"/>
      <w:r w:rsidRPr="00EA3DEC">
        <w:rPr>
          <w:rFonts w:cs="Times New Roman"/>
          <w:szCs w:val="24"/>
          <w:lang w:val="en-GB" w:eastAsia="en-GB"/>
        </w:rPr>
        <w:t>was filled</w:t>
      </w:r>
      <w:proofErr w:type="gramEnd"/>
      <w:r w:rsidRPr="00EA3DEC">
        <w:rPr>
          <w:rFonts w:cs="Times New Roman"/>
          <w:szCs w:val="24"/>
          <w:lang w:val="en-GB" w:eastAsia="en-GB"/>
        </w:rPr>
        <w:t xml:space="preserve"> with tempered tap water (23±1°C), with a water level 1.5 cm higher than the hidden escape platform (Ø12 cm, 43 cm high). The apparatus </w:t>
      </w:r>
      <w:proofErr w:type="gramStart"/>
      <w:r w:rsidRPr="00EA3DEC">
        <w:rPr>
          <w:rFonts w:cs="Times New Roman"/>
          <w:szCs w:val="24"/>
          <w:lang w:val="en-GB" w:eastAsia="en-GB"/>
        </w:rPr>
        <w:t>was divided</w:t>
      </w:r>
      <w:proofErr w:type="gramEnd"/>
      <w:r w:rsidRPr="00EA3DEC">
        <w:rPr>
          <w:rFonts w:cs="Times New Roman"/>
          <w:szCs w:val="24"/>
          <w:lang w:val="en-GB" w:eastAsia="en-GB"/>
        </w:rPr>
        <w:t xml:space="preserve"> into 4 virtual quadrants, and the platform was placed in the middle of one of the quadrants. The walls of the experimental room were decorated with visual cues and the test room was illuminated by dimmed light (approx. 60 lux)</w:t>
      </w:r>
      <w:r w:rsidRPr="00EA3DEC">
        <w:rPr>
          <w:rFonts w:cs="Times New Roman"/>
          <w:szCs w:val="24"/>
          <w:lang w:val="en-GB" w:eastAsia="en-GB"/>
        </w:rPr>
        <w:fldChar w:fldCharType="begin" w:fldLock="1"/>
      </w:r>
      <w:r w:rsidR="00E57E01">
        <w:rPr>
          <w:rFonts w:cs="Times New Roman"/>
          <w:szCs w:val="24"/>
          <w:lang w:val="en-GB" w:eastAsia="en-GB"/>
        </w:rPr>
        <w:instrText>ADDIN CSL_CITATION {"citationItems":[{"id":"ITEM-1","itemData":{"DOI":"10.1016/0165-0270(85)90031-7","ISSN":"0165-0270 (Print)","PMID":"2864480","abstract":"A novel test for the selective identification of anxiolytic and anxiogenic drug  effects in the rat is described, using an elevated + -maze consisting of two open arms and two enclosed arms. The use of this test for detecting such drug effects was validated behaviourally, physiologically, and pharmacologically. Rats made significantly fewer entries into the open arms than into the closed arms, and spent significantly less time in open arms. Confinement to the open arms was associated with the observation of significantly more anxiety-related behaviours, and of significantly greater plasma corticosterone concentrations, than confinement to the closed arms. Neither novelty nor illumination was a significant contributor to the behaviour of the rats on the + -maze. A significant increase in the percentage of time spent on the open arms and the number of entries into the open arms was observed only within clinically effective anxiolytics (chlordiazepoxide, diazepam and, less effectively, phenobarbitone). Compounds that cause anxiety in man significantly reduced the percentage of entries into, and time spent on, the open arms (yohimbine, pentylenetetrazole, caffeine, amphetamine). Neither antidepressants nor major tranquilisers had a specific effect. Exposure to a holeboard immediately before placement on the + -maze showed that behaviour on the maze was not clearly correlated either with exploratory head-dipping or spontaneous locomotor activity.","author":[{"dropping-particle":"","family":"Pellow","given":"S","non-dropping-particle":"","parse-names":false,"suffix":""},{"dropping-particle":"","family":"Chopin","given":"P","non-dropping-particle":"","parse-names":false,"suffix":""},{"dropping-particle":"","family":"File","given":"S E","non-dropping-particle":"","parse-names":false,"suffix":""},{"dropping-particle":"","family":"Briley","given":"M","non-dropping-particle":"","parse-names":false,"suffix":""}],"container-title":"Journal of neuroscience methods","id":"ITEM-1","issue":"3","issued":{"date-parts":[["1985","8"]]},"language":"eng","page":"149-167","publisher-place":"Netherlands","title":"Validation of open:closed arm entries in an elevated plus-maze as a measure of  anxiety in the rat.","type":"article-journal","volume":"14"},"uris":["http://www.mendeley.com/documents/?uuid=b9a2d2e3-1f6e-4052-a63a-f1f7230280ce","http://www.mendeley.com/documents/?uuid=663d9a06-67c7-450b-8f19-eb3db383d5e8"]}],"mendeley":{"formattedCitation":"&lt;sup&gt;11&lt;/sup&gt;","plainTextFormattedCitation":"11","previouslyFormattedCitation":"&lt;sup&gt;11&lt;/sup&gt;"},"properties":{"noteIndex":0},"schema":"https://github.com/citation-style-language/schema/raw/master/csl-citation.json"}</w:instrText>
      </w:r>
      <w:r w:rsidRPr="00EA3DEC">
        <w:rPr>
          <w:rFonts w:cs="Times New Roman"/>
          <w:szCs w:val="24"/>
          <w:lang w:val="en-GB" w:eastAsia="en-GB"/>
        </w:rPr>
        <w:fldChar w:fldCharType="separate"/>
      </w:r>
      <w:r w:rsidR="00E57E01" w:rsidRPr="00E57E01">
        <w:rPr>
          <w:rFonts w:cs="Times New Roman"/>
          <w:noProof/>
          <w:szCs w:val="24"/>
          <w:vertAlign w:val="superscript"/>
          <w:lang w:val="en-GB" w:eastAsia="en-GB"/>
        </w:rPr>
        <w:t>11</w:t>
      </w:r>
      <w:r w:rsidRPr="00EA3DEC">
        <w:rPr>
          <w:rFonts w:cs="Times New Roman"/>
          <w:szCs w:val="24"/>
          <w:lang w:val="en-GB" w:eastAsia="en-GB"/>
        </w:rPr>
        <w:fldChar w:fldCharType="end"/>
      </w:r>
      <w:r w:rsidRPr="00EA3DEC">
        <w:rPr>
          <w:rFonts w:cs="Times New Roman"/>
          <w:szCs w:val="24"/>
          <w:lang w:val="en-GB" w:eastAsia="en-GB"/>
        </w:rPr>
        <w:t xml:space="preserve">. The number of animals tested was 10-12/ treatment group. Animals </w:t>
      </w:r>
      <w:proofErr w:type="gramStart"/>
      <w:r w:rsidRPr="00EA3DEC">
        <w:rPr>
          <w:rFonts w:cs="Times New Roman"/>
          <w:szCs w:val="24"/>
          <w:lang w:val="en-GB" w:eastAsia="en-GB"/>
        </w:rPr>
        <w:t>were placed</w:t>
      </w:r>
      <w:proofErr w:type="gramEnd"/>
      <w:r w:rsidRPr="00EA3DEC">
        <w:rPr>
          <w:rFonts w:cs="Times New Roman"/>
          <w:szCs w:val="24"/>
          <w:lang w:val="en-GB" w:eastAsia="en-GB"/>
        </w:rPr>
        <w:t xml:space="preserve"> in the pool at one of the five release positions for four daily trials with 15-second inter-trial intervals (ITI) for five consecutive days. The order of releasing positions </w:t>
      </w:r>
      <w:proofErr w:type="gramStart"/>
      <w:r w:rsidRPr="00EA3DEC">
        <w:rPr>
          <w:rFonts w:cs="Times New Roman"/>
          <w:szCs w:val="24"/>
          <w:lang w:val="en-GB" w:eastAsia="en-GB"/>
        </w:rPr>
        <w:t>was randomised daily but kept constant between subjects</w:t>
      </w:r>
      <w:proofErr w:type="gramEnd"/>
      <w:r w:rsidRPr="00EA3DEC">
        <w:rPr>
          <w:rFonts w:cs="Times New Roman"/>
          <w:szCs w:val="24"/>
          <w:lang w:val="en-GB" w:eastAsia="en-GB"/>
        </w:rPr>
        <w:t xml:space="preserve">. Rats </w:t>
      </w:r>
      <w:proofErr w:type="gramStart"/>
      <w:r w:rsidRPr="00EA3DEC">
        <w:rPr>
          <w:rFonts w:cs="Times New Roman"/>
          <w:szCs w:val="24"/>
          <w:lang w:val="en-GB" w:eastAsia="en-GB"/>
        </w:rPr>
        <w:t>were placed</w:t>
      </w:r>
      <w:proofErr w:type="gramEnd"/>
      <w:r w:rsidRPr="00EA3DEC">
        <w:rPr>
          <w:rFonts w:cs="Times New Roman"/>
          <w:szCs w:val="24"/>
          <w:lang w:val="en-GB" w:eastAsia="en-GB"/>
        </w:rPr>
        <w:t xml:space="preserve"> into the water facing the tank wall and were allowed to swim freely. Each trial continued until the animal located the hidden platform, with a maximum duration of 90 seconds. If the animal failed to find the platform within this time, it </w:t>
      </w:r>
      <w:proofErr w:type="gramStart"/>
      <w:r w:rsidRPr="00EA3DEC">
        <w:rPr>
          <w:rFonts w:cs="Times New Roman"/>
          <w:szCs w:val="24"/>
          <w:lang w:val="en-GB" w:eastAsia="en-GB"/>
        </w:rPr>
        <w:t>was gently guided</w:t>
      </w:r>
      <w:proofErr w:type="gramEnd"/>
      <w:r w:rsidRPr="00EA3DEC">
        <w:rPr>
          <w:rFonts w:cs="Times New Roman"/>
          <w:szCs w:val="24"/>
          <w:lang w:val="en-GB" w:eastAsia="en-GB"/>
        </w:rPr>
        <w:t xml:space="preserve"> to it. After reaching the platform, all subjects remained there for 15 seconds before </w:t>
      </w:r>
      <w:proofErr w:type="gramStart"/>
      <w:r w:rsidRPr="00EA3DEC">
        <w:rPr>
          <w:rFonts w:cs="Times New Roman"/>
          <w:szCs w:val="24"/>
          <w:lang w:val="en-GB" w:eastAsia="en-GB"/>
        </w:rPr>
        <w:t>being moved</w:t>
      </w:r>
      <w:proofErr w:type="gramEnd"/>
      <w:r w:rsidRPr="00EA3DEC">
        <w:rPr>
          <w:rFonts w:cs="Times New Roman"/>
          <w:szCs w:val="24"/>
          <w:lang w:val="en-GB" w:eastAsia="en-GB"/>
        </w:rPr>
        <w:t xml:space="preserve"> to the next starting point for the following trial. Rats </w:t>
      </w:r>
      <w:proofErr w:type="gramStart"/>
      <w:r w:rsidRPr="00EA3DEC">
        <w:rPr>
          <w:rFonts w:cs="Times New Roman"/>
          <w:szCs w:val="24"/>
          <w:lang w:val="en-GB" w:eastAsia="en-GB"/>
        </w:rPr>
        <w:t>were thoroughly dried</w:t>
      </w:r>
      <w:proofErr w:type="gramEnd"/>
      <w:r w:rsidRPr="00EA3DEC">
        <w:rPr>
          <w:rFonts w:cs="Times New Roman"/>
          <w:szCs w:val="24"/>
          <w:lang w:val="en-GB" w:eastAsia="en-GB"/>
        </w:rPr>
        <w:t xml:space="preserve"> with clean cotton towels after the swimming sessions. The average daily time taken to find the platform (escape latency) </w:t>
      </w:r>
      <w:proofErr w:type="gramStart"/>
      <w:r w:rsidRPr="00EA3DEC">
        <w:rPr>
          <w:rFonts w:cs="Times New Roman"/>
          <w:szCs w:val="24"/>
          <w:lang w:val="en-GB" w:eastAsia="en-GB"/>
        </w:rPr>
        <w:t>was used</w:t>
      </w:r>
      <w:proofErr w:type="gramEnd"/>
      <w:r w:rsidRPr="00EA3DEC">
        <w:rPr>
          <w:rFonts w:cs="Times New Roman"/>
          <w:szCs w:val="24"/>
          <w:lang w:val="en-GB" w:eastAsia="en-GB"/>
        </w:rPr>
        <w:t xml:space="preserve"> as a measure of learning performance.</w:t>
      </w:r>
    </w:p>
    <w:p w:rsidR="002C1D22" w:rsidRPr="00EA3DEC" w:rsidRDefault="002C1D22" w:rsidP="002C1D22">
      <w:pPr>
        <w:pStyle w:val="NormalWeb"/>
        <w:spacing w:before="0" w:beforeAutospacing="0" w:after="0" w:afterAutospacing="0"/>
        <w:rPr>
          <w:rFonts w:cs="Times New Roman"/>
          <w:szCs w:val="24"/>
          <w:lang w:val="en-GB" w:eastAsia="en-GB"/>
        </w:rPr>
      </w:pPr>
      <w:r w:rsidRPr="00EA3DEC">
        <w:rPr>
          <w:rFonts w:cs="Times New Roman"/>
          <w:b/>
          <w:szCs w:val="24"/>
          <w:lang w:val="en-GB" w:eastAsia="en-GB"/>
        </w:rPr>
        <w:t>Five choice serial reaction time task procedure:</w:t>
      </w:r>
      <w:r w:rsidRPr="00EA3DEC">
        <w:rPr>
          <w:rFonts w:cs="Times New Roman"/>
          <w:szCs w:val="24"/>
          <w:lang w:val="en-GB" w:eastAsia="en-GB"/>
        </w:rPr>
        <w:t xml:space="preserve"> The five choice serial reaction time task procedure (5CSRTT) is widely used to measure attention, impulsivity and cognitive abilities in rodents. In our experiment, a 12-stage protocol was performed, as previously described by Bari and colleagues</w:t>
      </w:r>
      <w:r w:rsidRPr="00EA3DEC">
        <w:rPr>
          <w:rFonts w:cs="Times New Roman"/>
          <w:szCs w:val="24"/>
          <w:lang w:val="en-GB" w:eastAsia="en-GB"/>
        </w:rPr>
        <w:fldChar w:fldCharType="begin" w:fldLock="1"/>
      </w:r>
      <w:r w:rsidR="00E57E01">
        <w:rPr>
          <w:rFonts w:cs="Times New Roman"/>
          <w:szCs w:val="24"/>
          <w:lang w:val="en-GB" w:eastAsia="en-GB"/>
        </w:rPr>
        <w:instrText xml:space="preserve">ADDIN CSL_CITATION {"citationItems":[{"id":"ITEM-1","itemData":{"DOI":"10.1038/nprot.2008.41","ISSN":"17542189","PMID":"18451784","abstract":"One popular way of measuring visual attentional processes in the rat is using 5-choice serial reaction time task (5-CSRTT). This paradigm requires subjects to detect brief flashes of light presented in a pseudorandom order in one of five spatial locations over a large number of trials. For this task, the animals are trained for </w:instrText>
      </w:r>
      <w:r w:rsidR="00E57E01">
        <w:rPr>
          <w:rFonts w:ascii="Cambria Math" w:hAnsi="Cambria Math" w:cs="Cambria Math"/>
          <w:szCs w:val="24"/>
          <w:lang w:val="en-GB" w:eastAsia="en-GB"/>
        </w:rPr>
        <w:instrText>∼</w:instrText>
      </w:r>
      <w:r w:rsidR="00E57E01">
        <w:rPr>
          <w:rFonts w:cs="Times New Roman"/>
          <w:szCs w:val="24"/>
          <w:lang w:val="en-GB" w:eastAsia="en-GB"/>
        </w:rPr>
        <w:instrText>30-40 daily sessions during which they gradually learn to respond in the appropriate aperture within a certain amount of time. If they fail to respond, respond in the wrong hole or at an inappropriate time, a short period of darkness (time-out) is presented as punishment and no reward is delivered. The 5-CSRTT provides the possibility to test the effects of various neural, pharmacological and behavioral manipulations on discrete and somewhat independent measures of behavioral control, including accuracy of discrimination, impulsivity, perseverative responses and response latencies.","author":[{"dropping-particle":"","family":"Bari","given":"Andrea","non-dropping-particle":"","parse-names":false,"suffix":""},{"dropping-particle":"","family":"Dalley","given":"Jeffrey W.","non-dropping-particle":"","parse-names":false,"suffix":""},{"dropping-particle":"","family":"Robbins","given":"Trevor W.","non-dropping-particle":"","parse-names":false,"suffix":""}],"container-title":"Nature Protocols","id":"ITEM-1","issue":"5","issued":{"date-parts":[["2008"]]},"page":"759-767","title":"The application of the 5-choice serial reaction time task for the assessment of visual attentional processes and impulse control in rats","type":"article-journal","volume":"3"},"uris":["http://www.mendeley.com/documents/?uuid=baf3be8c-2cbb-48aa-b583-d07c7dd5ad45"]}],"mendeley":{"formattedCitation":"&lt;sup&gt;14&lt;/sup&gt;","plainTextFormattedCitation":"14","previouslyFormattedCitation":"&lt;sup&gt;14&lt;/sup&gt;"},"properties":{"noteIndex":0},"schema":"https://github.com/citation-style-language/schema/raw/master/csl-citation.json"}</w:instrText>
      </w:r>
      <w:r w:rsidRPr="00EA3DEC">
        <w:rPr>
          <w:rFonts w:cs="Times New Roman"/>
          <w:szCs w:val="24"/>
          <w:lang w:val="en-GB" w:eastAsia="en-GB"/>
        </w:rPr>
        <w:fldChar w:fldCharType="separate"/>
      </w:r>
      <w:r w:rsidR="00E57E01" w:rsidRPr="00E57E01">
        <w:rPr>
          <w:rFonts w:cs="Times New Roman"/>
          <w:noProof/>
          <w:szCs w:val="24"/>
          <w:vertAlign w:val="superscript"/>
          <w:lang w:val="en-GB" w:eastAsia="en-GB"/>
        </w:rPr>
        <w:t>14</w:t>
      </w:r>
      <w:r w:rsidRPr="00EA3DEC">
        <w:rPr>
          <w:rFonts w:cs="Times New Roman"/>
          <w:szCs w:val="24"/>
          <w:lang w:val="en-GB" w:eastAsia="en-GB"/>
        </w:rPr>
        <w:fldChar w:fldCharType="end"/>
      </w:r>
      <w:r w:rsidRPr="00EA3DEC">
        <w:rPr>
          <w:rFonts w:cs="Times New Roman"/>
          <w:szCs w:val="24"/>
          <w:lang w:val="en-GB" w:eastAsia="en-GB"/>
        </w:rPr>
        <w:t xml:space="preserve">. The number of animals tested was 6-7/ treatment group. Briefly, adult rats were tested during 30 minutes daily session for six weeks, each week consisting of five consecutive test days followed by a </w:t>
      </w:r>
      <w:proofErr w:type="gramStart"/>
      <w:r w:rsidRPr="00EA3DEC">
        <w:rPr>
          <w:rFonts w:cs="Times New Roman"/>
          <w:szCs w:val="24"/>
          <w:lang w:val="en-GB" w:eastAsia="en-GB"/>
        </w:rPr>
        <w:t>two day</w:t>
      </w:r>
      <w:proofErr w:type="gramEnd"/>
      <w:r w:rsidRPr="00EA3DEC">
        <w:rPr>
          <w:rFonts w:cs="Times New Roman"/>
          <w:szCs w:val="24"/>
          <w:lang w:val="en-GB" w:eastAsia="en-GB"/>
        </w:rPr>
        <w:t xml:space="preserve"> resting period (approx. 30 sessions/subject in total). During sessions, animals were trained to detect brief visual stimuli (LED light) that appeared in a random order inside one of the </w:t>
      </w:r>
      <w:proofErr w:type="gramStart"/>
      <w:r w:rsidRPr="00EA3DEC">
        <w:rPr>
          <w:rFonts w:cs="Times New Roman"/>
          <w:szCs w:val="24"/>
          <w:lang w:val="en-GB" w:eastAsia="en-GB"/>
        </w:rPr>
        <w:t>five nose</w:t>
      </w:r>
      <w:proofErr w:type="gramEnd"/>
      <w:r w:rsidRPr="00EA3DEC">
        <w:rPr>
          <w:rFonts w:cs="Times New Roman"/>
          <w:szCs w:val="24"/>
          <w:lang w:val="en-GB" w:eastAsia="en-GB"/>
        </w:rPr>
        <w:t xml:space="preserve"> poke response holes placed on the chamber wall and make a nose poke response at the illuminated hole. A nose poke in such ’rewarded’ response hole during the light cue or the following pre-determined time interval (limited hold) resulted in the delivery of a sucrose pellet into a receptacle located on the opposite wall of the chamber. Response errors were represented by the number of omissions (when no response was made during the trial), incorrect responses (responses at a non-illuminated hole) and premature responses (response before the visual cue switched on), all of which were punished by a 5 second dark period. If subjects fulfilled the predetermined criteria for the given stage (for description of criteria see Bari et al.), they were subjected to the next upper test stage at the following daily session. Cue and limited hold length progressively decreased with sessions while criteria became progressively more difficult to </w:t>
      </w:r>
      <w:proofErr w:type="spellStart"/>
      <w:r w:rsidRPr="00EA3DEC">
        <w:rPr>
          <w:rFonts w:cs="Times New Roman"/>
          <w:szCs w:val="24"/>
          <w:lang w:val="en-GB" w:eastAsia="en-GB"/>
        </w:rPr>
        <w:t>fulfill</w:t>
      </w:r>
      <w:proofErr w:type="spellEnd"/>
      <w:r w:rsidRPr="00EA3DEC">
        <w:rPr>
          <w:rFonts w:cs="Times New Roman"/>
          <w:szCs w:val="24"/>
          <w:lang w:val="en-GB" w:eastAsia="en-GB"/>
        </w:rPr>
        <w:t xml:space="preserve">. The average of the highest stage reached, response accuracy and the number of sessions needed to reach a particular stage were analysed across treatment groups. During the testing </w:t>
      </w:r>
      <w:proofErr w:type="gramStart"/>
      <w:r w:rsidRPr="00EA3DEC">
        <w:rPr>
          <w:rFonts w:cs="Times New Roman"/>
          <w:szCs w:val="24"/>
          <w:lang w:val="en-GB" w:eastAsia="en-GB"/>
        </w:rPr>
        <w:t>period</w:t>
      </w:r>
      <w:proofErr w:type="gramEnd"/>
      <w:r w:rsidRPr="00EA3DEC">
        <w:rPr>
          <w:rFonts w:cs="Times New Roman"/>
          <w:szCs w:val="24"/>
          <w:lang w:val="en-GB" w:eastAsia="en-GB"/>
        </w:rPr>
        <w:t xml:space="preserve"> subjects were kept on a restricted diet in order to increase their motivation to perform in the task for sucrose pellet rewards. Food restriction was initiated 3 days prior to the first test session and food amount was adjusted to maintain 90% (±</w:t>
      </w:r>
      <w:proofErr w:type="gramStart"/>
      <w:r w:rsidRPr="00EA3DEC">
        <w:rPr>
          <w:rFonts w:cs="Times New Roman"/>
          <w:szCs w:val="24"/>
          <w:lang w:val="en-GB" w:eastAsia="en-GB"/>
        </w:rPr>
        <w:t>5%</w:t>
      </w:r>
      <w:proofErr w:type="gramEnd"/>
      <w:r w:rsidRPr="00EA3DEC">
        <w:rPr>
          <w:rFonts w:cs="Times New Roman"/>
          <w:szCs w:val="24"/>
          <w:lang w:val="en-GB" w:eastAsia="en-GB"/>
        </w:rPr>
        <w:t>) of initial body weight. </w:t>
      </w:r>
    </w:p>
    <w:p w:rsidR="002C1D22" w:rsidRPr="00EA3DEC" w:rsidRDefault="002C1D22" w:rsidP="002C1D22">
      <w:pPr>
        <w:pStyle w:val="NormalWeb"/>
        <w:spacing w:before="0" w:beforeAutospacing="0" w:after="0" w:afterAutospacing="0"/>
        <w:rPr>
          <w:rFonts w:cs="Times New Roman"/>
          <w:szCs w:val="24"/>
          <w:lang w:val="en-GB" w:eastAsia="en-GB"/>
        </w:rPr>
      </w:pPr>
      <w:r w:rsidRPr="00EA3DEC">
        <w:rPr>
          <w:rFonts w:cs="Times New Roman"/>
          <w:b/>
          <w:szCs w:val="24"/>
          <w:lang w:val="en-GB" w:eastAsia="en-GB"/>
        </w:rPr>
        <w:t>Set-shifted 5-CSRTT procedure:</w:t>
      </w:r>
      <w:r w:rsidRPr="00EA3DEC">
        <w:rPr>
          <w:rFonts w:cs="Times New Roman"/>
          <w:szCs w:val="24"/>
          <w:lang w:val="en-GB" w:eastAsia="en-GB"/>
        </w:rPr>
        <w:t xml:space="preserve"> Adult rats (N=11-15/ treatment group) were tested in </w:t>
      </w:r>
      <w:proofErr w:type="gramStart"/>
      <w:r w:rsidRPr="00EA3DEC">
        <w:rPr>
          <w:rFonts w:cs="Times New Roman"/>
          <w:szCs w:val="24"/>
          <w:lang w:val="en-GB" w:eastAsia="en-GB"/>
        </w:rPr>
        <w:t>2</w:t>
      </w:r>
      <w:proofErr w:type="gramEnd"/>
      <w:r w:rsidRPr="00EA3DEC">
        <w:rPr>
          <w:rFonts w:cs="Times New Roman"/>
          <w:szCs w:val="24"/>
          <w:lang w:val="en-GB" w:eastAsia="en-GB"/>
        </w:rPr>
        <w:t xml:space="preserve"> test phases to measure operant learning, attention and cognitive flexibility. Animals </w:t>
      </w:r>
      <w:proofErr w:type="gramStart"/>
      <w:r w:rsidRPr="00EA3DEC">
        <w:rPr>
          <w:rFonts w:cs="Times New Roman"/>
          <w:szCs w:val="24"/>
          <w:lang w:val="en-GB" w:eastAsia="en-GB"/>
        </w:rPr>
        <w:t>were tested</w:t>
      </w:r>
      <w:proofErr w:type="gramEnd"/>
      <w:r w:rsidRPr="00EA3DEC">
        <w:rPr>
          <w:rFonts w:cs="Times New Roman"/>
          <w:szCs w:val="24"/>
          <w:lang w:val="en-GB" w:eastAsia="en-GB"/>
        </w:rPr>
        <w:t xml:space="preserve"> for 30 minutes daily for six weeks in automated operant chambers. In Phase 1, subjects were trained to respond in either the </w:t>
      </w:r>
      <w:proofErr w:type="gramStart"/>
      <w:r w:rsidRPr="00EA3DEC">
        <w:rPr>
          <w:rFonts w:cs="Times New Roman"/>
          <w:szCs w:val="24"/>
          <w:lang w:val="en-GB" w:eastAsia="en-GB"/>
        </w:rPr>
        <w:t>2nd</w:t>
      </w:r>
      <w:proofErr w:type="gramEnd"/>
      <w:r w:rsidRPr="00EA3DEC">
        <w:rPr>
          <w:rFonts w:cs="Times New Roman"/>
          <w:szCs w:val="24"/>
          <w:lang w:val="en-GB" w:eastAsia="en-GB"/>
        </w:rPr>
        <w:t xml:space="preserve"> or 4th nose poke response hole out of 5 holes on the wall of the operant chamber set up in a similar manner as described at the 5CSRTT. At the beginning of every </w:t>
      </w:r>
      <w:proofErr w:type="gramStart"/>
      <w:r w:rsidRPr="00EA3DEC">
        <w:rPr>
          <w:rFonts w:cs="Times New Roman"/>
          <w:szCs w:val="24"/>
          <w:lang w:val="en-GB" w:eastAsia="en-GB"/>
        </w:rPr>
        <w:t>trial</w:t>
      </w:r>
      <w:proofErr w:type="gramEnd"/>
      <w:r w:rsidRPr="00EA3DEC">
        <w:rPr>
          <w:rFonts w:cs="Times New Roman"/>
          <w:szCs w:val="24"/>
          <w:lang w:val="en-GB" w:eastAsia="en-GB"/>
        </w:rPr>
        <w:t xml:space="preserve"> a cue light randomly illuminated one of the five nose poke response holes which was an irrelevant stimulus and had to be ignored by the subjects. Correct response </w:t>
      </w:r>
      <w:proofErr w:type="gramStart"/>
      <w:r w:rsidRPr="00EA3DEC">
        <w:rPr>
          <w:rFonts w:cs="Times New Roman"/>
          <w:szCs w:val="24"/>
          <w:lang w:val="en-GB" w:eastAsia="en-GB"/>
        </w:rPr>
        <w:t>was rewarded</w:t>
      </w:r>
      <w:proofErr w:type="gramEnd"/>
      <w:r w:rsidRPr="00EA3DEC">
        <w:rPr>
          <w:rFonts w:cs="Times New Roman"/>
          <w:szCs w:val="24"/>
          <w:lang w:val="en-GB" w:eastAsia="en-GB"/>
        </w:rPr>
        <w:t xml:space="preserve"> with a sucrose pellet. The position of the rewarded hole was constant during this phase and </w:t>
      </w:r>
      <w:proofErr w:type="gramStart"/>
      <w:r w:rsidRPr="00EA3DEC">
        <w:rPr>
          <w:rFonts w:cs="Times New Roman"/>
          <w:szCs w:val="24"/>
          <w:lang w:val="en-GB" w:eastAsia="en-GB"/>
        </w:rPr>
        <w:t>was randomly assigned</w:t>
      </w:r>
      <w:proofErr w:type="gramEnd"/>
      <w:r w:rsidRPr="00EA3DEC">
        <w:rPr>
          <w:rFonts w:cs="Times New Roman"/>
          <w:szCs w:val="24"/>
          <w:lang w:val="en-GB" w:eastAsia="en-GB"/>
        </w:rPr>
        <w:t xml:space="preserve"> across subjects in order to prevent side preference. If the subjects acquired ≥</w:t>
      </w:r>
      <w:proofErr w:type="gramStart"/>
      <w:r w:rsidRPr="00EA3DEC">
        <w:rPr>
          <w:rFonts w:cs="Times New Roman"/>
          <w:szCs w:val="24"/>
          <w:lang w:val="en-GB" w:eastAsia="en-GB"/>
        </w:rPr>
        <w:t>80%</w:t>
      </w:r>
      <w:proofErr w:type="gramEnd"/>
      <w:r w:rsidRPr="00EA3DEC">
        <w:rPr>
          <w:rFonts w:cs="Times New Roman"/>
          <w:szCs w:val="24"/>
          <w:lang w:val="en-GB" w:eastAsia="en-GB"/>
        </w:rPr>
        <w:t xml:space="preserve"> accuracy (ratio of correct out of all responses) on two consecutive days, the test was continued in Phase 2. This phase was identical to the first stage of 5CSRTT described above.</w:t>
      </w:r>
    </w:p>
    <w:p w:rsidR="002C1D22" w:rsidRPr="00EA3DEC" w:rsidRDefault="002C1D22" w:rsidP="002C1D22">
      <w:pPr>
        <w:pStyle w:val="NormalWeb"/>
        <w:spacing w:before="0" w:beforeAutospacing="0" w:after="0" w:afterAutospacing="0"/>
        <w:rPr>
          <w:rFonts w:cs="Times New Roman"/>
          <w:szCs w:val="24"/>
          <w:lang w:val="en-GB" w:eastAsia="en-GB"/>
        </w:rPr>
      </w:pPr>
      <w:r w:rsidRPr="00EA3DEC">
        <w:rPr>
          <w:rFonts w:cs="Times New Roman"/>
          <w:szCs w:val="24"/>
          <w:lang w:val="en-GB" w:eastAsia="en-GB"/>
        </w:rPr>
        <w:t>Go/no-Go task: To measure response inhibition, a Go/no-Go task</w:t>
      </w:r>
      <w:r w:rsidRPr="00EA3DEC">
        <w:rPr>
          <w:rFonts w:cs="Times New Roman"/>
          <w:szCs w:val="24"/>
          <w:lang w:val="en-GB" w:eastAsia="en-GB"/>
        </w:rPr>
        <w:fldChar w:fldCharType="begin" w:fldLock="1"/>
      </w:r>
      <w:r w:rsidR="00E57E01">
        <w:rPr>
          <w:rFonts w:cs="Times New Roman"/>
          <w:szCs w:val="24"/>
          <w:lang w:val="en-GB" w:eastAsia="en-GB"/>
        </w:rPr>
        <w:instrText>ADDIN CSL_CITATION {"citationItems":[{"id":"ITEM-1","itemData":{"DOI":"10.1016/j.cpr.2006.01.001","ISSN":"0272-7358 (Print)","PMID":"16504359","abstract":"Impulsivity, broadly defined as action without foresight, is a component of  numerous psychiatric illnesses including attention deficit/hyperactivity disorder (ADHD), mania and substance abuse. In order to investigate the mechanisms underpinning impulsive behavior, the nature of impulsivity itself needs to be defined in operational terms that can be used as the basis for empirical investigation. Due to the range of behaviors that the term impulsivity describes, it has been suggested that impulsivity is not a unitary construct, but encompasses a variety of related phenomena that may differ in their biological basis. Through fractionating impulsivity into these component parts, it has proved possible to devise different behavioral paradigms to measure various aspects of impulsivity in both humans and laboratory animals. This review describes and evaluates some of the current behavioral models of impulsivity developed for use with rodents based on human neuropsychological tests, focusing on the five-choice serial reaction time task, the stop-signal reaction time task and delay-discounting paradigms. Furthermore, the contributions made by preclinical studies using such methodology to improve our understanding of the neural and neurochemical basis of impulsivity and ADHD are discussed, with particular reference to the involvement of both the serotonergic and dopaminergic systems, and frontostriatal circuitry.","author":[{"dropping-particle":"","family":"Winstanley","given":"Catharine A","non-dropping-particle":"","parse-names":false,"suffix":""},{"dropping-particle":"","family":"Eagle","given":"Dawn M","non-dropping-particle":"","parse-names":false,"suffix":""},{"dropping-particle":"","family":"Robbins","given":"Trevor W","non-dropping-particle":"","parse-names":false,"suffix":""}],"container-title":"Clinical psychology review","id":"ITEM-1","issue":"4","issued":{"date-parts":[["2006","8"]]},"language":"eng","page":"379-395","publisher-place":"United States","title":"Behavioral models of impulsivity in relation to ADHD: translation between  clinical and preclinical studies.","type":"article-journal","volume":"26"},"uris":["http://www.mendeley.com/documents/?uuid=f26b4a7b-268e-459f-b9fb-8f48a1d41654","http://www.mendeley.com/documents/?uuid=17ee6696-619a-450f-8498-6970b8e0d037"]}],"mendeley":{"formattedCitation":"&lt;sup&gt;15&lt;/sup&gt;","plainTextFormattedCitation":"15","previouslyFormattedCitation":"&lt;sup&gt;15&lt;/sup&gt;"},"properties":{"noteIndex":0},"schema":"https://github.com/citation-style-language/schema/raw/master/csl-citation.json"}</w:instrText>
      </w:r>
      <w:r w:rsidRPr="00EA3DEC">
        <w:rPr>
          <w:rFonts w:cs="Times New Roman"/>
          <w:szCs w:val="24"/>
          <w:lang w:val="en-GB" w:eastAsia="en-GB"/>
        </w:rPr>
        <w:fldChar w:fldCharType="separate"/>
      </w:r>
      <w:r w:rsidR="00E57E01" w:rsidRPr="00E57E01">
        <w:rPr>
          <w:rFonts w:cs="Times New Roman"/>
          <w:noProof/>
          <w:szCs w:val="24"/>
          <w:vertAlign w:val="superscript"/>
          <w:lang w:val="en-GB" w:eastAsia="en-GB"/>
        </w:rPr>
        <w:t>15</w:t>
      </w:r>
      <w:r w:rsidRPr="00EA3DEC">
        <w:rPr>
          <w:rFonts w:cs="Times New Roman"/>
          <w:szCs w:val="24"/>
          <w:lang w:val="en-GB" w:eastAsia="en-GB"/>
        </w:rPr>
        <w:fldChar w:fldCharType="end"/>
      </w:r>
      <w:r w:rsidRPr="00EA3DEC">
        <w:rPr>
          <w:rFonts w:cs="Times New Roman"/>
          <w:szCs w:val="24"/>
          <w:lang w:val="en-GB" w:eastAsia="en-GB"/>
        </w:rPr>
        <w:t xml:space="preserve"> was performed for three weeks. Animals (N=7-9/ treatment group) were trained in two sequential task-phases in automated operant chambers (Med Associates, USA) for 30 min each daily session. In the first (’Go’) phase, subjects were trained to make a nose poke response to a light cue (’Go’ stimulus) at a predetermined rewarded hole of two nose poke response holes on the wall of the chamber in order to receive a reward pellet. If the subjects reached &gt;80% response accuracy on two consecutive days, the second (’Go-no-Go’) phase began. In this phase, besides the ’Go trials’ described above, ’no-Go trials’ were presented, during which an auditory -cue (’no-Go’ stimulus) was added to the visual ’Go’ cue. During ’no-Go’ trials omission of response was rewarded while responding did not result in reward delivery. ’Go’ and ’no-Go’ trials were presented in a random order with a maximum of three consecutive trials of the same type. Response accuracy was separately recorded for ’Go’ and ’no-Go’ trials.</w:t>
      </w:r>
    </w:p>
    <w:p w:rsidR="002C1D22" w:rsidRPr="00EA3DEC" w:rsidRDefault="002C1D22" w:rsidP="002C1D22">
      <w:pPr>
        <w:pStyle w:val="NormalWeb"/>
        <w:spacing w:before="0" w:beforeAutospacing="0" w:after="0" w:afterAutospacing="0"/>
        <w:rPr>
          <w:rFonts w:cs="Times New Roman"/>
          <w:szCs w:val="24"/>
          <w:lang w:val="en-GB" w:eastAsia="en-GB"/>
        </w:rPr>
      </w:pPr>
      <w:r w:rsidRPr="00EA3DEC">
        <w:rPr>
          <w:rFonts w:cs="Times New Roman"/>
          <w:b/>
          <w:szCs w:val="24"/>
          <w:lang w:val="en-GB" w:eastAsia="en-GB"/>
        </w:rPr>
        <w:t>Social interaction test:</w:t>
      </w:r>
      <w:r w:rsidRPr="00EA3DEC">
        <w:rPr>
          <w:rFonts w:cs="Times New Roman"/>
          <w:szCs w:val="24"/>
          <w:lang w:val="en-GB" w:eastAsia="en-GB"/>
        </w:rPr>
        <w:t xml:space="preserve"> For the social interaction test</w:t>
      </w:r>
      <w:r w:rsidRPr="00EA3DEC">
        <w:rPr>
          <w:rFonts w:cs="Times New Roman"/>
          <w:szCs w:val="24"/>
          <w:lang w:val="en-GB" w:eastAsia="en-GB"/>
        </w:rPr>
        <w:fldChar w:fldCharType="begin" w:fldLock="1"/>
      </w:r>
      <w:r w:rsidR="00E57E01">
        <w:rPr>
          <w:rFonts w:cs="Times New Roman"/>
          <w:szCs w:val="24"/>
          <w:lang w:val="en-GB" w:eastAsia="en-GB"/>
        </w:rPr>
        <w:instrText>ADDIN CSL_CITATION {"citationItems":[{"id":"ITEM-1","itemData":{"DOI":"10.1111/j.1476-5381.1978.tb07001.x","ISSN":"0007-1188 (Print)","PMID":"563752","abstract":"1 Pairs of male rats were placed in a test box for 10 min and the time they spent  in active social interaction was scored. Maximum active interaction was found when the rats were tested under low light in a box with which they were familiar. When the light level was increased or when the box was unfamiliar active social interaction decreased. 2 Exploration (time spent sniffing objects) decreased in the same way in relation to test conditions as did social interaction. As these decreased, defecation, and freezing increased. 3 Anosmic controls showed that the decrease in social interaction across test conditions could not be attributed to olfactory changes in the partner. 4 Chlordiazepoxide (5 mg/kg) given chronically prevented or significantly reduced the decrease in social interaction that occurred in undrugged rats as the light level or the unfamiliarity of the test box was increased. Controls showed that this effect could not be entirely attributed to chlordiazepoxide acting selectively to increase low levels of responding. 5 The effect of chronic chlordiazepoxide contrasts with its action when given acutely; in the latter case it has only sedative effects. 6 Whether this test can be used as an animal model of anxiety is discussed and this test is compared with existing tests of anxiety.","author":[{"dropping-particle":"","family":"File","given":"S E","non-dropping-particle":"","parse-names":false,"suffix":""},{"dropping-particle":"","family":"Hyde","given":"J R","non-dropping-particle":"","parse-names":false,"suffix":""}],"container-title":"British journal of pharmacology","id":"ITEM-1","issue":"1","issued":{"date-parts":[["1978","1"]]},"language":"eng","page":"19-24","publisher-place":"England","title":"Can social interaction be used to measure anxiety?","type":"article-journal","volume":"62"},"uris":["http://www.mendeley.com/documents/?uuid=58f3178e-717e-48fc-9137-6cd3f4a3ae28","http://www.mendeley.com/documents/?uuid=8fe0c627-fc73-439c-9210-1cb85515ecc4"]}],"mendeley":{"formattedCitation":"&lt;sup&gt;16&lt;/sup&gt;","plainTextFormattedCitation":"16","previouslyFormattedCitation":"&lt;sup&gt;16&lt;/sup&gt;"},"properties":{"noteIndex":0},"schema":"https://github.com/citation-style-language/schema/raw/master/csl-citation.json"}</w:instrText>
      </w:r>
      <w:r w:rsidRPr="00EA3DEC">
        <w:rPr>
          <w:rFonts w:cs="Times New Roman"/>
          <w:szCs w:val="24"/>
          <w:lang w:val="en-GB" w:eastAsia="en-GB"/>
        </w:rPr>
        <w:fldChar w:fldCharType="separate"/>
      </w:r>
      <w:r w:rsidR="00E57E01" w:rsidRPr="00E57E01">
        <w:rPr>
          <w:rFonts w:cs="Times New Roman"/>
          <w:noProof/>
          <w:szCs w:val="24"/>
          <w:vertAlign w:val="superscript"/>
          <w:lang w:val="en-GB" w:eastAsia="en-GB"/>
        </w:rPr>
        <w:t>16</w:t>
      </w:r>
      <w:r w:rsidRPr="00EA3DEC">
        <w:rPr>
          <w:rFonts w:cs="Times New Roman"/>
          <w:szCs w:val="24"/>
          <w:lang w:val="en-GB" w:eastAsia="en-GB"/>
        </w:rPr>
        <w:fldChar w:fldCharType="end"/>
      </w:r>
      <w:r w:rsidRPr="00EA3DEC">
        <w:rPr>
          <w:rFonts w:cs="Times New Roman"/>
          <w:szCs w:val="24"/>
          <w:lang w:val="en-GB" w:eastAsia="en-GB"/>
        </w:rPr>
        <w:t xml:space="preserve">, animals of identical treatment group (N=7-9/ group), same sex and similar body weight (less than 10% body weight difference) were assigned in pairs. The stimulus rats were completely unfamiliar to the experimental animals, and originated from a different litter. This ensured that the interaction reflected social exploratory behaviour rather than recognition of familiar conspecifics. One of the subjects was marked with semi-permanent dye for easier differentiation two days prior to testing. The animals </w:t>
      </w:r>
      <w:proofErr w:type="gramStart"/>
      <w:r w:rsidRPr="00EA3DEC">
        <w:rPr>
          <w:rFonts w:cs="Times New Roman"/>
          <w:szCs w:val="24"/>
          <w:lang w:val="en-GB" w:eastAsia="en-GB"/>
        </w:rPr>
        <w:t>were separately habituated</w:t>
      </w:r>
      <w:proofErr w:type="gramEnd"/>
      <w:r w:rsidRPr="00EA3DEC">
        <w:rPr>
          <w:rFonts w:cs="Times New Roman"/>
          <w:szCs w:val="24"/>
          <w:lang w:val="en-GB" w:eastAsia="en-GB"/>
        </w:rPr>
        <w:t xml:space="preserve"> to novel test-cages filled with clean bedding for 10 min on two consecutive days before the test. On the test day the pairs were placed together in the unfamiliar testing cages for 10 minutes under low light conditions, </w:t>
      </w:r>
      <w:proofErr w:type="spellStart"/>
      <w:r w:rsidRPr="00EA3DEC">
        <w:rPr>
          <w:rFonts w:cs="Times New Roman"/>
          <w:szCs w:val="24"/>
          <w:lang w:val="en-GB" w:eastAsia="en-GB"/>
        </w:rPr>
        <w:t>behavior</w:t>
      </w:r>
      <w:proofErr w:type="spellEnd"/>
      <w:r w:rsidRPr="00EA3DEC">
        <w:rPr>
          <w:rFonts w:cs="Times New Roman"/>
          <w:szCs w:val="24"/>
          <w:lang w:val="en-GB" w:eastAsia="en-GB"/>
        </w:rPr>
        <w:t xml:space="preserve"> was video recorded and their resting, exploring, grooming, sniffing, offensive/ defensive and biting </w:t>
      </w:r>
      <w:proofErr w:type="spellStart"/>
      <w:r w:rsidRPr="00EA3DEC">
        <w:rPr>
          <w:rFonts w:cs="Times New Roman"/>
          <w:szCs w:val="24"/>
          <w:lang w:val="en-GB" w:eastAsia="en-GB"/>
        </w:rPr>
        <w:t>behavior</w:t>
      </w:r>
      <w:proofErr w:type="spellEnd"/>
      <w:r w:rsidRPr="00EA3DEC">
        <w:rPr>
          <w:rFonts w:cs="Times New Roman"/>
          <w:szCs w:val="24"/>
          <w:lang w:val="en-GB" w:eastAsia="en-GB"/>
        </w:rPr>
        <w:t xml:space="preserve"> were scored later by an experimenter blinded to treatment groups.</w:t>
      </w:r>
    </w:p>
    <w:p w:rsidR="002C1D22" w:rsidRPr="00EA3DEC" w:rsidRDefault="002C1D22" w:rsidP="002C1D22">
      <w:pPr>
        <w:pStyle w:val="NormalWeb"/>
        <w:spacing w:before="0" w:beforeAutospacing="0" w:after="0" w:afterAutospacing="0"/>
        <w:rPr>
          <w:rFonts w:cs="Times New Roman"/>
          <w:szCs w:val="24"/>
          <w:lang w:val="en-GB" w:eastAsia="en-GB"/>
        </w:rPr>
      </w:pPr>
      <w:r w:rsidRPr="00EA3DEC">
        <w:rPr>
          <w:rFonts w:cs="Times New Roman"/>
          <w:b/>
          <w:szCs w:val="24"/>
          <w:lang w:val="en-GB" w:eastAsia="en-GB"/>
        </w:rPr>
        <w:t>Sociability and social recognition test:</w:t>
      </w:r>
      <w:r w:rsidRPr="00EA3DEC">
        <w:rPr>
          <w:rFonts w:cs="Times New Roman"/>
          <w:szCs w:val="24"/>
          <w:lang w:val="en-GB" w:eastAsia="en-GB"/>
        </w:rPr>
        <w:t xml:space="preserve"> To further study the social </w:t>
      </w:r>
      <w:proofErr w:type="spellStart"/>
      <w:r w:rsidRPr="00EA3DEC">
        <w:rPr>
          <w:rFonts w:cs="Times New Roman"/>
          <w:szCs w:val="24"/>
          <w:lang w:val="en-GB" w:eastAsia="en-GB"/>
        </w:rPr>
        <w:t>behavior</w:t>
      </w:r>
      <w:proofErr w:type="spellEnd"/>
      <w:r w:rsidRPr="00EA3DEC">
        <w:rPr>
          <w:rFonts w:cs="Times New Roman"/>
          <w:szCs w:val="24"/>
          <w:lang w:val="en-GB" w:eastAsia="en-GB"/>
        </w:rPr>
        <w:t xml:space="preserve"> of the rats</w:t>
      </w:r>
      <w:r w:rsidRPr="00EA3DEC">
        <w:rPr>
          <w:rFonts w:cs="Times New Roman"/>
          <w:szCs w:val="24"/>
          <w:lang w:val="en-GB" w:eastAsia="en-GB"/>
        </w:rPr>
        <w:fldChar w:fldCharType="begin" w:fldLock="1"/>
      </w:r>
      <w:r w:rsidR="00E57E01">
        <w:rPr>
          <w:rFonts w:cs="Times New Roman"/>
          <w:szCs w:val="24"/>
          <w:lang w:val="en-GB" w:eastAsia="en-GB"/>
        </w:rPr>
        <w:instrText>ADDIN CSL_CITATION {"citationItems":[{"id":"ITEM-1","itemData":{"DOI":"10.1097/FBP.0000000000000178","ISBN":"0000000000000","ISSN":"14735849","PMID":"26287433","abstract":"Deficiencies in social activities are hallmarks of numerous brain disorders. With respect to schizophrenia, social withdrawal belongs to the category of negative symptoms and is associated with deficits in the cognitive domain. Here, we used the N-methyl-D-aspartate receptor antagonist dizocilpine (MK-801) for induction of social withdrawal in rats and assessed the efficacy of several atypical antipsychotics with different pharmacological profiles as putative treatment. In addition, we reasoned that the marijuana constituent cannabidiol (CBD) may provide benefit or could be proposed as an adjunct treatment in combination with antipsychotics. Hooded Lister rats were tested in the three-chamber version for social interaction, with an initial novelty phase, followed after 3 min by a shortterm recognition memory phase. No drug treatment affected sociability. However, distinct effects on social recognition were revealed. MK-801 reduced social recognition memory at all doses (&gt;0.03 mg/kg). Predosing with aripiprazole dose-dependently (2 or 10 mg/kg) prevented the memory decline, but doses of 0.1 mg/kg risperidone or 1 mg/kg olanzapine did not. Intriguingly, CBD impaired social recognition memory (12 and 30 mg/kg) but did not rescue the MK-801-induced deficits. When CBD was combined with protective doses of aripiprazole (CBD-aripiprazole at 12 : 1 or 5 : 2 mg/kg) the benefit of the antipsychotic was lost. At the same time, activity-related changes in behaviour were excluded as underlying reasons for these pharmacological effects. Collectively, the combined activity of aripiprazole on dopamine D2 and serotonin 5HT1A receptors appears to provide a significant advantage over risperidone and olanzapine with respect to the rescue of cognitive deficits reminiscent of schizophrenia. The differential pharmacological properties of CBD, which are seemingly beneficial in human patients, did not back-translate and rescue the MK-801-induced social memory deficit.","author":[{"dropping-particle":"","family":"Deiana","given":"Serena","non-dropping-particle":"","parse-names":false,"suffix":""},{"dropping-particle":"","family":"Watanabe","given":"Akihito","non-dropping-particle":"","parse-names":false,"suffix":""},{"dropping-particle":"","family":"Yamasaki","given":"Yuki","non-dropping-particle":"","parse-names":false,"suffix":""},{"dropping-particle":"","family":"Amada","given":"Naoki","non-dropping-particle":"","parse-names":false,"suffix":""},{"dropping-particle":"","family":"Kikuchi","given":"Tetsuro","non-dropping-particle":"","parse-names":false,"suffix":""},{"dropping-particle":"","family":"Stott","given":"Colin","non-dropping-particle":"","parse-names":false,"suffix":""},{"dropping-particle":"","family":"Riedel","given":"Gernot","non-dropping-particle":"","parse-names":false,"suffix":""}],"container-title":"Behavioural Pharmacology","id":"ITEM-1","issue":"8","issued":{"date-parts":[["2015"]]},"page":"748-765","title":"MK-801-induced deficits in social recognition in rats: Reversal by aripiprazole, but not olanzapine, risperidone, or cannabidiol","type":"article-journal","volume":"26"},"uris":["http://www.mendeley.com/documents/?uuid=8755d31a-34f0-4542-9a1f-7fa6be69ac68"]}],"mendeley":{"formattedCitation":"&lt;sup&gt;17&lt;/sup&gt;","plainTextFormattedCitation":"17","previouslyFormattedCitation":"&lt;sup&gt;17&lt;/sup&gt;"},"properties":{"noteIndex":0},"schema":"https://github.com/citation-style-language/schema/raw/master/csl-citation.json"}</w:instrText>
      </w:r>
      <w:r w:rsidRPr="00EA3DEC">
        <w:rPr>
          <w:rFonts w:cs="Times New Roman"/>
          <w:szCs w:val="24"/>
          <w:lang w:val="en-GB" w:eastAsia="en-GB"/>
        </w:rPr>
        <w:fldChar w:fldCharType="separate"/>
      </w:r>
      <w:r w:rsidR="00E57E01" w:rsidRPr="00E57E01">
        <w:rPr>
          <w:rFonts w:cs="Times New Roman"/>
          <w:noProof/>
          <w:szCs w:val="24"/>
          <w:vertAlign w:val="superscript"/>
          <w:lang w:val="en-GB" w:eastAsia="en-GB"/>
        </w:rPr>
        <w:t>17</w:t>
      </w:r>
      <w:r w:rsidRPr="00EA3DEC">
        <w:rPr>
          <w:rFonts w:cs="Times New Roman"/>
          <w:szCs w:val="24"/>
          <w:lang w:val="en-GB" w:eastAsia="en-GB"/>
        </w:rPr>
        <w:fldChar w:fldCharType="end"/>
      </w:r>
      <w:r w:rsidRPr="00EA3DEC">
        <w:rPr>
          <w:rFonts w:cs="Times New Roman"/>
          <w:szCs w:val="24"/>
          <w:lang w:val="en-GB" w:eastAsia="en-GB"/>
        </w:rPr>
        <w:t xml:space="preserve">, they took part in the sociability test performed in a 3-chamber-sociability box (central chamber 30x50x40cm, lateral chambers 50x50x40cm), which contained two empty cylinders with perforated, transparent walls on the left and right sides. 11-12 animals </w:t>
      </w:r>
      <w:proofErr w:type="gramStart"/>
      <w:r w:rsidRPr="00EA3DEC">
        <w:rPr>
          <w:rFonts w:cs="Times New Roman"/>
          <w:szCs w:val="24"/>
          <w:lang w:val="en-GB" w:eastAsia="en-GB"/>
        </w:rPr>
        <w:t>were tested</w:t>
      </w:r>
      <w:proofErr w:type="gramEnd"/>
      <w:r w:rsidRPr="00EA3DEC">
        <w:rPr>
          <w:rFonts w:cs="Times New Roman"/>
          <w:szCs w:val="24"/>
          <w:lang w:val="en-GB" w:eastAsia="en-GB"/>
        </w:rPr>
        <w:t xml:space="preserve"> from each treatment group. First, the animals </w:t>
      </w:r>
      <w:proofErr w:type="gramStart"/>
      <w:r w:rsidRPr="00EA3DEC">
        <w:rPr>
          <w:rFonts w:cs="Times New Roman"/>
          <w:szCs w:val="24"/>
          <w:lang w:val="en-GB" w:eastAsia="en-GB"/>
        </w:rPr>
        <w:t>were habituated</w:t>
      </w:r>
      <w:proofErr w:type="gramEnd"/>
      <w:r w:rsidRPr="00EA3DEC">
        <w:rPr>
          <w:rFonts w:cs="Times New Roman"/>
          <w:szCs w:val="24"/>
          <w:lang w:val="en-GB" w:eastAsia="en-GB"/>
        </w:rPr>
        <w:t xml:space="preserve"> to the test-box for 10 min, during which they explored the chambers and were expected to be equally interested in both cylinders. After completing the habituation, the animals were placed into </w:t>
      </w:r>
      <w:proofErr w:type="gramStart"/>
      <w:r w:rsidRPr="00EA3DEC">
        <w:rPr>
          <w:rFonts w:cs="Times New Roman"/>
          <w:szCs w:val="24"/>
          <w:lang w:val="en-GB" w:eastAsia="en-GB"/>
        </w:rPr>
        <w:t>clean bedded</w:t>
      </w:r>
      <w:proofErr w:type="gramEnd"/>
      <w:r w:rsidRPr="00EA3DEC">
        <w:rPr>
          <w:rFonts w:cs="Times New Roman"/>
          <w:szCs w:val="24"/>
          <w:lang w:val="en-GB" w:eastAsia="en-GB"/>
        </w:rPr>
        <w:t xml:space="preserve"> cages for 3 minutes and an unfamiliar juvenile rat (P28-P32) of the same sex was placed inside one of the cylinders. During the second (sociability) </w:t>
      </w:r>
      <w:proofErr w:type="gramStart"/>
      <w:r w:rsidRPr="00EA3DEC">
        <w:rPr>
          <w:rFonts w:cs="Times New Roman"/>
          <w:szCs w:val="24"/>
          <w:lang w:val="en-GB" w:eastAsia="en-GB"/>
        </w:rPr>
        <w:t>phase</w:t>
      </w:r>
      <w:proofErr w:type="gramEnd"/>
      <w:r w:rsidRPr="00EA3DEC">
        <w:rPr>
          <w:rFonts w:cs="Times New Roman"/>
          <w:szCs w:val="24"/>
          <w:lang w:val="en-GB" w:eastAsia="en-GB"/>
        </w:rPr>
        <w:t xml:space="preserve"> the animals were allowed to freely explore the apparatus for 10 minutes. The </w:t>
      </w:r>
      <w:proofErr w:type="spellStart"/>
      <w:r w:rsidRPr="00EA3DEC">
        <w:rPr>
          <w:rFonts w:cs="Times New Roman"/>
          <w:szCs w:val="24"/>
          <w:lang w:val="en-GB" w:eastAsia="en-GB"/>
        </w:rPr>
        <w:t>behavior</w:t>
      </w:r>
      <w:proofErr w:type="spellEnd"/>
      <w:r w:rsidRPr="00EA3DEC">
        <w:rPr>
          <w:rFonts w:cs="Times New Roman"/>
          <w:szCs w:val="24"/>
          <w:lang w:val="en-GB" w:eastAsia="en-GB"/>
        </w:rPr>
        <w:t xml:space="preserve"> of the animals was video-recorded and analysed afterwards. Sociability index was calculated as (time spent in the ‘social’ chamber)</w:t>
      </w:r>
      <w:proofErr w:type="gramStart"/>
      <w:r w:rsidRPr="00EA3DEC">
        <w:rPr>
          <w:rFonts w:cs="Times New Roman"/>
          <w:szCs w:val="24"/>
          <w:lang w:val="en-GB" w:eastAsia="en-GB"/>
        </w:rPr>
        <w:t>/(</w:t>
      </w:r>
      <w:proofErr w:type="gramEnd"/>
      <w:r w:rsidRPr="00EA3DEC">
        <w:rPr>
          <w:rFonts w:cs="Times New Roman"/>
          <w:szCs w:val="24"/>
          <w:lang w:val="en-GB" w:eastAsia="en-GB"/>
        </w:rPr>
        <w:t>time spent in the ‘social’ chamber + time spent in the ‘empty’ chamber).</w:t>
      </w:r>
    </w:p>
    <w:p w:rsidR="002C1D22" w:rsidRPr="00EA3DEC" w:rsidRDefault="002C1D22" w:rsidP="002C1D22">
      <w:pPr>
        <w:pStyle w:val="NormalWeb"/>
        <w:spacing w:before="0" w:beforeAutospacing="0" w:after="0" w:afterAutospacing="0"/>
        <w:rPr>
          <w:rFonts w:cs="Times New Roman"/>
          <w:szCs w:val="24"/>
          <w:lang w:val="en-GB" w:eastAsia="en-GB"/>
        </w:rPr>
      </w:pPr>
      <w:r w:rsidRPr="00EA3DEC">
        <w:rPr>
          <w:rFonts w:cs="Times New Roman"/>
          <w:b/>
          <w:szCs w:val="24"/>
          <w:lang w:val="en-GB" w:eastAsia="en-GB"/>
        </w:rPr>
        <w:t>Resident- intruder test:</w:t>
      </w:r>
      <w:r w:rsidRPr="00EA3DEC">
        <w:rPr>
          <w:rFonts w:cs="Times New Roman"/>
          <w:szCs w:val="24"/>
          <w:lang w:val="en-GB" w:eastAsia="en-GB"/>
        </w:rPr>
        <w:t xml:space="preserve"> To measure territorial aggressive </w:t>
      </w:r>
      <w:proofErr w:type="spellStart"/>
      <w:r w:rsidRPr="00EA3DEC">
        <w:rPr>
          <w:rFonts w:cs="Times New Roman"/>
          <w:szCs w:val="24"/>
          <w:lang w:val="en-GB" w:eastAsia="en-GB"/>
        </w:rPr>
        <w:t>behavior</w:t>
      </w:r>
      <w:proofErr w:type="spellEnd"/>
      <w:r w:rsidRPr="00EA3DEC">
        <w:rPr>
          <w:rFonts w:cs="Times New Roman"/>
          <w:szCs w:val="24"/>
          <w:lang w:val="en-GB" w:eastAsia="en-GB"/>
        </w:rPr>
        <w:t>, resident-intruder test was performed</w:t>
      </w:r>
      <w:r w:rsidRPr="00EA3DEC">
        <w:rPr>
          <w:rFonts w:cs="Times New Roman"/>
          <w:szCs w:val="24"/>
          <w:lang w:val="en-GB" w:eastAsia="en-GB"/>
        </w:rPr>
        <w:fldChar w:fldCharType="begin" w:fldLock="1"/>
      </w:r>
      <w:r w:rsidR="00E57E01">
        <w:rPr>
          <w:rFonts w:cs="Times New Roman"/>
          <w:szCs w:val="24"/>
          <w:lang w:val="en-GB" w:eastAsia="en-GB"/>
        </w:rPr>
        <w:instrText>ADDIN CSL_CITATION {"citationItems":[{"id":"ITEM-1","itemData":{"DOI":"10.3791/4367","ISSN":"1940-087X (Electronic)","PMID":"23852258","abstract":"This video publication explains in detail the experimental protocol of the  resident-intruder paradigm in rats. This test is a standardized method to measure offensive aggression and defensive behavior in a semi natural setting. The most important behavioral elements performed by the resident and the intruder are demonstrated in the video and illustrated using artistic drawings. The use of the resident intruder paradigm for acute and chronic social stress experiments is explained as well. Finally, some brief tests and criteria are presented to distinguish aggression from its more violent and pathological forms.","author":[{"dropping-particle":"","family":"Koolhaas","given":"Jaap M","non-dropping-particle":"","parse-names":false,"suffix":""},{"dropping-particle":"","family":"Coppens","given":"Caroline M","non-dropping-particle":"","parse-names":false,"suffix":""},{"dropping-particle":"","family":"Boer","given":"Sietse F","non-dropping-particle":"de","parse-names":false,"suffix":""},{"dropping-particle":"","family":"Buwalda","given":"Bauke","non-dropping-particle":"","parse-names":false,"suffix":""},{"dropping-particle":"","family":"Meerlo","given":"Peter","non-dropping-particle":"","parse-names":false,"suffix":""},{"dropping-particle":"","family":"Timmermans","given":"Paul J A","non-dropping-particle":"","parse-names":false,"suffix":""}],"container-title":"Journal of visualized experiments : JoVE","id":"ITEM-1","issue":"77","issued":{"date-parts":[["2013","7"]]},"language":"eng","page":"e4367","publisher-place":"United States","title":"The resident-intruder paradigm: a standardized test for aggression, violence and  social stress.","type":"article-journal"},"uris":["http://www.mendeley.com/documents/?uuid=f5ce7067-5e83-4c77-a79a-fc9e262c60bf","http://www.mendeley.com/documents/?uuid=2e291f58-b1ea-4888-8bb5-172628a94bcf"]}],"mendeley":{"formattedCitation":"&lt;sup&gt;18&lt;/sup&gt;","plainTextFormattedCitation":"18","previouslyFormattedCitation":"&lt;sup&gt;18&lt;/sup&gt;"},"properties":{"noteIndex":0},"schema":"https://github.com/citation-style-language/schema/raw/master/csl-citation.json"}</w:instrText>
      </w:r>
      <w:r w:rsidRPr="00EA3DEC">
        <w:rPr>
          <w:rFonts w:cs="Times New Roman"/>
          <w:szCs w:val="24"/>
          <w:lang w:val="en-GB" w:eastAsia="en-GB"/>
        </w:rPr>
        <w:fldChar w:fldCharType="separate"/>
      </w:r>
      <w:r w:rsidR="00E57E01" w:rsidRPr="00E57E01">
        <w:rPr>
          <w:rFonts w:cs="Times New Roman"/>
          <w:noProof/>
          <w:szCs w:val="24"/>
          <w:vertAlign w:val="superscript"/>
          <w:lang w:val="en-GB" w:eastAsia="en-GB"/>
        </w:rPr>
        <w:t>18</w:t>
      </w:r>
      <w:r w:rsidRPr="00EA3DEC">
        <w:rPr>
          <w:rFonts w:cs="Times New Roman"/>
          <w:szCs w:val="24"/>
          <w:lang w:val="en-GB" w:eastAsia="en-GB"/>
        </w:rPr>
        <w:fldChar w:fldCharType="end"/>
      </w:r>
      <w:r w:rsidRPr="00EA3DEC">
        <w:rPr>
          <w:rFonts w:cs="Times New Roman"/>
          <w:szCs w:val="24"/>
          <w:lang w:val="en-GB" w:eastAsia="en-GB"/>
        </w:rPr>
        <w:t xml:space="preserve">. 3 days prior to testing the animals (N= 11-12/ treatment group) were transferred to individual cages with clean bedding to evoke their territorial </w:t>
      </w:r>
      <w:proofErr w:type="spellStart"/>
      <w:r w:rsidRPr="00EA3DEC">
        <w:rPr>
          <w:rFonts w:cs="Times New Roman"/>
          <w:szCs w:val="24"/>
          <w:lang w:val="en-GB" w:eastAsia="en-GB"/>
        </w:rPr>
        <w:t>behavior</w:t>
      </w:r>
      <w:proofErr w:type="spellEnd"/>
      <w:r w:rsidRPr="00EA3DEC">
        <w:rPr>
          <w:rFonts w:cs="Times New Roman"/>
          <w:szCs w:val="24"/>
          <w:lang w:val="en-GB" w:eastAsia="en-GB"/>
        </w:rPr>
        <w:t xml:space="preserve">. On the testing </w:t>
      </w:r>
      <w:proofErr w:type="gramStart"/>
      <w:r w:rsidRPr="00EA3DEC">
        <w:rPr>
          <w:rFonts w:cs="Times New Roman"/>
          <w:szCs w:val="24"/>
          <w:lang w:val="en-GB" w:eastAsia="en-GB"/>
        </w:rPr>
        <w:t>day</w:t>
      </w:r>
      <w:proofErr w:type="gramEnd"/>
      <w:r w:rsidRPr="00EA3DEC">
        <w:rPr>
          <w:rFonts w:cs="Times New Roman"/>
          <w:szCs w:val="24"/>
          <w:lang w:val="en-GB" w:eastAsia="en-GB"/>
        </w:rPr>
        <w:t xml:space="preserve"> a smaller sized, unfamiliar male opponent (intruder) was placed into the cage of the tested (resident) animals for 20 minutes. The tests were video-recorded and then analysed blindly by an experienced researcher, taking into consideration the latency, frequency, location, and intensity of bites.</w:t>
      </w:r>
    </w:p>
    <w:p w:rsidR="002C1D22" w:rsidRPr="00EA3DEC" w:rsidRDefault="002C1D22" w:rsidP="002C1D22">
      <w:pPr>
        <w:pStyle w:val="NormalWeb"/>
        <w:spacing w:before="0" w:beforeAutospacing="0" w:after="0" w:afterAutospacing="0"/>
        <w:rPr>
          <w:rFonts w:cs="Times New Roman"/>
          <w:szCs w:val="24"/>
          <w:lang w:val="en-GB" w:eastAsia="en-GB"/>
        </w:rPr>
      </w:pPr>
      <w:r w:rsidRPr="00EA3DEC">
        <w:rPr>
          <w:rFonts w:cs="Times New Roman"/>
          <w:b/>
          <w:szCs w:val="24"/>
          <w:lang w:val="en-GB" w:eastAsia="en-GB"/>
        </w:rPr>
        <w:t xml:space="preserve">Contextual fear learning: </w:t>
      </w:r>
      <w:r w:rsidRPr="00EA3DEC">
        <w:rPr>
          <w:rFonts w:cs="Times New Roman"/>
          <w:szCs w:val="24"/>
          <w:lang w:val="en-GB" w:eastAsia="en-GB"/>
        </w:rPr>
        <w:t xml:space="preserve">For contextual fear conditioning, female rats (N=11-15/ treatment group) were placed into a clear </w:t>
      </w:r>
      <w:proofErr w:type="spellStart"/>
      <w:r w:rsidRPr="00EA3DEC">
        <w:rPr>
          <w:rFonts w:cs="Times New Roman"/>
          <w:szCs w:val="24"/>
          <w:lang w:val="en-GB" w:eastAsia="en-GB"/>
        </w:rPr>
        <w:t>Plexiglass</w:t>
      </w:r>
      <w:proofErr w:type="spellEnd"/>
      <w:r w:rsidRPr="00EA3DEC">
        <w:rPr>
          <w:rFonts w:cs="Times New Roman"/>
          <w:szCs w:val="24"/>
          <w:lang w:val="en-GB" w:eastAsia="en-GB"/>
        </w:rPr>
        <w:t xml:space="preserve"> chamber (40 × 40 × 40 cm) with an electrical grid floor (</w:t>
      </w:r>
      <w:proofErr w:type="spellStart"/>
      <w:r w:rsidRPr="00EA3DEC">
        <w:rPr>
          <w:rFonts w:cs="Times New Roman"/>
          <w:szCs w:val="24"/>
          <w:lang w:val="en-GB" w:eastAsia="en-GB"/>
        </w:rPr>
        <w:t>Coulbourn</w:t>
      </w:r>
      <w:proofErr w:type="spellEnd"/>
      <w:r w:rsidRPr="00EA3DEC">
        <w:rPr>
          <w:rFonts w:cs="Times New Roman"/>
          <w:szCs w:val="24"/>
          <w:lang w:val="en-GB" w:eastAsia="en-GB"/>
        </w:rPr>
        <w:t xml:space="preserve"> Instruments). Fear conditioning </w:t>
      </w:r>
      <w:proofErr w:type="gramStart"/>
      <w:r w:rsidRPr="00EA3DEC">
        <w:rPr>
          <w:rFonts w:cs="Times New Roman"/>
          <w:szCs w:val="24"/>
          <w:lang w:val="en-GB" w:eastAsia="en-GB"/>
        </w:rPr>
        <w:t>was performed</w:t>
      </w:r>
      <w:proofErr w:type="gramEnd"/>
      <w:r w:rsidRPr="00EA3DEC">
        <w:rPr>
          <w:rFonts w:cs="Times New Roman"/>
          <w:szCs w:val="24"/>
          <w:lang w:val="en-GB" w:eastAsia="en-GB"/>
        </w:rPr>
        <w:t xml:space="preserve"> at maximum light intensity for 7 minutes, delivering 10 shocks of 2.4 mA after a 2.5 min habituation period. Long-term contextual fear recall (Context A) </w:t>
      </w:r>
      <w:proofErr w:type="gramStart"/>
      <w:r w:rsidRPr="00EA3DEC">
        <w:rPr>
          <w:rFonts w:cs="Times New Roman"/>
          <w:szCs w:val="24"/>
          <w:lang w:val="en-GB" w:eastAsia="en-GB"/>
        </w:rPr>
        <w:t>was tested</w:t>
      </w:r>
      <w:proofErr w:type="gramEnd"/>
      <w:r w:rsidRPr="00EA3DEC">
        <w:rPr>
          <w:rFonts w:cs="Times New Roman"/>
          <w:szCs w:val="24"/>
          <w:lang w:val="en-GB" w:eastAsia="en-GB"/>
        </w:rPr>
        <w:t xml:space="preserve"> for 5 minutes in the same experimental room, equipment and by the same experimenter 28 days after fear conditioning. Fear extinction (Context B1 and B2) was assessed on the following days for 20 minutes in a completely different setting (different room, illumination, equipment, experimenter)</w:t>
      </w:r>
      <w:r w:rsidRPr="00EA3DEC">
        <w:rPr>
          <w:rFonts w:cs="Times New Roman"/>
          <w:szCs w:val="24"/>
          <w:lang w:val="en-GB" w:eastAsia="en-GB"/>
        </w:rPr>
        <w:fldChar w:fldCharType="begin" w:fldLock="1"/>
      </w:r>
      <w:r w:rsidR="00E57E01">
        <w:rPr>
          <w:rFonts w:cs="Times New Roman"/>
          <w:szCs w:val="24"/>
          <w:lang w:val="en-GB" w:eastAsia="en-GB"/>
        </w:rPr>
        <w:instrText>ADDIN CSL_CITATION {"citationItems":[{"id":"ITEM-1","itemData":{"DOI":"10.1016/j.ynstr.2024.100662","ISSN":"2352-2895 (Print)","PMID":"39183773","abstract":"Traumatic experiences result in the development of posttraumatic stress disorder  (PTSD) in 10-25% of exposed individuals. While human clinical studies suggest that susceptibility is potentially linked to endocannabinoid (eCB) signaling, neurobiological PTSD susceptibility factors are poorly understood. Employing a rat model of contextual conditioned fear, we characterized distinct resilient and susceptible subpopulations based on lasting generalized fear, a core symptom of PTSD. In these groups, we assessed i.) eCB levels by mass spectrometry and ii.) expression variations of eCB system- and iii.) neuroplasticity-related genes by real-time quantitative PCR in the circuitry relevant in trauma-induced changes. Furthermore, employing unsupervised and semi-supervised machine learning based statistical analytical models, we assessed iv.) gene expression patterns with the most robust predictive power regarding PTSD susceptibility. According to our findings, in our model, generalized fear responses occurred with sufficient variability to characterize distinct resilient and susceptible subpopulations. Resilient subjects showed elevated prelimbic and lower ventral hippocampal levels of eCB 2-arachidonoyl-glycerol (2-AG) compared to resilient and non-shocked control subjects. Ventral hippocampal 2-AG content positively correlated with the strength of fear generalization. Furthermore, susceptibility was associated with i.) prefrontal, hippocampal and amygdalar neuronal hypoactivity, ii.) marked decrease in the expression of genes of transcription factors modulating neuroplasticity and iii.) an altered expression pattern of eCB-related genes, including enzymes involved in eCB metabolism. Unsupervised and semi-supervised statistical approaches highlighted that hippocampal gene expression patterns possess strong predictive power regarding susceptibility. Taken together, the marked eCB and neuroplasticity changes in susceptible individuals associated with abnormal activity patterns in the fear circuitry possibly contribute to context coding deficits, resulting in generalized fear.","author":[{"dropping-particle":"","family":"Szente","given":"Laszlo","non-dropping-particle":"","parse-names":false,"suffix":""},{"dropping-particle":"","family":"Balla","given":"Gyula Y","non-dropping-particle":"","parse-names":false,"suffix":""},{"dropping-particle":"","family":"Varga","given":"Zoltan K","non-dropping-particle":"","parse-names":false,"suffix":""},{"dropping-particle":"","family":"Toth","given":"Blanka","non-dropping-particle":"","parse-names":false,"suffix":""},{"dropping-particle":"","family":"Biro","given":"Laszlo","non-dropping-particle":"","parse-names":false,"suffix":""},{"dropping-particle":"","family":"Balogh","given":"Zoltan","non-dropping-particle":"","parse-names":false,"suffix":""},{"dropping-particle":"","family":"Hill","given":"Matthew N","non-dropping-particle":"","parse-names":false,"suffix":""},{"dropping-particle":"","family":"Toth","given":"Mate","non-dropping-particle":"","parse-names":false,"suffix":""},{"dropping-particle":"","family":"Mikics","given":"Eva","non-dropping-particle":"","parse-names":false,"suffix":""},{"dropping-particle":"","family":"Aliczki","given":"Mano","non-dropping-particle":"","parse-names":false,"suffix":""}],"container-title":"Neurobiology of stress","id":"ITEM-1","issued":{"date-parts":[["2024","9"]]},"language":"eng","page":"100662","publisher-place":"United States","title":"Endocannabinoid and neuroplasticity-related changes as susceptibility factors in  a rat model of posttraumatic stress disorder.","type":"article-journal","volume":"32"},"uris":["http://www.mendeley.com/documents/?uuid=f4b050d8-2239-4588-a4bb-4acde404eda2"]}],"mendeley":{"formattedCitation":"&lt;sup&gt;19&lt;/sup&gt;","plainTextFormattedCitation":"19","previouslyFormattedCitation":"&lt;sup&gt;19&lt;/sup&gt;"},"properties":{"noteIndex":0},"schema":"https://github.com/citation-style-language/schema/raw/master/csl-citation.json"}</w:instrText>
      </w:r>
      <w:r w:rsidRPr="00EA3DEC">
        <w:rPr>
          <w:rFonts w:cs="Times New Roman"/>
          <w:szCs w:val="24"/>
          <w:lang w:val="en-GB" w:eastAsia="en-GB"/>
        </w:rPr>
        <w:fldChar w:fldCharType="separate"/>
      </w:r>
      <w:r w:rsidR="00E57E01" w:rsidRPr="00E57E01">
        <w:rPr>
          <w:rFonts w:cs="Times New Roman"/>
          <w:noProof/>
          <w:szCs w:val="24"/>
          <w:vertAlign w:val="superscript"/>
          <w:lang w:val="en-GB" w:eastAsia="en-GB"/>
        </w:rPr>
        <w:t>19</w:t>
      </w:r>
      <w:r w:rsidRPr="00EA3DEC">
        <w:rPr>
          <w:rFonts w:cs="Times New Roman"/>
          <w:szCs w:val="24"/>
          <w:lang w:val="en-GB" w:eastAsia="en-GB"/>
        </w:rPr>
        <w:fldChar w:fldCharType="end"/>
      </w:r>
      <w:r w:rsidRPr="00EA3DEC">
        <w:rPr>
          <w:rFonts w:cs="Times New Roman"/>
          <w:szCs w:val="24"/>
          <w:lang w:val="en-GB" w:eastAsia="en-GB"/>
        </w:rPr>
        <w:t>. Time spent freezing was analysed. Software parameters and thresholds were optimised to reach R&gt; 0.9 correlation with treatment-blind manual scoring.</w:t>
      </w:r>
    </w:p>
    <w:p w:rsidR="002C1D22" w:rsidRPr="00EA3DEC" w:rsidRDefault="002C1D22" w:rsidP="002C1D22">
      <w:pPr>
        <w:pStyle w:val="NormalWeb"/>
        <w:spacing w:before="0" w:beforeAutospacing="0" w:after="0" w:afterAutospacing="0"/>
        <w:rPr>
          <w:rFonts w:cs="Times New Roman"/>
          <w:szCs w:val="24"/>
          <w:lang w:val="en-GB" w:eastAsia="en-GB"/>
        </w:rPr>
      </w:pPr>
    </w:p>
    <w:p w:rsidR="002C1D22" w:rsidRPr="00EA3DEC" w:rsidRDefault="002C1D22" w:rsidP="002C1D22">
      <w:pPr>
        <w:pStyle w:val="NormalWeb"/>
        <w:spacing w:before="0" w:beforeAutospacing="0" w:after="0" w:afterAutospacing="0"/>
        <w:rPr>
          <w:rFonts w:cs="Times New Roman"/>
          <w:szCs w:val="24"/>
          <w:lang w:val="en-GB" w:eastAsia="en-GB"/>
        </w:rPr>
      </w:pPr>
      <w:r w:rsidRPr="00EA3DEC">
        <w:rPr>
          <w:rFonts w:cs="Times New Roman"/>
          <w:szCs w:val="24"/>
          <w:lang w:val="en-GB" w:eastAsia="en-GB"/>
        </w:rPr>
        <w:t xml:space="preserve">For downstream analyses such as immunohistochemistry and transcriptomic profiling, we focused on male animals, as behavioural alterations </w:t>
      </w:r>
      <w:proofErr w:type="gramStart"/>
      <w:r w:rsidRPr="00EA3DEC">
        <w:rPr>
          <w:rFonts w:cs="Times New Roman"/>
          <w:szCs w:val="24"/>
          <w:lang w:val="en-GB" w:eastAsia="en-GB"/>
        </w:rPr>
        <w:t>were predominantly observed</w:t>
      </w:r>
      <w:proofErr w:type="gramEnd"/>
      <w:r w:rsidRPr="00EA3DEC">
        <w:rPr>
          <w:rFonts w:cs="Times New Roman"/>
          <w:szCs w:val="24"/>
          <w:lang w:val="en-GB" w:eastAsia="en-GB"/>
        </w:rPr>
        <w:t xml:space="preserve"> in this group following perinatal asphyxia. Given our aim to characterise mechanistic changes associated with the observed phenotype, we prioritised analysis in the group where a robust behavioural effect </w:t>
      </w:r>
      <w:proofErr w:type="gramStart"/>
      <w:r w:rsidRPr="00EA3DEC">
        <w:rPr>
          <w:rFonts w:cs="Times New Roman"/>
          <w:szCs w:val="24"/>
          <w:lang w:val="en-GB" w:eastAsia="en-GB"/>
        </w:rPr>
        <w:t>was detected</w:t>
      </w:r>
      <w:proofErr w:type="gramEnd"/>
      <w:r w:rsidRPr="00EA3DEC">
        <w:rPr>
          <w:rFonts w:cs="Times New Roman"/>
          <w:szCs w:val="24"/>
          <w:lang w:val="en-GB" w:eastAsia="en-GB"/>
        </w:rPr>
        <w:t>.</w:t>
      </w:r>
    </w:p>
    <w:p w:rsidR="002C1D22" w:rsidRPr="00EA3DEC" w:rsidRDefault="002C1D22" w:rsidP="002C1D22">
      <w:pPr>
        <w:pStyle w:val="Heading3"/>
        <w:rPr>
          <w:color w:val="auto"/>
        </w:rPr>
      </w:pPr>
      <w:proofErr w:type="spellStart"/>
      <w:r w:rsidRPr="00EA3DEC">
        <w:rPr>
          <w:color w:val="auto"/>
        </w:rPr>
        <w:t>Immunohistochemical</w:t>
      </w:r>
      <w:proofErr w:type="spellEnd"/>
      <w:r w:rsidRPr="00EA3DEC">
        <w:rPr>
          <w:color w:val="auto"/>
        </w:rPr>
        <w:t xml:space="preserve"> Studies</w:t>
      </w:r>
    </w:p>
    <w:p w:rsidR="002C1D22" w:rsidRPr="00EA3DEC" w:rsidRDefault="002C1D22" w:rsidP="002C1D22">
      <w:pPr>
        <w:pStyle w:val="Heading4"/>
      </w:pPr>
      <w:r w:rsidRPr="00EA3DEC">
        <w:t>Fixation and Tissue Processing</w:t>
      </w:r>
    </w:p>
    <w:p w:rsidR="002C1D22" w:rsidRPr="00EA3DEC" w:rsidRDefault="002C1D22" w:rsidP="002C1D22">
      <w:pPr>
        <w:pStyle w:val="NormalWeb"/>
        <w:spacing w:before="0" w:beforeAutospacing="0" w:after="0" w:afterAutospacing="0"/>
        <w:rPr>
          <w:rFonts w:cs="Times New Roman"/>
        </w:rPr>
      </w:pPr>
      <w:r w:rsidRPr="00EA3DEC">
        <w:rPr>
          <w:rFonts w:cs="Times New Roman"/>
        </w:rPr>
        <w:t xml:space="preserve">For histological studies, a subset of animals </w:t>
      </w:r>
      <w:proofErr w:type="gramStart"/>
      <w:r w:rsidRPr="00EA3DEC">
        <w:rPr>
          <w:rFonts w:cs="Times New Roman"/>
        </w:rPr>
        <w:t>was deeply anaesthetised</w:t>
      </w:r>
      <w:proofErr w:type="gramEnd"/>
      <w:r w:rsidRPr="00EA3DEC">
        <w:rPr>
          <w:rFonts w:cs="Times New Roman"/>
        </w:rPr>
        <w:t xml:space="preserve"> with isoflurane (P8) or a mixture of ketamine (75 mg/kg) and </w:t>
      </w:r>
      <w:proofErr w:type="spellStart"/>
      <w:r w:rsidRPr="00EA3DEC">
        <w:rPr>
          <w:rFonts w:cs="Times New Roman"/>
        </w:rPr>
        <w:t>xylazine</w:t>
      </w:r>
      <w:proofErr w:type="spellEnd"/>
      <w:r w:rsidRPr="00EA3DEC">
        <w:rPr>
          <w:rFonts w:cs="Times New Roman"/>
        </w:rPr>
        <w:t xml:space="preserve"> (15mg/kg; adults). The animals were perfused </w:t>
      </w:r>
      <w:proofErr w:type="spellStart"/>
      <w:r w:rsidRPr="00EA3DEC">
        <w:rPr>
          <w:rFonts w:cs="Times New Roman"/>
        </w:rPr>
        <w:t>transcardially</w:t>
      </w:r>
      <w:proofErr w:type="spellEnd"/>
      <w:r w:rsidRPr="00EA3DEC">
        <w:rPr>
          <w:rFonts w:cs="Times New Roman"/>
        </w:rPr>
        <w:t xml:space="preserve"> with 0.1 M phosphate-buffered saline (PBS) and 4% paraformaldehyde (PFA) in PBS (pH 7.4). Brains </w:t>
      </w:r>
      <w:proofErr w:type="gramStart"/>
      <w:r w:rsidRPr="00EA3DEC">
        <w:rPr>
          <w:rFonts w:cs="Times New Roman"/>
        </w:rPr>
        <w:t>were removed and post-fixed overnight in 4% PFA in PBS</w:t>
      </w:r>
      <w:proofErr w:type="gramEnd"/>
      <w:r w:rsidRPr="00EA3DEC">
        <w:rPr>
          <w:rFonts w:cs="Times New Roman"/>
        </w:rPr>
        <w:t xml:space="preserve">. For tissue processing, brains were </w:t>
      </w:r>
      <w:proofErr w:type="spellStart"/>
      <w:r w:rsidRPr="00EA3DEC">
        <w:rPr>
          <w:rFonts w:cs="Times New Roman"/>
        </w:rPr>
        <w:t>cryoprotected</w:t>
      </w:r>
      <w:proofErr w:type="spellEnd"/>
      <w:r w:rsidRPr="00EA3DEC">
        <w:rPr>
          <w:rFonts w:cs="Times New Roman"/>
        </w:rPr>
        <w:t xml:space="preserve"> in 30% sucrose-PBS for 48 hours at 4 °C. </w:t>
      </w:r>
      <w:proofErr w:type="gramStart"/>
      <w:r w:rsidRPr="00EA3DEC">
        <w:rPr>
          <w:rFonts w:cs="Times New Roman"/>
        </w:rPr>
        <w:t>30</w:t>
      </w:r>
      <w:proofErr w:type="gramEnd"/>
      <w:r w:rsidRPr="00EA3DEC">
        <w:rPr>
          <w:rFonts w:cs="Times New Roman"/>
        </w:rPr>
        <w:t xml:space="preserve"> </w:t>
      </w:r>
      <w:proofErr w:type="spellStart"/>
      <w:r w:rsidRPr="00EA3DEC">
        <w:rPr>
          <w:rFonts w:cs="Times New Roman"/>
        </w:rPr>
        <w:t>μm</w:t>
      </w:r>
      <w:proofErr w:type="spellEnd"/>
      <w:r w:rsidRPr="00EA3DEC">
        <w:rPr>
          <w:rFonts w:cs="Times New Roman"/>
        </w:rPr>
        <w:t xml:space="preserve"> sections were cut using a freezing sliding microtome and stored in </w:t>
      </w:r>
      <w:proofErr w:type="spellStart"/>
      <w:r w:rsidRPr="00EA3DEC">
        <w:rPr>
          <w:rFonts w:cs="Times New Roman"/>
        </w:rPr>
        <w:t>cryoprotectant</w:t>
      </w:r>
      <w:proofErr w:type="spellEnd"/>
      <w:r w:rsidRPr="00EA3DEC">
        <w:rPr>
          <w:rFonts w:cs="Times New Roman"/>
        </w:rPr>
        <w:t xml:space="preserve"> solution (50% sodium phosphate buffer, 30% ethylene glycol, 20% glycerol) at -20 °C.</w:t>
      </w:r>
    </w:p>
    <w:p w:rsidR="002C1D22" w:rsidRPr="00EA3DEC" w:rsidRDefault="002C1D22" w:rsidP="002C1D22">
      <w:pPr>
        <w:pStyle w:val="Heading4"/>
      </w:pPr>
      <w:r w:rsidRPr="00EA3DEC">
        <w:t>Fluorescent Immunostaining and Image Analysis</w:t>
      </w:r>
    </w:p>
    <w:p w:rsidR="002C1D22" w:rsidRPr="00EA3DEC" w:rsidRDefault="002C1D22" w:rsidP="002C1D22">
      <w:pPr>
        <w:pStyle w:val="NormalWeb"/>
        <w:spacing w:before="0" w:beforeAutospacing="0" w:after="0" w:afterAutospacing="0"/>
        <w:rPr>
          <w:rFonts w:cs="Times New Roman"/>
        </w:rPr>
      </w:pPr>
      <w:r w:rsidRPr="00EA3DEC">
        <w:rPr>
          <w:rFonts w:cs="Times New Roman"/>
        </w:rPr>
        <w:t xml:space="preserve">Free-floating brain sections (N= 5 / treatment groups) were washed in </w:t>
      </w:r>
      <w:proofErr w:type="spellStart"/>
      <w:r w:rsidRPr="00EA3DEC">
        <w:rPr>
          <w:rFonts w:cs="Times New Roman"/>
        </w:rPr>
        <w:t>Tris</w:t>
      </w:r>
      <w:proofErr w:type="spellEnd"/>
      <w:r w:rsidRPr="00EA3DEC">
        <w:rPr>
          <w:rFonts w:cs="Times New Roman"/>
        </w:rPr>
        <w:t xml:space="preserve">-buffered saline with Tween-20 (TBS-T) and underwent antigen retrieval in 10 </w:t>
      </w:r>
      <w:proofErr w:type="spellStart"/>
      <w:r w:rsidRPr="00EA3DEC">
        <w:rPr>
          <w:rFonts w:cs="Times New Roman"/>
        </w:rPr>
        <w:t>mM</w:t>
      </w:r>
      <w:proofErr w:type="spellEnd"/>
      <w:r w:rsidRPr="00EA3DEC">
        <w:rPr>
          <w:rFonts w:cs="Times New Roman"/>
        </w:rPr>
        <w:t xml:space="preserve"> boiling sodium citrate buffer (15 minutes, 85°C). After washing, sections were blocked in 5% normal goat or donkey serum in PBS for 1 hour at room temperature (RT), then incubated overnight with primary antibodies (</w:t>
      </w:r>
      <w:r w:rsidRPr="00EA3DEC">
        <w:rPr>
          <w:rFonts w:cs="Times New Roman"/>
          <w:i/>
        </w:rPr>
        <w:t>Supplementary Table 1</w:t>
      </w:r>
      <w:r w:rsidRPr="00EA3DEC">
        <w:rPr>
          <w:rFonts w:cs="Times New Roman"/>
        </w:rPr>
        <w:t xml:space="preserve">) diluted in 5% normal goat or donkey serum. On day 2, after washing and blocking with 5% normal serum, sections </w:t>
      </w:r>
      <w:proofErr w:type="gramStart"/>
      <w:r w:rsidRPr="00EA3DEC">
        <w:rPr>
          <w:rFonts w:cs="Times New Roman"/>
        </w:rPr>
        <w:t>were incubated</w:t>
      </w:r>
      <w:proofErr w:type="gramEnd"/>
      <w:r w:rsidRPr="00EA3DEC">
        <w:rPr>
          <w:rFonts w:cs="Times New Roman"/>
        </w:rPr>
        <w:t xml:space="preserve"> for 1 hour with a mixture of fluorescently conjugated secondary antibodies (</w:t>
      </w:r>
      <w:r w:rsidRPr="00EA3DEC">
        <w:rPr>
          <w:rFonts w:cs="Times New Roman"/>
          <w:i/>
        </w:rPr>
        <w:t>Supplementary Table 2</w:t>
      </w:r>
      <w:r w:rsidRPr="00EA3DEC">
        <w:rPr>
          <w:rFonts w:cs="Times New Roman"/>
        </w:rPr>
        <w:t xml:space="preserve">) at RT. Following washing, sections </w:t>
      </w:r>
      <w:proofErr w:type="gramStart"/>
      <w:r w:rsidRPr="00EA3DEC">
        <w:rPr>
          <w:rFonts w:cs="Times New Roman"/>
        </w:rPr>
        <w:t>were mounted</w:t>
      </w:r>
      <w:proofErr w:type="gramEnd"/>
      <w:r w:rsidRPr="00EA3DEC">
        <w:rPr>
          <w:rFonts w:cs="Times New Roman"/>
        </w:rPr>
        <w:t xml:space="preserve"> using </w:t>
      </w:r>
      <w:proofErr w:type="spellStart"/>
      <w:r w:rsidRPr="00EA3DEC">
        <w:rPr>
          <w:rFonts w:cs="Times New Roman"/>
        </w:rPr>
        <w:t>Mowiol</w:t>
      </w:r>
      <w:proofErr w:type="spellEnd"/>
      <w:r w:rsidRPr="00EA3DEC">
        <w:rPr>
          <w:rFonts w:cs="Times New Roman"/>
        </w:rPr>
        <w:t xml:space="preserve"> 4-88 (Merck, Germany). Images were acquired with a Nikon C2 confocal microscope (Plan Apo VC 20x DIC N2, NA = 0.75, </w:t>
      </w:r>
      <w:proofErr w:type="spellStart"/>
      <w:r w:rsidRPr="00EA3DEC">
        <w:rPr>
          <w:rFonts w:cs="Times New Roman"/>
        </w:rPr>
        <w:t>xy</w:t>
      </w:r>
      <w:proofErr w:type="spellEnd"/>
      <w:r w:rsidRPr="00EA3DEC">
        <w:rPr>
          <w:rFonts w:cs="Times New Roman"/>
        </w:rPr>
        <w:t xml:space="preserve"> 0.18 </w:t>
      </w:r>
      <w:proofErr w:type="spellStart"/>
      <w:r w:rsidRPr="00EA3DEC">
        <w:rPr>
          <w:rFonts w:cs="Times New Roman"/>
        </w:rPr>
        <w:t>μm</w:t>
      </w:r>
      <w:proofErr w:type="spellEnd"/>
      <w:r w:rsidRPr="00EA3DEC">
        <w:rPr>
          <w:rFonts w:cs="Times New Roman"/>
        </w:rPr>
        <w:t xml:space="preserve">/pixel). Image analysis was performed using </w:t>
      </w:r>
      <w:proofErr w:type="spellStart"/>
      <w:r w:rsidRPr="00EA3DEC">
        <w:rPr>
          <w:rFonts w:cs="Times New Roman"/>
        </w:rPr>
        <w:t>Ilastik</w:t>
      </w:r>
      <w:proofErr w:type="spellEnd"/>
      <w:r w:rsidRPr="00EA3DEC">
        <w:rPr>
          <w:rFonts w:cs="Times New Roman"/>
        </w:rPr>
        <w:t xml:space="preserve"> 1.4.0 software for pixel classification</w:t>
      </w:r>
      <w:r w:rsidRPr="00EA3DEC">
        <w:rPr>
          <w:rFonts w:cs="Times New Roman"/>
        </w:rPr>
        <w:fldChar w:fldCharType="begin" w:fldLock="1"/>
      </w:r>
      <w:r w:rsidR="00E57E01">
        <w:rPr>
          <w:rFonts w:cs="Times New Roman"/>
        </w:rPr>
        <w:instrText>ADDIN CSL_CITATION {"citationItems":[{"id":"ITEM-1","itemData":{"DOI":"10.1038/s41592-019-0582-9","ISSN":"1548-7105 (Electronic)","PMID":"31570887","abstract":"We present ilastik, an easy-to-use interactive tool that brings  machine-learning-based (bio)image analysis to end users without substantial computational expertise. It contains pre-defined workflows for image segmentation, object classification, counting and tracking. Users adapt the workflows to the problem at hand by interactively providing sparse training annotations for a nonlinear classifier. ilastik can process data in up to five dimensions (3D, time and number of channels). Its computational back end runs operations on-demand wherever possible, allowing for interactive prediction on data larger than RAM. Once the classifiers are trained, ilastik workflows can be applied to new data from the command line without further user interaction. We describe all ilastik workflows in detail, including three case studies and a discussion on the expected performance.","author":[{"dropping-particle":"","family":"Berg","given":"Stuart","non-dropping-particle":"","parse-names":false,"suffix":""},{"dropping-particle":"","family":"Kutra","given":"Dominik","non-dropping-particle":"","parse-names":false,"suffix":""},{"dropping-particle":"","family":"Kroeger","given":"Thorben","non-dropping-particle":"","parse-names":false,"suffix":""},{"dropping-particle":"","family":"Straehle","given":"Christoph N","non-dropping-particle":"","parse-names":false,"suffix":""},{"dropping-particle":"","family":"Kausler","given":"Bernhard X","non-dropping-particle":"","parse-names":false,"suffix":""},{"dropping-particle":"","family":"Haubold","given":"Carsten","non-dropping-particle":"","parse-names":false,"suffix":""},{"dropping-particle":"","family":"Schiegg","given":"Martin","non-dropping-particle":"","parse-names":false,"suffix":""},{"dropping-particle":"","family":"Ales","given":"Janez","non-dropping-particle":"","parse-names":false,"suffix":""},{"dropping-particle":"","family":"Beier","given":"Thorsten","non-dropping-particle":"","parse-names":false,"suffix":""},{"dropping-particle":"","family":"Rudy","given":"Markus","non-dropping-particle":"","parse-names":false,"suffix":""},{"dropping-particle":"","family":"Eren","given":"Kemal","non-dropping-particle":"","parse-names":false,"suffix":""},{"dropping-particle":"","family":"Cervantes","given":"Jaime I","non-dropping-particle":"","parse-names":false,"suffix":""},{"dropping-particle":"","family":"Xu","given":"Buote","non-dropping-particle":"","parse-names":false,"suffix":""},{"dropping-particle":"","family":"Beuttenmueller","given":"Fynn","non-dropping-particle":"","parse-names":false,"suffix":""},{"dropping-particle":"","family":"Wolny","given":"Adrian","non-dropping-particle":"","parse-names":false,"suffix":""},{"dropping-particle":"","family":"Zhang","given":"Chong","non-dropping-particle":"","parse-names":false,"suffix":""},{"dropping-particle":"","family":"Koethe","given":"Ullrich","non-dropping-particle":"","parse-names":false,"suffix":""},{"dropping-particle":"","family":"Hamprecht","given":"Fred A","non-dropping-particle":"","parse-names":false,"suffix":""},{"dropping-particle":"","family":"Kreshuk","given":"Anna","non-dropping-particle":"","parse-names":false,"suffix":""}],"container-title":"Nature methods","id":"ITEM-1","issue":"12","issued":{"date-parts":[["2019","12"]]},"language":"eng","page":"1226-1232","publisher-place":"United States","title":"ilastik: interactive machine learning for (bio)image analysis.","type":"article-journal","volume":"16"},"uris":["http://www.mendeley.com/documents/?uuid=5cfff761-1a61-437a-8ebe-b368e4817f29","http://www.mendeley.com/documents/?uuid=99e5d62e-fb3c-405a-a072-4f3953a76aed"]}],"mendeley":{"formattedCitation":"&lt;sup&gt;20&lt;/sup&gt;","plainTextFormattedCitation":"20","previouslyFormattedCitation":"&lt;sup&gt;20&lt;/sup&gt;"},"properties":{"noteIndex":0},"schema":"https://github.com/citation-style-language/schema/raw/master/csl-citation.json"}</w:instrText>
      </w:r>
      <w:r w:rsidRPr="00EA3DEC">
        <w:rPr>
          <w:rFonts w:cs="Times New Roman"/>
        </w:rPr>
        <w:fldChar w:fldCharType="separate"/>
      </w:r>
      <w:r w:rsidR="00E57E01" w:rsidRPr="00E57E01">
        <w:rPr>
          <w:rFonts w:cs="Times New Roman"/>
          <w:noProof/>
          <w:vertAlign w:val="superscript"/>
        </w:rPr>
        <w:t>20</w:t>
      </w:r>
      <w:r w:rsidRPr="00EA3DEC">
        <w:rPr>
          <w:rFonts w:cs="Times New Roman"/>
        </w:rPr>
        <w:fldChar w:fldCharType="end"/>
      </w:r>
      <w:r w:rsidRPr="00EA3DEC">
        <w:rPr>
          <w:rFonts w:cs="Times New Roman"/>
        </w:rPr>
        <w:t xml:space="preserve"> and Fiji software</w:t>
      </w:r>
      <w:r w:rsidRPr="00EA3DEC">
        <w:rPr>
          <w:rFonts w:cs="Times New Roman"/>
        </w:rPr>
        <w:fldChar w:fldCharType="begin" w:fldLock="1"/>
      </w:r>
      <w:r w:rsidR="00E57E01">
        <w:rPr>
          <w:rFonts w:cs="Times New Roman"/>
        </w:rPr>
        <w:instrText>ADDIN CSL_CITATION {"citationItems":[{"id":"ITEM-1","itemData":{"DOI":"10.1038/nmeth.2089","ISSN":"1548-7105 (Electronic)","PMID":"22930834","abstract":"For the past 25 years NIH Image and ImageJ software have been pioneers as open  tools for the analysis of scientific images. We discuss the origins, challenges and solutions of these two programs, and how their history can serve to advise and inform other software projects.","author":[{"dropping-particle":"","family":"Schneider","given":"Caroline A","non-dropping-particle":"","parse-names":false,"suffix":""},{"dropping-particle":"","family":"Rasband","given":"Wayne S","non-dropping-particle":"","parse-names":false,"suffix":""},{"dropping-particle":"","family":"Eliceiri","given":"Kevin W","non-dropping-particle":"","parse-names":false,"suffix":""}],"container-title":"Nature methods","id":"ITEM-1","issue":"7","issued":{"date-parts":[["2012","7"]]},"language":"eng","page":"671-675","publisher-place":"United States","title":"NIH Image to ImageJ: 25 years of image analysis.","type":"article-journal","volume":"9"},"uris":["http://www.mendeley.com/documents/?uuid=37cc090a-c21a-46a6-b03e-df07015ede5c","http://www.mendeley.com/documents/?uuid=bf8a1f59-a9cb-4e7b-90f2-c1783b41f38e"]}],"mendeley":{"formattedCitation":"&lt;sup&gt;21&lt;/sup&gt;","plainTextFormattedCitation":"21","previouslyFormattedCitation":"&lt;sup&gt;21&lt;/sup&gt;"},"properties":{"noteIndex":0},"schema":"https://github.com/citation-style-language/schema/raw/master/csl-citation.json"}</w:instrText>
      </w:r>
      <w:r w:rsidRPr="00EA3DEC">
        <w:rPr>
          <w:rFonts w:cs="Times New Roman"/>
        </w:rPr>
        <w:fldChar w:fldCharType="separate"/>
      </w:r>
      <w:r w:rsidR="00E57E01" w:rsidRPr="00E57E01">
        <w:rPr>
          <w:rFonts w:cs="Times New Roman"/>
          <w:noProof/>
          <w:vertAlign w:val="superscript"/>
        </w:rPr>
        <w:t>21</w:t>
      </w:r>
      <w:r w:rsidRPr="00EA3DEC">
        <w:rPr>
          <w:rFonts w:cs="Times New Roman"/>
        </w:rPr>
        <w:fldChar w:fldCharType="end"/>
      </w:r>
      <w:r w:rsidRPr="00EA3DEC">
        <w:rPr>
          <w:rFonts w:cs="Times New Roman"/>
        </w:rPr>
        <w:t xml:space="preserve"> for particle analysis. Custom macros were developed for the quantification and </w:t>
      </w:r>
      <w:proofErr w:type="spellStart"/>
      <w:r w:rsidRPr="00EA3DEC">
        <w:rPr>
          <w:rFonts w:cs="Times New Roman"/>
        </w:rPr>
        <w:t>colocalization</w:t>
      </w:r>
      <w:proofErr w:type="spellEnd"/>
      <w:r w:rsidRPr="00EA3DEC">
        <w:rPr>
          <w:rFonts w:cs="Times New Roman"/>
        </w:rPr>
        <w:t xml:space="preserve"> analysis of synaptic puncta acquired at </w:t>
      </w:r>
      <w:proofErr w:type="gramStart"/>
      <w:r w:rsidRPr="00EA3DEC">
        <w:rPr>
          <w:rFonts w:cs="Times New Roman"/>
        </w:rPr>
        <w:t>60x</w:t>
      </w:r>
      <w:proofErr w:type="gramEnd"/>
      <w:r w:rsidRPr="00EA3DEC">
        <w:rPr>
          <w:rFonts w:cs="Times New Roman"/>
        </w:rPr>
        <w:t xml:space="preserve"> magnification. Custom macros automated background subtraction, Z-stack splitting and puncta detection or </w:t>
      </w:r>
      <w:proofErr w:type="spellStart"/>
      <w:r w:rsidRPr="00EA3DEC">
        <w:rPr>
          <w:rFonts w:cs="Times New Roman"/>
        </w:rPr>
        <w:t>colocalization</w:t>
      </w:r>
      <w:proofErr w:type="spellEnd"/>
      <w:r w:rsidRPr="00EA3DEC">
        <w:rPr>
          <w:rFonts w:cs="Times New Roman"/>
        </w:rPr>
        <w:t xml:space="preserve"> around cellular somas using intensity- and size-based filtering.</w:t>
      </w:r>
    </w:p>
    <w:p w:rsidR="002C1D22" w:rsidRPr="00EA3DEC" w:rsidRDefault="002C1D22" w:rsidP="002C1D22">
      <w:pPr>
        <w:pStyle w:val="Heading4"/>
      </w:pPr>
      <w:r w:rsidRPr="00EA3DEC">
        <w:t>Analysis of Microglial Morphology</w:t>
      </w:r>
    </w:p>
    <w:p w:rsidR="002C1D22" w:rsidRPr="00EA3DEC" w:rsidRDefault="002C1D22" w:rsidP="002C1D22">
      <w:pPr>
        <w:pStyle w:val="NormalWeb"/>
        <w:spacing w:before="0" w:beforeAutospacing="0" w:after="0" w:afterAutospacing="0"/>
        <w:rPr>
          <w:rFonts w:cs="Times New Roman"/>
        </w:rPr>
      </w:pPr>
      <w:r w:rsidRPr="00EA3DEC">
        <w:rPr>
          <w:rFonts w:cs="Times New Roman"/>
        </w:rPr>
        <w:t xml:space="preserve">15-step Z-stack images were acquired using a Nikon C2 confocal microscope with a Plan Apo VC 20x DIC N2 objective (NA = 0.75) and a pixel resolution of 0.3 </w:t>
      </w:r>
      <w:proofErr w:type="spellStart"/>
      <w:r w:rsidRPr="00EA3DEC">
        <w:rPr>
          <w:rFonts w:cs="Times New Roman"/>
        </w:rPr>
        <w:t>μm</w:t>
      </w:r>
      <w:proofErr w:type="spellEnd"/>
      <w:r w:rsidRPr="00EA3DEC">
        <w:rPr>
          <w:rFonts w:cs="Times New Roman"/>
        </w:rPr>
        <w:t xml:space="preserve"> in the </w:t>
      </w:r>
      <w:proofErr w:type="spellStart"/>
      <w:r w:rsidRPr="00EA3DEC">
        <w:rPr>
          <w:rFonts w:cs="Times New Roman"/>
        </w:rPr>
        <w:t>xy</w:t>
      </w:r>
      <w:proofErr w:type="spellEnd"/>
      <w:r w:rsidRPr="00EA3DEC">
        <w:rPr>
          <w:rFonts w:cs="Times New Roman"/>
        </w:rPr>
        <w:t xml:space="preserve">-direction, with 0.5 </w:t>
      </w:r>
      <w:proofErr w:type="spellStart"/>
      <w:r w:rsidRPr="00EA3DEC">
        <w:rPr>
          <w:rFonts w:cs="Times New Roman"/>
        </w:rPr>
        <w:t>μm</w:t>
      </w:r>
      <w:proofErr w:type="spellEnd"/>
      <w:r w:rsidRPr="00EA3DEC">
        <w:rPr>
          <w:rFonts w:cs="Times New Roman"/>
        </w:rPr>
        <w:t xml:space="preserve"> z-step size. Images were obtained from the </w:t>
      </w:r>
      <w:proofErr w:type="spellStart"/>
      <w:r w:rsidRPr="00EA3DEC">
        <w:rPr>
          <w:rFonts w:cs="Times New Roman"/>
        </w:rPr>
        <w:t>infralimbic</w:t>
      </w:r>
      <w:proofErr w:type="spellEnd"/>
      <w:r w:rsidRPr="00EA3DEC">
        <w:rPr>
          <w:rFonts w:cs="Times New Roman"/>
        </w:rPr>
        <w:t xml:space="preserve"> (IL) and </w:t>
      </w:r>
      <w:proofErr w:type="spellStart"/>
      <w:r w:rsidRPr="00EA3DEC">
        <w:rPr>
          <w:rFonts w:cs="Times New Roman"/>
        </w:rPr>
        <w:t>prelimbic</w:t>
      </w:r>
      <w:proofErr w:type="spellEnd"/>
      <w:r w:rsidRPr="00EA3DEC">
        <w:rPr>
          <w:rFonts w:cs="Times New Roman"/>
        </w:rPr>
        <w:t xml:space="preserve"> (PRL) regions of control and PA groups (N=6-7/ treatment groups). For analysis, an open-source microglial morphology analysis pipeline was used</w:t>
      </w:r>
      <w:r w:rsidRPr="00EA3DEC">
        <w:rPr>
          <w:rFonts w:cs="Times New Roman"/>
        </w:rPr>
        <w:fldChar w:fldCharType="begin" w:fldLock="1"/>
      </w:r>
      <w:r w:rsidR="00E57E01">
        <w:rPr>
          <w:rFonts w:cs="Times New Roman"/>
        </w:rPr>
        <w:instrText>ADDIN CSL_CITATION {"citationItems":[{"id":"ITEM-1","itemData":{"DOI":"10.1098/rsob.210045","ISSN":"2046-2441 (Electronic)","PMID":"34375551","abstract":"Changes in microglial morphology are powerful indicators of the inflammatory  state of the brain. Here, we provide an open-source microglia morphology analysis pipeline that first cleans and registers images of microglia, before extracting 62 parameters describing microglial morphology. It then compares control and 'inflammation' training data and uses dimensionality reduction to generate a single metric of morphological change (an 'inflammation index'). This index can then be calculated for test data to assess inflammation, as we demonstrate by investigating the effect of short-term high-fat diet consumption in heterozygous Cx3CR1-GFP mice, finding no significant effects of diet. Our pipeline represents the first open-source microglia morphology pipeline combining semi-automated image processing and dimensionality reduction. It uses free software (ImageJ and R) and can be applied to a wide variety of experimental paradigms. We anticipate it will enable others to more easily take advantage of the powerful insights microglial morphology analysis provides.","author":[{"dropping-particle":"","family":"Clarke","given":"Devin","non-dropping-particle":"","parse-names":false,"suffix":""},{"dropping-particle":"","family":"Crombag","given":"Hans S","non-dropping-particle":"","parse-names":false,"suffix":""},{"dropping-particle":"","family":"Hall","given":"Catherine N","non-dropping-particle":"","parse-names":false,"suffix":""}],"container-title":"Open biology","id":"ITEM-1","issue":"8","issued":{"date-parts":[["2021","8"]]},"language":"eng","page":"210045","publisher-place":"England","title":"An open-source pipeline for analysing changes in microglial morphology.","type":"article-journal","volume":"11"},"uris":["http://www.mendeley.com/documents/?uuid=19809423-a39a-441f-beaa-9beb2eca7093","http://www.mendeley.com/documents/?uuid=07ec2d65-4eb0-411e-bc96-5fd809690bbc"]}],"mendeley":{"formattedCitation":"&lt;sup&gt;22&lt;/sup&gt;","plainTextFormattedCitation":"22","previouslyFormattedCitation":"&lt;sup&gt;22&lt;/sup&gt;"},"properties":{"noteIndex":0},"schema":"https://github.com/citation-style-language/schema/raw/master/csl-citation.json"}</w:instrText>
      </w:r>
      <w:r w:rsidRPr="00EA3DEC">
        <w:rPr>
          <w:rFonts w:cs="Times New Roman"/>
        </w:rPr>
        <w:fldChar w:fldCharType="separate"/>
      </w:r>
      <w:r w:rsidR="00E57E01" w:rsidRPr="00E57E01">
        <w:rPr>
          <w:rFonts w:cs="Times New Roman"/>
          <w:noProof/>
          <w:vertAlign w:val="superscript"/>
        </w:rPr>
        <w:t>22</w:t>
      </w:r>
      <w:r w:rsidRPr="00EA3DEC">
        <w:rPr>
          <w:rFonts w:cs="Times New Roman"/>
        </w:rPr>
        <w:fldChar w:fldCharType="end"/>
      </w:r>
      <w:r w:rsidRPr="00EA3DEC">
        <w:rPr>
          <w:rFonts w:cs="Times New Roman"/>
        </w:rPr>
        <w:t xml:space="preserve">. An object mask size of 300 μm² </w:t>
      </w:r>
      <w:proofErr w:type="gramStart"/>
      <w:r w:rsidRPr="00EA3DEC">
        <w:rPr>
          <w:rFonts w:cs="Times New Roman"/>
        </w:rPr>
        <w:t>was applied</w:t>
      </w:r>
      <w:proofErr w:type="gramEnd"/>
      <w:r w:rsidRPr="00EA3DEC">
        <w:rPr>
          <w:rFonts w:cs="Times New Roman"/>
        </w:rPr>
        <w:t xml:space="preserve">. Pearson's r correlation coefficients </w:t>
      </w:r>
      <w:proofErr w:type="gramStart"/>
      <w:r w:rsidRPr="00EA3DEC">
        <w:rPr>
          <w:rFonts w:cs="Times New Roman"/>
        </w:rPr>
        <w:t>were calculated</w:t>
      </w:r>
      <w:proofErr w:type="gramEnd"/>
      <w:r w:rsidRPr="00EA3DEC">
        <w:rPr>
          <w:rFonts w:cs="Times New Roman"/>
        </w:rPr>
        <w:t xml:space="preserve"> to assess the target correlations between variables and group identity. </w:t>
      </w:r>
      <w:proofErr w:type="spellStart"/>
      <w:r w:rsidRPr="00EA3DEC">
        <w:rPr>
          <w:rFonts w:cs="Times New Roman"/>
        </w:rPr>
        <w:t>RandomForest</w:t>
      </w:r>
      <w:proofErr w:type="spellEnd"/>
      <w:r w:rsidRPr="00EA3DEC">
        <w:rPr>
          <w:rFonts w:cs="Times New Roman"/>
        </w:rPr>
        <w:t xml:space="preserve"> classification modelled the relationship between variables and group membership (control vehicle vs. PA vehicle and PA vehicle vs. PA IL1-RA). Before analysis, all 40 variables describing morphological aspects of microglial cells were standardised and feature importance </w:t>
      </w:r>
      <w:proofErr w:type="gramStart"/>
      <w:r w:rsidRPr="00EA3DEC">
        <w:rPr>
          <w:rFonts w:cs="Times New Roman"/>
        </w:rPr>
        <w:t>was derived</w:t>
      </w:r>
      <w:proofErr w:type="gramEnd"/>
      <w:r w:rsidRPr="00EA3DEC">
        <w:rPr>
          <w:rFonts w:cs="Times New Roman"/>
        </w:rPr>
        <w:t xml:space="preserve"> from </w:t>
      </w:r>
      <w:proofErr w:type="spellStart"/>
      <w:r w:rsidRPr="00EA3DEC">
        <w:rPr>
          <w:rFonts w:cs="Times New Roman"/>
        </w:rPr>
        <w:t>RandomForest</w:t>
      </w:r>
      <w:proofErr w:type="spellEnd"/>
      <w:r w:rsidRPr="00EA3DEC">
        <w:rPr>
          <w:rFonts w:cs="Times New Roman"/>
        </w:rPr>
        <w:t xml:space="preserve"> models with 100 estimators through a bootstrapping procedure consisting of 30 iterations of independent subsampling and model training. Analyses and visualisations were performed using Python (https://www.python.org/) and </w:t>
      </w:r>
      <w:proofErr w:type="spellStart"/>
      <w:r w:rsidRPr="00EA3DEC">
        <w:rPr>
          <w:rFonts w:cs="Times New Roman"/>
        </w:rPr>
        <w:t>Sklearn</w:t>
      </w:r>
      <w:proofErr w:type="spellEnd"/>
      <w:r w:rsidRPr="00EA3DEC">
        <w:rPr>
          <w:rFonts w:cs="Times New Roman"/>
        </w:rPr>
        <w:t xml:space="preserve"> (</w:t>
      </w:r>
      <w:hyperlink r:id="rId7" w:history="1">
        <w:r w:rsidRPr="00EA3DEC">
          <w:rPr>
            <w:rStyle w:val="Hyperlink"/>
            <w:color w:val="auto"/>
          </w:rPr>
          <w:t>https://scikit-learn.org</w:t>
        </w:r>
      </w:hyperlink>
      <w:r w:rsidRPr="00EA3DEC">
        <w:rPr>
          <w:rFonts w:cs="Times New Roman"/>
        </w:rPr>
        <w:t xml:space="preserve">). All features </w:t>
      </w:r>
      <w:proofErr w:type="gramStart"/>
      <w:r w:rsidRPr="00EA3DEC">
        <w:rPr>
          <w:rFonts w:cs="Times New Roman"/>
        </w:rPr>
        <w:t>are presented</w:t>
      </w:r>
      <w:proofErr w:type="gramEnd"/>
      <w:r w:rsidRPr="00EA3DEC">
        <w:rPr>
          <w:rFonts w:cs="Times New Roman"/>
        </w:rPr>
        <w:t xml:space="preserve"> on panels A and C of Supplementary figure 5.</w:t>
      </w:r>
    </w:p>
    <w:p w:rsidR="002C1D22" w:rsidRPr="00EA3DEC" w:rsidRDefault="002C1D22" w:rsidP="002C1D22">
      <w:pPr>
        <w:pStyle w:val="Heading3"/>
        <w:rPr>
          <w:color w:val="auto"/>
        </w:rPr>
      </w:pPr>
      <w:r w:rsidRPr="00EA3DEC">
        <w:rPr>
          <w:color w:val="auto"/>
        </w:rPr>
        <w:t>Acute hormone measurements</w:t>
      </w:r>
    </w:p>
    <w:p w:rsidR="002C1D22" w:rsidRPr="00EA3DEC" w:rsidRDefault="002C1D22" w:rsidP="002C1D22">
      <w:pPr>
        <w:pStyle w:val="NormalWeb"/>
        <w:spacing w:before="0" w:beforeAutospacing="0" w:after="0" w:afterAutospacing="0"/>
        <w:rPr>
          <w:rFonts w:cs="Times New Roman"/>
        </w:rPr>
      </w:pPr>
      <w:r w:rsidRPr="00EA3DEC">
        <w:rPr>
          <w:rFonts w:cs="Times New Roman"/>
        </w:rPr>
        <w:t xml:space="preserve">For the estimation of acute hormonal changes caused by PA, trunk blood was collected from pups at P7 in baseline conditions (less than 5 minutes after separation from dam) and after PA (0h, 1h, 4h and 24h post-PA, N=6-7/ </w:t>
      </w:r>
      <w:proofErr w:type="spellStart"/>
      <w:r w:rsidRPr="00EA3DEC">
        <w:rPr>
          <w:rFonts w:cs="Times New Roman"/>
        </w:rPr>
        <w:t>timepoint</w:t>
      </w:r>
      <w:proofErr w:type="spellEnd"/>
      <w:r w:rsidRPr="00EA3DEC">
        <w:rPr>
          <w:rFonts w:cs="Times New Roman"/>
        </w:rPr>
        <w:t xml:space="preserve">). The animals were rapidly decapitated, blood was sampled in ice-cold EDTA-containing tubes, centrifuged (2000 g, 20 min, </w:t>
      </w:r>
      <w:proofErr w:type="gramStart"/>
      <w:r w:rsidRPr="00EA3DEC">
        <w:rPr>
          <w:rFonts w:cs="Times New Roman"/>
        </w:rPr>
        <w:t>4</w:t>
      </w:r>
      <w:proofErr w:type="gramEnd"/>
      <w:r w:rsidRPr="00EA3DEC">
        <w:rPr>
          <w:rFonts w:cs="Times New Roman"/>
        </w:rPr>
        <w:t xml:space="preserve"> </w:t>
      </w:r>
      <w:proofErr w:type="spellStart"/>
      <w:r w:rsidRPr="00EA3DEC">
        <w:rPr>
          <w:rFonts w:cs="Times New Roman"/>
          <w:vertAlign w:val="superscript"/>
        </w:rPr>
        <w:t>o</w:t>
      </w:r>
      <w:r w:rsidRPr="00EA3DEC">
        <w:rPr>
          <w:rFonts w:cs="Times New Roman"/>
        </w:rPr>
        <w:t>C</w:t>
      </w:r>
      <w:proofErr w:type="spellEnd"/>
      <w:r w:rsidRPr="00EA3DEC">
        <w:rPr>
          <w:rFonts w:cs="Times New Roman"/>
        </w:rPr>
        <w:t xml:space="preserve">), and plasma was stored at -20 </w:t>
      </w:r>
      <w:proofErr w:type="spellStart"/>
      <w:r w:rsidRPr="00EA3DEC">
        <w:rPr>
          <w:rFonts w:cs="Times New Roman"/>
          <w:vertAlign w:val="superscript"/>
        </w:rPr>
        <w:t>o</w:t>
      </w:r>
      <w:r w:rsidRPr="00EA3DEC">
        <w:rPr>
          <w:rFonts w:cs="Times New Roman"/>
        </w:rPr>
        <w:t>C.</w:t>
      </w:r>
      <w:proofErr w:type="spellEnd"/>
      <w:r w:rsidRPr="00EA3DEC">
        <w:rPr>
          <w:rFonts w:cs="Times New Roman"/>
        </w:rPr>
        <w:t xml:space="preserve"> ACTH, corticosterone and aldosterone concentrations </w:t>
      </w:r>
      <w:proofErr w:type="gramStart"/>
      <w:r w:rsidRPr="00EA3DEC">
        <w:rPr>
          <w:rFonts w:cs="Times New Roman"/>
        </w:rPr>
        <w:t>were determined</w:t>
      </w:r>
      <w:proofErr w:type="gramEnd"/>
      <w:r w:rsidRPr="00EA3DEC">
        <w:rPr>
          <w:rFonts w:cs="Times New Roman"/>
        </w:rPr>
        <w:t xml:space="preserve"> by radioimmunoassay (RIA), measuring all samples in the same assay. ACTH  and aldosterone assays followed the protocol of </w:t>
      </w:r>
      <w:proofErr w:type="spellStart"/>
      <w:r w:rsidRPr="00EA3DEC">
        <w:rPr>
          <w:rFonts w:cs="Times New Roman"/>
        </w:rPr>
        <w:t>Zelena</w:t>
      </w:r>
      <w:proofErr w:type="spellEnd"/>
      <w:r w:rsidRPr="00EA3DEC">
        <w:rPr>
          <w:rFonts w:cs="Times New Roman"/>
        </w:rPr>
        <w:t xml:space="preserve"> et al.</w:t>
      </w:r>
      <w:r w:rsidRPr="00EA3DEC">
        <w:rPr>
          <w:rFonts w:cs="Times New Roman"/>
        </w:rPr>
        <w:fldChar w:fldCharType="begin" w:fldLock="1"/>
      </w:r>
      <w:r w:rsidR="00E57E01">
        <w:rPr>
          <w:rFonts w:cs="Times New Roman"/>
        </w:rPr>
        <w:instrText>ADDIN CSL_CITATION {"citationItems":[{"id":"ITEM-1","itemData":{"DOI":"10.1152/ajpendo.00219.2003","ISSN":"0193-1849 (Print)","PMID":"14534078","abstract":"The role of hypothalamic structures in the regulation of chronic stress responses  was studied by lesioning the mediobasal hypothalamus or the paraventricular nucleus of hypothalamus (PVH). Rats were acutely (60 min) and/or repeatedly (for 7 days) restrained. In controls, a single restraint elevated the plasma adrenocorticotropin (ACTH), corticosterone, and prolactin levels. Repeated restraint produced all signs of chronic stress, including decreased body and thymus weights, increased adrenal weight, basal corticosterone levels, and proopiomelanocortin (POMC) mRNA expression in the anterior pituitary. Some adaptation to repeated restraint of the ACTH response, but not of other hormonal responses, was seen. Lesioning of the mediobasal hypothalamus abolished the hormonal response and POMC mRNA activation to acute and/or repeated restraint, suggesting that the hypothalamo-pituitary-adrenal axis activation during repeated restraint is centrally driven. PVH lesion inhibited the ACTH and corticosterone rise to the first restraint by approximately 50%. In repeatedly restrained rats with PVH lesion, the ACTH response to the last restraint was reduced almost to basal control levels, and the elevation of POMC mRNA level was prevented. PVH seems to be important for the repeated restraint-induced ACTH and POMC mRNA stimulation, but it appears to partially mediate other restraint-induced hormonal changes.","author":[{"dropping-particle":"","family":"Zelena","given":"D","non-dropping-particle":"","parse-names":false,"suffix":""},{"dropping-particle":"","family":"Mergl","given":"Z","non-dropping-particle":"","parse-names":false,"suffix":""},{"dropping-particle":"","family":"Foldes","given":"A","non-dropping-particle":"","parse-names":false,"suffix":""},{"dropping-particle":"","family":"Kovács","given":"K J","non-dropping-particle":"","parse-names":false,"suffix":""},{"dropping-particle":"","family":"Tóth","given":"Z","non-dropping-particle":"","parse-names":false,"suffix":""},{"dropping-particle":"","family":"Makara","given":"G B","non-dropping-particle":"","parse-names":false,"suffix":""}],"container-title":"American journal of physiology. Endocrinology and metabolism","id":"ITEM-1","issue":"5","issued":{"date-parts":[["2003","11"]]},"language":"eng","page":"E1110-7","publisher-place":"United States","title":"Role of hypothalamic inputs in maintaining pituitary-adrenal responsiveness in  repeated restraint.","type":"article-journal","volume":"285"},"uris":["http://www.mendeley.com/documents/?uuid=f800d2e1-f338-4956-af69-e9843bcba1c8","http://www.mendeley.com/documents/?uuid=6358c30f-c146-40cd-85bd-fd13218d7e95"]}],"mendeley":{"formattedCitation":"&lt;sup&gt;23&lt;/sup&gt;","plainTextFormattedCitation":"23","previouslyFormattedCitation":"&lt;sup&gt;23&lt;/sup&gt;"},"properties":{"noteIndex":0},"schema":"https://github.com/citation-style-language/schema/raw/master/csl-citation.json"}</w:instrText>
      </w:r>
      <w:r w:rsidRPr="00EA3DEC">
        <w:rPr>
          <w:rFonts w:cs="Times New Roman"/>
        </w:rPr>
        <w:fldChar w:fldCharType="separate"/>
      </w:r>
      <w:r w:rsidR="00E57E01" w:rsidRPr="00E57E01">
        <w:rPr>
          <w:rFonts w:cs="Times New Roman"/>
          <w:noProof/>
          <w:vertAlign w:val="superscript"/>
        </w:rPr>
        <w:t>23</w:t>
      </w:r>
      <w:r w:rsidRPr="00EA3DEC">
        <w:rPr>
          <w:rFonts w:cs="Times New Roman"/>
        </w:rPr>
        <w:fldChar w:fldCharType="end"/>
      </w:r>
      <w:r w:rsidRPr="00EA3DEC">
        <w:rPr>
          <w:rFonts w:cs="Times New Roman"/>
        </w:rPr>
        <w:t xml:space="preserve"> Corticosterone, was pleasured using a method of </w:t>
      </w:r>
      <w:proofErr w:type="spellStart"/>
      <w:r w:rsidRPr="00EA3DEC">
        <w:rPr>
          <w:rFonts w:cs="Times New Roman"/>
        </w:rPr>
        <w:t>Toth</w:t>
      </w:r>
      <w:proofErr w:type="spellEnd"/>
      <w:r w:rsidRPr="00EA3DEC">
        <w:rPr>
          <w:rFonts w:cs="Times New Roman"/>
        </w:rPr>
        <w:t xml:space="preserve"> et al.</w:t>
      </w:r>
      <w:r w:rsidRPr="00EA3DEC">
        <w:rPr>
          <w:rFonts w:cs="Times New Roman"/>
        </w:rPr>
        <w:fldChar w:fldCharType="begin" w:fldLock="1"/>
      </w:r>
      <w:r w:rsidR="00E57E01">
        <w:rPr>
          <w:rFonts w:cs="Times New Roman"/>
        </w:rPr>
        <w:instrText>ADDIN CSL_CITATION {"citationItems":[{"id":"ITEM-1","itemData":{"DOI":"10.1016/j.yhbeh.2011.02.003","ISSN":"1095-6867 (Electronic)","PMID":"21316368","abstract":"We showed earlier that social isolation from weaning (a paradigm frequently used  to model social neglect in children) induces abnormal forms of attack in rats, and assumed that these are associated with hyperarousal. To investigate this hypothesis, we deprived rats of social contacts from weaning and studied their behavior, glucocorticoid and autonomic stress responses in the resident-intruder paradigm at the age of 82 days. Social isolation resulted in abnormal attack patterns characterized by attacks on vulnerable targets, deficient social communication and increased defensive behaviors (defensive upright, flight, freezing). During aggressive encounters, socially deprived rats rapidly switched from one behavior to another, i.e. showed an increased number of behavioral transitions as compared to controls. We tentatively term this behavioral feature \"behavioral fragmentation\" and considered it a form of behavioral arousal. Basal levels of plasma corticosterone regularly assessed by radioimmunoassay between 27 and 78 days of age were not affected. In contrast, aggression-induced glucocorticoid responses were approximately doubled by socially isolation. Diurnal oscillations in heart rate assessed by in vivo biotelemetry were not affected by social isolation. In contrast, the aggression-induced increase in heart rate was higher in socially isolated than in socially housed rats. Thus, post-weaning social isolation induced abnormal forms of aggression that developed on the background of increased behavioral, endocrine and autonomic arousal. We suggest that this paradigm may be used to model aggression-related psychopathologies associated with hyperarousal, particularly those that are triggered by adverse rearing conditions.","author":[{"dropping-particle":"","family":"Toth","given":"Mate","non-dropping-particle":"","parse-names":false,"suffix":""},{"dropping-particle":"","family":"Mikics","given":"Eva","non-dropping-particle":"","parse-names":false,"suffix":""},{"dropping-particle":"","family":"Tulogdi","given":"Aron","non-dropping-particle":"","parse-names":false,"suffix":""},{"dropping-particle":"","family":"Aliczki","given":"Mano","non-dropping-particle":"","parse-names":false,"suffix":""},{"dropping-particle":"","family":"Haller","given":"Jozsef","non-dropping-particle":"","parse-names":false,"suffix":""}],"container-title":"Hormones and behavior","id":"ITEM-1","issue":"1","issued":{"date-parts":[["2011","6"]]},"language":"eng","page":"28-36","publisher-place":"United States","title":"Post-weaning social isolation induces abnormal forms of aggression in conjunction  with increased glucocorticoid and autonomic stress responses.","type":"article-journal","volume":"60"},"uris":["http://www.mendeley.com/documents/?uuid=e699ff16-e6e9-466a-8195-21bc5f0cf198","http://www.mendeley.com/documents/?uuid=76f3688d-c0eb-4529-b07b-75463b9521df"]}],"mendeley":{"formattedCitation":"&lt;sup&gt;24&lt;/sup&gt;","plainTextFormattedCitation":"24","previouslyFormattedCitation":"&lt;sup&gt;24&lt;/sup&gt;"},"properties":{"noteIndex":0},"schema":"https://github.com/citation-style-language/schema/raw/master/csl-citation.json"}</w:instrText>
      </w:r>
      <w:r w:rsidRPr="00EA3DEC">
        <w:rPr>
          <w:rFonts w:cs="Times New Roman"/>
        </w:rPr>
        <w:fldChar w:fldCharType="separate"/>
      </w:r>
      <w:r w:rsidR="00E57E01" w:rsidRPr="00E57E01">
        <w:rPr>
          <w:rFonts w:cs="Times New Roman"/>
          <w:noProof/>
          <w:vertAlign w:val="superscript"/>
        </w:rPr>
        <w:t>24</w:t>
      </w:r>
      <w:r w:rsidRPr="00EA3DEC">
        <w:rPr>
          <w:rFonts w:cs="Times New Roman"/>
        </w:rPr>
        <w:fldChar w:fldCharType="end"/>
      </w:r>
      <w:r w:rsidRPr="00EA3DEC">
        <w:rPr>
          <w:rFonts w:cs="Times New Roman"/>
        </w:rPr>
        <w:t xml:space="preserve"> A specific rabbit antiserum against corticosterone-3-carboxymethyloxime (prepared in our Institute in rabbits), and 125I-labeled </w:t>
      </w:r>
      <w:proofErr w:type="spellStart"/>
      <w:r w:rsidRPr="00EA3DEC">
        <w:rPr>
          <w:rFonts w:cs="Times New Roman"/>
        </w:rPr>
        <w:t>carboxymethyloxime</w:t>
      </w:r>
      <w:proofErr w:type="spellEnd"/>
      <w:r w:rsidRPr="00EA3DEC">
        <w:rPr>
          <w:rFonts w:cs="Times New Roman"/>
        </w:rPr>
        <w:t xml:space="preserve">–tyrosine–methyl ester derivative tracer (catalogue no. I-RBO-36, Institute for Isotopes, Budapest, Hungary) were used. </w:t>
      </w:r>
    </w:p>
    <w:p w:rsidR="002C1D22" w:rsidRPr="00EA3DEC" w:rsidRDefault="002C1D22" w:rsidP="002C1D22">
      <w:pPr>
        <w:pStyle w:val="Heading3"/>
        <w:rPr>
          <w:color w:val="auto"/>
        </w:rPr>
      </w:pPr>
      <w:r w:rsidRPr="00EA3DEC">
        <w:rPr>
          <w:color w:val="auto"/>
        </w:rPr>
        <w:t>SPECT and MRI Imaging</w:t>
      </w:r>
    </w:p>
    <w:p w:rsidR="002C1D22" w:rsidRPr="00EA3DEC" w:rsidRDefault="002C1D22" w:rsidP="002C1D22">
      <w:pPr>
        <w:pStyle w:val="NormalWeb"/>
        <w:spacing w:before="0" w:beforeAutospacing="0" w:after="0" w:afterAutospacing="0"/>
        <w:rPr>
          <w:rFonts w:cs="Times New Roman"/>
        </w:rPr>
      </w:pPr>
      <w:proofErr w:type="gramStart"/>
      <w:r w:rsidRPr="00EA3DEC">
        <w:rPr>
          <w:rFonts w:cs="Times New Roman"/>
        </w:rPr>
        <w:t>The effect of PA on cerebral blood volume was assessed 24 hours post-PA (N= 4-6 animals/ treatment group/ imaging method) by dextran-coated iron oxide nanoparticles determined by 1 Tesla MRI volumetry</w:t>
      </w:r>
      <w:r w:rsidRPr="00EA3DEC">
        <w:rPr>
          <w:rFonts w:cs="Times New Roman"/>
        </w:rPr>
        <w:fldChar w:fldCharType="begin" w:fldLock="1"/>
      </w:r>
      <w:r w:rsidR="00E57E01">
        <w:rPr>
          <w:rFonts w:cs="Times New Roman"/>
        </w:rPr>
        <w:instrText>ADDIN CSL_CITATION {"citationItems":[{"id":"ITEM-1","itemData":{"DOI":"10.3390/nano5041880","ISSN":"2079-4991 (Print)","PMID":"28347101","abstract":"Iron oxide nanoparticles have long been studied as a T₂ contrast agent in MRI due  to their superparamagnetic behavior. T₁-based positive contrast, being much more favorable for clinical application due to brighter and more accurate signaling is, however, still limited to gadolinium- or manganese-based imaging tools. Though being the only available commercial positive-contrast agents, they lack an efficient argument when it comes to biological toxicity and their circulatory half-life in blood. The need arises to design a biocompatible contrast agent with a scope for easy surface functionalization for long circulation in blood and/or targeted imaging. We hereby propose an extremely fast microwave synthesis for fluorescein-labeled extremely-small iron oxide nanoparticles (fdIONP), in a single step, as a viable tool for cell labeling and T₁-MRI. We demonstrate the capabilities of such an approach through high-quality magnetic resonance angiographic images of mice.","author":[{"dropping-particle":"","family":"Bhavesh","given":"Riju","non-dropping-particle":"","parse-names":false,"suffix":""},{"dropping-particle":"V","family":"Lechuga-Vieco","given":"Ana","non-dropping-particle":"","parse-names":false,"suffix":""},{"dropping-particle":"","family":"Ruiz-Cabello","given":"Jesús","non-dropping-particle":"","parse-names":false,"suffix":""},{"dropping-particle":"","family":"Herranz","given":"Fernando","non-dropping-particle":"","parse-names":false,"suffix":""}],"container-title":"Nanomaterials (Basel, Switzerland)","id":"ITEM-1","issue":"4","issued":{"date-parts":[["2015","11"]]},"language":"eng","page":"1880-1890","publisher-place":"Switzerland","title":"T₁-MRI Fluorescent Iron Oxide Nanoparticles by Microwave Assisted Synthesis.","type":"article-journal","volume":"5"},"uris":["http://www.mendeley.com/documents/?uuid=c51e8d4b-2e74-4c8d-8f60-2220f56e8939"]}],"mendeley":{"formattedCitation":"&lt;sup&gt;25&lt;/sup&gt;","plainTextFormattedCitation":"25","previouslyFormattedCitation":"&lt;sup&gt;25&lt;/sup&gt;"},"properties":{"noteIndex":0},"schema":"https://github.com/citation-style-language/schema/raw/master/csl-citation.json"}</w:instrText>
      </w:r>
      <w:r w:rsidRPr="00EA3DEC">
        <w:rPr>
          <w:rFonts w:cs="Times New Roman"/>
        </w:rPr>
        <w:fldChar w:fldCharType="separate"/>
      </w:r>
      <w:r w:rsidR="00E57E01" w:rsidRPr="00E57E01">
        <w:rPr>
          <w:rFonts w:cs="Times New Roman"/>
          <w:noProof/>
          <w:vertAlign w:val="superscript"/>
        </w:rPr>
        <w:t>25</w:t>
      </w:r>
      <w:r w:rsidRPr="00EA3DEC">
        <w:rPr>
          <w:rFonts w:cs="Times New Roman"/>
        </w:rPr>
        <w:fldChar w:fldCharType="end"/>
      </w:r>
      <w:r w:rsidRPr="00EA3DEC">
        <w:rPr>
          <w:rFonts w:cs="Times New Roman"/>
        </w:rPr>
        <w:t xml:space="preserve"> (coronal/vertical T1-weighted gradient echo sequencing, 80 axial slices of 0.3 mm thickness, 200 × 200 pixel, TR/TE/FA 11.2/2.1/65; </w:t>
      </w:r>
      <w:proofErr w:type="spellStart"/>
      <w:r w:rsidRPr="00EA3DEC">
        <w:rPr>
          <w:rFonts w:cs="Times New Roman"/>
        </w:rPr>
        <w:t>nanoScan</w:t>
      </w:r>
      <w:proofErr w:type="spellEnd"/>
      <w:r w:rsidRPr="00EA3DEC">
        <w:rPr>
          <w:rFonts w:cs="Times New Roman"/>
        </w:rPr>
        <w:t xml:space="preserve"> 1T PET/MRI; </w:t>
      </w:r>
      <w:proofErr w:type="spellStart"/>
      <w:r w:rsidRPr="00EA3DEC">
        <w:rPr>
          <w:rFonts w:cs="Times New Roman"/>
        </w:rPr>
        <w:t>Mediso</w:t>
      </w:r>
      <w:proofErr w:type="spellEnd"/>
      <w:r w:rsidRPr="00EA3DEC">
        <w:rPr>
          <w:rFonts w:cs="Times New Roman"/>
        </w:rPr>
        <w:t xml:space="preserve"> Ltd., Budapest, Hungary</w:t>
      </w:r>
      <w:r w:rsidRPr="00EA3DEC">
        <w:rPr>
          <w:rFonts w:cs="Times New Roman"/>
        </w:rPr>
        <w:fldChar w:fldCharType="begin" w:fldLock="1"/>
      </w:r>
      <w:r w:rsidR="00E57E01">
        <w:rPr>
          <w:rFonts w:cs="Times New Roman"/>
        </w:rPr>
        <w:instrText>ADDIN CSL_CITATION {"citationItems":[{"id":"ITEM-1","itemData":{"DOI":"10.3390/nano5041880","ISSN":"2079-4991 (Print)","PMID":"28347101","abstract":"Iron oxide nanoparticles have long been studied as a T₂ contrast agent in MRI due  to their superparamagnetic behavior. T₁-based positive contrast, being much more favorable for clinical application due to brighter and more accurate signaling is, however, still limited to gadolinium- or manganese-based imaging tools. Though being the only available commercial positive-contrast agents, they lack an efficient argument when it comes to biological toxicity and their circulatory half-life in blood. The need arises to design a biocompatible contrast agent with a scope for easy surface functionalization for long circulation in blood and/or targeted imaging. We hereby propose an extremely fast microwave synthesis for fluorescein-labeled extremely-small iron oxide nanoparticles (fdIONP), in a single step, as a viable tool for cell labeling and T₁-MRI. We demonstrate the capabilities of such an approach through high-quality magnetic resonance angiographic images of mice.","author":[{"dropping-particle":"","family":"Bhavesh","given":"Riju","non-dropping-particle":"","parse-names":false,"suffix":""},{"dropping-particle":"V","family":"Lechuga-Vieco","given":"Ana","non-dropping-particle":"","parse-names":false,"suffix":""},{"dropping-particle":"","family":"Ruiz-Cabello","given":"Jesús","non-dropping-particle":"","parse-names":false,"suffix":""},{"dropping-particle":"","family":"Herranz","given":"Fernando","non-dropping-particle":"","parse-names":false,"suffix":""}],"container-title":"Nanomaterials (Basel, Switzerland)","id":"ITEM-1","issue":"4","issued":{"date-parts":[["2015","11"]]},"language":"eng","page":"1880-1890","publisher-place":"Switzerland","title":"T₁-MRI Fluorescent Iron Oxide Nanoparticles by Microwave Assisted Synthesis.","type":"article-journal","volume":"5"},"uris":["http://www.mendeley.com/documents/?uuid=c33904ac-a973-45e6-a3f9-d7c7a6aef54f","http://www.mendeley.com/documents/?uuid=c51e8d4b-2e74-4c8d-8f60-2220f56e8939"]}],"mendeley":{"formattedCitation":"&lt;sup&gt;25&lt;/sup&gt;","manualFormatting":")","plainTextFormattedCitation":"25","previouslyFormattedCitation":"&lt;sup&gt;25&lt;/sup&gt;"},"properties":{"noteIndex":0},"schema":"https://github.com/citation-style-language/schema/raw/master/csl-citation.json"}</w:instrText>
      </w:r>
      <w:r w:rsidRPr="00EA3DEC">
        <w:rPr>
          <w:rFonts w:cs="Times New Roman"/>
        </w:rPr>
        <w:fldChar w:fldCharType="separate"/>
      </w:r>
      <w:r w:rsidRPr="00EA3DEC">
        <w:rPr>
          <w:rFonts w:cs="Times New Roman"/>
          <w:noProof/>
        </w:rPr>
        <w:t>)</w:t>
      </w:r>
      <w:r w:rsidRPr="00EA3DEC">
        <w:rPr>
          <w:rFonts w:cs="Times New Roman"/>
        </w:rPr>
        <w:fldChar w:fldCharType="end"/>
      </w:r>
      <w:r w:rsidRPr="00EA3DEC">
        <w:rPr>
          <w:rFonts w:cs="Times New Roman"/>
        </w:rPr>
        <w:t>.</w:t>
      </w:r>
      <w:proofErr w:type="gramEnd"/>
      <w:r w:rsidRPr="00EA3DEC">
        <w:rPr>
          <w:rFonts w:cs="Times New Roman"/>
        </w:rPr>
        <w:t xml:space="preserve"> Manual delineation of brain regions was performed using </w:t>
      </w:r>
      <w:proofErr w:type="spellStart"/>
      <w:r w:rsidRPr="00EA3DEC">
        <w:rPr>
          <w:rFonts w:cs="Times New Roman"/>
        </w:rPr>
        <w:t>vivoQuant</w:t>
      </w:r>
      <w:proofErr w:type="spellEnd"/>
      <w:r w:rsidRPr="00EA3DEC">
        <w:rPr>
          <w:rFonts w:cs="Times New Roman"/>
        </w:rPr>
        <w:t xml:space="preserve"> 1.22 software (</w:t>
      </w:r>
      <w:proofErr w:type="spellStart"/>
      <w:r w:rsidRPr="00EA3DEC">
        <w:rPr>
          <w:rFonts w:cs="Times New Roman"/>
        </w:rPr>
        <w:t>inviCRO</w:t>
      </w:r>
      <w:proofErr w:type="spellEnd"/>
      <w:r w:rsidRPr="00EA3DEC">
        <w:rPr>
          <w:rFonts w:cs="Times New Roman"/>
        </w:rPr>
        <w:t xml:space="preserve">-Konica-Minolta Inc., Boston, US). Brain perfusion </w:t>
      </w:r>
      <w:proofErr w:type="gramStart"/>
      <w:r w:rsidRPr="00EA3DEC">
        <w:rPr>
          <w:rFonts w:cs="Times New Roman"/>
        </w:rPr>
        <w:t>was measured</w:t>
      </w:r>
      <w:proofErr w:type="gramEnd"/>
      <w:r w:rsidRPr="00EA3DEC">
        <w:rPr>
          <w:rFonts w:cs="Times New Roman"/>
        </w:rPr>
        <w:t xml:space="preserve"> by Single-Photon Emission CT (SPECT) imaging with 99mTc-HMPAO (</w:t>
      </w:r>
      <w:proofErr w:type="spellStart"/>
      <w:r w:rsidRPr="00EA3DEC">
        <w:rPr>
          <w:rFonts w:cs="Times New Roman"/>
        </w:rPr>
        <w:t>Hexamethylpropyleneamine</w:t>
      </w:r>
      <w:proofErr w:type="spellEnd"/>
      <w:r w:rsidRPr="00EA3DEC">
        <w:rPr>
          <w:rFonts w:cs="Times New Roman"/>
        </w:rPr>
        <w:t xml:space="preserve"> Oxime; </w:t>
      </w:r>
      <w:proofErr w:type="spellStart"/>
      <w:r w:rsidRPr="00EA3DEC">
        <w:rPr>
          <w:rFonts w:cs="Times New Roman"/>
        </w:rPr>
        <w:t>Medi-Radiopharma</w:t>
      </w:r>
      <w:proofErr w:type="spellEnd"/>
      <w:r w:rsidRPr="00EA3DEC">
        <w:rPr>
          <w:rFonts w:cs="Times New Roman"/>
        </w:rPr>
        <w:t xml:space="preserve"> Ltd., Budapest, Hungary). HMPAO was labelled with </w:t>
      </w:r>
      <w:proofErr w:type="spellStart"/>
      <w:r w:rsidRPr="00EA3DEC">
        <w:rPr>
          <w:rFonts w:cs="Times New Roman"/>
        </w:rPr>
        <w:t>eluated</w:t>
      </w:r>
      <w:proofErr w:type="spellEnd"/>
      <w:r w:rsidRPr="00EA3DEC">
        <w:rPr>
          <w:rFonts w:cs="Times New Roman"/>
        </w:rPr>
        <w:t xml:space="preserve"> 99mTc (Ultra-</w:t>
      </w:r>
      <w:proofErr w:type="spellStart"/>
      <w:r w:rsidRPr="00EA3DEC">
        <w:rPr>
          <w:rFonts w:cs="Times New Roman"/>
        </w:rPr>
        <w:t>Technekow</w:t>
      </w:r>
      <w:proofErr w:type="spellEnd"/>
      <w:r w:rsidRPr="00EA3DEC">
        <w:rPr>
          <w:rFonts w:cs="Times New Roman"/>
        </w:rPr>
        <w:t xml:space="preserve"> Technetium Generator, Mallinckrodt Medical, </w:t>
      </w:r>
      <w:proofErr w:type="spellStart"/>
      <w:r w:rsidRPr="00EA3DEC">
        <w:rPr>
          <w:rFonts w:cs="Times New Roman"/>
        </w:rPr>
        <w:t>Petten</w:t>
      </w:r>
      <w:proofErr w:type="spellEnd"/>
      <w:r w:rsidRPr="00EA3DEC">
        <w:rPr>
          <w:rFonts w:cs="Times New Roman"/>
        </w:rPr>
        <w:t xml:space="preserve">, Netherlands) and physiological saline was injected in 74.5+/-8.9 </w:t>
      </w:r>
      <w:proofErr w:type="spellStart"/>
      <w:r w:rsidRPr="00EA3DEC">
        <w:rPr>
          <w:rFonts w:cs="Times New Roman"/>
        </w:rPr>
        <w:t>MBq</w:t>
      </w:r>
      <w:proofErr w:type="spellEnd"/>
      <w:r w:rsidRPr="00EA3DEC">
        <w:rPr>
          <w:rFonts w:cs="Times New Roman"/>
        </w:rPr>
        <w:t xml:space="preserve"> dosage in 0.2 ml saline into the tail vein. During the acquisitions, the animals </w:t>
      </w:r>
      <w:proofErr w:type="gramStart"/>
      <w:r w:rsidRPr="00EA3DEC">
        <w:rPr>
          <w:rFonts w:cs="Times New Roman"/>
        </w:rPr>
        <w:t>were anaesthetised with 2% isoflurane in oxygen and placed on a dedicated bed (</w:t>
      </w:r>
      <w:proofErr w:type="spellStart"/>
      <w:r w:rsidRPr="00EA3DEC">
        <w:rPr>
          <w:rFonts w:cs="Times New Roman"/>
        </w:rPr>
        <w:t>Mediso</w:t>
      </w:r>
      <w:proofErr w:type="spellEnd"/>
      <w:r w:rsidRPr="00EA3DEC">
        <w:rPr>
          <w:rFonts w:cs="Times New Roman"/>
        </w:rPr>
        <w:t xml:space="preserve"> Ltd, Budapest, Hungary) in prone position</w:t>
      </w:r>
      <w:proofErr w:type="gramEnd"/>
      <w:r w:rsidRPr="00EA3DEC">
        <w:rPr>
          <w:rFonts w:cs="Times New Roman"/>
        </w:rPr>
        <w:t>. SPECT scans were performed in standard mode with 4 frames of 45 seconds each, 80 s time frame, for a total acquisition time of 1 hour, using a multi-pinhole collimator (</w:t>
      </w:r>
      <w:proofErr w:type="spellStart"/>
      <w:r w:rsidRPr="00EA3DEC">
        <w:rPr>
          <w:rFonts w:cs="Times New Roman"/>
        </w:rPr>
        <w:t>nanoScan</w:t>
      </w:r>
      <w:proofErr w:type="spellEnd"/>
      <w:r w:rsidRPr="00EA3DEC">
        <w:rPr>
          <w:rFonts w:cs="Times New Roman"/>
        </w:rPr>
        <w:t xml:space="preserve"> SPECT/CT system, </w:t>
      </w:r>
      <w:proofErr w:type="spellStart"/>
      <w:r w:rsidRPr="00EA3DEC">
        <w:rPr>
          <w:rFonts w:cs="Times New Roman"/>
        </w:rPr>
        <w:t>Mediso</w:t>
      </w:r>
      <w:proofErr w:type="spellEnd"/>
      <w:r w:rsidRPr="00EA3DEC">
        <w:rPr>
          <w:rFonts w:cs="Times New Roman"/>
        </w:rPr>
        <w:t xml:space="preserve"> Ltd., Budapest, Hungary) 30 min after radiotracer injection. Reconstructions </w:t>
      </w:r>
      <w:proofErr w:type="gramStart"/>
      <w:r w:rsidRPr="00EA3DEC">
        <w:rPr>
          <w:rFonts w:cs="Times New Roman"/>
        </w:rPr>
        <w:t>were performed</w:t>
      </w:r>
      <w:proofErr w:type="gramEnd"/>
      <w:r w:rsidRPr="00EA3DEC">
        <w:rPr>
          <w:rFonts w:cs="Times New Roman"/>
        </w:rPr>
        <w:t xml:space="preserve"> in </w:t>
      </w:r>
      <w:proofErr w:type="spellStart"/>
      <w:r w:rsidRPr="00EA3DEC">
        <w:rPr>
          <w:rFonts w:cs="Times New Roman"/>
        </w:rPr>
        <w:t>Nucline</w:t>
      </w:r>
      <w:proofErr w:type="spellEnd"/>
      <w:r w:rsidRPr="00EA3DEC">
        <w:rPr>
          <w:rFonts w:cs="Times New Roman"/>
        </w:rPr>
        <w:t xml:space="preserve"> software (</w:t>
      </w:r>
      <w:proofErr w:type="spellStart"/>
      <w:r w:rsidRPr="00EA3DEC">
        <w:rPr>
          <w:rFonts w:cs="Times New Roman"/>
        </w:rPr>
        <w:t>Mediso</w:t>
      </w:r>
      <w:proofErr w:type="spellEnd"/>
      <w:r w:rsidRPr="00EA3DEC">
        <w:rPr>
          <w:rFonts w:cs="Times New Roman"/>
        </w:rPr>
        <w:t xml:space="preserve"> Ltd., Budapest, Hungary) with the internal MHHQ image reconstruction parameter set applied, followed by manual segmentation of the respective brain areas. Obtained values </w:t>
      </w:r>
      <w:proofErr w:type="gramStart"/>
      <w:r w:rsidRPr="00EA3DEC">
        <w:rPr>
          <w:rFonts w:cs="Times New Roman"/>
        </w:rPr>
        <w:t>were evaluated</w:t>
      </w:r>
      <w:proofErr w:type="gramEnd"/>
      <w:r w:rsidRPr="00EA3DEC">
        <w:rPr>
          <w:rFonts w:cs="Times New Roman"/>
        </w:rPr>
        <w:t xml:space="preserve"> in comparison to brainstem using Fusion software (</w:t>
      </w:r>
      <w:proofErr w:type="spellStart"/>
      <w:r w:rsidRPr="00EA3DEC">
        <w:rPr>
          <w:rFonts w:cs="Times New Roman"/>
        </w:rPr>
        <w:t>Mediso</w:t>
      </w:r>
      <w:proofErr w:type="spellEnd"/>
      <w:r w:rsidRPr="00EA3DEC">
        <w:rPr>
          <w:rFonts w:cs="Times New Roman"/>
        </w:rPr>
        <w:t xml:space="preserve"> Ltd. Budapest, Hungary).</w:t>
      </w:r>
    </w:p>
    <w:p w:rsidR="002C1D22" w:rsidRPr="00EA3DEC" w:rsidRDefault="002C1D22" w:rsidP="002C1D22">
      <w:pPr>
        <w:pStyle w:val="Heading3"/>
        <w:rPr>
          <w:color w:val="auto"/>
        </w:rPr>
      </w:pPr>
      <w:r w:rsidRPr="00EA3DEC">
        <w:rPr>
          <w:color w:val="auto"/>
        </w:rPr>
        <w:t>RNA Sequencing and Analysis</w:t>
      </w:r>
    </w:p>
    <w:p w:rsidR="002C1D22" w:rsidRPr="00EA3DEC" w:rsidRDefault="002C1D22" w:rsidP="002C1D22">
      <w:pPr>
        <w:pStyle w:val="NormalWeb"/>
        <w:spacing w:before="0" w:beforeAutospacing="0" w:after="0" w:afterAutospacing="0"/>
        <w:rPr>
          <w:szCs w:val="24"/>
          <w:lang w:val="en-GB" w:eastAsia="en-GB"/>
        </w:rPr>
      </w:pPr>
      <w:r w:rsidRPr="00EA3DEC">
        <w:rPr>
          <w:rFonts w:cs="Times New Roman"/>
        </w:rPr>
        <w:t xml:space="preserve">A subset of animals was deeply anaesthetised with isoflurane (P8, N=8-10/ treatment group) or a mixture of ketamine (75 mg/kg) and </w:t>
      </w:r>
      <w:proofErr w:type="spellStart"/>
      <w:r w:rsidRPr="00EA3DEC">
        <w:rPr>
          <w:rFonts w:cs="Times New Roman"/>
        </w:rPr>
        <w:t>xylazine</w:t>
      </w:r>
      <w:proofErr w:type="spellEnd"/>
      <w:r w:rsidRPr="00EA3DEC">
        <w:rPr>
          <w:rFonts w:cs="Times New Roman"/>
        </w:rPr>
        <w:t xml:space="preserve"> (15mg/kg; adults, N= </w:t>
      </w:r>
      <w:proofErr w:type="gramStart"/>
      <w:r w:rsidRPr="00EA3DEC">
        <w:rPr>
          <w:rFonts w:cs="Times New Roman"/>
        </w:rPr>
        <w:t>5</w:t>
      </w:r>
      <w:proofErr w:type="gramEnd"/>
      <w:r w:rsidRPr="00EA3DEC">
        <w:rPr>
          <w:rFonts w:cs="Times New Roman"/>
        </w:rPr>
        <w:t>/ treatment group)</w:t>
      </w:r>
      <w:r w:rsidRPr="00EA3DEC">
        <w:rPr>
          <w:szCs w:val="24"/>
          <w:lang w:val="en-GB" w:eastAsia="en-GB"/>
        </w:rPr>
        <w:t xml:space="preserve">, followed by quick decapitation. Brains </w:t>
      </w:r>
      <w:proofErr w:type="gramStart"/>
      <w:r w:rsidRPr="00EA3DEC">
        <w:rPr>
          <w:szCs w:val="24"/>
          <w:lang w:val="en-GB" w:eastAsia="en-GB"/>
        </w:rPr>
        <w:t>were manually removed 24 hours after PA induction or in adulthood under baseline conditions and immediately cooled on wet ice</w:t>
      </w:r>
      <w:proofErr w:type="gramEnd"/>
      <w:r w:rsidRPr="00EA3DEC">
        <w:rPr>
          <w:szCs w:val="24"/>
          <w:lang w:val="en-GB" w:eastAsia="en-GB"/>
        </w:rPr>
        <w:t xml:space="preserve">.  Brains </w:t>
      </w:r>
      <w:proofErr w:type="gramStart"/>
      <w:r w:rsidRPr="00EA3DEC">
        <w:rPr>
          <w:szCs w:val="24"/>
          <w:lang w:val="en-GB" w:eastAsia="en-GB"/>
        </w:rPr>
        <w:t>were dissected</w:t>
      </w:r>
      <w:proofErr w:type="gramEnd"/>
      <w:r w:rsidRPr="00EA3DEC">
        <w:rPr>
          <w:szCs w:val="24"/>
          <w:lang w:val="en-GB" w:eastAsia="en-GB"/>
        </w:rPr>
        <w:t xml:space="preserve"> into coronal blocks using a stainless steel brain </w:t>
      </w:r>
      <w:proofErr w:type="spellStart"/>
      <w:r w:rsidRPr="00EA3DEC">
        <w:rPr>
          <w:szCs w:val="24"/>
          <w:lang w:val="en-GB" w:eastAsia="en-GB"/>
        </w:rPr>
        <w:t>mold</w:t>
      </w:r>
      <w:proofErr w:type="spellEnd"/>
      <w:r w:rsidRPr="00EA3DEC">
        <w:rPr>
          <w:szCs w:val="24"/>
          <w:lang w:val="en-GB" w:eastAsia="en-GB"/>
        </w:rPr>
        <w:t xml:space="preserve">. Bilateral medial prefrontal cortices were </w:t>
      </w:r>
      <w:proofErr w:type="spellStart"/>
      <w:r w:rsidRPr="00EA3DEC">
        <w:rPr>
          <w:szCs w:val="24"/>
          <w:lang w:val="en-GB" w:eastAsia="en-GB"/>
        </w:rPr>
        <w:t>microdissected</w:t>
      </w:r>
      <w:proofErr w:type="spellEnd"/>
      <w:r w:rsidRPr="00EA3DEC">
        <w:rPr>
          <w:szCs w:val="24"/>
          <w:lang w:val="en-GB" w:eastAsia="en-GB"/>
        </w:rPr>
        <w:t xml:space="preserve"> with a sterile blade, guided by the </w:t>
      </w:r>
      <w:proofErr w:type="spellStart"/>
      <w:r w:rsidRPr="00EA3DEC">
        <w:rPr>
          <w:szCs w:val="24"/>
          <w:lang w:val="en-GB" w:eastAsia="en-GB"/>
        </w:rPr>
        <w:t>Paxinos</w:t>
      </w:r>
      <w:proofErr w:type="spellEnd"/>
      <w:r w:rsidRPr="00EA3DEC">
        <w:rPr>
          <w:szCs w:val="24"/>
          <w:lang w:val="en-GB" w:eastAsia="en-GB"/>
        </w:rPr>
        <w:t xml:space="preserve"> and Watson atlas</w:t>
      </w:r>
      <w:r w:rsidRPr="00EA3DEC">
        <w:rPr>
          <w:szCs w:val="24"/>
          <w:lang w:val="en-GB" w:eastAsia="en-GB"/>
        </w:rPr>
        <w:fldChar w:fldCharType="begin" w:fldLock="1"/>
      </w:r>
      <w:r w:rsidR="00E57E01">
        <w:rPr>
          <w:szCs w:val="24"/>
          <w:lang w:val="en-GB" w:eastAsia="en-GB"/>
        </w:rPr>
        <w:instrText>ADDIN CSL_CITATION {"citationItems":[{"id":"ITEM-1","itemData":{"DOI":"10.1016/j.neuroimage.2006.04.214","ISSN":"1053-8119 (Print)","PMID":"16784876","abstract":"We describe a stereotaxic rat brain MRI template set with a co-registered digital  anatomical atlas and illustrate its application to the analysis of a pharmacological MRI (phMRI) study of apomorphine. The template set includes anatomical images and tissue class probability maps for brain parenchyma and cerebrospinal fluid (CSF). These facilitate the use of standard fMRI software for spatial normalisation and tissue segmentation of rat brain data. A volumetric reconstruction of the Paxinos and Watson rat brain atlas is also co-localised with the template, enabling the atlas structure and stereotaxic coordinates corresponding to a feature within a statistical map to be interactively reported, facilitating the localisation of functional effects. Moreover, voxels falling within selected brain structures can be combined to define anatomically based 3D volumes of interest (VOIs), free of operator bias. As many atlas structures are small relative to the typical resolution of phMRI studies, a mechanism for defining composite structures as agglomerations of individual atlas structures is also described. This provides a simple and robust means of interrogating structures that are otherwise difficult to delineate and an objective framework for comparing and classifying compounds based on an anatomical profile of their activity. These developments allow a closer alignment of pre-clinical and clinical analysis techniques.","author":[{"dropping-particle":"","family":"Schwarz","given":"Adam J","non-dropping-particle":"","parse-names":false,"suffix":""},{"dropping-particle":"","family":"Danckaert","given":"Anne","non-dropping-particle":"","parse-names":false,"suffix":""},{"dropping-particle":"","family":"Reese","given":"Torsten","non-dropping-particle":"","parse-names":false,"suffix":""},{"dropping-particle":"","family":"Gozzi","given":"Alessandro","non-dropping-particle":"","parse-names":false,"suffix":""},{"dropping-particle":"","family":"Paxinos","given":"George","non-dropping-particle":"","parse-names":false,"suffix":""},{"dropping-particle":"","family":"Watson","given":"Charles","non-dropping-particle":"","parse-names":false,"suffix":""},{"dropping-particle":"V","family":"Merlo-Pich","given":"Emilio","non-dropping-particle":"","parse-names":false,"suffix":""},{"dropping-particle":"","family":"Bifone","given":"Angelo","non-dropping-particle":"","parse-names":false,"suffix":""}],"container-title":"NeuroImage","id":"ITEM-1","issue":"2","issued":{"date-parts":[["2006","8"]]},"language":"eng","page":"538-550","publisher-place":"United States","title":"A stereotaxic MRI template set for the rat brain with tissue class distribution  maps and co-registered anatomical atlas: application to pharmacological MRI.","type":"article-journal","volume":"32"},"uris":["http://www.mendeley.com/documents/?uuid=f251e22b-97d0-4181-a39e-82962b33fdf5"]}],"mendeley":{"formattedCitation":"&lt;sup&gt;26&lt;/sup&gt;","plainTextFormattedCitation":"26","previouslyFormattedCitation":"&lt;sup&gt;26&lt;/sup&gt;"},"properties":{"noteIndex":0},"schema":"https://github.com/citation-style-language/schema/raw/master/csl-citation.json"}</w:instrText>
      </w:r>
      <w:r w:rsidRPr="00EA3DEC">
        <w:rPr>
          <w:szCs w:val="24"/>
          <w:lang w:val="en-GB" w:eastAsia="en-GB"/>
        </w:rPr>
        <w:fldChar w:fldCharType="separate"/>
      </w:r>
      <w:r w:rsidR="00E57E01" w:rsidRPr="00E57E01">
        <w:rPr>
          <w:noProof/>
          <w:szCs w:val="24"/>
          <w:vertAlign w:val="superscript"/>
          <w:lang w:val="en-GB" w:eastAsia="en-GB"/>
        </w:rPr>
        <w:t>26</w:t>
      </w:r>
      <w:r w:rsidRPr="00EA3DEC">
        <w:rPr>
          <w:szCs w:val="24"/>
          <w:lang w:val="en-GB" w:eastAsia="en-GB"/>
        </w:rPr>
        <w:fldChar w:fldCharType="end"/>
      </w:r>
      <w:r w:rsidRPr="00EA3DEC">
        <w:rPr>
          <w:szCs w:val="24"/>
          <w:lang w:val="en-GB" w:eastAsia="en-GB"/>
        </w:rPr>
        <w:t>. Total RNA was isolated from homogenized tissue samples using the RNeasy Lipid Tissue Mini Kit (</w:t>
      </w:r>
      <w:proofErr w:type="spellStart"/>
      <w:r w:rsidRPr="00EA3DEC">
        <w:rPr>
          <w:szCs w:val="24"/>
          <w:lang w:val="en-GB" w:eastAsia="en-GB"/>
        </w:rPr>
        <w:t>Qiagen</w:t>
      </w:r>
      <w:proofErr w:type="spellEnd"/>
      <w:r w:rsidRPr="00EA3DEC">
        <w:rPr>
          <w:szCs w:val="24"/>
          <w:lang w:val="en-GB" w:eastAsia="en-GB"/>
        </w:rPr>
        <w:t xml:space="preserve">, UK). This </w:t>
      </w:r>
      <w:proofErr w:type="gramStart"/>
      <w:r w:rsidRPr="00EA3DEC">
        <w:rPr>
          <w:szCs w:val="24"/>
          <w:lang w:val="en-GB" w:eastAsia="en-GB"/>
        </w:rPr>
        <w:t>was followed</w:t>
      </w:r>
      <w:proofErr w:type="gramEnd"/>
      <w:r w:rsidRPr="00EA3DEC">
        <w:rPr>
          <w:szCs w:val="24"/>
          <w:lang w:val="en-GB" w:eastAsia="en-GB"/>
        </w:rPr>
        <w:t xml:space="preserve"> by DNase treatment to remove DNA contamination. The concentrations and quality of the extracted RNA samples </w:t>
      </w:r>
      <w:proofErr w:type="gramStart"/>
      <w:r w:rsidRPr="00EA3DEC">
        <w:rPr>
          <w:szCs w:val="24"/>
          <w:lang w:val="en-GB" w:eastAsia="en-GB"/>
        </w:rPr>
        <w:t>were assessed</w:t>
      </w:r>
      <w:proofErr w:type="gramEnd"/>
      <w:r w:rsidRPr="00EA3DEC">
        <w:rPr>
          <w:szCs w:val="24"/>
          <w:lang w:val="en-GB" w:eastAsia="en-GB"/>
        </w:rPr>
        <w:t xml:space="preserve"> using an Agilent </w:t>
      </w:r>
      <w:proofErr w:type="spellStart"/>
      <w:r w:rsidRPr="00EA3DEC">
        <w:rPr>
          <w:szCs w:val="24"/>
          <w:lang w:val="en-GB" w:eastAsia="en-GB"/>
        </w:rPr>
        <w:t>TapeStation</w:t>
      </w:r>
      <w:proofErr w:type="spellEnd"/>
      <w:r w:rsidRPr="00EA3DEC">
        <w:rPr>
          <w:szCs w:val="24"/>
          <w:lang w:val="en-GB" w:eastAsia="en-GB"/>
        </w:rPr>
        <w:t xml:space="preserve"> (Agilent Technologies, USA). All samples had a similar RNA Integrity Number (RIN) above 9.5. Libraries were prepared using the Illumina Stranded mRNA Prep, Ligation kit (Illumina, Inc., USA, #20040534) according to the manufacturer's protocol. Paired-end sequencing </w:t>
      </w:r>
      <w:proofErr w:type="gramStart"/>
      <w:r w:rsidRPr="00EA3DEC">
        <w:rPr>
          <w:szCs w:val="24"/>
          <w:lang w:val="en-GB" w:eastAsia="en-GB"/>
        </w:rPr>
        <w:t>was performed</w:t>
      </w:r>
      <w:proofErr w:type="gramEnd"/>
      <w:r w:rsidRPr="00EA3DEC">
        <w:rPr>
          <w:szCs w:val="24"/>
          <w:lang w:val="en-GB" w:eastAsia="en-GB"/>
        </w:rPr>
        <w:t xml:space="preserve"> on an Illumina </w:t>
      </w:r>
      <w:proofErr w:type="spellStart"/>
      <w:r w:rsidRPr="00EA3DEC">
        <w:rPr>
          <w:szCs w:val="24"/>
          <w:lang w:val="en-GB" w:eastAsia="en-GB"/>
        </w:rPr>
        <w:t>NextSeq</w:t>
      </w:r>
      <w:proofErr w:type="spellEnd"/>
      <w:r w:rsidRPr="00EA3DEC">
        <w:rPr>
          <w:szCs w:val="24"/>
          <w:lang w:val="en-GB" w:eastAsia="en-GB"/>
        </w:rPr>
        <w:t xml:space="preserve"> 2000 Sequencing System using </w:t>
      </w:r>
      <w:proofErr w:type="spellStart"/>
      <w:r w:rsidRPr="00EA3DEC">
        <w:rPr>
          <w:szCs w:val="24"/>
          <w:lang w:val="en-GB" w:eastAsia="en-GB"/>
        </w:rPr>
        <w:t>NextSeq</w:t>
      </w:r>
      <w:proofErr w:type="spellEnd"/>
      <w:r w:rsidRPr="00EA3DEC">
        <w:rPr>
          <w:szCs w:val="24"/>
          <w:lang w:val="en-GB" w:eastAsia="en-GB"/>
        </w:rPr>
        <w:t xml:space="preserve"> 2000 P3 Reagents (Illumina, Inc., USA, 20040560). </w:t>
      </w:r>
      <w:proofErr w:type="spellStart"/>
      <w:r w:rsidRPr="00EA3DEC">
        <w:rPr>
          <w:szCs w:val="24"/>
          <w:lang w:val="en-GB" w:eastAsia="en-GB"/>
        </w:rPr>
        <w:t>FastQC</w:t>
      </w:r>
      <w:proofErr w:type="spellEnd"/>
      <w:r w:rsidRPr="00EA3DEC">
        <w:rPr>
          <w:szCs w:val="24"/>
          <w:lang w:val="en-GB" w:eastAsia="en-GB"/>
        </w:rPr>
        <w:t xml:space="preserve"> (</w:t>
      </w:r>
      <w:proofErr w:type="spellStart"/>
      <w:r w:rsidRPr="00EA3DEC">
        <w:rPr>
          <w:szCs w:val="24"/>
          <w:lang w:val="en-GB" w:eastAsia="en-GB"/>
        </w:rPr>
        <w:t>Babraham</w:t>
      </w:r>
      <w:proofErr w:type="spellEnd"/>
      <w:r w:rsidRPr="00EA3DEC">
        <w:rPr>
          <w:szCs w:val="24"/>
          <w:lang w:val="en-GB" w:eastAsia="en-GB"/>
        </w:rPr>
        <w:t xml:space="preserve"> Bioinformatics, UK, Andrews, 2010, </w:t>
      </w:r>
      <w:proofErr w:type="spellStart"/>
      <w:r w:rsidRPr="00EA3DEC">
        <w:rPr>
          <w:szCs w:val="24"/>
          <w:lang w:val="en-GB" w:eastAsia="en-GB"/>
        </w:rPr>
        <w:t>FastQC</w:t>
      </w:r>
      <w:proofErr w:type="spellEnd"/>
      <w:r w:rsidRPr="00EA3DEC">
        <w:rPr>
          <w:szCs w:val="24"/>
          <w:lang w:val="en-GB" w:eastAsia="en-GB"/>
        </w:rPr>
        <w:t>: a quality control tool for high throughput sequence data, https://www.bioinformatics.babraham.ac.uk/projects/fastqc/) was used to assess the quality of the raw sequence data. Alignment-independent gene-level quantifications were executed using the Salmon tool</w:t>
      </w:r>
      <w:r w:rsidRPr="00EA3DEC">
        <w:rPr>
          <w:szCs w:val="24"/>
          <w:lang w:val="en-GB" w:eastAsia="en-GB"/>
        </w:rPr>
        <w:fldChar w:fldCharType="begin" w:fldLock="1"/>
      </w:r>
      <w:r w:rsidR="00E57E01">
        <w:rPr>
          <w:szCs w:val="24"/>
          <w:lang w:val="en-GB" w:eastAsia="en-GB"/>
        </w:rPr>
        <w:instrText>ADDIN CSL_CITATION {"citationItems":[{"id":"ITEM-1","itemData":{"DOI":"10.1038/nmeth.4197","ISSN":"1548-7105 (Electronic)","PMID":"28263959","abstract":"We introduce Salmon, a lightweight method for quantifying transcript abundance  from RNA-seq reads. Salmon combines a new dual-phase parallel inference algorithm and feature-rich bias models with an ultra-fast read mapping procedure. It is the first transcriptome-wide quantifier to correct for fragment GC-content bias, which, as we demonstrate here, substantially improves the accuracy of abundance estimates and the sensitivity of subsequent differential expression analysis.","author":[{"dropping-particle":"","family":"Patro","given":"Rob","non-dropping-particle":"","parse-names":false,"suffix":""},{"dropping-particle":"","family":"Duggal","given":"Geet","non-dropping-particle":"","parse-names":false,"suffix":""},{"dropping-particle":"","family":"Love","given":"Michael I","non-dropping-particle":"","parse-names":false,"suffix":""},{"dropping-particle":"","family":"Irizarry","given":"Rafael A","non-dropping-particle":"","parse-names":false,"suffix":""},{"dropping-particle":"","family":"Kingsford","given":"Carl","non-dropping-particle":"","parse-names":false,"suffix":""}],"container-title":"Nature methods","id":"ITEM-1","issue":"4","issued":{"date-parts":[["2017","4"]]},"language":"eng","page":"417-419","publisher-place":"United States","title":"Salmon provides fast and bias-aware quantification of transcript expression.","type":"article-journal","volume":"14"},"uris":["http://www.mendeley.com/documents/?uuid=64cdd38a-5c02-4930-93e1-29b4198c52cf","http://www.mendeley.com/documents/?uuid=cfe8df2e-8540-4438-ae38-bb251370694a"]}],"mendeley":{"formattedCitation":"&lt;sup&gt;27&lt;/sup&gt;","plainTextFormattedCitation":"27","previouslyFormattedCitation":"&lt;sup&gt;27&lt;/sup&gt;"},"properties":{"noteIndex":0},"schema":"https://github.com/citation-style-language/schema/raw/master/csl-citation.json"}</w:instrText>
      </w:r>
      <w:r w:rsidRPr="00EA3DEC">
        <w:rPr>
          <w:szCs w:val="24"/>
          <w:lang w:val="en-GB" w:eastAsia="en-GB"/>
        </w:rPr>
        <w:fldChar w:fldCharType="separate"/>
      </w:r>
      <w:r w:rsidR="00E57E01" w:rsidRPr="00E57E01">
        <w:rPr>
          <w:noProof/>
          <w:szCs w:val="24"/>
          <w:vertAlign w:val="superscript"/>
          <w:lang w:val="en-GB" w:eastAsia="en-GB"/>
        </w:rPr>
        <w:t>27</w:t>
      </w:r>
      <w:r w:rsidRPr="00EA3DEC">
        <w:rPr>
          <w:szCs w:val="24"/>
          <w:lang w:val="en-GB" w:eastAsia="en-GB"/>
        </w:rPr>
        <w:fldChar w:fldCharType="end"/>
      </w:r>
      <w:r w:rsidRPr="00EA3DEC">
        <w:rPr>
          <w:szCs w:val="24"/>
          <w:lang w:val="en-GB" w:eastAsia="en-GB"/>
        </w:rPr>
        <w:t xml:space="preserve"> with the Rattus_norvegicus.mRatBN7.2.106.gtf annotation file from </w:t>
      </w:r>
      <w:proofErr w:type="spellStart"/>
      <w:r w:rsidRPr="00EA3DEC">
        <w:rPr>
          <w:szCs w:val="24"/>
          <w:lang w:val="en-GB" w:eastAsia="en-GB"/>
        </w:rPr>
        <w:t>Ensembl</w:t>
      </w:r>
      <w:proofErr w:type="spellEnd"/>
      <w:r w:rsidRPr="00EA3DEC">
        <w:rPr>
          <w:szCs w:val="24"/>
          <w:lang w:val="en-GB" w:eastAsia="en-GB"/>
        </w:rPr>
        <w:t xml:space="preserve"> </w:t>
      </w:r>
      <w:proofErr w:type="spellStart"/>
      <w:r w:rsidRPr="00EA3DEC">
        <w:rPr>
          <w:szCs w:val="24"/>
          <w:lang w:val="en-GB" w:eastAsia="en-GB"/>
        </w:rPr>
        <w:t>BioMart</w:t>
      </w:r>
      <w:proofErr w:type="spellEnd"/>
      <w:r w:rsidRPr="00EA3DEC">
        <w:rPr>
          <w:szCs w:val="24"/>
          <w:lang w:val="en-GB" w:eastAsia="en-GB"/>
        </w:rPr>
        <w:t xml:space="preserve">. Subsequent analyses were performed using the R programming language (https://www.r-project.org/) and </w:t>
      </w:r>
      <w:proofErr w:type="spellStart"/>
      <w:r w:rsidRPr="00EA3DEC">
        <w:rPr>
          <w:szCs w:val="24"/>
          <w:lang w:val="en-GB" w:eastAsia="en-GB"/>
        </w:rPr>
        <w:t>RStudio</w:t>
      </w:r>
      <w:proofErr w:type="spellEnd"/>
      <w:r w:rsidRPr="00EA3DEC">
        <w:rPr>
          <w:szCs w:val="24"/>
          <w:lang w:val="en-GB" w:eastAsia="en-GB"/>
        </w:rPr>
        <w:t xml:space="preserve"> (version = 2023.6.1.524, </w:t>
      </w:r>
      <w:hyperlink r:id="rId8" w:history="1">
        <w:r w:rsidRPr="00EA3DEC">
          <w:rPr>
            <w:szCs w:val="24"/>
            <w:lang w:val="en-GB" w:eastAsia="en-GB"/>
          </w:rPr>
          <w:t>http://www.posit.co/</w:t>
        </w:r>
      </w:hyperlink>
      <w:r w:rsidRPr="00EA3DEC">
        <w:rPr>
          <w:szCs w:val="24"/>
          <w:lang w:val="en-GB" w:eastAsia="en-GB"/>
        </w:rPr>
        <w:t>).</w:t>
      </w:r>
    </w:p>
    <w:p w:rsidR="002C1D22" w:rsidRPr="00EA3DEC" w:rsidRDefault="002C1D22" w:rsidP="002C1D22">
      <w:pPr>
        <w:pStyle w:val="NormalWeb"/>
        <w:spacing w:before="0" w:beforeAutospacing="0" w:after="0" w:afterAutospacing="0"/>
        <w:rPr>
          <w:szCs w:val="24"/>
          <w:lang w:val="en-GB" w:eastAsia="en-GB"/>
        </w:rPr>
      </w:pPr>
      <w:r w:rsidRPr="00EA3DEC">
        <w:rPr>
          <w:szCs w:val="24"/>
          <w:lang w:val="en-GB" w:eastAsia="en-GB"/>
        </w:rPr>
        <w:t xml:space="preserve">The </w:t>
      </w:r>
      <w:proofErr w:type="spellStart"/>
      <w:r w:rsidRPr="00EA3DEC">
        <w:rPr>
          <w:szCs w:val="24"/>
          <w:lang w:val="en-GB" w:eastAsia="en-GB"/>
        </w:rPr>
        <w:t>tximport</w:t>
      </w:r>
      <w:proofErr w:type="spellEnd"/>
      <w:r w:rsidRPr="00EA3DEC">
        <w:rPr>
          <w:szCs w:val="24"/>
          <w:lang w:val="en-GB" w:eastAsia="en-GB"/>
        </w:rPr>
        <w:t xml:space="preserve"> package (version = 1.24.0)</w:t>
      </w:r>
      <w:r w:rsidRPr="00EA3DEC">
        <w:rPr>
          <w:szCs w:val="24"/>
          <w:lang w:val="en-GB" w:eastAsia="en-GB"/>
        </w:rPr>
        <w:fldChar w:fldCharType="begin" w:fldLock="1"/>
      </w:r>
      <w:r w:rsidR="00E57E01">
        <w:rPr>
          <w:szCs w:val="24"/>
          <w:lang w:val="en-GB" w:eastAsia="en-GB"/>
        </w:rPr>
        <w:instrText>ADDIN CSL_CITATION {"citationItems":[{"id":"ITEM-1","itemData":{"DOI":"10.12688/F1000RESEARCH.7563.2","ISSN":"1759796X","abstract":"High-throughput sequencing of cDNA (RNA-seq) is used extensively to characterize the transcriptome of cells. Many transcriptomic studies aim at comparing either abundance levels or the transcriptome composition between given conditions, and as a first step, the sequencing reads must be used as the basis for abundance quantification of transcriptomic features of interest, such as genes or transcripts. Various quantification approaches have been proposed, ranging from simple counting of reads that overlap given genomic regions to more complex estimation of underlying transcript abundances. In this paper, we show that gene-level abundance estimates and statistical inference offer advantages over transcript-level analyses, in terms of performance and interpretability. We also illustrate that the presence of differential isoform usage can lead to inflated false discovery rates in differential gene expression analyses on simple count matrices but that this can be addressed by incorporating offsets derived from transcript-level abundance estimates. We also show that the problem is relatively minor in several real data sets. Finally, we provide an R package (tximport) to help users integrate transcript-level abundance estimates from common quantification pipelines into count-based statistical inference engines.","author":[{"dropping-particle":"","family":"Soneson","given":"Charlotte","non-dropping-particle":"","parse-names":false,"suffix":""},{"dropping-particle":"","family":"Love","given":"Michael I.","non-dropping-particle":"","parse-names":false,"suffix":""},{"dropping-particle":"","family":"Robinson","given":"Mark D.","non-dropping-particle":"","parse-names":false,"suffix":""}],"container-title":"F1000Research","id":"ITEM-1","issued":{"date-parts":[["2016"]]},"page":"1-19","title":"Differential analyses for RNA-seq: Transcript-level estimates improve gene-level inferences","type":"article-journal","volume":"4"},"uris":["http://www.mendeley.com/documents/?uuid=c4a606af-a656-4ff0-8d35-52686031976a"]}],"mendeley":{"formattedCitation":"&lt;sup&gt;28&lt;/sup&gt;","plainTextFormattedCitation":"28","previouslyFormattedCitation":"&lt;sup&gt;28&lt;/sup&gt;"},"properties":{"noteIndex":0},"schema":"https://github.com/citation-style-language/schema/raw/master/csl-citation.json"}</w:instrText>
      </w:r>
      <w:r w:rsidRPr="00EA3DEC">
        <w:rPr>
          <w:szCs w:val="24"/>
          <w:lang w:val="en-GB" w:eastAsia="en-GB"/>
        </w:rPr>
        <w:fldChar w:fldCharType="separate"/>
      </w:r>
      <w:r w:rsidR="00E57E01" w:rsidRPr="00E57E01">
        <w:rPr>
          <w:noProof/>
          <w:szCs w:val="24"/>
          <w:vertAlign w:val="superscript"/>
          <w:lang w:val="en-GB" w:eastAsia="en-GB"/>
        </w:rPr>
        <w:t>28</w:t>
      </w:r>
      <w:r w:rsidRPr="00EA3DEC">
        <w:rPr>
          <w:szCs w:val="24"/>
          <w:lang w:val="en-GB" w:eastAsia="en-GB"/>
        </w:rPr>
        <w:fldChar w:fldCharType="end"/>
      </w:r>
      <w:r w:rsidRPr="00EA3DEC">
        <w:rPr>
          <w:szCs w:val="24"/>
          <w:lang w:val="en-GB" w:eastAsia="en-GB"/>
        </w:rPr>
        <w:t xml:space="preserve"> was used to summarize the results into a data matrix. Gene expression analyses were performed using the DESeq2 package (version = 1.36.0)</w:t>
      </w:r>
      <w:r w:rsidRPr="00EA3DEC">
        <w:rPr>
          <w:szCs w:val="24"/>
          <w:lang w:val="en-GB" w:eastAsia="en-GB"/>
        </w:rPr>
        <w:fldChar w:fldCharType="begin" w:fldLock="1"/>
      </w:r>
      <w:r w:rsidR="00E57E01">
        <w:rPr>
          <w:szCs w:val="24"/>
          <w:lang w:val="en-GB" w:eastAsia="en-GB"/>
        </w:rPr>
        <w:instrText>ADDIN CSL_CITATION {"citationItems":[{"id":"ITEM-1","itemData":{"DOI":"10.1186/s13059-014-0550-8","ISSN":"1474-760X","abstract":"In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http://www.bioconductor.org/packages/release/bioc/html/DESeq2.html.","author":[{"dropping-particle":"","family":"Love","given":"Michael I","non-dropping-particle":"","parse-names":false,"suffix":""},{"dropping-particle":"","family":"Huber","given":"Wolfgang","non-dropping-particle":"","parse-names":false,"suffix":""},{"dropping-particle":"","family":"Anders","given":"Simon","non-dropping-particle":"","parse-names":false,"suffix":""}],"container-title":"Genome Biology","id":"ITEM-1","issue":"12","issued":{"date-parts":[["2014"]]},"page":"550","title":"Moderated estimation of fold change and dispersion for RNA-seq data with DESeq2","type":"article-journal","volume":"15"},"uris":["http://www.mendeley.com/documents/?uuid=38b2083e-d967-4d1e-930f-f291af8d9ce8"]}],"mendeley":{"formattedCitation":"&lt;sup&gt;29&lt;/sup&gt;","plainTextFormattedCitation":"29","previouslyFormattedCitation":"&lt;sup&gt;29&lt;/sup&gt;"},"properties":{"noteIndex":0},"schema":"https://github.com/citation-style-language/schema/raw/master/csl-citation.json"}</w:instrText>
      </w:r>
      <w:r w:rsidRPr="00EA3DEC">
        <w:rPr>
          <w:szCs w:val="24"/>
          <w:lang w:val="en-GB" w:eastAsia="en-GB"/>
        </w:rPr>
        <w:fldChar w:fldCharType="separate"/>
      </w:r>
      <w:r w:rsidR="00E57E01" w:rsidRPr="00E57E01">
        <w:rPr>
          <w:noProof/>
          <w:szCs w:val="24"/>
          <w:vertAlign w:val="superscript"/>
          <w:lang w:val="en-GB" w:eastAsia="en-GB"/>
        </w:rPr>
        <w:t>29</w:t>
      </w:r>
      <w:r w:rsidRPr="00EA3DEC">
        <w:rPr>
          <w:szCs w:val="24"/>
          <w:lang w:val="en-GB" w:eastAsia="en-GB"/>
        </w:rPr>
        <w:fldChar w:fldCharType="end"/>
      </w:r>
      <w:r w:rsidRPr="00EA3DEC">
        <w:rPr>
          <w:szCs w:val="24"/>
          <w:lang w:val="en-GB" w:eastAsia="en-GB"/>
        </w:rPr>
        <w:t xml:space="preserve"> with pairwise contrasts for the investigated comparisons. Genes with at least 10 counts per group </w:t>
      </w:r>
      <w:proofErr w:type="gramStart"/>
      <w:r w:rsidRPr="00EA3DEC">
        <w:rPr>
          <w:szCs w:val="24"/>
          <w:lang w:val="en-GB" w:eastAsia="en-GB"/>
        </w:rPr>
        <w:t>were considered relevant and retained for further investigations</w:t>
      </w:r>
      <w:proofErr w:type="gramEnd"/>
      <w:r w:rsidRPr="00EA3DEC">
        <w:rPr>
          <w:szCs w:val="24"/>
          <w:lang w:val="en-GB" w:eastAsia="en-GB"/>
        </w:rPr>
        <w:t xml:space="preserve">. To control for multiple testing, a false discovery rate (FDR) of 0.1 </w:t>
      </w:r>
      <w:proofErr w:type="gramStart"/>
      <w:r w:rsidRPr="00EA3DEC">
        <w:rPr>
          <w:szCs w:val="24"/>
          <w:lang w:val="en-GB" w:eastAsia="en-GB"/>
        </w:rPr>
        <w:t>was applied</w:t>
      </w:r>
      <w:proofErr w:type="gramEnd"/>
      <w:r w:rsidRPr="00EA3DEC">
        <w:rPr>
          <w:szCs w:val="24"/>
          <w:lang w:val="en-GB" w:eastAsia="en-GB"/>
        </w:rPr>
        <w:t xml:space="preserve"> for P8 samples and 0.2 for adult samples. Due to the prolonged moderate effects of the treatment, a more permissive FDR value </w:t>
      </w:r>
      <w:proofErr w:type="gramStart"/>
      <w:r w:rsidRPr="00EA3DEC">
        <w:rPr>
          <w:szCs w:val="24"/>
          <w:lang w:val="en-GB" w:eastAsia="en-GB"/>
        </w:rPr>
        <w:t>was applied</w:t>
      </w:r>
      <w:proofErr w:type="gramEnd"/>
      <w:r w:rsidRPr="00EA3DEC">
        <w:rPr>
          <w:szCs w:val="24"/>
          <w:lang w:val="en-GB" w:eastAsia="en-GB"/>
        </w:rPr>
        <w:t xml:space="preserve"> for the pathway analysis in adult samples. Volcano plots to visualize differential gene expression patterns were generated with the </w:t>
      </w:r>
      <w:proofErr w:type="spellStart"/>
      <w:r w:rsidRPr="00EA3DEC">
        <w:rPr>
          <w:szCs w:val="24"/>
          <w:lang w:val="en-GB" w:eastAsia="en-GB"/>
        </w:rPr>
        <w:t>EnhancedVolcano</w:t>
      </w:r>
      <w:proofErr w:type="spellEnd"/>
      <w:r w:rsidRPr="00EA3DEC">
        <w:rPr>
          <w:szCs w:val="24"/>
          <w:lang w:val="en-GB" w:eastAsia="en-GB"/>
        </w:rPr>
        <w:t xml:space="preserve"> R package (version = 1.14.0)</w:t>
      </w:r>
      <w:r w:rsidRPr="00EA3DEC">
        <w:rPr>
          <w:szCs w:val="24"/>
          <w:lang w:val="en-GB" w:eastAsia="en-GB"/>
        </w:rPr>
        <w:fldChar w:fldCharType="begin" w:fldLock="1"/>
      </w:r>
      <w:r w:rsidR="00E57E01">
        <w:rPr>
          <w:szCs w:val="24"/>
          <w:lang w:val="en-GB" w:eastAsia="en-GB"/>
        </w:rPr>
        <w:instrText>ADDIN CSL_CITATION {"citationItems":[{"id":"ITEM-1","itemData":{"author":[{"dropping-particle":"","family":"Blighe","given":"K","non-dropping-particle":"","parse-names":false,"suffix":""},{"dropping-particle":"","family":"Rana","given":"S","non-dropping-particle":"","parse-names":false,"suffix":""},{"dropping-particle":"","family":"Lewis","given":"M","non-dropping-particle":"","parse-names":false,"suffix":""}],"id":"ITEM-1","issued":{"date-parts":[["2018"]]},"title":"EnhancedVolcano: Publication-ready volcano plots with enhanced colouring and labeling.le","type":"webpage"},"uris":["http://www.mendeley.com/documents/?uuid=8ac6b621-314e-4ba3-8cdb-e18772f2b380"]}],"mendeley":{"formattedCitation":"&lt;sup&gt;30&lt;/sup&gt;","plainTextFormattedCitation":"30","previouslyFormattedCitation":"&lt;sup&gt;30&lt;/sup&gt;"},"properties":{"noteIndex":0},"schema":"https://github.com/citation-style-language/schema/raw/master/csl-citation.json"}</w:instrText>
      </w:r>
      <w:r w:rsidRPr="00EA3DEC">
        <w:rPr>
          <w:szCs w:val="24"/>
          <w:lang w:val="en-GB" w:eastAsia="en-GB"/>
        </w:rPr>
        <w:fldChar w:fldCharType="separate"/>
      </w:r>
      <w:r w:rsidR="00E57E01" w:rsidRPr="00E57E01">
        <w:rPr>
          <w:noProof/>
          <w:szCs w:val="24"/>
          <w:vertAlign w:val="superscript"/>
          <w:lang w:val="en-GB" w:eastAsia="en-GB"/>
        </w:rPr>
        <w:t>30</w:t>
      </w:r>
      <w:r w:rsidRPr="00EA3DEC">
        <w:rPr>
          <w:szCs w:val="24"/>
          <w:lang w:val="en-GB" w:eastAsia="en-GB"/>
        </w:rPr>
        <w:fldChar w:fldCharType="end"/>
      </w:r>
      <w:r w:rsidRPr="00EA3DEC">
        <w:rPr>
          <w:szCs w:val="24"/>
          <w:lang w:val="en-GB" w:eastAsia="en-GB"/>
        </w:rPr>
        <w:t xml:space="preserve">. Ranked lists were created from the log2 fold change (log2FC) and p-values of all experimentally investigated genes using signed p-values (rankings = </w:t>
      </w:r>
      <w:proofErr w:type="spellStart"/>
      <w:proofErr w:type="gramStart"/>
      <w:r w:rsidRPr="00EA3DEC">
        <w:rPr>
          <w:szCs w:val="24"/>
          <w:lang w:val="en-GB" w:eastAsia="en-GB"/>
        </w:rPr>
        <w:t>sgn</w:t>
      </w:r>
      <w:proofErr w:type="spellEnd"/>
      <w:r w:rsidRPr="00EA3DEC">
        <w:rPr>
          <w:szCs w:val="24"/>
          <w:lang w:val="en-GB" w:eastAsia="en-GB"/>
        </w:rPr>
        <w:t>(</w:t>
      </w:r>
      <w:proofErr w:type="gramEnd"/>
      <w:r w:rsidRPr="00EA3DEC">
        <w:rPr>
          <w:szCs w:val="24"/>
          <w:lang w:val="en-GB" w:eastAsia="en-GB"/>
        </w:rPr>
        <w:t xml:space="preserve">log2FC * [-log10p-value]). Gene set enrichment analyses were conducted using the </w:t>
      </w:r>
      <w:proofErr w:type="spellStart"/>
      <w:r w:rsidRPr="00EA3DEC">
        <w:rPr>
          <w:szCs w:val="24"/>
          <w:lang w:val="en-GB" w:eastAsia="en-GB"/>
        </w:rPr>
        <w:t>fgsea</w:t>
      </w:r>
      <w:proofErr w:type="spellEnd"/>
      <w:r w:rsidRPr="00EA3DEC">
        <w:rPr>
          <w:szCs w:val="24"/>
          <w:lang w:val="en-GB" w:eastAsia="en-GB"/>
        </w:rPr>
        <w:t xml:space="preserve"> package (version=1.22.0)</w:t>
      </w:r>
      <w:r w:rsidRPr="00EA3DEC">
        <w:rPr>
          <w:szCs w:val="24"/>
          <w:lang w:val="en-GB" w:eastAsia="en-GB"/>
        </w:rPr>
        <w:fldChar w:fldCharType="begin" w:fldLock="1"/>
      </w:r>
      <w:r w:rsidR="00E57E01">
        <w:rPr>
          <w:szCs w:val="24"/>
          <w:lang w:val="en-GB" w:eastAsia="en-GB"/>
        </w:rPr>
        <w:instrText>ADDIN CSL_CITATION {"citationItems":[{"id":"ITEM-1","itemData":{"DOI":"10.1101/060012","abstract":"Gene set enrichment analysis (GSEA) is an ubiquitously used tool for evaluating pathway enrichment in transcriptional data. Typical experimental design consists in comparing two conditions with several replicates using a differential gene expression test followed by preranked GSEA performed against a collection of hundreds and thousands of pathways. However, the reference implementation of this method cannot accurately estimate small P-values, which significantly limits its sensitivity due to multiple hypotheses correction procedure.Here we present FGSEA (Fast Gene Set Enrichment Analysis) method that is able to estimate arbitrarily low GSEA P-values with a high accuracy in a matter of minutes or even seconds. To confirm the accuracy of the method, we also developed an exact algorithm for GSEA P-values calculation for integer gene-level statistics. Using the exact algorithm as a reference we show that FGSEA is able to routinely estimate P-values up to 10−100 with a small and predictable estimation error. We systematically evaluate FGSEA on a collection of 605 datasets and show that FGSEA recovers much more statistically significant pathways compared to other implementations.FGSEA is open source and available as an R package in Bioconductor (http://bioconductor.org/packages/fgsea/) and on GitHub (https://github.com/ctlab/fgsea/).Competing Interest StatementThe authors have declared no competing interest.","author":[{"dropping-particle":"","family":"Korotkevich","given":"Gennady","non-dropping-particle":"","parse-names":false,"suffix":""},{"dropping-particle":"","family":"Sukhov","given":"Vladimir","non-dropping-particle":"","parse-names":false,"suffix":""},{"dropping-particle":"","family":"Budin","given":"Nikolay","non-dropping-particle":"","parse-names":false,"suffix":""},{"dropping-particle":"","family":"Shpak","given":"Boris","non-dropping-particle":"","parse-names":false,"suffix":""},{"dropping-particle":"","family":"Artyomov","given":"Maxim N","non-dropping-particle":"","parse-names":false,"suffix":""},{"dropping-particle":"","family":"Sergushichev","given":"Alexey","non-dropping-particle":"","parse-names":false,"suffix":""}],"container-title":"bioRxiv","id":"ITEM-1","issued":{"date-parts":[["2021","1","1"]]},"page":"60012","title":"Fast gene set enrichment analysis","type":"article-journal"},"uris":["http://www.mendeley.com/documents/?uuid=c7ae5a58-ed8d-4c33-b86f-d09d3bdd759a"]}],"mendeley":{"formattedCitation":"&lt;sup&gt;31&lt;/sup&gt;","plainTextFormattedCitation":"31","previouslyFormattedCitation":"&lt;sup&gt;31&lt;/sup&gt;"},"properties":{"noteIndex":0},"schema":"https://github.com/citation-style-language/schema/raw/master/csl-citation.json"}</w:instrText>
      </w:r>
      <w:r w:rsidRPr="00EA3DEC">
        <w:rPr>
          <w:szCs w:val="24"/>
          <w:lang w:val="en-GB" w:eastAsia="en-GB"/>
        </w:rPr>
        <w:fldChar w:fldCharType="separate"/>
      </w:r>
      <w:r w:rsidR="00E57E01" w:rsidRPr="00E57E01">
        <w:rPr>
          <w:noProof/>
          <w:szCs w:val="24"/>
          <w:vertAlign w:val="superscript"/>
          <w:lang w:val="en-GB" w:eastAsia="en-GB"/>
        </w:rPr>
        <w:t>31</w:t>
      </w:r>
      <w:r w:rsidRPr="00EA3DEC">
        <w:rPr>
          <w:szCs w:val="24"/>
          <w:lang w:val="en-GB" w:eastAsia="en-GB"/>
        </w:rPr>
        <w:fldChar w:fldCharType="end"/>
      </w:r>
      <w:r w:rsidRPr="00EA3DEC">
        <w:rPr>
          <w:szCs w:val="24"/>
          <w:lang w:val="en-GB" w:eastAsia="en-GB"/>
        </w:rPr>
        <w:t xml:space="preserve"> applying Normalized Enrichment Scores (NES), a statistical measure used to evaluate the degree to which a gene set is enriched at the top or bottom of a ranked list of genes. </w:t>
      </w:r>
      <w:proofErr w:type="gramStart"/>
      <w:r w:rsidRPr="00EA3DEC">
        <w:rPr>
          <w:szCs w:val="24"/>
          <w:lang w:val="en-GB" w:eastAsia="en-GB"/>
        </w:rPr>
        <w:t>A positive NES value indicates that the gene set is enriched at the top of the ranked list, suggesting that the genes in this set are more highly expressed (positively correlated with the phenotype of interest), while a negative NES value indicates that the gene set is enriched at the bottom of the ranked list, suggesting that the genes in this set are more lowly expressed (negatively correlated with the phenotype of interest).</w:t>
      </w:r>
      <w:proofErr w:type="gramEnd"/>
      <w:r w:rsidRPr="00EA3DEC">
        <w:rPr>
          <w:szCs w:val="24"/>
          <w:lang w:val="en-GB" w:eastAsia="en-GB"/>
        </w:rPr>
        <w:t xml:space="preserve"> The analyses utilized Gene Ontology: Biological Pathways and Gene Ontology: Molecular Functions gene set collections from the Molecular Signatures Database (</w:t>
      </w:r>
      <w:proofErr w:type="spellStart"/>
      <w:r w:rsidRPr="00EA3DEC">
        <w:rPr>
          <w:szCs w:val="24"/>
          <w:lang w:val="en-GB" w:eastAsia="en-GB"/>
        </w:rPr>
        <w:t>MSigDB</w:t>
      </w:r>
      <w:proofErr w:type="spellEnd"/>
      <w:r w:rsidRPr="00EA3DEC">
        <w:rPr>
          <w:szCs w:val="24"/>
          <w:lang w:val="en-GB" w:eastAsia="en-GB"/>
        </w:rPr>
        <w:t xml:space="preserve">, </w:t>
      </w:r>
      <w:hyperlink r:id="rId9" w:history="1">
        <w:r w:rsidRPr="00EA3DEC">
          <w:rPr>
            <w:szCs w:val="24"/>
            <w:lang w:val="en-GB" w:eastAsia="en-GB"/>
          </w:rPr>
          <w:t>https://www.gsea-msigdb.org/gsea/msigdb/collections.jsp</w:t>
        </w:r>
      </w:hyperlink>
      <w:r w:rsidRPr="00EA3DEC">
        <w:rPr>
          <w:szCs w:val="24"/>
          <w:lang w:val="en-GB" w:eastAsia="en-GB"/>
        </w:rPr>
        <w:t xml:space="preserve">). The analyses </w:t>
      </w:r>
      <w:proofErr w:type="gramStart"/>
      <w:r w:rsidRPr="00EA3DEC">
        <w:rPr>
          <w:szCs w:val="24"/>
          <w:lang w:val="en-GB" w:eastAsia="en-GB"/>
        </w:rPr>
        <w:t>were performed</w:t>
      </w:r>
      <w:proofErr w:type="gramEnd"/>
      <w:r w:rsidRPr="00EA3DEC">
        <w:rPr>
          <w:szCs w:val="24"/>
          <w:lang w:val="en-GB" w:eastAsia="en-GB"/>
        </w:rPr>
        <w:t xml:space="preserve"> using the </w:t>
      </w:r>
      <w:proofErr w:type="spellStart"/>
      <w:r w:rsidRPr="00EA3DEC">
        <w:rPr>
          <w:szCs w:val="24"/>
          <w:lang w:val="en-GB" w:eastAsia="en-GB"/>
        </w:rPr>
        <w:t>fgseaMultilevel</w:t>
      </w:r>
      <w:proofErr w:type="spellEnd"/>
      <w:r w:rsidRPr="00EA3DEC">
        <w:rPr>
          <w:szCs w:val="24"/>
          <w:lang w:val="en-GB" w:eastAsia="en-GB"/>
        </w:rPr>
        <w:t xml:space="preserve"> function, retrieving </w:t>
      </w:r>
      <w:proofErr w:type="spellStart"/>
      <w:r w:rsidRPr="00EA3DEC">
        <w:rPr>
          <w:szCs w:val="24"/>
          <w:lang w:val="en-GB" w:eastAsia="en-GB"/>
        </w:rPr>
        <w:t>Benjamini</w:t>
      </w:r>
      <w:proofErr w:type="spellEnd"/>
      <w:r w:rsidRPr="00EA3DEC">
        <w:rPr>
          <w:szCs w:val="24"/>
          <w:lang w:val="en-GB" w:eastAsia="en-GB"/>
        </w:rPr>
        <w:t xml:space="preserve">-Hochberg correction-adjusted p-values for every pathway. Functional enrichment </w:t>
      </w:r>
      <w:proofErr w:type="spellStart"/>
      <w:r w:rsidRPr="00EA3DEC">
        <w:rPr>
          <w:szCs w:val="24"/>
          <w:lang w:val="en-GB" w:eastAsia="en-GB"/>
        </w:rPr>
        <w:t>dotplots</w:t>
      </w:r>
      <w:proofErr w:type="spellEnd"/>
      <w:r w:rsidRPr="00EA3DEC">
        <w:rPr>
          <w:szCs w:val="24"/>
          <w:lang w:val="en-GB" w:eastAsia="en-GB"/>
        </w:rPr>
        <w:t xml:space="preserve"> and pairwise similarity plots were generated using the </w:t>
      </w:r>
      <w:proofErr w:type="spellStart"/>
      <w:r w:rsidRPr="00EA3DEC">
        <w:rPr>
          <w:szCs w:val="24"/>
          <w:lang w:val="en-GB" w:eastAsia="en-GB"/>
        </w:rPr>
        <w:t>clusterProfiler</w:t>
      </w:r>
      <w:proofErr w:type="spellEnd"/>
      <w:r w:rsidRPr="00EA3DEC">
        <w:rPr>
          <w:szCs w:val="24"/>
          <w:lang w:val="en-GB" w:eastAsia="en-GB"/>
        </w:rPr>
        <w:t xml:space="preserve"> (version = 4.4.4) and </w:t>
      </w:r>
      <w:proofErr w:type="spellStart"/>
      <w:r w:rsidRPr="00EA3DEC">
        <w:rPr>
          <w:szCs w:val="24"/>
          <w:lang w:val="en-GB" w:eastAsia="en-GB"/>
        </w:rPr>
        <w:t>enrichplot</w:t>
      </w:r>
      <w:proofErr w:type="spellEnd"/>
      <w:r w:rsidRPr="00EA3DEC">
        <w:rPr>
          <w:szCs w:val="24"/>
          <w:lang w:val="en-GB" w:eastAsia="en-GB"/>
        </w:rPr>
        <w:t xml:space="preserve"> R packages (version = 1.16.2)</w:t>
      </w:r>
      <w:r w:rsidRPr="00EA3DEC">
        <w:rPr>
          <w:szCs w:val="24"/>
          <w:lang w:val="en-GB" w:eastAsia="en-GB"/>
        </w:rPr>
        <w:fldChar w:fldCharType="begin" w:fldLock="1"/>
      </w:r>
      <w:r w:rsidR="00E57E01">
        <w:rPr>
          <w:szCs w:val="24"/>
          <w:lang w:val="en-GB" w:eastAsia="en-GB"/>
        </w:rPr>
        <w:instrText>ADDIN CSL_CITATION {"citationItems":[{"id":"ITEM-1","itemData":{"DOI":"10.1016/j.xinn.2021.100141","ISSN":"2666-6758 (Electronic)","PMID":"34557778","abstract":"Functional enrichment analysis is pivotal for interpreting high-throughput omics  data in life science. It is crucial for this type of tool to use the latest annotation databases for as many organisms as possible. To meet these requirements, we present here an updated version of our popular Bioconductor package, clusterProfiler 4.0. This package has been enhanced considerably compared with its original version published 9 years ago. The new version provides a universal interface for functional enrichment analysis in thousands of organisms based on internally supported ontologies and pathways as well as annotation data provided by users or derived from online databases. It also extends the dplyr and ggplot2 packages to offer tidy interfaces for data operation and visualization. Other new features include gene set enrichment analysis and comparison of enrichment results from multiple gene lists. We anticipate that clusterProfiler 4.0 will be applied to a wide range of scenarios across diverse organisms.","author":[{"dropping-particle":"","family":"Wu","given":"Tianzhi","non-dropping-particle":"","parse-names":false,"suffix":""},{"dropping-particle":"","family":"Hu","given":"Erqiang","non-dropping-particle":"","parse-names":false,"suffix":""},{"dropping-particle":"","family":"Xu","given":"Shuangbin","non-dropping-particle":"","parse-names":false,"suffix":""},{"dropping-particle":"","family":"Chen","given":"Meijun","non-dropping-particle":"","parse-names":false,"suffix":""},{"dropping-particle":"","family":"Guo","given":"Pingfan","non-dropping-particle":"","parse-names":false,"suffix":""},{"dropping-particle":"","family":"Dai","given":"Zehan","non-dropping-particle":"","parse-names":false,"suffix":""},{"dropping-particle":"","family":"Feng","given":"Tingze","non-dropping-particle":"","parse-names":false,"suffix":""},{"dropping-particle":"","family":"Zhou","given":"Lang","non-dropping-particle":"","parse-names":false,"suffix":""},{"dropping-particle":"","family":"Tang","given":"Wenli","non-dropping-particle":"","parse-names":false,"suffix":""},{"dropping-particle":"","family":"Zhan","given":"Li","non-dropping-particle":"","parse-names":false,"suffix":""},{"dropping-particle":"","family":"Fu","given":"Xiaocong","non-dropping-particle":"","parse-names":false,"suffix":""},{"dropping-particle":"","family":"Liu","given":"Shanshan","non-dropping-particle":"","parse-names":false,"suffix":""},{"dropping-particle":"","family":"Bo","given":"Xiaochen","non-dropping-particle":"","parse-names":false,"suffix":""},{"dropping-particle":"","family":"Yu","given":"Guangchuang","non-dropping-particle":"","parse-names":false,"suffix":""}],"container-title":"Innovation (Cambridge (Mass.))","id":"ITEM-1","issue":"3","issued":{"date-parts":[["2021","8"]]},"language":"eng","page":"100141","publisher-place":"United States","title":"clusterProfiler 4.0: A universal enrichment tool for interpreting omics data.","type":"article-journal","volume":"2"},"uris":["http://www.mendeley.com/documents/?uuid=b76f199a-a827-4ad4-93e6-4c39d52317fe"]}],"mendeley":{"formattedCitation":"&lt;sup&gt;32&lt;/sup&gt;","plainTextFormattedCitation":"32","previouslyFormattedCitation":"&lt;sup&gt;32&lt;/sup&gt;"},"properties":{"noteIndex":0},"schema":"https://github.com/citation-style-language/schema/raw/master/csl-citation.json"}</w:instrText>
      </w:r>
      <w:r w:rsidRPr="00EA3DEC">
        <w:rPr>
          <w:szCs w:val="24"/>
          <w:lang w:val="en-GB" w:eastAsia="en-GB"/>
        </w:rPr>
        <w:fldChar w:fldCharType="separate"/>
      </w:r>
      <w:r w:rsidR="00E57E01" w:rsidRPr="00E57E01">
        <w:rPr>
          <w:noProof/>
          <w:szCs w:val="24"/>
          <w:vertAlign w:val="superscript"/>
          <w:lang w:val="en-GB" w:eastAsia="en-GB"/>
        </w:rPr>
        <w:t>32</w:t>
      </w:r>
      <w:r w:rsidRPr="00EA3DEC">
        <w:rPr>
          <w:szCs w:val="24"/>
          <w:lang w:val="en-GB" w:eastAsia="en-GB"/>
        </w:rPr>
        <w:fldChar w:fldCharType="end"/>
      </w:r>
      <w:r w:rsidRPr="00EA3DEC">
        <w:rPr>
          <w:szCs w:val="24"/>
          <w:lang w:val="en-GB" w:eastAsia="en-GB"/>
        </w:rPr>
        <w:t xml:space="preserve">. On the </w:t>
      </w:r>
      <w:proofErr w:type="spellStart"/>
      <w:r w:rsidRPr="00EA3DEC">
        <w:rPr>
          <w:szCs w:val="24"/>
          <w:lang w:val="en-GB" w:eastAsia="en-GB"/>
        </w:rPr>
        <w:t>dotplots</w:t>
      </w:r>
      <w:proofErr w:type="spellEnd"/>
      <w:r w:rsidRPr="00EA3DEC">
        <w:rPr>
          <w:szCs w:val="24"/>
          <w:lang w:val="en-GB" w:eastAsia="en-GB"/>
        </w:rPr>
        <w:t xml:space="preserve"> gene sets with NES &gt; 0 (“activated”) </w:t>
      </w:r>
      <w:proofErr w:type="gramStart"/>
      <w:r w:rsidRPr="00EA3DEC">
        <w:rPr>
          <w:szCs w:val="24"/>
          <w:lang w:val="en-GB" w:eastAsia="en-GB"/>
        </w:rPr>
        <w:t>are enriched</w:t>
      </w:r>
      <w:proofErr w:type="gramEnd"/>
      <w:r w:rsidRPr="00EA3DEC">
        <w:rPr>
          <w:szCs w:val="24"/>
          <w:lang w:val="en-GB" w:eastAsia="en-GB"/>
        </w:rPr>
        <w:t xml:space="preserve"> for genes with positive signed p-values (upregulated). In contrast, gene sets with NES &lt; 0 (“suppressed”) </w:t>
      </w:r>
      <w:proofErr w:type="gramStart"/>
      <w:r w:rsidRPr="00EA3DEC">
        <w:rPr>
          <w:szCs w:val="24"/>
          <w:lang w:val="en-GB" w:eastAsia="en-GB"/>
        </w:rPr>
        <w:t>are enriched</w:t>
      </w:r>
      <w:proofErr w:type="gramEnd"/>
      <w:r w:rsidRPr="00EA3DEC">
        <w:rPr>
          <w:szCs w:val="24"/>
          <w:lang w:val="en-GB" w:eastAsia="en-GB"/>
        </w:rPr>
        <w:t xml:space="preserve"> for genes with negative signed p-values (downregulated) in the phenotype of interest. Pairwise similarity calculations are based on computing </w:t>
      </w:r>
      <w:proofErr w:type="spellStart"/>
      <w:r w:rsidRPr="00EA3DEC">
        <w:rPr>
          <w:szCs w:val="24"/>
          <w:lang w:val="en-GB" w:eastAsia="en-GB"/>
        </w:rPr>
        <w:t>Jaccard</w:t>
      </w:r>
      <w:proofErr w:type="spellEnd"/>
      <w:r w:rsidRPr="00EA3DEC">
        <w:rPr>
          <w:szCs w:val="24"/>
          <w:lang w:val="en-GB" w:eastAsia="en-GB"/>
        </w:rPr>
        <w:t xml:space="preserve"> similarity indices between all enriched terms using their gene sets (</w:t>
      </w:r>
      <w:proofErr w:type="spellStart"/>
      <w:r w:rsidRPr="00EA3DEC">
        <w:rPr>
          <w:szCs w:val="24"/>
          <w:lang w:val="en-GB" w:eastAsia="en-GB"/>
        </w:rPr>
        <w:t>Jaccard</w:t>
      </w:r>
      <w:proofErr w:type="spellEnd"/>
      <w:r w:rsidRPr="00EA3DEC">
        <w:rPr>
          <w:szCs w:val="24"/>
          <w:lang w:val="en-GB" w:eastAsia="en-GB"/>
        </w:rPr>
        <w:t xml:space="preserve"> = Number of shared genes between two terms/Total unique genes in both terms). The similarity matrix </w:t>
      </w:r>
      <w:proofErr w:type="gramStart"/>
      <w:r w:rsidRPr="00EA3DEC">
        <w:rPr>
          <w:szCs w:val="24"/>
          <w:lang w:val="en-GB" w:eastAsia="en-GB"/>
        </w:rPr>
        <w:t>was used</w:t>
      </w:r>
      <w:proofErr w:type="gramEnd"/>
      <w:r w:rsidRPr="00EA3DEC">
        <w:rPr>
          <w:szCs w:val="24"/>
          <w:lang w:val="en-GB" w:eastAsia="en-GB"/>
        </w:rPr>
        <w:t xml:space="preserve"> to perform hierarchical clustering using the </w:t>
      </w:r>
      <w:proofErr w:type="spellStart"/>
      <w:r w:rsidRPr="00EA3DEC">
        <w:rPr>
          <w:szCs w:val="24"/>
          <w:lang w:val="en-GB" w:eastAsia="en-GB"/>
        </w:rPr>
        <w:t>hclust</w:t>
      </w:r>
      <w:proofErr w:type="spellEnd"/>
      <w:r w:rsidRPr="00EA3DEC">
        <w:rPr>
          <w:szCs w:val="24"/>
          <w:lang w:val="en-GB" w:eastAsia="en-GB"/>
        </w:rPr>
        <w:t xml:space="preserve"> clustering method.</w:t>
      </w:r>
    </w:p>
    <w:p w:rsidR="002C1D22" w:rsidRPr="00EA3DEC" w:rsidRDefault="002C1D22" w:rsidP="002C1D22">
      <w:pPr>
        <w:pStyle w:val="Heading3"/>
        <w:rPr>
          <w:color w:val="auto"/>
        </w:rPr>
      </w:pPr>
      <w:r w:rsidRPr="00EA3DEC">
        <w:rPr>
          <w:color w:val="auto"/>
        </w:rPr>
        <w:t>Statistical analysis</w:t>
      </w:r>
    </w:p>
    <w:p w:rsidR="002C1D22" w:rsidRPr="00EA3DEC" w:rsidRDefault="002C1D22" w:rsidP="002C1D22">
      <w:pPr>
        <w:rPr>
          <w:szCs w:val="24"/>
          <w:lang w:val="en-GB" w:eastAsia="en-GB"/>
        </w:rPr>
      </w:pPr>
      <w:proofErr w:type="gramStart"/>
      <w:r w:rsidRPr="00EA3DEC">
        <w:rPr>
          <w:szCs w:val="24"/>
          <w:lang w:val="en-GB" w:eastAsia="en-GB"/>
        </w:rPr>
        <w:t>Group allocation was performed by an experimenter not involved in data collection or analysis</w:t>
      </w:r>
      <w:proofErr w:type="gramEnd"/>
      <w:r w:rsidRPr="00EA3DEC">
        <w:rPr>
          <w:szCs w:val="24"/>
          <w:lang w:val="en-GB" w:eastAsia="en-GB"/>
        </w:rPr>
        <w:t xml:space="preserve">. During the experiments, investigators administering IL-1RA treatment and performing behavioural tests </w:t>
      </w:r>
      <w:proofErr w:type="gramStart"/>
      <w:r w:rsidRPr="00EA3DEC">
        <w:rPr>
          <w:szCs w:val="24"/>
          <w:lang w:val="en-GB" w:eastAsia="en-GB"/>
        </w:rPr>
        <w:t>were blinded</w:t>
      </w:r>
      <w:proofErr w:type="gramEnd"/>
      <w:r w:rsidRPr="00EA3DEC">
        <w:rPr>
          <w:szCs w:val="24"/>
          <w:lang w:val="en-GB" w:eastAsia="en-GB"/>
        </w:rPr>
        <w:t xml:space="preserve"> to group allocation. Outcome assessments, including histological, imaging, and molecular analyses, </w:t>
      </w:r>
      <w:proofErr w:type="gramStart"/>
      <w:r w:rsidRPr="00EA3DEC">
        <w:rPr>
          <w:szCs w:val="24"/>
          <w:lang w:val="en-GB" w:eastAsia="en-GB"/>
        </w:rPr>
        <w:t>were conducted</w:t>
      </w:r>
      <w:proofErr w:type="gramEnd"/>
      <w:r w:rsidRPr="00EA3DEC">
        <w:rPr>
          <w:szCs w:val="24"/>
          <w:lang w:val="en-GB" w:eastAsia="en-GB"/>
        </w:rPr>
        <w:t xml:space="preserve"> in a blinded manner, until all statistical tests were completed. Sample size determination </w:t>
      </w:r>
      <w:proofErr w:type="gramStart"/>
      <w:r w:rsidRPr="00EA3DEC">
        <w:rPr>
          <w:szCs w:val="24"/>
          <w:lang w:val="en-GB" w:eastAsia="en-GB"/>
        </w:rPr>
        <w:t>was based</w:t>
      </w:r>
      <w:proofErr w:type="gramEnd"/>
      <w:r w:rsidRPr="00EA3DEC">
        <w:rPr>
          <w:szCs w:val="24"/>
          <w:lang w:val="en-GB" w:eastAsia="en-GB"/>
        </w:rPr>
        <w:t xml:space="preserve"> on pilot data and prior studies of our lab, and previous publications using similar behavioural paradigms. Power analyses were conducted using G*Power 3.1.9.7, with an alpha level of 0.05, and a power (1–β) of 0.7, in line with commonly accepted standards. Behavioural data from males and females were collected and analysed independently, at no point were sexes pooled or mixed within groups for analysis. Behavioural testing and adult molecular/histological analyses </w:t>
      </w:r>
      <w:proofErr w:type="gramStart"/>
      <w:r w:rsidRPr="00EA3DEC">
        <w:rPr>
          <w:szCs w:val="24"/>
          <w:lang w:val="en-GB" w:eastAsia="en-GB"/>
        </w:rPr>
        <w:t>were performed</w:t>
      </w:r>
      <w:proofErr w:type="gramEnd"/>
      <w:r w:rsidRPr="00EA3DEC">
        <w:rPr>
          <w:szCs w:val="24"/>
          <w:lang w:val="en-GB" w:eastAsia="en-GB"/>
        </w:rPr>
        <w:t xml:space="preserve"> in independent cohorts to avoid confounding effects from prior testing. Animals </w:t>
      </w:r>
      <w:proofErr w:type="gramStart"/>
      <w:r w:rsidRPr="00EA3DEC">
        <w:rPr>
          <w:szCs w:val="24"/>
          <w:lang w:val="en-GB" w:eastAsia="en-GB"/>
        </w:rPr>
        <w:t>were excluded</w:t>
      </w:r>
      <w:proofErr w:type="gramEnd"/>
      <w:r w:rsidRPr="00EA3DEC">
        <w:rPr>
          <w:szCs w:val="24"/>
          <w:lang w:val="en-GB" w:eastAsia="en-GB"/>
        </w:rPr>
        <w:t xml:space="preserve"> if they exhibited signs of illness or if technical problems prevented reliable data collection. For behavioural testing, animals failing to engage with the task were excluded (e.g., one animal was excluded for </w:t>
      </w:r>
      <w:proofErr w:type="spellStart"/>
      <w:r w:rsidRPr="00EA3DEC">
        <w:rPr>
          <w:szCs w:val="24"/>
          <w:lang w:val="en-GB" w:eastAsia="en-GB"/>
        </w:rPr>
        <w:t>unability</w:t>
      </w:r>
      <w:proofErr w:type="spellEnd"/>
      <w:r w:rsidRPr="00EA3DEC">
        <w:rPr>
          <w:szCs w:val="24"/>
          <w:lang w:val="en-GB" w:eastAsia="en-GB"/>
        </w:rPr>
        <w:t xml:space="preserve"> to do </w:t>
      </w:r>
      <w:proofErr w:type="spellStart"/>
      <w:r w:rsidRPr="00EA3DEC">
        <w:rPr>
          <w:szCs w:val="24"/>
          <w:lang w:val="en-GB" w:eastAsia="en-GB"/>
        </w:rPr>
        <w:t>nosepokes</w:t>
      </w:r>
      <w:proofErr w:type="spellEnd"/>
      <w:r w:rsidRPr="00EA3DEC">
        <w:rPr>
          <w:szCs w:val="24"/>
          <w:lang w:val="en-GB" w:eastAsia="en-GB"/>
        </w:rPr>
        <w:t xml:space="preserve"> in the 5-CSRTT). Outlier data points (more than 2 SDs from the group mean) </w:t>
      </w:r>
      <w:proofErr w:type="gramStart"/>
      <w:r w:rsidRPr="00EA3DEC">
        <w:rPr>
          <w:szCs w:val="24"/>
          <w:lang w:val="en-GB" w:eastAsia="en-GB"/>
        </w:rPr>
        <w:t>were assessed for technical errors and removed when justified (Supplementary table 7)</w:t>
      </w:r>
      <w:proofErr w:type="gramEnd"/>
      <w:r w:rsidRPr="00EA3DEC">
        <w:rPr>
          <w:szCs w:val="24"/>
          <w:lang w:val="en-GB" w:eastAsia="en-GB"/>
        </w:rPr>
        <w:t xml:space="preserve">. For normality </w:t>
      </w:r>
      <w:proofErr w:type="gramStart"/>
      <w:r w:rsidRPr="00EA3DEC">
        <w:rPr>
          <w:szCs w:val="24"/>
          <w:lang w:val="en-GB" w:eastAsia="en-GB"/>
        </w:rPr>
        <w:t>assessment</w:t>
      </w:r>
      <w:proofErr w:type="gramEnd"/>
      <w:r w:rsidRPr="00EA3DEC">
        <w:rPr>
          <w:szCs w:val="24"/>
          <w:lang w:val="en-GB" w:eastAsia="en-GB"/>
        </w:rPr>
        <w:t xml:space="preserve"> </w:t>
      </w:r>
      <w:proofErr w:type="spellStart"/>
      <w:r w:rsidRPr="00EA3DEC">
        <w:rPr>
          <w:szCs w:val="24"/>
          <w:lang w:val="en-GB" w:eastAsia="en-GB"/>
        </w:rPr>
        <w:t>GraphPad</w:t>
      </w:r>
      <w:proofErr w:type="spellEnd"/>
      <w:r w:rsidRPr="00EA3DEC">
        <w:rPr>
          <w:szCs w:val="24"/>
          <w:lang w:val="en-GB" w:eastAsia="en-GB"/>
        </w:rPr>
        <w:t xml:space="preserve"> Prism (version 8.0.1, </w:t>
      </w:r>
      <w:proofErr w:type="spellStart"/>
      <w:r w:rsidRPr="00EA3DEC">
        <w:rPr>
          <w:szCs w:val="24"/>
          <w:lang w:val="en-GB" w:eastAsia="en-GB"/>
        </w:rPr>
        <w:t>GraphPad</w:t>
      </w:r>
      <w:proofErr w:type="spellEnd"/>
      <w:r w:rsidRPr="00EA3DEC">
        <w:rPr>
          <w:szCs w:val="24"/>
          <w:lang w:val="en-GB" w:eastAsia="en-GB"/>
        </w:rPr>
        <w:t xml:space="preserve"> Prism Software Inc., USA) and Python (version 3.10.0, https://www.python.org/) with </w:t>
      </w:r>
      <w:proofErr w:type="spellStart"/>
      <w:r w:rsidRPr="00EA3DEC">
        <w:rPr>
          <w:i/>
          <w:szCs w:val="24"/>
          <w:lang w:val="en-GB" w:eastAsia="en-GB"/>
        </w:rPr>
        <w:t>numpy</w:t>
      </w:r>
      <w:proofErr w:type="spellEnd"/>
      <w:r w:rsidRPr="00EA3DEC">
        <w:rPr>
          <w:szCs w:val="24"/>
          <w:lang w:val="en-GB" w:eastAsia="en-GB"/>
        </w:rPr>
        <w:t xml:space="preserve"> 1.26.4, </w:t>
      </w:r>
      <w:r w:rsidRPr="00EA3DEC">
        <w:rPr>
          <w:i/>
          <w:szCs w:val="24"/>
          <w:lang w:val="en-GB" w:eastAsia="en-GB"/>
        </w:rPr>
        <w:t>pandas</w:t>
      </w:r>
      <w:r w:rsidRPr="00EA3DEC">
        <w:rPr>
          <w:szCs w:val="24"/>
          <w:lang w:val="en-GB" w:eastAsia="en-GB"/>
        </w:rPr>
        <w:t xml:space="preserve"> 1.5.3, and </w:t>
      </w:r>
      <w:proofErr w:type="spellStart"/>
      <w:r w:rsidRPr="00EA3DEC">
        <w:rPr>
          <w:i/>
          <w:szCs w:val="24"/>
          <w:lang w:val="en-GB" w:eastAsia="en-GB"/>
        </w:rPr>
        <w:t>scipy</w:t>
      </w:r>
      <w:proofErr w:type="spellEnd"/>
      <w:r w:rsidRPr="00EA3DEC">
        <w:rPr>
          <w:szCs w:val="24"/>
          <w:lang w:val="en-GB" w:eastAsia="en-GB"/>
        </w:rPr>
        <w:t xml:space="preserve"> 1.10.1 were used. In the case of synaptic </w:t>
      </w:r>
      <w:proofErr w:type="spellStart"/>
      <w:r w:rsidRPr="00EA3DEC">
        <w:rPr>
          <w:szCs w:val="24"/>
          <w:lang w:val="en-GB" w:eastAsia="en-GB"/>
        </w:rPr>
        <w:t>boutons</w:t>
      </w:r>
      <w:proofErr w:type="spellEnd"/>
      <w:r w:rsidRPr="00EA3DEC">
        <w:rPr>
          <w:szCs w:val="24"/>
          <w:lang w:val="en-GB" w:eastAsia="en-GB"/>
        </w:rPr>
        <w:t xml:space="preserve"> and microglia, outliers were excluded from visualisation using the ROUT method (Q = 5%). </w:t>
      </w:r>
      <w:r w:rsidRPr="00EA3DEC">
        <w:rPr>
          <w:b/>
        </w:rPr>
        <w:br w:type="page"/>
      </w:r>
    </w:p>
    <w:p w:rsidR="002C1D22" w:rsidRPr="00EA3DEC" w:rsidRDefault="002C1D22" w:rsidP="002C1D22">
      <w:pPr>
        <w:pStyle w:val="Heading1"/>
        <w:spacing w:before="0" w:after="0"/>
        <w:rPr>
          <w:rFonts w:cs="Times New Roman"/>
          <w:color w:val="auto"/>
        </w:rPr>
      </w:pPr>
      <w:r w:rsidRPr="00EA3DEC">
        <w:rPr>
          <w:rFonts w:cs="Times New Roman"/>
          <w:color w:val="auto"/>
        </w:rPr>
        <w:t>Supplementary figures and legends</w:t>
      </w:r>
    </w:p>
    <w:p w:rsidR="002C1D22" w:rsidRPr="00EA3DEC" w:rsidRDefault="002C1D22" w:rsidP="002C1D22">
      <w:pPr>
        <w:pStyle w:val="NormalWeb"/>
        <w:spacing w:before="0" w:beforeAutospacing="0" w:after="0" w:afterAutospacing="0"/>
        <w:rPr>
          <w:rFonts w:cs="Times New Roman"/>
          <w:b/>
          <w:bCs/>
        </w:rPr>
      </w:pPr>
      <w:r w:rsidRPr="00EA3DEC">
        <w:rPr>
          <w:rFonts w:cs="Times New Roman"/>
          <w:b/>
          <w:bCs/>
          <w:noProof/>
          <w:lang w:val="hu-HU" w:eastAsia="hu-HU"/>
        </w:rPr>
        <w:drawing>
          <wp:inline distT="0" distB="0" distL="0" distR="0" wp14:anchorId="39517C5E" wp14:editId="061CF852">
            <wp:extent cx="5760720" cy="7863840"/>
            <wp:effectExtent l="0" t="0" r="0" b="3810"/>
            <wp:docPr id="6" name="Picture 6"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s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7863840"/>
                    </a:xfrm>
                    <a:prstGeom prst="rect">
                      <a:avLst/>
                    </a:prstGeom>
                    <a:noFill/>
                    <a:ln>
                      <a:noFill/>
                    </a:ln>
                  </pic:spPr>
                </pic:pic>
              </a:graphicData>
            </a:graphic>
          </wp:inline>
        </w:drawing>
      </w:r>
    </w:p>
    <w:p w:rsidR="002C1D22" w:rsidRPr="00EA3DEC" w:rsidRDefault="002C1D22" w:rsidP="002C1D22">
      <w:pPr>
        <w:pStyle w:val="NormalWeb"/>
        <w:spacing w:before="0" w:beforeAutospacing="0" w:after="0" w:afterAutospacing="0"/>
        <w:rPr>
          <w:rFonts w:cs="Times New Roman"/>
        </w:rPr>
      </w:pPr>
      <w:r w:rsidRPr="00EA3DEC">
        <w:rPr>
          <w:rFonts w:cs="Times New Roman"/>
          <w:b/>
          <w:bCs/>
        </w:rPr>
        <w:t xml:space="preserve">Supplementary Figure 1 Long-Term Behavioural Consequences of the PA Insult in Males. </w:t>
      </w:r>
      <w:r w:rsidRPr="00EA3DEC">
        <w:rPr>
          <w:rFonts w:cs="Times New Roman"/>
          <w:bCs/>
        </w:rPr>
        <w:t>(</w:t>
      </w:r>
      <w:r w:rsidRPr="00EA3DEC">
        <w:rPr>
          <w:rFonts w:cs="Times New Roman"/>
          <w:b/>
          <w:bCs/>
        </w:rPr>
        <w:t>A</w:t>
      </w:r>
      <w:r w:rsidRPr="00EA3DEC">
        <w:rPr>
          <w:rFonts w:cs="Times New Roman"/>
          <w:bCs/>
        </w:rPr>
        <w:t>)</w:t>
      </w:r>
      <w:r w:rsidRPr="00EA3DEC">
        <w:rPr>
          <w:rFonts w:cs="Times New Roman"/>
          <w:b/>
          <w:bCs/>
        </w:rPr>
        <w:t xml:space="preserve"> </w:t>
      </w:r>
      <w:r w:rsidRPr="00EA3DEC">
        <w:rPr>
          <w:rFonts w:cs="Times New Roman"/>
        </w:rPr>
        <w:t>PA animals showed no difference in ultrasonic vocalization spectral frequency compared to control. (</w:t>
      </w:r>
      <w:r w:rsidRPr="00EA3DEC">
        <w:rPr>
          <w:rFonts w:cs="Times New Roman"/>
          <w:b/>
        </w:rPr>
        <w:t>B-C</w:t>
      </w:r>
      <w:r w:rsidRPr="00EA3DEC">
        <w:rPr>
          <w:rFonts w:cs="Times New Roman"/>
        </w:rPr>
        <w:t>) PA animals showed decreased open arm frequency in the EPM (</w:t>
      </w:r>
      <w:proofErr w:type="gramStart"/>
      <w:r w:rsidRPr="00EA3DEC">
        <w:rPr>
          <w:rFonts w:cs="Times New Roman"/>
          <w:i/>
        </w:rPr>
        <w:t>t</w:t>
      </w:r>
      <w:r w:rsidRPr="00EA3DEC">
        <w:rPr>
          <w:rFonts w:cs="Times New Roman"/>
        </w:rPr>
        <w:t>(</w:t>
      </w:r>
      <w:proofErr w:type="gramEnd"/>
      <w:r w:rsidRPr="00EA3DEC">
        <w:rPr>
          <w:rFonts w:cs="Times New Roman"/>
        </w:rPr>
        <w:t xml:space="preserve">15)=2.771, </w:t>
      </w:r>
      <w:r w:rsidRPr="00EA3DEC">
        <w:rPr>
          <w:rFonts w:cs="Times New Roman"/>
          <w:i/>
        </w:rPr>
        <w:t>p=</w:t>
      </w:r>
      <w:r w:rsidRPr="00EA3DEC">
        <w:rPr>
          <w:rFonts w:cs="Times New Roman"/>
        </w:rPr>
        <w:t>0.014), but no difference in distance moved, suggesting an intact neuro-motor apparatus. (</w:t>
      </w:r>
      <w:r w:rsidRPr="00EA3DEC">
        <w:rPr>
          <w:rFonts w:cs="Times New Roman"/>
          <w:b/>
        </w:rPr>
        <w:t>D-H</w:t>
      </w:r>
      <w:r w:rsidRPr="00EA3DEC">
        <w:rPr>
          <w:rFonts w:cs="Times New Roman"/>
        </w:rPr>
        <w:t xml:space="preserve">) PA animals showed no apparent deficits during juvenile </w:t>
      </w:r>
      <w:proofErr w:type="spellStart"/>
      <w:r w:rsidRPr="00EA3DEC">
        <w:rPr>
          <w:rFonts w:cs="Times New Roman"/>
        </w:rPr>
        <w:t>playfight</w:t>
      </w:r>
      <w:proofErr w:type="spellEnd"/>
      <w:r w:rsidRPr="00EA3DEC">
        <w:rPr>
          <w:rFonts w:cs="Times New Roman"/>
        </w:rPr>
        <w:t xml:space="preserve"> test, and resident-intruder test. (</w:t>
      </w:r>
      <w:r w:rsidRPr="00EA3DEC">
        <w:rPr>
          <w:rFonts w:cs="Times New Roman"/>
          <w:b/>
        </w:rPr>
        <w:t>I</w:t>
      </w:r>
      <w:r w:rsidRPr="00EA3DEC">
        <w:rPr>
          <w:rFonts w:cs="Times New Roman"/>
        </w:rPr>
        <w:t xml:space="preserve">) During the learning phase of the delay discounting test, there was a significant increase in large reward preference (test day </w:t>
      </w:r>
      <w:proofErr w:type="gramStart"/>
      <w:r w:rsidRPr="00EA3DEC">
        <w:rPr>
          <w:rFonts w:cs="Times New Roman"/>
          <w:i/>
        </w:rPr>
        <w:t>F</w:t>
      </w:r>
      <w:r w:rsidRPr="00EA3DEC">
        <w:rPr>
          <w:rFonts w:cs="Times New Roman"/>
        </w:rPr>
        <w:t>(</w:t>
      </w:r>
      <w:proofErr w:type="gramEnd"/>
      <w:r w:rsidRPr="00EA3DEC">
        <w:rPr>
          <w:rFonts w:cs="Times New Roman"/>
        </w:rPr>
        <w:t xml:space="preserve">2.387, 35.81)= 31.65, </w:t>
      </w:r>
      <w:r w:rsidRPr="00EA3DEC">
        <w:rPr>
          <w:rFonts w:cs="Times New Roman"/>
          <w:i/>
        </w:rPr>
        <w:t>p&lt;</w:t>
      </w:r>
      <w:r w:rsidRPr="00EA3DEC">
        <w:rPr>
          <w:rFonts w:cs="Times New Roman"/>
        </w:rPr>
        <w:t xml:space="preserve">0.001; treatment </w:t>
      </w:r>
      <w:r w:rsidRPr="00EA3DEC">
        <w:rPr>
          <w:rFonts w:cs="Times New Roman"/>
          <w:i/>
        </w:rPr>
        <w:t>F</w:t>
      </w:r>
      <w:r w:rsidRPr="00EA3DEC">
        <w:rPr>
          <w:rFonts w:cs="Times New Roman"/>
        </w:rPr>
        <w:t xml:space="preserve">(1, 15)= 2.31, </w:t>
      </w:r>
      <w:r w:rsidRPr="00EA3DEC">
        <w:rPr>
          <w:rFonts w:cs="Times New Roman"/>
          <w:i/>
        </w:rPr>
        <w:t>p=</w:t>
      </w:r>
      <w:r w:rsidRPr="00EA3DEC">
        <w:rPr>
          <w:rFonts w:cs="Times New Roman"/>
        </w:rPr>
        <w:t xml:space="preserve">0.149; test day × treatment interaction </w:t>
      </w:r>
      <w:r w:rsidRPr="00EA3DEC">
        <w:rPr>
          <w:rFonts w:cs="Times New Roman"/>
          <w:i/>
        </w:rPr>
        <w:t>F</w:t>
      </w:r>
      <w:r w:rsidRPr="00EA3DEC">
        <w:rPr>
          <w:rFonts w:cs="Times New Roman"/>
        </w:rPr>
        <w:t xml:space="preserve">(4, 60)= 0.842, </w:t>
      </w:r>
      <w:r w:rsidRPr="00EA3DEC">
        <w:rPr>
          <w:rFonts w:cs="Times New Roman"/>
          <w:i/>
        </w:rPr>
        <w:t>p=</w:t>
      </w:r>
      <w:r w:rsidRPr="00EA3DEC">
        <w:rPr>
          <w:rFonts w:cs="Times New Roman"/>
        </w:rPr>
        <w:t>0.5). (</w:t>
      </w:r>
      <w:r w:rsidRPr="00EA3DEC">
        <w:rPr>
          <w:rFonts w:cs="Times New Roman"/>
          <w:b/>
        </w:rPr>
        <w:t>J</w:t>
      </w:r>
      <w:r w:rsidRPr="00EA3DEC">
        <w:rPr>
          <w:rFonts w:cs="Times New Roman"/>
        </w:rPr>
        <w:t xml:space="preserve">) Experimental groups showed similar Go </w:t>
      </w:r>
      <w:proofErr w:type="gramStart"/>
      <w:r w:rsidRPr="00EA3DEC">
        <w:rPr>
          <w:rFonts w:cs="Times New Roman"/>
        </w:rPr>
        <w:t>success%</w:t>
      </w:r>
      <w:proofErr w:type="gramEnd"/>
      <w:r w:rsidRPr="00EA3DEC">
        <w:rPr>
          <w:rFonts w:cs="Times New Roman"/>
        </w:rPr>
        <w:t xml:space="preserve"> during the Go phase of the Go/no-Go task. (</w:t>
      </w:r>
      <w:r w:rsidRPr="00EA3DEC">
        <w:rPr>
          <w:rFonts w:cs="Times New Roman"/>
          <w:b/>
        </w:rPr>
        <w:t>K</w:t>
      </w:r>
      <w:r w:rsidRPr="00EA3DEC">
        <w:rPr>
          <w:rFonts w:cs="Times New Roman"/>
        </w:rPr>
        <w:t xml:space="preserve">) No differences </w:t>
      </w:r>
      <w:proofErr w:type="gramStart"/>
      <w:r w:rsidRPr="00EA3DEC">
        <w:rPr>
          <w:rFonts w:cs="Times New Roman"/>
        </w:rPr>
        <w:t>were observed</w:t>
      </w:r>
      <w:proofErr w:type="gramEnd"/>
      <w:r w:rsidRPr="00EA3DEC">
        <w:rPr>
          <w:rFonts w:cs="Times New Roman"/>
        </w:rPr>
        <w:t xml:space="preserve"> in the Y-maze. (</w:t>
      </w:r>
      <w:r w:rsidRPr="00EA3DEC">
        <w:rPr>
          <w:rFonts w:cs="Times New Roman"/>
          <w:b/>
        </w:rPr>
        <w:t>L-M</w:t>
      </w:r>
      <w:r w:rsidRPr="00EA3DEC">
        <w:rPr>
          <w:rFonts w:cs="Times New Roman"/>
        </w:rPr>
        <w:t xml:space="preserve">) </w:t>
      </w:r>
      <w:proofErr w:type="gramStart"/>
      <w:r w:rsidRPr="00EA3DEC">
        <w:rPr>
          <w:rFonts w:cs="Times New Roman"/>
        </w:rPr>
        <w:t xml:space="preserve">PA animals showed decreased spatial learning abilities in the juvenile hole-board test (test day </w:t>
      </w:r>
      <w:r w:rsidRPr="00EA3DEC">
        <w:rPr>
          <w:rFonts w:cs="Times New Roman"/>
          <w:i/>
        </w:rPr>
        <w:t>F</w:t>
      </w:r>
      <w:r w:rsidRPr="00EA3DEC">
        <w:rPr>
          <w:rFonts w:cs="Times New Roman"/>
        </w:rPr>
        <w:t xml:space="preserve">(2.680, 77.71)=16.88, </w:t>
      </w:r>
      <w:r w:rsidRPr="00EA3DEC">
        <w:rPr>
          <w:rFonts w:cs="Times New Roman"/>
          <w:i/>
        </w:rPr>
        <w:t>p&lt;</w:t>
      </w:r>
      <w:r w:rsidRPr="00EA3DEC">
        <w:rPr>
          <w:rFonts w:cs="Times New Roman"/>
        </w:rPr>
        <w:t xml:space="preserve"> 0.0001; treatment </w:t>
      </w:r>
      <w:r w:rsidRPr="00EA3DEC">
        <w:rPr>
          <w:rFonts w:cs="Times New Roman"/>
          <w:i/>
        </w:rPr>
        <w:t>F</w:t>
      </w:r>
      <w:r w:rsidRPr="00EA3DEC">
        <w:rPr>
          <w:rFonts w:cs="Times New Roman"/>
        </w:rPr>
        <w:t xml:space="preserve">(1,29)=8.934, </w:t>
      </w:r>
      <w:r w:rsidRPr="00EA3DEC">
        <w:rPr>
          <w:rFonts w:cs="Times New Roman"/>
          <w:i/>
        </w:rPr>
        <w:t>p=</w:t>
      </w:r>
      <w:r w:rsidRPr="00EA3DEC">
        <w:rPr>
          <w:rFonts w:cs="Times New Roman"/>
        </w:rPr>
        <w:t xml:space="preserve"> 0.005; test day × treatment interaction </w:t>
      </w:r>
      <w:r w:rsidRPr="00EA3DEC">
        <w:rPr>
          <w:rFonts w:cs="Times New Roman"/>
          <w:i/>
        </w:rPr>
        <w:t>F</w:t>
      </w:r>
      <w:r w:rsidRPr="00EA3DEC">
        <w:rPr>
          <w:rFonts w:cs="Times New Roman"/>
        </w:rPr>
        <w:t xml:space="preserve">(3,87)=2.546, </w:t>
      </w:r>
      <w:r w:rsidRPr="00EA3DEC">
        <w:rPr>
          <w:rFonts w:cs="Times New Roman"/>
          <w:i/>
        </w:rPr>
        <w:t>p=</w:t>
      </w:r>
      <w:r w:rsidRPr="00EA3DEC">
        <w:rPr>
          <w:rFonts w:cs="Times New Roman"/>
        </w:rPr>
        <w:t xml:space="preserve">0.061) and adult Morris water maze test (trial </w:t>
      </w:r>
      <w:r w:rsidRPr="00EA3DEC">
        <w:rPr>
          <w:rFonts w:cs="Times New Roman"/>
          <w:i/>
        </w:rPr>
        <w:t>F</w:t>
      </w:r>
      <w:r w:rsidRPr="00EA3DEC">
        <w:rPr>
          <w:rFonts w:cs="Times New Roman"/>
        </w:rPr>
        <w:t xml:space="preserve">(3.139, 62.79)= 30.77, </w:t>
      </w:r>
      <w:r w:rsidRPr="00EA3DEC">
        <w:rPr>
          <w:rFonts w:cs="Times New Roman"/>
          <w:i/>
        </w:rPr>
        <w:t>p&lt;</w:t>
      </w:r>
      <w:r w:rsidRPr="00EA3DEC">
        <w:rPr>
          <w:rFonts w:cs="Times New Roman"/>
        </w:rPr>
        <w:t xml:space="preserve"> 0.001; treatment </w:t>
      </w:r>
      <w:r w:rsidRPr="00EA3DEC">
        <w:rPr>
          <w:rFonts w:cs="Times New Roman"/>
          <w:i/>
        </w:rPr>
        <w:t>F</w:t>
      </w:r>
      <w:r w:rsidRPr="00EA3DEC">
        <w:rPr>
          <w:rFonts w:cs="Times New Roman"/>
        </w:rPr>
        <w:t xml:space="preserve">(1, 20)= 1.186, </w:t>
      </w:r>
      <w:r w:rsidRPr="00EA3DEC">
        <w:rPr>
          <w:rFonts w:cs="Times New Roman"/>
          <w:i/>
        </w:rPr>
        <w:t>p=</w:t>
      </w:r>
      <w:r w:rsidRPr="00EA3DEC">
        <w:rPr>
          <w:rFonts w:cs="Times New Roman"/>
        </w:rPr>
        <w:t xml:space="preserve"> 0.289; trial × treatment interaction </w:t>
      </w:r>
      <w:r w:rsidRPr="00EA3DEC">
        <w:rPr>
          <w:rFonts w:cs="Times New Roman"/>
          <w:i/>
        </w:rPr>
        <w:t>F</w:t>
      </w:r>
      <w:r w:rsidRPr="00EA3DEC">
        <w:rPr>
          <w:rFonts w:cs="Times New Roman"/>
        </w:rPr>
        <w:t xml:space="preserve">(4, 80)= 2.954, </w:t>
      </w:r>
      <w:r w:rsidRPr="00EA3DEC">
        <w:rPr>
          <w:rFonts w:cs="Times New Roman"/>
          <w:i/>
        </w:rPr>
        <w:t>p=</w:t>
      </w:r>
      <w:r w:rsidRPr="00EA3DEC">
        <w:rPr>
          <w:rFonts w:cs="Times New Roman"/>
        </w:rPr>
        <w:t>0.024).</w:t>
      </w:r>
      <w:proofErr w:type="gramEnd"/>
    </w:p>
    <w:p w:rsidR="002C1D22" w:rsidRPr="00EA3DEC" w:rsidRDefault="002C1D22" w:rsidP="002C1D22">
      <w:pPr>
        <w:pStyle w:val="NormalWeb"/>
        <w:spacing w:before="0" w:beforeAutospacing="0" w:after="0" w:afterAutospacing="0"/>
        <w:rPr>
          <w:rFonts w:cs="Times New Roman"/>
        </w:rPr>
      </w:pPr>
      <w:r w:rsidRPr="00EA3DEC">
        <w:rPr>
          <w:rFonts w:cs="Times New Roman"/>
          <w:b/>
          <w:bCs/>
          <w:noProof/>
          <w:lang w:val="hu-HU" w:eastAsia="hu-HU"/>
        </w:rPr>
        <w:drawing>
          <wp:inline distT="0" distB="0" distL="0" distR="0" wp14:anchorId="206F10EC" wp14:editId="5FE8EAE0">
            <wp:extent cx="5760720" cy="7863840"/>
            <wp:effectExtent l="0" t="0" r="0" b="3810"/>
            <wp:docPr id="5" name="Picture 5" descr="fi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s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7863840"/>
                    </a:xfrm>
                    <a:prstGeom prst="rect">
                      <a:avLst/>
                    </a:prstGeom>
                    <a:noFill/>
                    <a:ln>
                      <a:noFill/>
                    </a:ln>
                  </pic:spPr>
                </pic:pic>
              </a:graphicData>
            </a:graphic>
          </wp:inline>
        </w:drawing>
      </w:r>
    </w:p>
    <w:p w:rsidR="002C1D22" w:rsidRPr="00EA3DEC" w:rsidRDefault="002C1D22" w:rsidP="002C1D22">
      <w:pPr>
        <w:pStyle w:val="NormalWeb"/>
        <w:spacing w:before="0" w:beforeAutospacing="0" w:after="0" w:afterAutospacing="0"/>
        <w:rPr>
          <w:rFonts w:cs="Times New Roman"/>
        </w:rPr>
      </w:pPr>
      <w:r w:rsidRPr="00EA3DEC">
        <w:rPr>
          <w:rFonts w:cs="Times New Roman"/>
          <w:b/>
          <w:bCs/>
        </w:rPr>
        <w:t>Supplementary Figure 2 Long-Term Behavioural Consequences of the PA Insult in Females.</w:t>
      </w:r>
      <w:r w:rsidRPr="00EA3DEC">
        <w:rPr>
          <w:rFonts w:cs="Times New Roman"/>
        </w:rPr>
        <w:t xml:space="preserve"> (</w:t>
      </w:r>
      <w:r w:rsidRPr="00EA3DEC">
        <w:rPr>
          <w:rFonts w:cs="Times New Roman"/>
          <w:b/>
        </w:rPr>
        <w:t>A</w:t>
      </w:r>
      <w:r w:rsidRPr="00EA3DEC">
        <w:rPr>
          <w:rFonts w:cs="Times New Roman"/>
        </w:rPr>
        <w:t xml:space="preserve">) No gross motor alterations </w:t>
      </w:r>
      <w:proofErr w:type="gramStart"/>
      <w:r w:rsidRPr="00EA3DEC">
        <w:rPr>
          <w:rFonts w:cs="Times New Roman"/>
        </w:rPr>
        <w:t>were found</w:t>
      </w:r>
      <w:proofErr w:type="gramEnd"/>
      <w:r w:rsidRPr="00EA3DEC">
        <w:rPr>
          <w:rFonts w:cs="Times New Roman"/>
        </w:rPr>
        <w:t xml:space="preserve"> during the open-field test in adulthood. (</w:t>
      </w:r>
      <w:r w:rsidRPr="00EA3DEC">
        <w:rPr>
          <w:rFonts w:cs="Times New Roman"/>
          <w:b/>
        </w:rPr>
        <w:t>B-C</w:t>
      </w:r>
      <w:r w:rsidRPr="00EA3DEC">
        <w:rPr>
          <w:rFonts w:cs="Times New Roman"/>
        </w:rPr>
        <w:t>) Anxiety testing in the elevated plus-maze performed in adulthood revealed no significant changes. (</w:t>
      </w:r>
      <w:r w:rsidRPr="00EA3DEC">
        <w:rPr>
          <w:rFonts w:cs="Times New Roman"/>
          <w:b/>
        </w:rPr>
        <w:t>D</w:t>
      </w:r>
      <w:r w:rsidRPr="00EA3DEC">
        <w:rPr>
          <w:rFonts w:cs="Times New Roman"/>
        </w:rPr>
        <w:t>) PA animals showed similar social interest in the sociability test. (</w:t>
      </w:r>
      <w:r w:rsidRPr="00EA3DEC">
        <w:rPr>
          <w:rFonts w:cs="Times New Roman"/>
          <w:b/>
        </w:rPr>
        <w:t>E</w:t>
      </w:r>
      <w:r w:rsidRPr="00EA3DEC">
        <w:rPr>
          <w:rFonts w:cs="Times New Roman"/>
        </w:rPr>
        <w:t>) PA did not affect conditioned fear learning and acquisition in females. (</w:t>
      </w:r>
      <w:r w:rsidRPr="00EA3DEC">
        <w:rPr>
          <w:rFonts w:cs="Times New Roman"/>
          <w:b/>
        </w:rPr>
        <w:t>F-H</w:t>
      </w:r>
      <w:r w:rsidRPr="00EA3DEC">
        <w:rPr>
          <w:rFonts w:cs="Times New Roman"/>
        </w:rPr>
        <w:t>) Female PA animals presented no learning and attention deficits and impulsivity in the set-shifted 5-choice serial reaction time task.</w:t>
      </w:r>
    </w:p>
    <w:p w:rsidR="002C1D22" w:rsidRPr="00EA3DEC" w:rsidRDefault="002C1D22" w:rsidP="002C1D22">
      <w:pPr>
        <w:pStyle w:val="NormalWeb"/>
        <w:spacing w:before="0" w:beforeAutospacing="0" w:after="0" w:afterAutospacing="0"/>
        <w:rPr>
          <w:rFonts w:cs="Times New Roman"/>
        </w:rPr>
      </w:pPr>
      <w:r w:rsidRPr="00EA3DEC">
        <w:rPr>
          <w:rFonts w:cs="Times New Roman"/>
          <w:noProof/>
          <w:lang w:val="hu-HU" w:eastAsia="hu-HU"/>
        </w:rPr>
        <w:drawing>
          <wp:inline distT="0" distB="0" distL="0" distR="0" wp14:anchorId="0587759C" wp14:editId="38B79A2B">
            <wp:extent cx="5760720" cy="8138160"/>
            <wp:effectExtent l="0" t="0" r="0" b="0"/>
            <wp:docPr id="4" name="Picture 4" descr="fig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s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8138160"/>
                    </a:xfrm>
                    <a:prstGeom prst="rect">
                      <a:avLst/>
                    </a:prstGeom>
                    <a:noFill/>
                    <a:ln>
                      <a:noFill/>
                    </a:ln>
                  </pic:spPr>
                </pic:pic>
              </a:graphicData>
            </a:graphic>
          </wp:inline>
        </w:drawing>
      </w:r>
    </w:p>
    <w:p w:rsidR="002C1D22" w:rsidRPr="00EA3DEC" w:rsidRDefault="002C1D22" w:rsidP="002C1D22">
      <w:pPr>
        <w:pStyle w:val="NormalWeb"/>
        <w:spacing w:before="0" w:beforeAutospacing="0" w:after="0" w:afterAutospacing="0"/>
        <w:rPr>
          <w:rFonts w:cs="Times New Roman"/>
        </w:rPr>
      </w:pPr>
      <w:r w:rsidRPr="00EA3DEC">
        <w:rPr>
          <w:rFonts w:cs="Times New Roman"/>
          <w:b/>
          <w:bCs/>
        </w:rPr>
        <w:t xml:space="preserve">Supplementary Figure 3 No Alterations in the Number of Neurons and Immune Cells in the IL and PRL of Adult Animals. </w:t>
      </w:r>
      <w:r w:rsidRPr="00EA3DEC">
        <w:rPr>
          <w:rFonts w:cs="Times New Roman"/>
          <w:bCs/>
        </w:rPr>
        <w:t>(</w:t>
      </w:r>
      <w:r w:rsidRPr="00EA3DEC">
        <w:rPr>
          <w:rFonts w:cs="Times New Roman"/>
          <w:b/>
          <w:bCs/>
        </w:rPr>
        <w:t>A-C</w:t>
      </w:r>
      <w:r w:rsidRPr="00EA3DEC">
        <w:rPr>
          <w:rFonts w:cs="Times New Roman"/>
          <w:bCs/>
        </w:rPr>
        <w:t>)</w:t>
      </w:r>
      <w:r w:rsidRPr="00EA3DEC">
        <w:rPr>
          <w:rFonts w:cs="Times New Roman"/>
          <w:b/>
          <w:bCs/>
        </w:rPr>
        <w:t xml:space="preserve"> </w:t>
      </w:r>
      <w:r w:rsidRPr="00EA3DEC">
        <w:rPr>
          <w:rFonts w:cs="Times New Roman"/>
        </w:rPr>
        <w:t xml:space="preserve">Statistical comparisons of the areas of the investigated regions of interest (ROIs) and average </w:t>
      </w:r>
      <w:proofErr w:type="spellStart"/>
      <w:proofErr w:type="gramStart"/>
      <w:r w:rsidRPr="00EA3DEC">
        <w:rPr>
          <w:rFonts w:cs="Times New Roman"/>
        </w:rPr>
        <w:t>NeuN</w:t>
      </w:r>
      <w:proofErr w:type="spellEnd"/>
      <w:r w:rsidRPr="00EA3DEC">
        <w:rPr>
          <w:rFonts w:cs="Times New Roman"/>
        </w:rPr>
        <w:t>(</w:t>
      </w:r>
      <w:proofErr w:type="gramEnd"/>
      <w:r w:rsidRPr="00EA3DEC">
        <w:rPr>
          <w:rFonts w:cs="Times New Roman"/>
        </w:rPr>
        <w:t xml:space="preserve">+) cell count for neurons in the </w:t>
      </w:r>
      <w:proofErr w:type="spellStart"/>
      <w:r w:rsidRPr="00EA3DEC">
        <w:rPr>
          <w:rFonts w:cs="Times New Roman"/>
        </w:rPr>
        <w:t>infralimbic</w:t>
      </w:r>
      <w:proofErr w:type="spellEnd"/>
      <w:r w:rsidRPr="00EA3DEC">
        <w:rPr>
          <w:rFonts w:cs="Times New Roman"/>
        </w:rPr>
        <w:t xml:space="preserve"> and </w:t>
      </w:r>
      <w:proofErr w:type="spellStart"/>
      <w:r w:rsidRPr="00EA3DEC">
        <w:rPr>
          <w:rFonts w:cs="Times New Roman"/>
        </w:rPr>
        <w:t>prelimbic</w:t>
      </w:r>
      <w:proofErr w:type="spellEnd"/>
      <w:r w:rsidRPr="00EA3DEC">
        <w:rPr>
          <w:rFonts w:cs="Times New Roman"/>
        </w:rPr>
        <w:t xml:space="preserve"> cortices reveal no significant differences between control and perinatal asphyxia (PA) animals in adulthood. Similarly, comparisons of </w:t>
      </w:r>
      <w:proofErr w:type="gramStart"/>
      <w:r w:rsidRPr="00EA3DEC">
        <w:rPr>
          <w:rFonts w:cs="Times New Roman"/>
        </w:rPr>
        <w:t>Iba1(</w:t>
      </w:r>
      <w:proofErr w:type="gramEnd"/>
      <w:r w:rsidRPr="00EA3DEC">
        <w:rPr>
          <w:rFonts w:cs="Times New Roman"/>
        </w:rPr>
        <w:t>+) microglia (</w:t>
      </w:r>
      <w:r w:rsidRPr="00EA3DEC">
        <w:rPr>
          <w:rFonts w:cs="Times New Roman"/>
          <w:b/>
        </w:rPr>
        <w:t>D-F</w:t>
      </w:r>
      <w:r w:rsidRPr="00EA3DEC">
        <w:rPr>
          <w:rFonts w:cs="Times New Roman"/>
        </w:rPr>
        <w:t>) and GFAP(+) astrocytes (</w:t>
      </w:r>
      <w:r w:rsidRPr="00EA3DEC">
        <w:rPr>
          <w:rFonts w:cs="Times New Roman"/>
          <w:b/>
        </w:rPr>
        <w:t>G-I</w:t>
      </w:r>
      <w:r w:rsidRPr="00EA3DEC">
        <w:rPr>
          <w:rFonts w:cs="Times New Roman"/>
        </w:rPr>
        <w:t>) show no notable differences between groups. (</w:t>
      </w:r>
      <w:r w:rsidRPr="00EA3DEC">
        <w:rPr>
          <w:rFonts w:cs="Times New Roman"/>
          <w:b/>
        </w:rPr>
        <w:t>J-L</w:t>
      </w:r>
      <w:r w:rsidRPr="00EA3DEC">
        <w:rPr>
          <w:rFonts w:cs="Times New Roman"/>
        </w:rPr>
        <w:t xml:space="preserve">) Significant increase in the density of </w:t>
      </w:r>
      <w:proofErr w:type="gramStart"/>
      <w:r w:rsidRPr="00EA3DEC">
        <w:rPr>
          <w:rFonts w:cs="Times New Roman"/>
        </w:rPr>
        <w:t>MBP(</w:t>
      </w:r>
      <w:proofErr w:type="gramEnd"/>
      <w:r w:rsidRPr="00EA3DEC">
        <w:rPr>
          <w:rFonts w:cs="Times New Roman"/>
        </w:rPr>
        <w:t xml:space="preserve">+) myelin fibres in the IL of PA animals (U= 8, </w:t>
      </w:r>
      <w:r w:rsidRPr="00EA3DEC">
        <w:rPr>
          <w:rFonts w:cs="Times New Roman"/>
          <w:i/>
        </w:rPr>
        <w:t>p=</w:t>
      </w:r>
      <w:r w:rsidRPr="00EA3DEC">
        <w:rPr>
          <w:rFonts w:cs="Times New Roman"/>
        </w:rPr>
        <w:t>0.001), paralleled by no alteration in the PRL.</w:t>
      </w:r>
    </w:p>
    <w:p w:rsidR="002C1D22" w:rsidRPr="00EA3DEC" w:rsidRDefault="002C1D22" w:rsidP="002C1D22">
      <w:pPr>
        <w:spacing w:line="259" w:lineRule="auto"/>
        <w:jc w:val="left"/>
        <w:rPr>
          <w:rFonts w:cs="Times New Roman"/>
        </w:rPr>
      </w:pPr>
      <w:r w:rsidRPr="00EA3DEC">
        <w:rPr>
          <w:rFonts w:cs="Times New Roman"/>
        </w:rPr>
        <w:br w:type="page"/>
      </w:r>
    </w:p>
    <w:p w:rsidR="002C1D22" w:rsidRPr="00EA3DEC" w:rsidRDefault="002C1D22" w:rsidP="002C1D22">
      <w:pPr>
        <w:pStyle w:val="NormalWeb"/>
        <w:spacing w:before="0" w:beforeAutospacing="0" w:after="0" w:afterAutospacing="0"/>
        <w:rPr>
          <w:rFonts w:cs="Times New Roman"/>
        </w:rPr>
      </w:pPr>
      <w:r w:rsidRPr="00EA3DEC">
        <w:rPr>
          <w:rFonts w:cs="Times New Roman"/>
          <w:noProof/>
          <w:lang w:val="hu-HU" w:eastAsia="hu-HU"/>
        </w:rPr>
        <w:drawing>
          <wp:inline distT="0" distB="0" distL="0" distR="0" wp14:anchorId="76A23BCF" wp14:editId="48DD6C62">
            <wp:extent cx="5760720" cy="7863840"/>
            <wp:effectExtent l="0" t="0" r="0" b="3810"/>
            <wp:docPr id="3" name="Picture 3" descr="figs4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s4_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7863840"/>
                    </a:xfrm>
                    <a:prstGeom prst="rect">
                      <a:avLst/>
                    </a:prstGeom>
                    <a:noFill/>
                    <a:ln>
                      <a:noFill/>
                    </a:ln>
                  </pic:spPr>
                </pic:pic>
              </a:graphicData>
            </a:graphic>
          </wp:inline>
        </w:drawing>
      </w:r>
    </w:p>
    <w:p w:rsidR="002C1D22" w:rsidRPr="00EA3DEC" w:rsidRDefault="002C1D22" w:rsidP="002C1D22">
      <w:pPr>
        <w:pStyle w:val="NormalWeb"/>
        <w:spacing w:before="0" w:beforeAutospacing="0" w:after="0" w:afterAutospacing="0"/>
        <w:rPr>
          <w:rFonts w:cs="Times New Roman"/>
        </w:rPr>
      </w:pPr>
      <w:r w:rsidRPr="00EA3DEC">
        <w:rPr>
          <w:rFonts w:cs="Times New Roman"/>
          <w:b/>
          <w:bCs/>
        </w:rPr>
        <w:t xml:space="preserve">Supplementary Figure 4 Acute Characterisation of PA Animals. </w:t>
      </w:r>
      <w:r w:rsidRPr="00EA3DEC">
        <w:rPr>
          <w:rFonts w:cs="Times New Roman"/>
          <w:bCs/>
        </w:rPr>
        <w:t>(</w:t>
      </w:r>
      <w:r w:rsidRPr="00EA3DEC">
        <w:rPr>
          <w:rFonts w:cs="Times New Roman"/>
          <w:b/>
          <w:bCs/>
        </w:rPr>
        <w:t>A-B</w:t>
      </w:r>
      <w:r w:rsidRPr="00EA3DEC">
        <w:rPr>
          <w:rFonts w:cs="Times New Roman"/>
          <w:bCs/>
        </w:rPr>
        <w:t xml:space="preserve">) </w:t>
      </w:r>
      <w:r w:rsidRPr="00EA3DEC">
        <w:rPr>
          <w:rFonts w:cs="Times New Roman"/>
        </w:rPr>
        <w:t xml:space="preserve">Treatment groups showed no differences in </w:t>
      </w:r>
      <w:proofErr w:type="spellStart"/>
      <w:r w:rsidRPr="00EA3DEC">
        <w:rPr>
          <w:rFonts w:cs="Times New Roman"/>
        </w:rPr>
        <w:t>mPFC</w:t>
      </w:r>
      <w:proofErr w:type="spellEnd"/>
      <w:r w:rsidRPr="00EA3DEC">
        <w:rPr>
          <w:rFonts w:cs="Times New Roman"/>
        </w:rPr>
        <w:t xml:space="preserve"> microglia densities 24 hours after the PA insult. (</w:t>
      </w:r>
      <w:r w:rsidRPr="00EA3DEC">
        <w:rPr>
          <w:rFonts w:cs="Times New Roman"/>
          <w:b/>
        </w:rPr>
        <w:t>C</w:t>
      </w:r>
      <w:r w:rsidRPr="00EA3DEC">
        <w:rPr>
          <w:rFonts w:cs="Times New Roman"/>
        </w:rPr>
        <w:t>) MRI imaging 24 hours after PA demonstrated similar brain blood volumes in ratio to bodyweight in control and PA animals. (</w:t>
      </w:r>
      <w:r w:rsidRPr="00EA3DEC">
        <w:rPr>
          <w:rFonts w:cs="Times New Roman"/>
          <w:b/>
        </w:rPr>
        <w:t>D-F</w:t>
      </w:r>
      <w:r w:rsidRPr="00EA3DEC">
        <w:rPr>
          <w:rFonts w:cs="Times New Roman"/>
        </w:rPr>
        <w:t>) During acute SPECT imaging, brainstem perfusion remained on a control level. Local relative perfusion changes were apparent in the thalamus (</w:t>
      </w:r>
      <w:proofErr w:type="gramStart"/>
      <w:r w:rsidRPr="00EA3DEC">
        <w:rPr>
          <w:rFonts w:cs="Times New Roman"/>
          <w:i/>
        </w:rPr>
        <w:t>t</w:t>
      </w:r>
      <w:r w:rsidRPr="00EA3DEC">
        <w:rPr>
          <w:rFonts w:cs="Times New Roman"/>
        </w:rPr>
        <w:t>(</w:t>
      </w:r>
      <w:proofErr w:type="gramEnd"/>
      <w:r w:rsidRPr="00EA3DEC">
        <w:rPr>
          <w:rFonts w:cs="Times New Roman"/>
        </w:rPr>
        <w:t xml:space="preserve">7)= 2.182, </w:t>
      </w:r>
      <w:r w:rsidRPr="00EA3DEC">
        <w:rPr>
          <w:rFonts w:cs="Times New Roman"/>
          <w:i/>
        </w:rPr>
        <w:t>p=</w:t>
      </w:r>
      <w:r w:rsidRPr="00EA3DEC">
        <w:rPr>
          <w:rFonts w:cs="Times New Roman"/>
        </w:rPr>
        <w:t xml:space="preserve">0.065) and cerebellum (U=1, </w:t>
      </w:r>
      <w:r w:rsidRPr="00EA3DEC">
        <w:rPr>
          <w:rFonts w:cs="Times New Roman"/>
          <w:i/>
        </w:rPr>
        <w:t>p=</w:t>
      </w:r>
      <w:r w:rsidRPr="00EA3DEC">
        <w:rPr>
          <w:rFonts w:cs="Times New Roman"/>
        </w:rPr>
        <w:t>0.031) of PA animals.</w:t>
      </w:r>
    </w:p>
    <w:p w:rsidR="002C1D22" w:rsidRPr="00EA3DEC" w:rsidRDefault="002C1D22" w:rsidP="002C1D22">
      <w:pPr>
        <w:pStyle w:val="NormalWeb"/>
        <w:spacing w:before="0" w:beforeAutospacing="0" w:after="0" w:afterAutospacing="0"/>
        <w:rPr>
          <w:rFonts w:cs="Times New Roman"/>
        </w:rPr>
      </w:pPr>
    </w:p>
    <w:p w:rsidR="002C1D22" w:rsidRPr="00EA3DEC" w:rsidRDefault="002C1D22" w:rsidP="002C1D22">
      <w:pPr>
        <w:pStyle w:val="NormalWeb"/>
        <w:spacing w:before="0" w:beforeAutospacing="0" w:after="0" w:afterAutospacing="0"/>
        <w:rPr>
          <w:rFonts w:cs="Times New Roman"/>
        </w:rPr>
      </w:pPr>
      <w:r w:rsidRPr="00EA3DEC">
        <w:rPr>
          <w:rFonts w:cs="Times New Roman"/>
          <w:noProof/>
          <w:lang w:val="hu-HU" w:eastAsia="hu-HU"/>
        </w:rPr>
        <w:drawing>
          <wp:inline distT="0" distB="0" distL="0" distR="0" wp14:anchorId="7193D2ED" wp14:editId="4F0FBA72">
            <wp:extent cx="5760720" cy="7772400"/>
            <wp:effectExtent l="0" t="0" r="0" b="0"/>
            <wp:docPr id="2" name="Picture 2" descr="fig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s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7772400"/>
                    </a:xfrm>
                    <a:prstGeom prst="rect">
                      <a:avLst/>
                    </a:prstGeom>
                    <a:noFill/>
                    <a:ln>
                      <a:noFill/>
                    </a:ln>
                  </pic:spPr>
                </pic:pic>
              </a:graphicData>
            </a:graphic>
          </wp:inline>
        </w:drawing>
      </w:r>
    </w:p>
    <w:p w:rsidR="002C1D22" w:rsidRPr="00EA3DEC" w:rsidRDefault="002C1D22" w:rsidP="002C1D22">
      <w:pPr>
        <w:pStyle w:val="NormalWeb"/>
        <w:spacing w:before="0" w:beforeAutospacing="0" w:after="0" w:afterAutospacing="0"/>
        <w:rPr>
          <w:rFonts w:cs="Times New Roman"/>
        </w:rPr>
      </w:pPr>
      <w:r w:rsidRPr="00EA3DEC">
        <w:rPr>
          <w:rFonts w:cs="Times New Roman"/>
          <w:b/>
          <w:bCs/>
        </w:rPr>
        <w:t xml:space="preserve">Supplementary Figure 5 Comparison of Feature </w:t>
      </w:r>
      <w:proofErr w:type="spellStart"/>
      <w:r w:rsidRPr="00EA3DEC">
        <w:rPr>
          <w:rFonts w:cs="Times New Roman"/>
          <w:b/>
          <w:bCs/>
        </w:rPr>
        <w:t>Importances</w:t>
      </w:r>
      <w:proofErr w:type="spellEnd"/>
      <w:r w:rsidRPr="00EA3DEC">
        <w:rPr>
          <w:rFonts w:cs="Times New Roman"/>
          <w:b/>
          <w:bCs/>
        </w:rPr>
        <w:t xml:space="preserve"> in Predicting Microglial Phenotypes. </w:t>
      </w:r>
      <w:r w:rsidRPr="00EA3DEC">
        <w:rPr>
          <w:rFonts w:cs="Times New Roman"/>
          <w:bCs/>
        </w:rPr>
        <w:t>(</w:t>
      </w:r>
      <w:r w:rsidRPr="00EA3DEC">
        <w:rPr>
          <w:rFonts w:cs="Times New Roman"/>
          <w:b/>
          <w:bCs/>
        </w:rPr>
        <w:t>A</w:t>
      </w:r>
      <w:r w:rsidRPr="00EA3DEC">
        <w:rPr>
          <w:rFonts w:cs="Times New Roman"/>
          <w:bCs/>
        </w:rPr>
        <w:t xml:space="preserve">) </w:t>
      </w:r>
      <w:r w:rsidRPr="00EA3DEC">
        <w:rPr>
          <w:rFonts w:cs="Times New Roman"/>
        </w:rPr>
        <w:t>Pearson correlation analysis revealed that the number of primary branches, the regression intercept (log-log scale), and soma sizes exhibited the strongest correlations with the PA phenotype. (</w:t>
      </w:r>
      <w:r w:rsidRPr="00EA3DEC">
        <w:rPr>
          <w:rFonts w:cs="Times New Roman"/>
          <w:b/>
        </w:rPr>
        <w:t>B</w:t>
      </w:r>
      <w:r w:rsidRPr="00EA3DEC">
        <w:rPr>
          <w:rFonts w:cs="Times New Roman"/>
        </w:rPr>
        <w:t xml:space="preserve">) In contrast, a Random Forest classifier identified soma sizes, maximum branch lengths, and the radii of the maximum intersections as the most important factors for distinguishing PA and control microglia. </w:t>
      </w:r>
      <w:proofErr w:type="gramStart"/>
      <w:r w:rsidRPr="00EA3DEC">
        <w:rPr>
          <w:rFonts w:cs="Times New Roman"/>
        </w:rPr>
        <w:t>(</w:t>
      </w:r>
      <w:r w:rsidRPr="00EA3DEC">
        <w:rPr>
          <w:rFonts w:cs="Times New Roman"/>
          <w:b/>
        </w:rPr>
        <w:t>C</w:t>
      </w:r>
      <w:r w:rsidRPr="00EA3DEC">
        <w:rPr>
          <w:rFonts w:cs="Times New Roman"/>
        </w:rPr>
        <w:t>) In the rescue experiment</w:t>
      </w:r>
      <w:proofErr w:type="gramEnd"/>
      <w:r w:rsidRPr="00EA3DEC">
        <w:rPr>
          <w:rFonts w:cs="Times New Roman"/>
        </w:rPr>
        <w:t xml:space="preserve"> using IL-1RA after PA insults, average branch lengths, regression coefficients, and the number of intersecting radii showed the most significant changes. (</w:t>
      </w:r>
      <w:r w:rsidRPr="00EA3DEC">
        <w:rPr>
          <w:rFonts w:cs="Times New Roman"/>
          <w:b/>
        </w:rPr>
        <w:t>D</w:t>
      </w:r>
      <w:r w:rsidRPr="00EA3DEC">
        <w:rPr>
          <w:rFonts w:cs="Times New Roman"/>
        </w:rPr>
        <w:t xml:space="preserve">) </w:t>
      </w:r>
      <w:proofErr w:type="spellStart"/>
      <w:r w:rsidRPr="00EA3DEC">
        <w:rPr>
          <w:rFonts w:cs="Times New Roman"/>
        </w:rPr>
        <w:t>Lacunarity</w:t>
      </w:r>
      <w:proofErr w:type="spellEnd"/>
      <w:r w:rsidRPr="00EA3DEC">
        <w:rPr>
          <w:rFonts w:cs="Times New Roman"/>
        </w:rPr>
        <w:t>, maximum branch lengths, and radii of the maximum intersections were the top discriminators between PA IL-1RA and PA vehicle animals.</w:t>
      </w:r>
    </w:p>
    <w:p w:rsidR="002C1D22" w:rsidRPr="00EA3DEC" w:rsidRDefault="002C1D22" w:rsidP="002C1D22">
      <w:pPr>
        <w:rPr>
          <w:szCs w:val="24"/>
          <w:lang w:val="en-GB" w:eastAsia="en-GB"/>
        </w:rPr>
      </w:pPr>
    </w:p>
    <w:p w:rsidR="002C1D22" w:rsidRPr="00EA3DEC" w:rsidRDefault="002C1D22" w:rsidP="002C1D22">
      <w:pPr>
        <w:pStyle w:val="NormalWeb"/>
        <w:spacing w:before="0" w:beforeAutospacing="0" w:after="0" w:afterAutospacing="0"/>
        <w:rPr>
          <w:rFonts w:cs="Times New Roman"/>
        </w:rPr>
      </w:pPr>
      <w:r w:rsidRPr="00EA3DEC">
        <w:rPr>
          <w:rFonts w:cs="Times New Roman"/>
          <w:noProof/>
          <w:lang w:val="hu-HU" w:eastAsia="hu-HU"/>
        </w:rPr>
        <w:drawing>
          <wp:inline distT="0" distB="0" distL="0" distR="0" wp14:anchorId="29707411" wp14:editId="5A21830C">
            <wp:extent cx="5760720" cy="8138160"/>
            <wp:effectExtent l="0" t="0" r="0" b="0"/>
            <wp:docPr id="1" name="Picture 1" descr="Fig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s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8138160"/>
                    </a:xfrm>
                    <a:prstGeom prst="rect">
                      <a:avLst/>
                    </a:prstGeom>
                    <a:noFill/>
                    <a:ln>
                      <a:noFill/>
                    </a:ln>
                  </pic:spPr>
                </pic:pic>
              </a:graphicData>
            </a:graphic>
          </wp:inline>
        </w:drawing>
      </w:r>
    </w:p>
    <w:p w:rsidR="002C1D22" w:rsidRPr="00EA3DEC" w:rsidRDefault="002C1D22" w:rsidP="002C1D22">
      <w:pPr>
        <w:rPr>
          <w:rFonts w:cs="Times New Roman"/>
        </w:rPr>
      </w:pPr>
      <w:proofErr w:type="gramStart"/>
      <w:r w:rsidRPr="00EA3DEC">
        <w:rPr>
          <w:b/>
          <w:szCs w:val="24"/>
          <w:lang w:val="en-GB" w:eastAsia="en-GB"/>
        </w:rPr>
        <w:t xml:space="preserve">Supplementary Figure 6 Long-term Molecular and Pathway Alterations following PA in the </w:t>
      </w:r>
      <w:proofErr w:type="spellStart"/>
      <w:r w:rsidRPr="00EA3DEC">
        <w:rPr>
          <w:b/>
          <w:szCs w:val="24"/>
          <w:lang w:val="en-GB" w:eastAsia="en-GB"/>
        </w:rPr>
        <w:t>mPFC</w:t>
      </w:r>
      <w:proofErr w:type="spellEnd"/>
      <w:r w:rsidRPr="00EA3DEC">
        <w:rPr>
          <w:b/>
          <w:szCs w:val="24"/>
          <w:lang w:val="en-GB" w:eastAsia="en-GB"/>
        </w:rPr>
        <w:t xml:space="preserve"> of males </w:t>
      </w:r>
      <w:r w:rsidRPr="00EA3DEC">
        <w:rPr>
          <w:rFonts w:cs="Times New Roman"/>
        </w:rPr>
        <w:t>(A) Experiment 1: Differential gene expression analysis of bulk medial prefrontal cortex (</w:t>
      </w:r>
      <w:proofErr w:type="spellStart"/>
      <w:r w:rsidRPr="00EA3DEC">
        <w:rPr>
          <w:rFonts w:cs="Times New Roman"/>
        </w:rPr>
        <w:t>mPFC</w:t>
      </w:r>
      <w:proofErr w:type="spellEnd"/>
      <w:r w:rsidRPr="00EA3DEC">
        <w:rPr>
          <w:rFonts w:cs="Times New Roman"/>
        </w:rPr>
        <w:t>) samples isolated 6 months after PA in baseline conditions revealed moderate differences between treatment groups, with 1 gene reaching an FDR &lt; 0.1 and 614 genes showing nominal significance (p &lt; 0.05) out of 13,538 tested.</w:t>
      </w:r>
      <w:proofErr w:type="gramEnd"/>
      <w:r w:rsidRPr="00EA3DEC">
        <w:rPr>
          <w:rFonts w:cs="Times New Roman"/>
        </w:rPr>
        <w:t xml:space="preserve"> (B-C) Functional gene set enrichment analysis using Gene Ontology (GO) Biological Processes and hierarchical clustering of pairwise similarities among altered pathways based on shared genes, identifies dominant clusters related to epigenetic regulation (</w:t>
      </w:r>
      <w:proofErr w:type="spellStart"/>
      <w:r w:rsidRPr="00EA3DEC">
        <w:rPr>
          <w:rFonts w:cs="Times New Roman"/>
        </w:rPr>
        <w:t>particularily</w:t>
      </w:r>
      <w:proofErr w:type="spellEnd"/>
      <w:r w:rsidRPr="00EA3DEC">
        <w:rPr>
          <w:rFonts w:cs="Times New Roman"/>
        </w:rPr>
        <w:t xml:space="preserve"> histone </w:t>
      </w:r>
      <w:proofErr w:type="spellStart"/>
      <w:r w:rsidRPr="00EA3DEC">
        <w:rPr>
          <w:rFonts w:cs="Times New Roman"/>
        </w:rPr>
        <w:t>mondification</w:t>
      </w:r>
      <w:proofErr w:type="spellEnd"/>
      <w:r w:rsidRPr="00EA3DEC">
        <w:rPr>
          <w:rFonts w:cs="Times New Roman"/>
        </w:rPr>
        <w:t xml:space="preserve">), as well as immune responsivity and cell signaling pathways. </w:t>
      </w:r>
    </w:p>
    <w:p w:rsidR="000238F3" w:rsidRPr="00EA3DEC" w:rsidRDefault="000238F3">
      <w:pPr>
        <w:spacing w:line="259" w:lineRule="auto"/>
        <w:jc w:val="left"/>
        <w:rPr>
          <w:b/>
          <w:sz w:val="22"/>
        </w:rPr>
      </w:pPr>
      <w:r w:rsidRPr="00EA3DEC">
        <w:rPr>
          <w:b/>
          <w:sz w:val="22"/>
        </w:rPr>
        <w:br w:type="page"/>
      </w:r>
    </w:p>
    <w:p w:rsidR="000238F3" w:rsidRPr="00EA3DEC" w:rsidRDefault="000238F3" w:rsidP="000238F3">
      <w:pPr>
        <w:pStyle w:val="NormalWeb"/>
        <w:spacing w:before="240" w:beforeAutospacing="0" w:after="240" w:afterAutospacing="0"/>
        <w:rPr>
          <w:b/>
          <w:sz w:val="22"/>
        </w:rPr>
      </w:pPr>
      <w:r w:rsidRPr="00EA3DEC">
        <w:rPr>
          <w:b/>
          <w:sz w:val="22"/>
        </w:rPr>
        <w:t>Supplementary Table 1.</w:t>
      </w:r>
      <w:r w:rsidRPr="00EA3DEC">
        <w:rPr>
          <w:sz w:val="22"/>
        </w:rPr>
        <w:t xml:space="preserve"> Primary antibodies used in this study.</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299"/>
        <w:gridCol w:w="1810"/>
        <w:gridCol w:w="1559"/>
        <w:gridCol w:w="1276"/>
        <w:gridCol w:w="1559"/>
      </w:tblGrid>
      <w:tr w:rsidR="000238F3" w:rsidRPr="00EA3DEC" w:rsidTr="00A51D75">
        <w:trPr>
          <w:trHeight w:val="453"/>
        </w:trPr>
        <w:tc>
          <w:tcPr>
            <w:tcW w:w="12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b/>
                <w:sz w:val="22"/>
              </w:rPr>
            </w:pPr>
            <w:r w:rsidRPr="00EA3DEC">
              <w:rPr>
                <w:b/>
                <w:sz w:val="22"/>
              </w:rPr>
              <w:t>Reagent</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b/>
                <w:sz w:val="22"/>
              </w:rPr>
            </w:pPr>
            <w:r w:rsidRPr="00EA3DEC">
              <w:rPr>
                <w:b/>
                <w:sz w:val="22"/>
              </w:rPr>
              <w:t>Source</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b/>
                <w:sz w:val="22"/>
              </w:rPr>
            </w:pPr>
            <w:r w:rsidRPr="00EA3DEC">
              <w:rPr>
                <w:b/>
                <w:sz w:val="22"/>
              </w:rPr>
              <w:t>Catalogue no.</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b/>
                <w:sz w:val="22"/>
              </w:rPr>
            </w:pPr>
            <w:r w:rsidRPr="00EA3DEC">
              <w:rPr>
                <w:b/>
                <w:sz w:val="22"/>
              </w:rPr>
              <w:t>Host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b/>
                <w:sz w:val="22"/>
              </w:rPr>
            </w:pPr>
            <w:r w:rsidRPr="00EA3DEC">
              <w:rPr>
                <w:b/>
                <w:sz w:val="22"/>
              </w:rPr>
              <w:t>Dilution</w:t>
            </w:r>
          </w:p>
        </w:tc>
      </w:tr>
      <w:tr w:rsidR="000238F3" w:rsidRPr="00EA3DEC" w:rsidTr="00A51D75">
        <w:trPr>
          <w:trHeight w:val="17"/>
        </w:trPr>
        <w:tc>
          <w:tcPr>
            <w:tcW w:w="12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CB1</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proofErr w:type="spellStart"/>
            <w:r w:rsidRPr="00EA3DEC">
              <w:rPr>
                <w:sz w:val="22"/>
                <w:shd w:val="clear" w:color="auto" w:fill="FFFFFF"/>
              </w:rPr>
              <w:t>Immunogenes</w:t>
            </w:r>
            <w:proofErr w:type="spellEnd"/>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03</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Rabbit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1:3000</w:t>
            </w:r>
          </w:p>
        </w:tc>
      </w:tr>
      <w:tr w:rsidR="000238F3" w:rsidRPr="00EA3DEC" w:rsidTr="00A51D75">
        <w:trPr>
          <w:trHeight w:val="17"/>
        </w:trPr>
        <w:tc>
          <w:tcPr>
            <w:tcW w:w="12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GFAP</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Sigma</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G3893</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Mouse</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1:3000</w:t>
            </w:r>
          </w:p>
        </w:tc>
      </w:tr>
      <w:tr w:rsidR="000238F3" w:rsidRPr="00EA3DEC" w:rsidTr="00A51D75">
        <w:trPr>
          <w:trHeight w:val="17"/>
        </w:trPr>
        <w:tc>
          <w:tcPr>
            <w:tcW w:w="12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IBA1</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Wako</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019-19741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Rabbit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1:10000</w:t>
            </w:r>
          </w:p>
        </w:tc>
      </w:tr>
      <w:tr w:rsidR="000238F3" w:rsidRPr="00EA3DEC" w:rsidTr="00A51D75">
        <w:trPr>
          <w:trHeight w:val="17"/>
        </w:trPr>
        <w:tc>
          <w:tcPr>
            <w:tcW w:w="12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Kv.2.1</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proofErr w:type="spellStart"/>
            <w:r w:rsidRPr="00EA3DEC">
              <w:rPr>
                <w:sz w:val="22"/>
                <w:shd w:val="clear" w:color="auto" w:fill="FFFFFF"/>
              </w:rPr>
              <w:t>NeuroMab</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75-014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Mouse</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1:1000</w:t>
            </w:r>
          </w:p>
        </w:tc>
      </w:tr>
      <w:tr w:rsidR="000238F3" w:rsidRPr="00EA3DEC" w:rsidTr="00A51D75">
        <w:trPr>
          <w:trHeight w:val="17"/>
        </w:trPr>
        <w:tc>
          <w:tcPr>
            <w:tcW w:w="12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MBP</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proofErr w:type="spellStart"/>
            <w:r w:rsidRPr="00EA3DEC">
              <w:rPr>
                <w:sz w:val="22"/>
                <w:shd w:val="clear" w:color="auto" w:fill="FFFFFF"/>
              </w:rPr>
              <w:t>Abcam</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ab7349</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Rat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1:500</w:t>
            </w:r>
          </w:p>
        </w:tc>
      </w:tr>
      <w:tr w:rsidR="000238F3" w:rsidRPr="00EA3DEC" w:rsidTr="00A51D75">
        <w:trPr>
          <w:trHeight w:val="17"/>
        </w:trPr>
        <w:tc>
          <w:tcPr>
            <w:tcW w:w="12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proofErr w:type="spellStart"/>
            <w:r w:rsidRPr="00EA3DEC">
              <w:rPr>
                <w:sz w:val="22"/>
              </w:rPr>
              <w:t>NeuN</w:t>
            </w:r>
            <w:proofErr w:type="spellEnd"/>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Synaptic Systems</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266006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Chicken</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1:1000</w:t>
            </w:r>
          </w:p>
        </w:tc>
      </w:tr>
      <w:tr w:rsidR="000238F3" w:rsidRPr="00EA3DEC" w:rsidTr="00A51D75">
        <w:trPr>
          <w:trHeight w:val="17"/>
        </w:trPr>
        <w:tc>
          <w:tcPr>
            <w:tcW w:w="12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PV</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proofErr w:type="spellStart"/>
            <w:r w:rsidRPr="00EA3DEC">
              <w:rPr>
                <w:sz w:val="22"/>
                <w:shd w:val="clear" w:color="auto" w:fill="FFFFFF"/>
              </w:rPr>
              <w:t>Swant</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PVG213</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Goat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1:5000</w:t>
            </w:r>
          </w:p>
        </w:tc>
      </w:tr>
      <w:tr w:rsidR="000238F3" w:rsidRPr="00EA3DEC" w:rsidTr="00A51D75">
        <w:trPr>
          <w:trHeight w:val="17"/>
        </w:trPr>
        <w:tc>
          <w:tcPr>
            <w:tcW w:w="12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VGAT</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Synaptic Systems</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131003</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Rabbit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1:900</w:t>
            </w:r>
          </w:p>
        </w:tc>
      </w:tr>
      <w:tr w:rsidR="000238F3" w:rsidRPr="00EA3DEC" w:rsidTr="00A51D75">
        <w:trPr>
          <w:trHeight w:val="56"/>
        </w:trPr>
        <w:tc>
          <w:tcPr>
            <w:tcW w:w="12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VGAT</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Synaptic Systems</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131004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Guinea-pig</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shd w:val="clear" w:color="auto" w:fill="FFFFFF"/>
              </w:rPr>
              <w:t>1:1000</w:t>
            </w:r>
          </w:p>
        </w:tc>
      </w:tr>
      <w:tr w:rsidR="000238F3" w:rsidRPr="00EA3DEC" w:rsidTr="00A51D75">
        <w:trPr>
          <w:trHeight w:val="21"/>
        </w:trPr>
        <w:tc>
          <w:tcPr>
            <w:tcW w:w="12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VGLUT1</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Synaptic Systems</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135304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Guinea-pig</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1:2000</w:t>
            </w:r>
          </w:p>
        </w:tc>
      </w:tr>
      <w:tr w:rsidR="000238F3" w:rsidRPr="00EA3DEC" w:rsidTr="00A51D75">
        <w:trPr>
          <w:trHeight w:val="17"/>
        </w:trPr>
        <w:tc>
          <w:tcPr>
            <w:tcW w:w="12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VGLUT2</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Synaptic Systems</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135416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Chicken</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1:900</w:t>
            </w:r>
          </w:p>
        </w:tc>
      </w:tr>
    </w:tbl>
    <w:p w:rsidR="000238F3" w:rsidRPr="00EA3DEC" w:rsidRDefault="000238F3" w:rsidP="000238F3">
      <w:pPr>
        <w:spacing w:line="259" w:lineRule="auto"/>
        <w:jc w:val="left"/>
        <w:rPr>
          <w:b/>
          <w:sz w:val="22"/>
        </w:rPr>
      </w:pPr>
      <w:r w:rsidRPr="00EA3DEC">
        <w:rPr>
          <w:b/>
          <w:sz w:val="22"/>
        </w:rPr>
        <w:br w:type="page"/>
      </w:r>
    </w:p>
    <w:p w:rsidR="000238F3" w:rsidRPr="00EA3DEC" w:rsidRDefault="000238F3" w:rsidP="000238F3">
      <w:pPr>
        <w:pStyle w:val="NormalWeb"/>
        <w:spacing w:before="240" w:beforeAutospacing="0" w:after="240" w:afterAutospacing="0"/>
        <w:rPr>
          <w:b/>
          <w:sz w:val="22"/>
        </w:rPr>
      </w:pPr>
      <w:r w:rsidRPr="00EA3DEC">
        <w:rPr>
          <w:b/>
          <w:sz w:val="22"/>
        </w:rPr>
        <w:t xml:space="preserve">Supplementary Table 2. </w:t>
      </w:r>
      <w:r w:rsidRPr="00EA3DEC">
        <w:rPr>
          <w:sz w:val="22"/>
        </w:rPr>
        <w:t>Secondary antibodies and fluorescent dyes used in this study.</w:t>
      </w:r>
    </w:p>
    <w:tbl>
      <w:tblPr>
        <w:tblpPr w:leftFromText="141" w:rightFromText="141" w:horzAnchor="margin" w:tblpY="516"/>
        <w:tblW w:w="0" w:type="auto"/>
        <w:tblCellMar>
          <w:top w:w="15" w:type="dxa"/>
          <w:left w:w="15" w:type="dxa"/>
          <w:bottom w:w="15" w:type="dxa"/>
          <w:right w:w="15" w:type="dxa"/>
        </w:tblCellMar>
        <w:tblLook w:val="04A0" w:firstRow="1" w:lastRow="0" w:firstColumn="1" w:lastColumn="0" w:noHBand="0" w:noVBand="1"/>
      </w:tblPr>
      <w:tblGrid>
        <w:gridCol w:w="3392"/>
        <w:gridCol w:w="1752"/>
        <w:gridCol w:w="1632"/>
        <w:gridCol w:w="1134"/>
        <w:gridCol w:w="1134"/>
      </w:tblGrid>
      <w:tr w:rsidR="00EA3DEC" w:rsidRPr="00EA3DEC" w:rsidTr="00A51D75">
        <w:trPr>
          <w:trHeight w:val="451"/>
        </w:trPr>
        <w:tc>
          <w:tcPr>
            <w:tcW w:w="33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b/>
                <w:sz w:val="22"/>
              </w:rPr>
            </w:pPr>
            <w:r w:rsidRPr="00EA3DEC">
              <w:rPr>
                <w:b/>
                <w:sz w:val="22"/>
              </w:rPr>
              <w:t>Reagent</w:t>
            </w:r>
          </w:p>
        </w:tc>
        <w:tc>
          <w:tcPr>
            <w:tcW w:w="1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b/>
                <w:sz w:val="22"/>
              </w:rPr>
            </w:pPr>
            <w:r w:rsidRPr="00EA3DEC">
              <w:rPr>
                <w:b/>
                <w:sz w:val="22"/>
              </w:rPr>
              <w:t>Source</w:t>
            </w:r>
          </w:p>
        </w:tc>
        <w:tc>
          <w:tcPr>
            <w:tcW w:w="1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b/>
                <w:sz w:val="22"/>
              </w:rPr>
            </w:pPr>
            <w:r w:rsidRPr="00EA3DEC">
              <w:rPr>
                <w:b/>
                <w:sz w:val="22"/>
              </w:rPr>
              <w:t>Catalogue no.</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b/>
                <w:sz w:val="22"/>
              </w:rPr>
            </w:pPr>
            <w:r w:rsidRPr="00EA3DEC">
              <w:rPr>
                <w:b/>
                <w:sz w:val="22"/>
              </w:rPr>
              <w:t>Host</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b/>
                <w:sz w:val="22"/>
              </w:rPr>
            </w:pPr>
            <w:r w:rsidRPr="00EA3DEC">
              <w:rPr>
                <w:b/>
                <w:sz w:val="22"/>
              </w:rPr>
              <w:t>Dilution</w:t>
            </w:r>
          </w:p>
        </w:tc>
      </w:tr>
      <w:tr w:rsidR="00EA3DEC" w:rsidRPr="00EA3DEC" w:rsidTr="00A51D75">
        <w:trPr>
          <w:trHeight w:val="66"/>
        </w:trPr>
        <w:tc>
          <w:tcPr>
            <w:tcW w:w="33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Alexa Fluor Plus 405 anti-rabbit IgG</w:t>
            </w:r>
          </w:p>
        </w:tc>
        <w:tc>
          <w:tcPr>
            <w:tcW w:w="1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Invitrogen</w:t>
            </w:r>
          </w:p>
        </w:tc>
        <w:tc>
          <w:tcPr>
            <w:tcW w:w="1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A48258</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Donkey</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1:500</w:t>
            </w:r>
          </w:p>
        </w:tc>
      </w:tr>
      <w:tr w:rsidR="00EA3DEC" w:rsidRPr="00EA3DEC" w:rsidTr="00A51D75">
        <w:trPr>
          <w:trHeight w:val="155"/>
        </w:trPr>
        <w:tc>
          <w:tcPr>
            <w:tcW w:w="33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Alexa Fluor 488 anti-rabbit IgG</w:t>
            </w:r>
          </w:p>
        </w:tc>
        <w:tc>
          <w:tcPr>
            <w:tcW w:w="1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Invitrogen</w:t>
            </w:r>
          </w:p>
        </w:tc>
        <w:tc>
          <w:tcPr>
            <w:tcW w:w="1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A-21206</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Donkey</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1:500</w:t>
            </w:r>
          </w:p>
        </w:tc>
      </w:tr>
      <w:tr w:rsidR="00EA3DEC" w:rsidRPr="00EA3DEC" w:rsidTr="00A51D75">
        <w:trPr>
          <w:trHeight w:val="234"/>
        </w:trPr>
        <w:tc>
          <w:tcPr>
            <w:tcW w:w="33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Alexa Fluor 488 anti-rabbit IgG</w:t>
            </w:r>
          </w:p>
        </w:tc>
        <w:tc>
          <w:tcPr>
            <w:tcW w:w="1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 xml:space="preserve">Jackson </w:t>
            </w:r>
            <w:proofErr w:type="spellStart"/>
            <w:r w:rsidRPr="00EA3DEC">
              <w:rPr>
                <w:sz w:val="22"/>
              </w:rPr>
              <w:t>ImmunoResearch</w:t>
            </w:r>
            <w:proofErr w:type="spellEnd"/>
          </w:p>
        </w:tc>
        <w:tc>
          <w:tcPr>
            <w:tcW w:w="1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111-545-144</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Goat</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1:500</w:t>
            </w:r>
          </w:p>
        </w:tc>
      </w:tr>
      <w:tr w:rsidR="00EA3DEC" w:rsidRPr="00EA3DEC" w:rsidTr="00A51D75">
        <w:trPr>
          <w:trHeight w:val="17"/>
        </w:trPr>
        <w:tc>
          <w:tcPr>
            <w:tcW w:w="33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Alexa Fluor 488 anti-goat IgG</w:t>
            </w:r>
          </w:p>
        </w:tc>
        <w:tc>
          <w:tcPr>
            <w:tcW w:w="1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Invitrogen</w:t>
            </w:r>
          </w:p>
        </w:tc>
        <w:tc>
          <w:tcPr>
            <w:tcW w:w="1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A-11055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Donkey</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1:500</w:t>
            </w:r>
          </w:p>
        </w:tc>
      </w:tr>
      <w:tr w:rsidR="00EA3DEC" w:rsidRPr="00EA3DEC" w:rsidTr="00A51D75">
        <w:trPr>
          <w:trHeight w:val="50"/>
        </w:trPr>
        <w:tc>
          <w:tcPr>
            <w:tcW w:w="33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Alexa Fluor 568 anti-guinea pig IgG</w:t>
            </w:r>
          </w:p>
        </w:tc>
        <w:tc>
          <w:tcPr>
            <w:tcW w:w="1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Invitrogen</w:t>
            </w:r>
          </w:p>
        </w:tc>
        <w:tc>
          <w:tcPr>
            <w:tcW w:w="1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A-11075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Goat</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1:500</w:t>
            </w:r>
          </w:p>
        </w:tc>
      </w:tr>
      <w:tr w:rsidR="00EA3DEC" w:rsidRPr="00EA3DEC" w:rsidTr="00A51D75">
        <w:trPr>
          <w:trHeight w:val="142"/>
        </w:trPr>
        <w:tc>
          <w:tcPr>
            <w:tcW w:w="33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Cy3 anti-mouse IgG</w:t>
            </w:r>
          </w:p>
        </w:tc>
        <w:tc>
          <w:tcPr>
            <w:tcW w:w="1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 xml:space="preserve">Jackson </w:t>
            </w:r>
            <w:proofErr w:type="spellStart"/>
            <w:r w:rsidRPr="00EA3DEC">
              <w:rPr>
                <w:sz w:val="22"/>
              </w:rPr>
              <w:t>ImmunoResearch</w:t>
            </w:r>
            <w:proofErr w:type="spellEnd"/>
          </w:p>
        </w:tc>
        <w:tc>
          <w:tcPr>
            <w:tcW w:w="1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715-165-151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Donkey</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1:500</w:t>
            </w:r>
          </w:p>
        </w:tc>
      </w:tr>
      <w:tr w:rsidR="00EA3DEC" w:rsidRPr="00EA3DEC" w:rsidTr="00A51D75">
        <w:trPr>
          <w:trHeight w:val="110"/>
        </w:trPr>
        <w:tc>
          <w:tcPr>
            <w:tcW w:w="33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Cy3 anti-guinea pig IgG</w:t>
            </w:r>
          </w:p>
        </w:tc>
        <w:tc>
          <w:tcPr>
            <w:tcW w:w="1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Jackson</w:t>
            </w:r>
          </w:p>
          <w:p w:rsidR="000238F3" w:rsidRPr="00EA3DEC" w:rsidRDefault="000238F3" w:rsidP="00A51D75">
            <w:pPr>
              <w:pStyle w:val="NormalWeb"/>
              <w:spacing w:before="0" w:beforeAutospacing="0" w:after="0" w:afterAutospacing="0" w:line="240" w:lineRule="auto"/>
              <w:rPr>
                <w:sz w:val="22"/>
              </w:rPr>
            </w:pPr>
            <w:proofErr w:type="spellStart"/>
            <w:r w:rsidRPr="00EA3DEC">
              <w:rPr>
                <w:sz w:val="22"/>
              </w:rPr>
              <w:t>ImmunoResearch</w:t>
            </w:r>
            <w:proofErr w:type="spellEnd"/>
          </w:p>
        </w:tc>
        <w:tc>
          <w:tcPr>
            <w:tcW w:w="1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706-165-148</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Donkey</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1:500</w:t>
            </w:r>
          </w:p>
        </w:tc>
      </w:tr>
      <w:tr w:rsidR="00EA3DEC" w:rsidRPr="00EA3DEC" w:rsidTr="00A51D75">
        <w:trPr>
          <w:trHeight w:val="17"/>
        </w:trPr>
        <w:tc>
          <w:tcPr>
            <w:tcW w:w="33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Alexa Fluor 647 anti-chicken IgG</w:t>
            </w:r>
          </w:p>
        </w:tc>
        <w:tc>
          <w:tcPr>
            <w:tcW w:w="1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Invitrogen</w:t>
            </w:r>
          </w:p>
        </w:tc>
        <w:tc>
          <w:tcPr>
            <w:tcW w:w="1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 xml:space="preserve"> A78952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Donkey</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1:500</w:t>
            </w:r>
          </w:p>
        </w:tc>
      </w:tr>
      <w:tr w:rsidR="00EA3DEC" w:rsidRPr="00EA3DEC" w:rsidTr="00A51D75">
        <w:trPr>
          <w:trHeight w:val="198"/>
        </w:trPr>
        <w:tc>
          <w:tcPr>
            <w:tcW w:w="33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 xml:space="preserve">Alexa Fluor 647 anti-chicken </w:t>
            </w:r>
            <w:proofErr w:type="spellStart"/>
            <w:r w:rsidRPr="00EA3DEC">
              <w:rPr>
                <w:sz w:val="22"/>
              </w:rPr>
              <w:t>IgY</w:t>
            </w:r>
            <w:proofErr w:type="spellEnd"/>
          </w:p>
        </w:tc>
        <w:tc>
          <w:tcPr>
            <w:tcW w:w="1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Jackson</w:t>
            </w:r>
          </w:p>
          <w:p w:rsidR="000238F3" w:rsidRPr="00EA3DEC" w:rsidRDefault="000238F3" w:rsidP="00A51D75">
            <w:pPr>
              <w:pStyle w:val="NormalWeb"/>
              <w:spacing w:before="0" w:beforeAutospacing="0" w:after="0" w:afterAutospacing="0" w:line="240" w:lineRule="auto"/>
              <w:rPr>
                <w:sz w:val="22"/>
              </w:rPr>
            </w:pPr>
            <w:proofErr w:type="spellStart"/>
            <w:r w:rsidRPr="00EA3DEC">
              <w:rPr>
                <w:sz w:val="22"/>
              </w:rPr>
              <w:t>ImmunoResearch</w:t>
            </w:r>
            <w:proofErr w:type="spellEnd"/>
          </w:p>
        </w:tc>
        <w:tc>
          <w:tcPr>
            <w:tcW w:w="1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703-605-155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Donkey</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1:500</w:t>
            </w:r>
          </w:p>
        </w:tc>
      </w:tr>
      <w:tr w:rsidR="00EA3DEC" w:rsidRPr="00EA3DEC" w:rsidTr="00A51D75">
        <w:trPr>
          <w:trHeight w:val="25"/>
        </w:trPr>
        <w:tc>
          <w:tcPr>
            <w:tcW w:w="33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Alexa Fluor 647 anti-rat IgG</w:t>
            </w:r>
          </w:p>
        </w:tc>
        <w:tc>
          <w:tcPr>
            <w:tcW w:w="1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Invitrogen</w:t>
            </w:r>
          </w:p>
        </w:tc>
        <w:tc>
          <w:tcPr>
            <w:tcW w:w="1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A78947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Donkey</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1:500</w:t>
            </w:r>
          </w:p>
        </w:tc>
      </w:tr>
      <w:tr w:rsidR="00EA3DEC" w:rsidRPr="00EA3DEC" w:rsidTr="00A51D75">
        <w:trPr>
          <w:trHeight w:val="130"/>
        </w:trPr>
        <w:tc>
          <w:tcPr>
            <w:tcW w:w="33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Alexa Fluor 647 anti-mouse IgG</w:t>
            </w:r>
          </w:p>
        </w:tc>
        <w:tc>
          <w:tcPr>
            <w:tcW w:w="1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Jackson</w:t>
            </w:r>
          </w:p>
          <w:p w:rsidR="000238F3" w:rsidRPr="00EA3DEC" w:rsidRDefault="000238F3" w:rsidP="00A51D75">
            <w:pPr>
              <w:pStyle w:val="NormalWeb"/>
              <w:spacing w:before="0" w:beforeAutospacing="0" w:after="0" w:afterAutospacing="0" w:line="240" w:lineRule="auto"/>
              <w:rPr>
                <w:sz w:val="22"/>
              </w:rPr>
            </w:pPr>
            <w:proofErr w:type="spellStart"/>
            <w:r w:rsidRPr="00EA3DEC">
              <w:rPr>
                <w:sz w:val="22"/>
              </w:rPr>
              <w:t>ImmunoResearch</w:t>
            </w:r>
            <w:proofErr w:type="spellEnd"/>
          </w:p>
        </w:tc>
        <w:tc>
          <w:tcPr>
            <w:tcW w:w="1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715-605-151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Donkey</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38F3" w:rsidRPr="00EA3DEC" w:rsidRDefault="000238F3" w:rsidP="00A51D75">
            <w:pPr>
              <w:pStyle w:val="NormalWeb"/>
              <w:spacing w:before="0" w:beforeAutospacing="0" w:after="0" w:afterAutospacing="0" w:line="240" w:lineRule="auto"/>
              <w:rPr>
                <w:sz w:val="22"/>
              </w:rPr>
            </w:pPr>
            <w:r w:rsidRPr="00EA3DEC">
              <w:rPr>
                <w:sz w:val="22"/>
              </w:rPr>
              <w:t>1:500</w:t>
            </w:r>
          </w:p>
        </w:tc>
      </w:tr>
    </w:tbl>
    <w:p w:rsidR="000238F3" w:rsidRPr="00EA3DEC" w:rsidRDefault="000238F3" w:rsidP="000238F3">
      <w:pPr>
        <w:rPr>
          <w:rFonts w:eastAsia="Times New Roman" w:cs="Times New Roman"/>
          <w:b/>
          <w:bCs/>
        </w:rPr>
      </w:pPr>
      <w:r w:rsidRPr="00EA3DEC">
        <w:rPr>
          <w:rFonts w:eastAsia="Times New Roman" w:cs="Times New Roman"/>
          <w:b/>
          <w:bCs/>
        </w:rPr>
        <w:br w:type="page"/>
      </w:r>
    </w:p>
    <w:p w:rsidR="000238F3" w:rsidRPr="00EA3DEC" w:rsidRDefault="000238F3" w:rsidP="000238F3">
      <w:pPr>
        <w:rPr>
          <w:rFonts w:eastAsia="Times New Roman" w:cs="Times New Roman"/>
        </w:rPr>
      </w:pPr>
      <w:r w:rsidRPr="00EA3DEC">
        <w:rPr>
          <w:rFonts w:eastAsia="Times New Roman" w:cs="Times New Roman"/>
          <w:b/>
          <w:bCs/>
        </w:rPr>
        <w:t xml:space="preserve">Supplementary table 3. </w:t>
      </w:r>
      <w:r w:rsidRPr="00EA3DEC">
        <w:rPr>
          <w:rFonts w:eastAsia="Times New Roman" w:cs="Times New Roman"/>
          <w:bCs/>
        </w:rPr>
        <w:t>Top Differentially Expressed Genes for Control vs. Perinatal Asphyxia Comparisons</w:t>
      </w:r>
    </w:p>
    <w:tbl>
      <w:tblPr>
        <w:tblW w:w="9072" w:type="dxa"/>
        <w:tblInd w:w="-10" w:type="dxa"/>
        <w:tblLayout w:type="fixed"/>
        <w:tblCellMar>
          <w:top w:w="15" w:type="dxa"/>
          <w:left w:w="15" w:type="dxa"/>
          <w:bottom w:w="15" w:type="dxa"/>
          <w:right w:w="15" w:type="dxa"/>
        </w:tblCellMar>
        <w:tblLook w:val="04A0" w:firstRow="1" w:lastRow="0" w:firstColumn="1" w:lastColumn="0" w:noHBand="0" w:noVBand="1"/>
      </w:tblPr>
      <w:tblGrid>
        <w:gridCol w:w="1701"/>
        <w:gridCol w:w="1418"/>
        <w:gridCol w:w="2126"/>
        <w:gridCol w:w="1559"/>
        <w:gridCol w:w="2268"/>
      </w:tblGrid>
      <w:tr w:rsidR="00EA3DEC" w:rsidRPr="00EA3DEC" w:rsidTr="00EA3DEC">
        <w:trPr>
          <w:trHeight w:val="506"/>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b/>
                <w:bCs/>
              </w:rPr>
              <w:t>Gene symbol</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proofErr w:type="spellStart"/>
            <w:r w:rsidRPr="00EA3DEC">
              <w:rPr>
                <w:rFonts w:eastAsia="Times New Roman" w:cs="Times New Roman"/>
                <w:b/>
                <w:bCs/>
              </w:rPr>
              <w:t>baseMean</w:t>
            </w:r>
            <w:proofErr w:type="spellEnd"/>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b/>
                <w:bCs/>
              </w:rPr>
              <w:t>log2FoldChange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b/>
                <w:bCs/>
              </w:rPr>
              <w:t>p value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b/>
                <w:bCs/>
              </w:rPr>
              <w:t>Adjusted p value</w:t>
            </w:r>
          </w:p>
        </w:tc>
      </w:tr>
      <w:tr w:rsidR="00EA3DEC" w:rsidRPr="00EA3DEC" w:rsidTr="00EA3DEC">
        <w:trPr>
          <w:trHeight w:val="180"/>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Camk4</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627.545</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0.387</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7.52E-07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5.32E-03</w:t>
            </w:r>
          </w:p>
        </w:tc>
      </w:tr>
      <w:tr w:rsidR="00EA3DEC" w:rsidRPr="00EA3DEC" w:rsidTr="00EA3DEC">
        <w:trPr>
          <w:trHeight w:val="104"/>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proofErr w:type="spellStart"/>
            <w:r w:rsidRPr="00EA3DEC">
              <w:rPr>
                <w:rFonts w:eastAsia="Times New Roman" w:cs="Times New Roman"/>
              </w:rPr>
              <w:t>Dbp</w:t>
            </w:r>
            <w:proofErr w:type="spellEnd"/>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461.65</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-0.44</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6.22E-07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5.32E-03</w:t>
            </w:r>
          </w:p>
        </w:tc>
      </w:tr>
      <w:tr w:rsidR="00EA3DEC" w:rsidRPr="00EA3DEC" w:rsidTr="00EA3DEC">
        <w:trPr>
          <w:trHeight w:val="42"/>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Igsf9</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706.118</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-0.408</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5.91E-06</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0.028</w:t>
            </w:r>
          </w:p>
        </w:tc>
      </w:tr>
      <w:tr w:rsidR="00EA3DEC" w:rsidRPr="00EA3DEC" w:rsidTr="00EA3DEC">
        <w:trPr>
          <w:trHeight w:val="122"/>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Col24a1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193.81</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0.428</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1.05E-05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0.037</w:t>
            </w:r>
          </w:p>
        </w:tc>
      </w:tr>
      <w:tr w:rsidR="00EA3DEC" w:rsidRPr="00EA3DEC" w:rsidTr="00EA3DEC">
        <w:trPr>
          <w:trHeight w:val="202"/>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RGD1307929</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5647.014</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0.147</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3.98E-05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0.113</w:t>
            </w:r>
          </w:p>
        </w:tc>
      </w:tr>
      <w:tr w:rsidR="00EA3DEC" w:rsidRPr="00EA3DEC" w:rsidTr="00EA3DEC">
        <w:trPr>
          <w:trHeight w:val="17"/>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Gpc2</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221.304</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-0.557</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1.74E-04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0.247</w:t>
            </w:r>
          </w:p>
        </w:tc>
      </w:tr>
      <w:tr w:rsidR="00EA3DEC" w:rsidRPr="00EA3DEC" w:rsidTr="00EA3DEC">
        <w:trPr>
          <w:trHeight w:val="64"/>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Arhgef3</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466.952</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0.302</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1.40E-04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0.247</w:t>
            </w:r>
          </w:p>
        </w:tc>
      </w:tr>
      <w:tr w:rsidR="00EA3DEC" w:rsidRPr="00EA3DEC" w:rsidTr="00EA3DEC">
        <w:trPr>
          <w:trHeight w:val="17"/>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Mapk1ip1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635.372</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-0.164</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1.58E-04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0.247</w:t>
            </w:r>
          </w:p>
        </w:tc>
      </w:tr>
      <w:tr w:rsidR="00EA3DEC" w:rsidRPr="00EA3DEC" w:rsidTr="00EA3DEC">
        <w:trPr>
          <w:trHeight w:val="17"/>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Acss2</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1154.19</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-0.178</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1.20E-04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0.247</w:t>
            </w:r>
          </w:p>
        </w:tc>
      </w:tr>
      <w:tr w:rsidR="00EA3DEC" w:rsidRPr="00EA3DEC" w:rsidTr="00EA3DEC">
        <w:trPr>
          <w:trHeight w:val="17"/>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Cap2</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792.51</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0.349</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1.30E-04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0.247</w:t>
            </w:r>
          </w:p>
        </w:tc>
      </w:tr>
      <w:tr w:rsidR="00EA3DEC" w:rsidRPr="00EA3DEC" w:rsidTr="00EA3DEC">
        <w:trPr>
          <w:trHeight w:val="86"/>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Rasl11a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115.079</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0.413</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4.14E-04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0.308</w:t>
            </w:r>
          </w:p>
        </w:tc>
      </w:tr>
      <w:tr w:rsidR="00EA3DEC" w:rsidRPr="00EA3DEC" w:rsidTr="00EA3DEC">
        <w:trPr>
          <w:trHeight w:val="17"/>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Rgs4</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9610.192</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0.244</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6.09E-04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0.308</w:t>
            </w:r>
          </w:p>
        </w:tc>
      </w:tr>
      <w:tr w:rsidR="00EA3DEC" w:rsidRPr="00EA3DEC" w:rsidTr="00EA3DEC">
        <w:trPr>
          <w:trHeight w:val="232"/>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Tuba4a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4074.18</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0.238</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4.35E-04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0.308</w:t>
            </w:r>
          </w:p>
        </w:tc>
      </w:tr>
      <w:tr w:rsidR="00EA3DEC" w:rsidRPr="00EA3DEC" w:rsidTr="00EA3DEC">
        <w:trPr>
          <w:trHeight w:val="28"/>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Pttg1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44.712</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0.593</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4.45E-04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0.308</w:t>
            </w:r>
          </w:p>
        </w:tc>
      </w:tr>
      <w:tr w:rsidR="00EA3DEC" w:rsidRPr="00EA3DEC" w:rsidTr="00EA3DEC">
        <w:trPr>
          <w:trHeight w:val="17"/>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proofErr w:type="spellStart"/>
            <w:r w:rsidRPr="00EA3DEC">
              <w:rPr>
                <w:rFonts w:eastAsia="Times New Roman" w:cs="Times New Roman"/>
              </w:rPr>
              <w:t>Cpd</w:t>
            </w:r>
            <w:proofErr w:type="spellEnd"/>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540.11</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0.313</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6.07E-04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0.308</w:t>
            </w:r>
          </w:p>
        </w:tc>
      </w:tr>
      <w:tr w:rsidR="00EA3DEC" w:rsidRPr="00EA3DEC" w:rsidTr="00EA3DEC">
        <w:trPr>
          <w:trHeight w:val="32"/>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57E01" w:rsidRDefault="000238F3" w:rsidP="00A51D75">
            <w:pPr>
              <w:spacing w:after="0" w:line="240" w:lineRule="auto"/>
              <w:rPr>
                <w:rFonts w:eastAsia="Times New Roman" w:cs="Times New Roman"/>
              </w:rPr>
            </w:pPr>
            <w:r w:rsidRPr="00E57E01">
              <w:rPr>
                <w:rFonts w:eastAsia="Times New Roman" w:cs="Times New Roman"/>
              </w:rPr>
              <w:t>Kcnv1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57E01" w:rsidRDefault="000238F3" w:rsidP="00A51D75">
            <w:pPr>
              <w:spacing w:after="0" w:line="240" w:lineRule="auto"/>
              <w:rPr>
                <w:rFonts w:eastAsia="Times New Roman" w:cs="Times New Roman"/>
              </w:rPr>
            </w:pPr>
            <w:r w:rsidRPr="00E57E01">
              <w:rPr>
                <w:rFonts w:eastAsia="Times New Roman" w:cs="Times New Roman"/>
              </w:rPr>
              <w:t>1335.48</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0.276</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4.85E-04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0.308</w:t>
            </w:r>
          </w:p>
        </w:tc>
      </w:tr>
      <w:tr w:rsidR="00EA3DEC" w:rsidRPr="00EA3DEC" w:rsidTr="00EA3DEC">
        <w:trPr>
          <w:trHeight w:val="17"/>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Kcnq3</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921.171</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0.227</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3.68E-04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0.308</w:t>
            </w:r>
          </w:p>
        </w:tc>
      </w:tr>
      <w:tr w:rsidR="00EA3DEC" w:rsidRPr="00EA3DEC" w:rsidTr="00EA3DEC">
        <w:trPr>
          <w:trHeight w:val="37"/>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Rps6kl1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993.86</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-0.217</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2.45E-04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0.308</w:t>
            </w:r>
          </w:p>
        </w:tc>
      </w:tr>
      <w:tr w:rsidR="00EA3DEC" w:rsidRPr="00EA3DEC" w:rsidTr="00EA3DEC">
        <w:trPr>
          <w:trHeight w:val="17"/>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Tle2</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308.736</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-0.259</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5.24E-04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0.308</w:t>
            </w:r>
          </w:p>
        </w:tc>
      </w:tr>
      <w:tr w:rsidR="00EA3DEC" w:rsidRPr="00EA3DEC" w:rsidTr="00EA3DEC">
        <w:trPr>
          <w:trHeight w:val="17"/>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Rab33a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446.15</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-0.188</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2.62E-04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rPr>
            </w:pPr>
            <w:r w:rsidRPr="00EA3DEC">
              <w:rPr>
                <w:rFonts w:eastAsia="Times New Roman" w:cs="Times New Roman"/>
              </w:rPr>
              <w:t>0.308</w:t>
            </w:r>
          </w:p>
        </w:tc>
      </w:tr>
    </w:tbl>
    <w:p w:rsidR="000238F3" w:rsidRPr="00EA3DEC" w:rsidRDefault="000238F3" w:rsidP="000238F3">
      <w:pPr>
        <w:rPr>
          <w:rFonts w:eastAsia="Times New Roman" w:cs="Times New Roman"/>
        </w:rPr>
      </w:pPr>
    </w:p>
    <w:p w:rsidR="000238F3" w:rsidRPr="00EA3DEC" w:rsidRDefault="000238F3" w:rsidP="000238F3">
      <w:pPr>
        <w:rPr>
          <w:rFonts w:cs="Times New Roman"/>
        </w:rPr>
      </w:pPr>
      <w:r w:rsidRPr="00EA3DEC">
        <w:rPr>
          <w:rFonts w:cs="Times New Roman"/>
        </w:rPr>
        <w:t>The table summarizes the top 20 differentially expressed genes in the medial prefrontal cortex (</w:t>
      </w:r>
      <w:proofErr w:type="spellStart"/>
      <w:r w:rsidRPr="00EA3DEC">
        <w:rPr>
          <w:rFonts w:cs="Times New Roman"/>
        </w:rPr>
        <w:t>mPFC</w:t>
      </w:r>
      <w:proofErr w:type="spellEnd"/>
      <w:r w:rsidRPr="00EA3DEC">
        <w:rPr>
          <w:rFonts w:cs="Times New Roman"/>
        </w:rPr>
        <w:t>) when comparing the control vehicle group to the PA vehicle group. The table presents the mean RNA-</w:t>
      </w:r>
      <w:proofErr w:type="spellStart"/>
      <w:r w:rsidRPr="00EA3DEC">
        <w:rPr>
          <w:rFonts w:cs="Times New Roman"/>
        </w:rPr>
        <w:t>seq</w:t>
      </w:r>
      <w:proofErr w:type="spellEnd"/>
      <w:r w:rsidRPr="00EA3DEC">
        <w:rPr>
          <w:rFonts w:cs="Times New Roman"/>
        </w:rPr>
        <w:t xml:space="preserve"> raw read counts for each gene in the control vehicle group (</w:t>
      </w:r>
      <w:proofErr w:type="spellStart"/>
      <w:r w:rsidRPr="00EA3DEC">
        <w:rPr>
          <w:rFonts w:cs="Times New Roman"/>
        </w:rPr>
        <w:t>baseMean</w:t>
      </w:r>
      <w:proofErr w:type="spellEnd"/>
      <w:r w:rsidRPr="00EA3DEC">
        <w:rPr>
          <w:rFonts w:cs="Times New Roman"/>
        </w:rPr>
        <w:t xml:space="preserve">) and the log2 fold change values (log2FoldChange) in the PA vehicle group. Statistical significance was determined using the Wald test for p-values, and the </w:t>
      </w:r>
      <w:proofErr w:type="spellStart"/>
      <w:r w:rsidRPr="00EA3DEC">
        <w:rPr>
          <w:rFonts w:cs="Times New Roman"/>
        </w:rPr>
        <w:t>Benjamini</w:t>
      </w:r>
      <w:proofErr w:type="spellEnd"/>
      <w:r w:rsidRPr="00EA3DEC">
        <w:rPr>
          <w:rFonts w:cs="Times New Roman"/>
        </w:rPr>
        <w:t xml:space="preserve">-Hochberg (BH) method </w:t>
      </w:r>
      <w:proofErr w:type="gramStart"/>
      <w:r w:rsidRPr="00EA3DEC">
        <w:rPr>
          <w:rFonts w:cs="Times New Roman"/>
        </w:rPr>
        <w:t>was applied</w:t>
      </w:r>
      <w:proofErr w:type="gramEnd"/>
      <w:r w:rsidRPr="00EA3DEC">
        <w:rPr>
          <w:rFonts w:cs="Times New Roman"/>
        </w:rPr>
        <w:t xml:space="preserve"> to calculate adjusted p-values (p </w:t>
      </w:r>
      <w:proofErr w:type="spellStart"/>
      <w:r w:rsidRPr="00EA3DEC">
        <w:rPr>
          <w:rFonts w:cs="Times New Roman"/>
        </w:rPr>
        <w:t>adj</w:t>
      </w:r>
      <w:proofErr w:type="spellEnd"/>
      <w:r w:rsidRPr="00EA3DEC">
        <w:rPr>
          <w:rFonts w:cs="Times New Roman"/>
        </w:rPr>
        <w:t>), controlling the false discovery rate (FDR) and correcting for multiple testing.</w:t>
      </w:r>
    </w:p>
    <w:p w:rsidR="000238F3" w:rsidRPr="00EA3DEC" w:rsidRDefault="000238F3" w:rsidP="000238F3">
      <w:pPr>
        <w:spacing w:line="259" w:lineRule="auto"/>
        <w:jc w:val="left"/>
        <w:rPr>
          <w:rFonts w:cs="Times New Roman"/>
        </w:rPr>
      </w:pPr>
      <w:r w:rsidRPr="00EA3DEC">
        <w:rPr>
          <w:rFonts w:cs="Times New Roman"/>
        </w:rPr>
        <w:br w:type="page"/>
      </w:r>
    </w:p>
    <w:p w:rsidR="000238F3" w:rsidRPr="00EA3DEC" w:rsidRDefault="005D5602" w:rsidP="000238F3">
      <w:pPr>
        <w:rPr>
          <w:rFonts w:cs="Times New Roman"/>
        </w:rPr>
      </w:pPr>
      <w:r>
        <w:rPr>
          <w:rFonts w:eastAsia="Times New Roman" w:cs="Times New Roman"/>
          <w:b/>
          <w:bCs/>
        </w:rPr>
        <w:t>Supplementary T</w:t>
      </w:r>
      <w:r w:rsidR="000238F3" w:rsidRPr="00EA3DEC">
        <w:rPr>
          <w:rFonts w:eastAsia="Times New Roman" w:cs="Times New Roman"/>
          <w:b/>
          <w:bCs/>
        </w:rPr>
        <w:t xml:space="preserve">able 4. </w:t>
      </w:r>
      <w:r w:rsidR="000238F3" w:rsidRPr="00EA3DEC">
        <w:rPr>
          <w:rFonts w:eastAsia="Times New Roman" w:cs="Times New Roman"/>
          <w:bCs/>
        </w:rPr>
        <w:t>Sample sizes for behavioural tests</w:t>
      </w:r>
    </w:p>
    <w:tbl>
      <w:tblPr>
        <w:tblW w:w="0" w:type="auto"/>
        <w:tblCellMar>
          <w:top w:w="15" w:type="dxa"/>
          <w:left w:w="15" w:type="dxa"/>
          <w:bottom w:w="15" w:type="dxa"/>
          <w:right w:w="15" w:type="dxa"/>
        </w:tblCellMar>
        <w:tblLook w:val="04A0" w:firstRow="1" w:lastRow="0" w:firstColumn="1" w:lastColumn="0" w:noHBand="0" w:noVBand="1"/>
      </w:tblPr>
      <w:tblGrid>
        <w:gridCol w:w="1209"/>
        <w:gridCol w:w="1758"/>
        <w:gridCol w:w="853"/>
        <w:gridCol w:w="5232"/>
      </w:tblGrid>
      <w:tr w:rsidR="00EA3DEC" w:rsidRPr="00EA3DEC" w:rsidTr="00A51D75">
        <w:trPr>
          <w:trHeight w:val="519"/>
        </w:trPr>
        <w:tc>
          <w:tcPr>
            <w:tcW w:w="1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b/>
                <w:bCs/>
              </w:rPr>
              <w:t>Cohort</w:t>
            </w:r>
            <w:r w:rsidRPr="00EA3DEC">
              <w:rPr>
                <w:rFonts w:eastAsia="Times New Roman" w:cs="Times New Roman"/>
                <w:b/>
                <w:bCs/>
                <w:shd w:val="clear" w:color="auto" w:fill="FFFFFF"/>
                <w:lang w:eastAsia="hu-HU"/>
              </w:rPr>
              <w:t xml:space="preserve"> ID</w:t>
            </w:r>
          </w:p>
        </w:tc>
        <w:tc>
          <w:tcPr>
            <w:tcW w:w="17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b/>
                <w:bCs/>
                <w:shd w:val="clear" w:color="auto" w:fill="FFFFFF"/>
                <w:lang w:eastAsia="hu-HU"/>
              </w:rPr>
              <w:t>Animals/ treatment group</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b/>
                <w:bCs/>
                <w:shd w:val="clear" w:color="auto" w:fill="FFFFFF"/>
                <w:lang w:eastAsia="hu-HU"/>
              </w:rPr>
              <w:t>Sex</w:t>
            </w:r>
          </w:p>
        </w:tc>
        <w:tc>
          <w:tcPr>
            <w:tcW w:w="5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b/>
                <w:bCs/>
                <w:shd w:val="clear" w:color="auto" w:fill="FFFFFF"/>
                <w:lang w:eastAsia="hu-HU"/>
              </w:rPr>
              <w:t>Name and order of tests performed</w:t>
            </w:r>
          </w:p>
        </w:tc>
      </w:tr>
      <w:tr w:rsidR="00EA3DEC" w:rsidRPr="00EA3DEC" w:rsidTr="00A51D75">
        <w:trPr>
          <w:trHeight w:val="488"/>
        </w:trPr>
        <w:tc>
          <w:tcPr>
            <w:tcW w:w="1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Cohort 1</w:t>
            </w:r>
          </w:p>
        </w:tc>
        <w:tc>
          <w:tcPr>
            <w:tcW w:w="17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6-11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male</w:t>
            </w:r>
          </w:p>
        </w:tc>
        <w:tc>
          <w:tcPr>
            <w:tcW w:w="5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Adult behavioural tests (open field test, elevated plus maze test, delay discounting test)</w:t>
            </w:r>
          </w:p>
        </w:tc>
      </w:tr>
      <w:tr w:rsidR="00EA3DEC" w:rsidRPr="00EA3DEC" w:rsidTr="00A51D75">
        <w:trPr>
          <w:trHeight w:val="470"/>
        </w:trPr>
        <w:tc>
          <w:tcPr>
            <w:tcW w:w="1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Cohort 2</w:t>
            </w:r>
          </w:p>
        </w:tc>
        <w:tc>
          <w:tcPr>
            <w:tcW w:w="17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11-12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male</w:t>
            </w:r>
          </w:p>
        </w:tc>
        <w:tc>
          <w:tcPr>
            <w:tcW w:w="5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Adult behavioural tests (</w:t>
            </w:r>
            <w:proofErr w:type="spellStart"/>
            <w:r w:rsidRPr="00EA3DEC">
              <w:rPr>
                <w:rFonts w:eastAsia="Times New Roman" w:cs="Times New Roman"/>
                <w:shd w:val="clear" w:color="auto" w:fill="FFFFFF"/>
                <w:lang w:eastAsia="hu-HU"/>
              </w:rPr>
              <w:t>rotarod</w:t>
            </w:r>
            <w:proofErr w:type="spellEnd"/>
            <w:r w:rsidRPr="00EA3DEC">
              <w:rPr>
                <w:rFonts w:eastAsia="Times New Roman" w:cs="Times New Roman"/>
                <w:shd w:val="clear" w:color="auto" w:fill="FFFFFF"/>
                <w:lang w:eastAsia="hu-HU"/>
              </w:rPr>
              <w:t>, Morris water maze, social recognition, resident-intruder test) </w:t>
            </w:r>
          </w:p>
        </w:tc>
      </w:tr>
      <w:tr w:rsidR="00EA3DEC" w:rsidRPr="00EA3DEC" w:rsidTr="00A51D75">
        <w:trPr>
          <w:trHeight w:val="310"/>
        </w:trPr>
        <w:tc>
          <w:tcPr>
            <w:tcW w:w="1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Cohort 3</w:t>
            </w:r>
          </w:p>
        </w:tc>
        <w:tc>
          <w:tcPr>
            <w:tcW w:w="17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7-9</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male</w:t>
            </w:r>
          </w:p>
        </w:tc>
        <w:tc>
          <w:tcPr>
            <w:tcW w:w="5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Adult behavioural tests (social interaction, 5-choice serial reaction task, go/no-go test)</w:t>
            </w:r>
          </w:p>
        </w:tc>
      </w:tr>
      <w:tr w:rsidR="00EA3DEC" w:rsidRPr="00EA3DEC" w:rsidTr="00A51D75">
        <w:trPr>
          <w:trHeight w:val="434"/>
        </w:trPr>
        <w:tc>
          <w:tcPr>
            <w:tcW w:w="1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Cohort 4</w:t>
            </w:r>
          </w:p>
        </w:tc>
        <w:tc>
          <w:tcPr>
            <w:tcW w:w="17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15-16</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male</w:t>
            </w:r>
          </w:p>
        </w:tc>
        <w:tc>
          <w:tcPr>
            <w:tcW w:w="5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 xml:space="preserve">Acute </w:t>
            </w:r>
            <w:proofErr w:type="spellStart"/>
            <w:r w:rsidRPr="00EA3DEC">
              <w:rPr>
                <w:rFonts w:eastAsia="Times New Roman" w:cs="Times New Roman"/>
                <w:shd w:val="clear" w:color="auto" w:fill="FFFFFF"/>
                <w:lang w:eastAsia="hu-HU"/>
              </w:rPr>
              <w:t>neuromotor</w:t>
            </w:r>
            <w:proofErr w:type="spellEnd"/>
            <w:r w:rsidRPr="00EA3DEC">
              <w:rPr>
                <w:rFonts w:eastAsia="Times New Roman" w:cs="Times New Roman"/>
                <w:shd w:val="clear" w:color="auto" w:fill="FFFFFF"/>
                <w:lang w:eastAsia="hu-HU"/>
              </w:rPr>
              <w:t xml:space="preserve"> testing and juvenile tests (juvenile open field test, </w:t>
            </w:r>
            <w:proofErr w:type="spellStart"/>
            <w:r w:rsidRPr="00EA3DEC">
              <w:rPr>
                <w:rFonts w:eastAsia="Times New Roman" w:cs="Times New Roman"/>
                <w:shd w:val="clear" w:color="auto" w:fill="FFFFFF"/>
                <w:lang w:eastAsia="hu-HU"/>
              </w:rPr>
              <w:t>playfight</w:t>
            </w:r>
            <w:proofErr w:type="spellEnd"/>
            <w:r w:rsidRPr="00EA3DEC">
              <w:rPr>
                <w:rFonts w:eastAsia="Times New Roman" w:cs="Times New Roman"/>
                <w:shd w:val="clear" w:color="auto" w:fill="FFFFFF"/>
                <w:lang w:eastAsia="hu-HU"/>
              </w:rPr>
              <w:t xml:space="preserve"> test, Y-maze, </w:t>
            </w:r>
            <w:proofErr w:type="spellStart"/>
            <w:r w:rsidRPr="00EA3DEC">
              <w:rPr>
                <w:rFonts w:eastAsia="Times New Roman" w:cs="Times New Roman"/>
                <w:shd w:val="clear" w:color="auto" w:fill="FFFFFF"/>
                <w:lang w:eastAsia="hu-HU"/>
              </w:rPr>
              <w:t>holeboard</w:t>
            </w:r>
            <w:proofErr w:type="spellEnd"/>
            <w:r w:rsidRPr="00EA3DEC">
              <w:rPr>
                <w:rFonts w:eastAsia="Times New Roman" w:cs="Times New Roman"/>
                <w:shd w:val="clear" w:color="auto" w:fill="FFFFFF"/>
                <w:lang w:eastAsia="hu-HU"/>
              </w:rPr>
              <w:t xml:space="preserve"> test)</w:t>
            </w:r>
          </w:p>
        </w:tc>
      </w:tr>
      <w:tr w:rsidR="00EA3DEC" w:rsidRPr="00EA3DEC" w:rsidTr="00A51D75">
        <w:trPr>
          <w:trHeight w:val="132"/>
        </w:trPr>
        <w:tc>
          <w:tcPr>
            <w:tcW w:w="1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Cohort 5</w:t>
            </w:r>
          </w:p>
        </w:tc>
        <w:tc>
          <w:tcPr>
            <w:tcW w:w="17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5-5</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male</w:t>
            </w:r>
          </w:p>
        </w:tc>
        <w:tc>
          <w:tcPr>
            <w:tcW w:w="5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Adult immunohistochemistry</w:t>
            </w:r>
          </w:p>
        </w:tc>
      </w:tr>
      <w:tr w:rsidR="00EA3DEC" w:rsidRPr="00EA3DEC" w:rsidTr="00A51D75">
        <w:trPr>
          <w:trHeight w:val="366"/>
        </w:trPr>
        <w:tc>
          <w:tcPr>
            <w:tcW w:w="1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Cohort 6</w:t>
            </w:r>
          </w:p>
        </w:tc>
        <w:tc>
          <w:tcPr>
            <w:tcW w:w="17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7-8</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male</w:t>
            </w:r>
          </w:p>
        </w:tc>
        <w:tc>
          <w:tcPr>
            <w:tcW w:w="5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 xml:space="preserve">Acute hormone measurements (number/ </w:t>
            </w:r>
            <w:proofErr w:type="spellStart"/>
            <w:r w:rsidRPr="00EA3DEC">
              <w:rPr>
                <w:rFonts w:eastAsia="Times New Roman" w:cs="Times New Roman"/>
                <w:shd w:val="clear" w:color="auto" w:fill="FFFFFF"/>
                <w:lang w:eastAsia="hu-HU"/>
              </w:rPr>
              <w:t>timepoint</w:t>
            </w:r>
            <w:proofErr w:type="spellEnd"/>
            <w:r w:rsidRPr="00EA3DEC">
              <w:rPr>
                <w:rFonts w:eastAsia="Times New Roman" w:cs="Times New Roman"/>
                <w:shd w:val="clear" w:color="auto" w:fill="FFFFFF"/>
                <w:lang w:eastAsia="hu-HU"/>
              </w:rPr>
              <w:t>)</w:t>
            </w:r>
          </w:p>
        </w:tc>
      </w:tr>
      <w:tr w:rsidR="00EA3DEC" w:rsidRPr="00EA3DEC" w:rsidTr="00A51D75">
        <w:trPr>
          <w:trHeight w:val="77"/>
        </w:trPr>
        <w:tc>
          <w:tcPr>
            <w:tcW w:w="1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Cohort 7</w:t>
            </w:r>
          </w:p>
        </w:tc>
        <w:tc>
          <w:tcPr>
            <w:tcW w:w="17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6-7</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male</w:t>
            </w:r>
          </w:p>
        </w:tc>
        <w:tc>
          <w:tcPr>
            <w:tcW w:w="5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Acute immunohistochemistry</w:t>
            </w:r>
          </w:p>
        </w:tc>
      </w:tr>
      <w:tr w:rsidR="00EA3DEC" w:rsidRPr="00EA3DEC" w:rsidTr="00A51D75">
        <w:trPr>
          <w:trHeight w:val="25"/>
        </w:trPr>
        <w:tc>
          <w:tcPr>
            <w:tcW w:w="1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Cohort 8</w:t>
            </w:r>
          </w:p>
        </w:tc>
        <w:tc>
          <w:tcPr>
            <w:tcW w:w="17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9-11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male</w:t>
            </w:r>
          </w:p>
        </w:tc>
        <w:tc>
          <w:tcPr>
            <w:tcW w:w="5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Acute imaging studies</w:t>
            </w:r>
          </w:p>
        </w:tc>
      </w:tr>
      <w:tr w:rsidR="00EA3DEC" w:rsidRPr="00EA3DEC" w:rsidTr="00A51D75">
        <w:trPr>
          <w:trHeight w:val="260"/>
        </w:trPr>
        <w:tc>
          <w:tcPr>
            <w:tcW w:w="1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Cohort 9</w:t>
            </w:r>
          </w:p>
        </w:tc>
        <w:tc>
          <w:tcPr>
            <w:tcW w:w="17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12-15</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male</w:t>
            </w:r>
          </w:p>
        </w:tc>
        <w:tc>
          <w:tcPr>
            <w:tcW w:w="5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IL-1RA treatment, adult behavioural tests  (EPM, 5-choice serial reaction time test)</w:t>
            </w:r>
          </w:p>
        </w:tc>
      </w:tr>
      <w:tr w:rsidR="00EA3DEC" w:rsidRPr="00EA3DEC" w:rsidTr="00A51D75">
        <w:trPr>
          <w:trHeight w:val="25"/>
        </w:trPr>
        <w:tc>
          <w:tcPr>
            <w:tcW w:w="1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Cohort 10</w:t>
            </w:r>
          </w:p>
        </w:tc>
        <w:tc>
          <w:tcPr>
            <w:tcW w:w="17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5-6</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male</w:t>
            </w:r>
          </w:p>
        </w:tc>
        <w:tc>
          <w:tcPr>
            <w:tcW w:w="5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IL-1RA treatment, adult immunohistochemistry</w:t>
            </w:r>
          </w:p>
        </w:tc>
      </w:tr>
      <w:tr w:rsidR="00EA3DEC" w:rsidRPr="00EA3DEC" w:rsidTr="00A51D75">
        <w:trPr>
          <w:trHeight w:val="25"/>
        </w:trPr>
        <w:tc>
          <w:tcPr>
            <w:tcW w:w="1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Cohort 11</w:t>
            </w:r>
          </w:p>
        </w:tc>
        <w:tc>
          <w:tcPr>
            <w:tcW w:w="17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7-9</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male</w:t>
            </w:r>
          </w:p>
        </w:tc>
        <w:tc>
          <w:tcPr>
            <w:tcW w:w="5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IL-1RA treatment, acute immunohistochemistry</w:t>
            </w:r>
          </w:p>
        </w:tc>
      </w:tr>
      <w:tr w:rsidR="00EA3DEC" w:rsidRPr="00EA3DEC" w:rsidTr="00A51D75">
        <w:trPr>
          <w:trHeight w:val="25"/>
        </w:trPr>
        <w:tc>
          <w:tcPr>
            <w:tcW w:w="1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Cohort 12</w:t>
            </w:r>
          </w:p>
        </w:tc>
        <w:tc>
          <w:tcPr>
            <w:tcW w:w="17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8-10</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male</w:t>
            </w:r>
          </w:p>
        </w:tc>
        <w:tc>
          <w:tcPr>
            <w:tcW w:w="5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 xml:space="preserve">IL-1RA treatment, acute </w:t>
            </w:r>
            <w:proofErr w:type="spellStart"/>
            <w:r w:rsidRPr="00EA3DEC">
              <w:rPr>
                <w:rFonts w:eastAsia="Times New Roman" w:cs="Times New Roman"/>
                <w:shd w:val="clear" w:color="auto" w:fill="FFFFFF"/>
                <w:lang w:eastAsia="hu-HU"/>
              </w:rPr>
              <w:t>RNAseq</w:t>
            </w:r>
            <w:proofErr w:type="spellEnd"/>
            <w:r w:rsidRPr="00EA3DEC">
              <w:rPr>
                <w:rFonts w:eastAsia="Times New Roman" w:cs="Times New Roman"/>
                <w:shd w:val="clear" w:color="auto" w:fill="FFFFFF"/>
                <w:lang w:eastAsia="hu-HU"/>
              </w:rPr>
              <w:t xml:space="preserve"> analysis</w:t>
            </w:r>
          </w:p>
        </w:tc>
      </w:tr>
      <w:tr w:rsidR="00EA3DEC" w:rsidRPr="00EA3DEC" w:rsidTr="00A51D75">
        <w:trPr>
          <w:trHeight w:val="106"/>
        </w:trPr>
        <w:tc>
          <w:tcPr>
            <w:tcW w:w="1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Cohort 13</w:t>
            </w:r>
          </w:p>
        </w:tc>
        <w:tc>
          <w:tcPr>
            <w:tcW w:w="17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11-15</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female</w:t>
            </w:r>
          </w:p>
        </w:tc>
        <w:tc>
          <w:tcPr>
            <w:tcW w:w="5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Adult behavioural tests (open field test, 5-choice serial reaction task)</w:t>
            </w:r>
          </w:p>
        </w:tc>
      </w:tr>
      <w:tr w:rsidR="00EA3DEC" w:rsidRPr="00EA3DEC" w:rsidTr="00A51D75">
        <w:trPr>
          <w:trHeight w:val="230"/>
        </w:trPr>
        <w:tc>
          <w:tcPr>
            <w:tcW w:w="1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Cohort 14</w:t>
            </w:r>
          </w:p>
        </w:tc>
        <w:tc>
          <w:tcPr>
            <w:tcW w:w="17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11-15</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female</w:t>
            </w:r>
          </w:p>
        </w:tc>
        <w:tc>
          <w:tcPr>
            <w:tcW w:w="5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38F3" w:rsidRPr="00EA3DEC" w:rsidRDefault="000238F3" w:rsidP="00A51D75">
            <w:pPr>
              <w:spacing w:after="0" w:line="240" w:lineRule="auto"/>
              <w:rPr>
                <w:rFonts w:eastAsia="Times New Roman" w:cs="Times New Roman"/>
                <w:lang w:eastAsia="hu-HU"/>
              </w:rPr>
            </w:pPr>
            <w:r w:rsidRPr="00EA3DEC">
              <w:rPr>
                <w:rFonts w:eastAsia="Times New Roman" w:cs="Times New Roman"/>
                <w:shd w:val="clear" w:color="auto" w:fill="FFFFFF"/>
                <w:lang w:eastAsia="hu-HU"/>
              </w:rPr>
              <w:t>Adult behavioural tests (elevated plus maze, sociability, conditioned fear learning)</w:t>
            </w:r>
          </w:p>
        </w:tc>
      </w:tr>
    </w:tbl>
    <w:p w:rsidR="000238F3" w:rsidRPr="00EA3DEC" w:rsidRDefault="000238F3" w:rsidP="000238F3">
      <w:pPr>
        <w:rPr>
          <w:rFonts w:eastAsia="Times New Roman" w:cs="Times New Roman"/>
        </w:rPr>
      </w:pPr>
    </w:p>
    <w:p w:rsidR="000238F3" w:rsidRPr="00EA3DEC" w:rsidRDefault="000238F3" w:rsidP="000238F3">
      <w:pPr>
        <w:spacing w:line="259" w:lineRule="auto"/>
        <w:jc w:val="left"/>
        <w:rPr>
          <w:rFonts w:eastAsia="Times New Roman" w:cs="Times New Roman"/>
          <w:b/>
        </w:rPr>
      </w:pPr>
      <w:r w:rsidRPr="00EA3DEC">
        <w:rPr>
          <w:rFonts w:eastAsia="Times New Roman" w:cs="Times New Roman"/>
          <w:b/>
        </w:rPr>
        <w:br w:type="page"/>
      </w:r>
    </w:p>
    <w:p w:rsidR="000238F3" w:rsidRPr="00EA3DEC" w:rsidRDefault="005D5602" w:rsidP="000238F3">
      <w:pPr>
        <w:rPr>
          <w:rFonts w:eastAsia="Times New Roman" w:cs="Times New Roman"/>
        </w:rPr>
      </w:pPr>
      <w:r>
        <w:rPr>
          <w:rFonts w:eastAsia="Times New Roman" w:cs="Times New Roman"/>
          <w:b/>
        </w:rPr>
        <w:t>Supplementary T</w:t>
      </w:r>
      <w:r w:rsidR="000238F3" w:rsidRPr="00EA3DEC">
        <w:rPr>
          <w:rFonts w:eastAsia="Times New Roman" w:cs="Times New Roman"/>
          <w:b/>
        </w:rPr>
        <w:t xml:space="preserve">able 5. </w:t>
      </w:r>
      <w:r w:rsidR="000238F3" w:rsidRPr="00EA3DEC">
        <w:rPr>
          <w:rFonts w:eastAsia="Times New Roman" w:cs="Times New Roman"/>
        </w:rPr>
        <w:t>Assessment of normality and variance assumptions for behavioural analysis</w:t>
      </w:r>
    </w:p>
    <w:tbl>
      <w:tblPr>
        <w:tblW w:w="9072" w:type="dxa"/>
        <w:tblBorders>
          <w:top w:val="nil"/>
          <w:left w:val="nil"/>
          <w:bottom w:val="nil"/>
          <w:right w:val="nil"/>
          <w:insideH w:val="nil"/>
          <w:insideV w:val="nil"/>
        </w:tblBorders>
        <w:tblLayout w:type="fixed"/>
        <w:tblLook w:val="0600" w:firstRow="0" w:lastRow="0" w:firstColumn="0" w:lastColumn="0" w:noHBand="1" w:noVBand="1"/>
      </w:tblPr>
      <w:tblGrid>
        <w:gridCol w:w="284"/>
        <w:gridCol w:w="1134"/>
        <w:gridCol w:w="851"/>
        <w:gridCol w:w="567"/>
        <w:gridCol w:w="567"/>
        <w:gridCol w:w="850"/>
        <w:gridCol w:w="850"/>
        <w:gridCol w:w="567"/>
        <w:gridCol w:w="851"/>
        <w:gridCol w:w="709"/>
        <w:gridCol w:w="708"/>
        <w:gridCol w:w="1134"/>
      </w:tblGrid>
      <w:tr w:rsidR="00EA3DEC" w:rsidRPr="00EA3DEC" w:rsidTr="00A51D75">
        <w:trPr>
          <w:trHeight w:val="183"/>
        </w:trPr>
        <w:tc>
          <w:tcPr>
            <w:tcW w:w="2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985"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center"/>
              <w:rPr>
                <w:rFonts w:eastAsia="Calibri" w:cs="Times New Roman"/>
                <w:b/>
                <w:sz w:val="14"/>
                <w:szCs w:val="16"/>
              </w:rPr>
            </w:pPr>
            <w:r w:rsidRPr="00EA3DEC">
              <w:rPr>
                <w:rFonts w:eastAsia="Calibri" w:cs="Times New Roman"/>
                <w:b/>
                <w:sz w:val="14"/>
                <w:szCs w:val="16"/>
              </w:rPr>
              <w:t>Control</w:t>
            </w:r>
          </w:p>
        </w:tc>
        <w:tc>
          <w:tcPr>
            <w:tcW w:w="2267"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center"/>
              <w:rPr>
                <w:rFonts w:eastAsia="Calibri" w:cs="Times New Roman"/>
                <w:b/>
                <w:sz w:val="14"/>
                <w:szCs w:val="16"/>
              </w:rPr>
            </w:pPr>
            <w:r w:rsidRPr="00EA3DEC">
              <w:rPr>
                <w:rFonts w:eastAsia="Calibri" w:cs="Times New Roman"/>
                <w:b/>
                <w:sz w:val="14"/>
                <w:szCs w:val="16"/>
              </w:rPr>
              <w:t>ASX</w:t>
            </w:r>
          </w:p>
        </w:tc>
        <w:tc>
          <w:tcPr>
            <w:tcW w:w="2268"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center"/>
              <w:rPr>
                <w:rFonts w:eastAsia="Calibri" w:cs="Times New Roman"/>
                <w:b/>
                <w:sz w:val="14"/>
                <w:szCs w:val="16"/>
              </w:rPr>
            </w:pPr>
            <w:r w:rsidRPr="00EA3DEC">
              <w:rPr>
                <w:rFonts w:eastAsia="Calibri" w:cs="Times New Roman"/>
                <w:b/>
                <w:sz w:val="14"/>
                <w:szCs w:val="16"/>
              </w:rPr>
              <w:t>All groups</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r>
      <w:tr w:rsidR="00EA3DEC" w:rsidRPr="00EA3DEC" w:rsidTr="00A51D75">
        <w:trPr>
          <w:trHeight w:val="23"/>
        </w:trPr>
        <w:tc>
          <w:tcPr>
            <w:tcW w:w="2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4252"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center"/>
              <w:rPr>
                <w:rFonts w:eastAsia="Calibri" w:cs="Times New Roman"/>
                <w:b/>
                <w:sz w:val="14"/>
                <w:szCs w:val="16"/>
              </w:rPr>
            </w:pPr>
            <w:r w:rsidRPr="00EA3DEC">
              <w:rPr>
                <w:rFonts w:eastAsia="Calibri" w:cs="Times New Roman"/>
                <w:b/>
                <w:sz w:val="14"/>
                <w:szCs w:val="16"/>
              </w:rPr>
              <w:t>Shapiro-Wilk test</w:t>
            </w:r>
          </w:p>
        </w:tc>
        <w:tc>
          <w:tcPr>
            <w:tcW w:w="2268"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center"/>
              <w:rPr>
                <w:rFonts w:eastAsia="Calibri" w:cs="Times New Roman"/>
                <w:b/>
                <w:sz w:val="14"/>
                <w:szCs w:val="16"/>
              </w:rPr>
            </w:pPr>
            <w:r w:rsidRPr="00EA3DEC">
              <w:rPr>
                <w:rFonts w:eastAsia="Calibri" w:cs="Times New Roman"/>
                <w:b/>
                <w:sz w:val="14"/>
                <w:szCs w:val="16"/>
              </w:rPr>
              <w:t>Brown-Forsythe test</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r>
      <w:tr w:rsidR="00EA3DEC" w:rsidRPr="00EA3DEC" w:rsidTr="00A51D75">
        <w:trPr>
          <w:trHeight w:val="467"/>
        </w:trPr>
        <w:tc>
          <w:tcPr>
            <w:tcW w:w="284" w:type="dxa"/>
            <w:vMerge w:val="restart"/>
            <w:tcBorders>
              <w:top w:val="single" w:sz="4" w:space="0" w:color="000000"/>
              <w:left w:val="single" w:sz="4" w:space="0" w:color="000000"/>
              <w:right w:val="single" w:sz="4" w:space="0" w:color="000000"/>
            </w:tcBorders>
            <w:tcMar>
              <w:top w:w="100" w:type="dxa"/>
              <w:left w:w="100" w:type="dxa"/>
              <w:bottom w:w="100" w:type="dxa"/>
              <w:right w:w="100" w:type="dxa"/>
            </w:tcMar>
            <w:textDirection w:val="btLr"/>
            <w:vAlign w:val="center"/>
          </w:tcPr>
          <w:p w:rsidR="000238F3" w:rsidRPr="00EA3DEC" w:rsidRDefault="000238F3" w:rsidP="00A51D75">
            <w:pPr>
              <w:spacing w:line="240" w:lineRule="auto"/>
              <w:jc w:val="center"/>
              <w:rPr>
                <w:rFonts w:eastAsia="Calibri" w:cs="Times New Roman"/>
                <w:b/>
                <w:sz w:val="14"/>
                <w:szCs w:val="16"/>
              </w:rPr>
            </w:pPr>
            <w:r w:rsidRPr="00EA3DEC">
              <w:rPr>
                <w:rFonts w:eastAsia="Calibri" w:cs="Times New Roman"/>
                <w:b/>
                <w:sz w:val="14"/>
                <w:szCs w:val="16"/>
              </w:rPr>
              <w:t>Males</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b/>
                <w:sz w:val="14"/>
                <w:szCs w:val="16"/>
              </w:rPr>
            </w:pPr>
            <w:r w:rsidRPr="00EA3DEC">
              <w:rPr>
                <w:rFonts w:eastAsia="Calibri" w:cs="Times New Roman"/>
                <w:b/>
                <w:sz w:val="14"/>
                <w:szCs w:val="16"/>
              </w:rPr>
              <w:t>Behavioral variable</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b/>
                <w:sz w:val="14"/>
                <w:szCs w:val="16"/>
              </w:rPr>
            </w:pPr>
            <w:r w:rsidRPr="00EA3DEC">
              <w:rPr>
                <w:rFonts w:eastAsia="Calibri" w:cs="Times New Roman"/>
                <w:b/>
                <w:sz w:val="14"/>
                <w:szCs w:val="16"/>
              </w:rPr>
              <w:t>Normally distributed</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b/>
                <w:sz w:val="14"/>
                <w:szCs w:val="16"/>
              </w:rPr>
            </w:pPr>
            <w:r w:rsidRPr="00EA3DEC">
              <w:rPr>
                <w:rFonts w:eastAsia="Calibri" w:cs="Times New Roman"/>
                <w:b/>
                <w:sz w:val="14"/>
                <w:szCs w:val="16"/>
              </w:rPr>
              <w:t>F-value</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b/>
                <w:sz w:val="14"/>
                <w:szCs w:val="16"/>
              </w:rPr>
            </w:pPr>
            <w:r w:rsidRPr="00EA3DEC">
              <w:rPr>
                <w:rFonts w:eastAsia="Calibri" w:cs="Times New Roman"/>
                <w:b/>
                <w:sz w:val="14"/>
                <w:szCs w:val="16"/>
              </w:rPr>
              <w:t>p-value</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b/>
                <w:sz w:val="14"/>
                <w:szCs w:val="16"/>
              </w:rPr>
            </w:pPr>
            <w:r w:rsidRPr="00EA3DEC">
              <w:rPr>
                <w:rFonts w:eastAsia="Calibri" w:cs="Times New Roman"/>
                <w:b/>
                <w:sz w:val="14"/>
                <w:szCs w:val="16"/>
              </w:rPr>
              <w:t>Normally distributed</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b/>
                <w:sz w:val="14"/>
                <w:szCs w:val="16"/>
              </w:rPr>
            </w:pPr>
            <w:r w:rsidRPr="00EA3DEC">
              <w:rPr>
                <w:rFonts w:eastAsia="Calibri" w:cs="Times New Roman"/>
                <w:b/>
                <w:sz w:val="14"/>
                <w:szCs w:val="16"/>
              </w:rPr>
              <w:t>F-value</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b/>
                <w:sz w:val="14"/>
                <w:szCs w:val="16"/>
              </w:rPr>
            </w:pPr>
            <w:r w:rsidRPr="00EA3DEC">
              <w:rPr>
                <w:rFonts w:eastAsia="Calibri" w:cs="Times New Roman"/>
                <w:b/>
                <w:sz w:val="14"/>
                <w:szCs w:val="16"/>
              </w:rPr>
              <w:t>p-value</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b/>
                <w:sz w:val="14"/>
                <w:szCs w:val="16"/>
              </w:rPr>
            </w:pPr>
            <w:r w:rsidRPr="00EA3DEC">
              <w:rPr>
                <w:rFonts w:eastAsia="Calibri" w:cs="Times New Roman"/>
                <w:b/>
                <w:sz w:val="14"/>
                <w:szCs w:val="16"/>
              </w:rPr>
              <w:t>Significant</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b/>
                <w:sz w:val="14"/>
                <w:szCs w:val="16"/>
              </w:rPr>
            </w:pPr>
            <w:r w:rsidRPr="00EA3DEC">
              <w:rPr>
                <w:rFonts w:eastAsia="Calibri" w:cs="Times New Roman"/>
                <w:b/>
                <w:sz w:val="14"/>
                <w:szCs w:val="16"/>
              </w:rPr>
              <w:t>F-value</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b/>
                <w:sz w:val="14"/>
                <w:szCs w:val="16"/>
              </w:rPr>
            </w:pPr>
            <w:r w:rsidRPr="00EA3DEC">
              <w:rPr>
                <w:rFonts w:eastAsia="Calibri" w:cs="Times New Roman"/>
                <w:b/>
                <w:sz w:val="14"/>
                <w:szCs w:val="16"/>
              </w:rPr>
              <w:t>p-value</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b/>
                <w:sz w:val="14"/>
                <w:szCs w:val="16"/>
              </w:rPr>
            </w:pPr>
            <w:r w:rsidRPr="00EA3DEC">
              <w:rPr>
                <w:rFonts w:eastAsia="Calibri" w:cs="Times New Roman"/>
                <w:b/>
                <w:sz w:val="14"/>
                <w:szCs w:val="16"/>
              </w:rPr>
              <w:t>Statistical test performed</w:t>
            </w:r>
          </w:p>
        </w:tc>
      </w:tr>
      <w:tr w:rsidR="00EA3DEC" w:rsidRPr="00EA3DEC" w:rsidTr="00A51D75">
        <w:trPr>
          <w:trHeight w:val="39"/>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Elevated plus maze distance moved</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0.951</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0.754</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0.843</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0.035</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2.36</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0.145</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Mann-Whitney U test</w:t>
            </w:r>
          </w:p>
        </w:tc>
      </w:tr>
      <w:tr w:rsidR="00EA3DEC" w:rsidRPr="00EA3DEC" w:rsidTr="00A51D75">
        <w:trPr>
          <w:trHeight w:val="36"/>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Elevated plus maze open arm entries</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0.975</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0.929</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0.859</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0.057</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0.78</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0.389</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Unpaired t-test</w:t>
            </w:r>
          </w:p>
        </w:tc>
      </w:tr>
      <w:tr w:rsidR="00EA3DEC" w:rsidRPr="00EA3DEC" w:rsidTr="00A51D75">
        <w:trPr>
          <w:trHeight w:val="162"/>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Elevated plus maze open arm%</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0.980</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0.954</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0.799</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0.014</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1.77</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0.203</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Mann-Whitney U test</w:t>
            </w:r>
          </w:p>
        </w:tc>
      </w:tr>
      <w:tr w:rsidR="00EA3DEC" w:rsidRPr="00EA3DEC" w:rsidTr="00A51D75">
        <w:trPr>
          <w:trHeight w:val="316"/>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Negative geotaxis test</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0.934</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0.319</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0.826</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0.006</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6.82</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0.014</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Mann-Whitney U test</w:t>
            </w:r>
          </w:p>
        </w:tc>
      </w:tr>
      <w:tr w:rsidR="00EA3DEC" w:rsidRPr="00EA3DEC" w:rsidTr="00A51D75">
        <w:trPr>
          <w:trHeight w:val="184"/>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Open field test</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0.815</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0.08</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0.886</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0.127</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0.347</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0.564</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Unpaired t-test</w:t>
            </w:r>
          </w:p>
        </w:tc>
      </w:tr>
      <w:tr w:rsidR="00EA3DEC" w:rsidRPr="00EA3DEC" w:rsidTr="00A51D75">
        <w:trPr>
          <w:trHeight w:val="220"/>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proofErr w:type="spellStart"/>
            <w:r w:rsidRPr="00EA3DEC">
              <w:rPr>
                <w:rFonts w:eastAsia="Calibri" w:cs="Times New Roman"/>
                <w:sz w:val="14"/>
                <w:szCs w:val="16"/>
              </w:rPr>
              <w:t>Playfight</w:t>
            </w:r>
            <w:proofErr w:type="spellEnd"/>
            <w:r w:rsidRPr="00EA3DEC">
              <w:rPr>
                <w:rFonts w:eastAsia="Calibri" w:cs="Times New Roman"/>
                <w:sz w:val="14"/>
                <w:szCs w:val="16"/>
              </w:rPr>
              <w:t xml:space="preserve"> test</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0.962</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0.814</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0.984</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0.984</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0.462</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0.505</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Unpaired t-test</w:t>
            </w:r>
          </w:p>
        </w:tc>
      </w:tr>
      <w:tr w:rsidR="00EA3DEC" w:rsidRPr="00EA3DEC" w:rsidTr="00A51D75">
        <w:trPr>
          <w:trHeight w:val="553"/>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Resident-intruder test bite% on vulnerable parts</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0.750</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0.002</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0.807</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0.011</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0.515</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0.48</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Mann-Whitney U test</w:t>
            </w:r>
          </w:p>
        </w:tc>
      </w:tr>
      <w:tr w:rsidR="00EA3DEC" w:rsidRPr="00EA3DEC" w:rsidTr="00A51D75">
        <w:trPr>
          <w:trHeight w:val="100"/>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Resident-intruder test hard bite latency</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0.769</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0.003</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0.858</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0.046</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0.292</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0.594</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Mann-Whitney U test</w:t>
            </w:r>
          </w:p>
        </w:tc>
      </w:tr>
      <w:tr w:rsidR="00EA3DEC" w:rsidRPr="00EA3DEC" w:rsidTr="00A51D75">
        <w:trPr>
          <w:trHeight w:val="381"/>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Resident-intruder test soft bite latency</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0.83</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0.06</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0.757</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0.009</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0.637</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0.438</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Mann-Whitney U test</w:t>
            </w:r>
          </w:p>
        </w:tc>
      </w:tr>
      <w:tr w:rsidR="00EA3DEC" w:rsidRPr="00EA3DEC" w:rsidTr="00A51D75">
        <w:trPr>
          <w:trHeight w:val="82"/>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Resident-intruder test total bite frequency</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0.798</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0.009</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0.87</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0.065</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0.398</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0.534</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Mann-Whitney U test</w:t>
            </w:r>
          </w:p>
        </w:tc>
      </w:tr>
      <w:tr w:rsidR="00EA3DEC" w:rsidRPr="00EA3DEC" w:rsidTr="00A51D75">
        <w:trPr>
          <w:trHeight w:val="210"/>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Righting reflex test</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0.924</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0.228</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0.907</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0.107</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0.376</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0.544</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Unpaired t-test</w:t>
            </w:r>
          </w:p>
        </w:tc>
      </w:tr>
      <w:tr w:rsidR="00EA3DEC" w:rsidRPr="00EA3DEC" w:rsidTr="00A51D75">
        <w:trPr>
          <w:trHeight w:val="92"/>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proofErr w:type="spellStart"/>
            <w:r w:rsidRPr="00EA3DEC">
              <w:rPr>
                <w:rFonts w:eastAsia="Calibri" w:cs="Times New Roman"/>
                <w:sz w:val="14"/>
                <w:szCs w:val="16"/>
              </w:rPr>
              <w:t>Rotarod</w:t>
            </w:r>
            <w:proofErr w:type="spellEnd"/>
            <w:r w:rsidRPr="00EA3DEC">
              <w:rPr>
                <w:rFonts w:eastAsia="Calibri" w:cs="Times New Roman"/>
                <w:sz w:val="14"/>
                <w:szCs w:val="16"/>
              </w:rPr>
              <w:t xml:space="preserve"> test</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0.189</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0.909</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0.212</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0.703</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0.41</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Unpaired t-test</w:t>
            </w:r>
          </w:p>
        </w:tc>
      </w:tr>
      <w:tr w:rsidR="00EA3DEC" w:rsidRPr="00EA3DEC" w:rsidTr="00A51D75">
        <w:trPr>
          <w:trHeight w:val="20"/>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Sociability test</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0.863</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0.063</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0.925</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0.334</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0.004</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0.948</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Mann-Whitney U test</w:t>
            </w:r>
          </w:p>
        </w:tc>
      </w:tr>
      <w:tr w:rsidR="00EA3DEC" w:rsidRPr="00EA3DEC" w:rsidTr="00A51D75">
        <w:trPr>
          <w:trHeight w:val="138"/>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Social interaction test</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0.858</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0.092</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0.807</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0.048</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0.006</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0.937</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Mann-Whitney U test</w:t>
            </w:r>
          </w:p>
        </w:tc>
      </w:tr>
      <w:tr w:rsidR="00EA3DEC" w:rsidRPr="00EA3DEC" w:rsidTr="00A51D75">
        <w:trPr>
          <w:trHeight w:val="445"/>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USV average spectral frequency</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0.91</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0.135</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0.917</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0.154</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0.308</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0.582</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Unpaired t-test</w:t>
            </w:r>
          </w:p>
        </w:tc>
      </w:tr>
      <w:tr w:rsidR="00EA3DEC" w:rsidRPr="00EA3DEC" w:rsidTr="00A51D75">
        <w:trPr>
          <w:trHeight w:val="183"/>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USV frequency</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0.844</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0.014</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0.948</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0.467</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0.339</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0.564</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Mann-Whitney U test</w:t>
            </w:r>
          </w:p>
        </w:tc>
      </w:tr>
      <w:tr w:rsidR="00EA3DEC" w:rsidRPr="00EA3DEC" w:rsidTr="00A51D75">
        <w:trPr>
          <w:trHeight w:val="20"/>
        </w:trPr>
        <w:tc>
          <w:tcPr>
            <w:tcW w:w="284" w:type="dxa"/>
            <w:vMerge/>
            <w:tcBorders>
              <w:left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Y-maze</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0.948</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0.506</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0.959</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0.652</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0.011</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0.916</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Unpaired t-test</w:t>
            </w:r>
          </w:p>
        </w:tc>
      </w:tr>
      <w:tr w:rsidR="00EA3DEC" w:rsidRPr="00EA3DEC" w:rsidTr="00A51D75">
        <w:trPr>
          <w:trHeight w:val="219"/>
        </w:trPr>
        <w:tc>
          <w:tcPr>
            <w:tcW w:w="284" w:type="dxa"/>
            <w:vMerge/>
            <w:tcBorders>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Elevated plus maze (IL-1RA treatment)</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 (vehicle); Yes (IL-1RA)</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0.861 (vehicle); 0.892 (IL-1RA)</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0.051(vehicle); 0.127 (IL-1RA)</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 (vehicle); Yes (IL-1RA)</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0.96 (vehicle); 0.922 (IL-1RA)</w:t>
            </w:r>
          </w:p>
          <w:p w:rsidR="000238F3" w:rsidRPr="00EA3DEC" w:rsidRDefault="000238F3" w:rsidP="00A51D75">
            <w:pPr>
              <w:spacing w:line="240" w:lineRule="auto"/>
              <w:rPr>
                <w:rFonts w:eastAsia="Calibri" w:cs="Times New Roman"/>
                <w:sz w:val="14"/>
                <w:szCs w:val="16"/>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0.805 (vehicle); 0.211(IL1-RA)</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0.526</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0.666</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Two-way ANOVA</w:t>
            </w:r>
          </w:p>
        </w:tc>
      </w:tr>
      <w:tr w:rsidR="00EA3DEC" w:rsidRPr="00EA3DEC" w:rsidTr="00A51D75">
        <w:trPr>
          <w:trHeight w:val="20"/>
        </w:trPr>
        <w:tc>
          <w:tcPr>
            <w:tcW w:w="284"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extDirection w:val="btLr"/>
            <w:vAlign w:val="center"/>
          </w:tcPr>
          <w:p w:rsidR="000238F3" w:rsidRPr="00EA3DEC" w:rsidRDefault="000238F3" w:rsidP="00A51D75">
            <w:pPr>
              <w:spacing w:line="240" w:lineRule="auto"/>
              <w:jc w:val="center"/>
              <w:rPr>
                <w:rFonts w:eastAsia="Calibri" w:cs="Times New Roman"/>
                <w:b/>
                <w:sz w:val="14"/>
                <w:szCs w:val="16"/>
              </w:rPr>
            </w:pPr>
            <w:r w:rsidRPr="00EA3DEC">
              <w:rPr>
                <w:rFonts w:eastAsia="Calibri" w:cs="Times New Roman"/>
                <w:b/>
                <w:sz w:val="14"/>
                <w:szCs w:val="16"/>
              </w:rPr>
              <w:t>Females</w:t>
            </w:r>
          </w:p>
          <w:p w:rsidR="000238F3" w:rsidRPr="00EA3DEC" w:rsidRDefault="000238F3" w:rsidP="00A51D75">
            <w:pPr>
              <w:spacing w:line="240" w:lineRule="auto"/>
              <w:jc w:val="center"/>
              <w:rPr>
                <w:rFonts w:eastAsia="Calibri" w:cs="Times New Roman"/>
                <w:b/>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Elevated plus maze frequency</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0.916</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0.29</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0.942</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0.418</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2.49</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0.127</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Unpaired t-test</w:t>
            </w:r>
          </w:p>
        </w:tc>
      </w:tr>
      <w:tr w:rsidR="00EA3DEC" w:rsidRPr="00EA3DEC" w:rsidTr="00A51D75">
        <w:trPr>
          <w:trHeight w:val="20"/>
        </w:trPr>
        <w:tc>
          <w:tcPr>
            <w:tcW w:w="284"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Elevated plus maze time%</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0.939</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0.51</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0.942</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0.409</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1.198</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0.284</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Unpaired t-test</w:t>
            </w:r>
          </w:p>
        </w:tc>
      </w:tr>
      <w:tr w:rsidR="00EA3DEC" w:rsidRPr="00EA3DEC" w:rsidTr="00A51D75">
        <w:trPr>
          <w:trHeight w:val="20"/>
        </w:trPr>
        <w:tc>
          <w:tcPr>
            <w:tcW w:w="284"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Open field</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0.976</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0.942</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0.962</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0.742</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0.304</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0.585</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pBdr>
                <w:top w:val="nil"/>
                <w:left w:val="nil"/>
                <w:bottom w:val="nil"/>
                <w:right w:val="nil"/>
                <w:between w:val="nil"/>
              </w:pBdr>
              <w:spacing w:line="240" w:lineRule="auto"/>
              <w:rPr>
                <w:rFonts w:eastAsia="Calibri" w:cs="Times New Roman"/>
                <w:sz w:val="14"/>
                <w:szCs w:val="16"/>
              </w:rPr>
            </w:pPr>
            <w:r w:rsidRPr="00EA3DEC">
              <w:rPr>
                <w:rFonts w:eastAsia="Calibri" w:cs="Times New Roman"/>
                <w:sz w:val="14"/>
                <w:szCs w:val="16"/>
              </w:rPr>
              <w:t xml:space="preserve"> Unpaired t-test </w:t>
            </w:r>
          </w:p>
        </w:tc>
      </w:tr>
      <w:tr w:rsidR="00EA3DEC" w:rsidRPr="00EA3DEC" w:rsidTr="00A51D75">
        <w:trPr>
          <w:trHeight w:val="81"/>
        </w:trPr>
        <w:tc>
          <w:tcPr>
            <w:tcW w:w="284"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Set-shifted 5-CSRTT phase 1 days to reach 80%</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0.972</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0.907</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0.938</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0.363</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0.225</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0.639</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Unpaired t-test</w:t>
            </w:r>
          </w:p>
        </w:tc>
      </w:tr>
      <w:tr w:rsidR="00EA3DEC" w:rsidRPr="00EA3DEC" w:rsidTr="00A51D75">
        <w:trPr>
          <w:trHeight w:val="194"/>
        </w:trPr>
        <w:tc>
          <w:tcPr>
            <w:tcW w:w="284"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Set-shifted 5-CSRTT phase 1 ITI responses</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0.845</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0.037</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0.881</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0.049</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0.329</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0.571</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Mann-Whitney U tests</w:t>
            </w:r>
          </w:p>
        </w:tc>
      </w:tr>
      <w:tr w:rsidR="00EA3DEC" w:rsidRPr="00EA3DEC" w:rsidTr="00A51D75">
        <w:trPr>
          <w:trHeight w:val="20"/>
        </w:trPr>
        <w:tc>
          <w:tcPr>
            <w:tcW w:w="284"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238F3" w:rsidRPr="00EA3DEC" w:rsidRDefault="000238F3" w:rsidP="00A51D75">
            <w:pPr>
              <w:spacing w:line="240" w:lineRule="auto"/>
              <w:rPr>
                <w:rFonts w:eastAsia="Calibri" w:cs="Times New Roman"/>
                <w:sz w:val="14"/>
                <w:szCs w:val="16"/>
              </w:rPr>
            </w:pP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jc w:val="left"/>
              <w:rPr>
                <w:rFonts w:eastAsia="Calibri" w:cs="Times New Roman"/>
                <w:sz w:val="14"/>
                <w:szCs w:val="16"/>
              </w:rPr>
            </w:pPr>
            <w:r w:rsidRPr="00EA3DEC">
              <w:rPr>
                <w:rFonts w:eastAsia="Calibri" w:cs="Times New Roman"/>
                <w:sz w:val="14"/>
                <w:szCs w:val="16"/>
              </w:rPr>
              <w:t>Sociability test</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0.958</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0.724</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Yes</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0.93</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0.348</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No</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0.001</w:t>
            </w:r>
          </w:p>
        </w:tc>
        <w:tc>
          <w:tcPr>
            <w:tcW w:w="7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0.968</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238F3" w:rsidRPr="00EA3DEC" w:rsidRDefault="000238F3" w:rsidP="00A51D75">
            <w:pPr>
              <w:spacing w:line="240" w:lineRule="auto"/>
              <w:rPr>
                <w:rFonts w:eastAsia="Calibri" w:cs="Times New Roman"/>
                <w:sz w:val="14"/>
                <w:szCs w:val="16"/>
              </w:rPr>
            </w:pPr>
            <w:r w:rsidRPr="00EA3DEC">
              <w:rPr>
                <w:rFonts w:eastAsia="Calibri" w:cs="Times New Roman"/>
                <w:sz w:val="14"/>
                <w:szCs w:val="16"/>
              </w:rPr>
              <w:t>Unpaired t-test</w:t>
            </w:r>
          </w:p>
        </w:tc>
      </w:tr>
    </w:tbl>
    <w:p w:rsidR="000238F3" w:rsidRPr="00EA3DEC" w:rsidRDefault="000238F3" w:rsidP="000238F3">
      <w:pPr>
        <w:spacing w:line="259" w:lineRule="auto"/>
        <w:jc w:val="left"/>
        <w:rPr>
          <w:rFonts w:eastAsia="Times New Roman" w:cs="Times New Roman"/>
          <w:b/>
        </w:rPr>
      </w:pPr>
      <w:r w:rsidRPr="00EA3DEC">
        <w:rPr>
          <w:rFonts w:eastAsia="Times New Roman" w:cs="Times New Roman"/>
          <w:b/>
        </w:rPr>
        <w:br w:type="page"/>
      </w:r>
    </w:p>
    <w:p w:rsidR="000238F3" w:rsidRPr="00EA3DEC" w:rsidRDefault="005D5602" w:rsidP="000238F3">
      <w:pPr>
        <w:rPr>
          <w:rFonts w:eastAsia="Times New Roman" w:cs="Times New Roman"/>
        </w:rPr>
      </w:pPr>
      <w:r>
        <w:rPr>
          <w:rFonts w:eastAsia="Times New Roman" w:cs="Times New Roman"/>
          <w:b/>
        </w:rPr>
        <w:t>Supplementary T</w:t>
      </w:r>
      <w:r w:rsidR="000238F3" w:rsidRPr="00EA3DEC">
        <w:rPr>
          <w:rFonts w:eastAsia="Times New Roman" w:cs="Times New Roman"/>
          <w:b/>
        </w:rPr>
        <w:t>able 6.</w:t>
      </w:r>
      <w:r w:rsidR="000238F3" w:rsidRPr="00EA3DEC">
        <w:rPr>
          <w:rFonts w:eastAsia="Times New Roman" w:cs="Times New Roman"/>
        </w:rPr>
        <w:t xml:space="preserve"> Evaluation for the </w:t>
      </w:r>
      <w:proofErr w:type="spellStart"/>
      <w:r w:rsidR="000238F3" w:rsidRPr="00EA3DEC">
        <w:rPr>
          <w:rFonts w:eastAsia="Times New Roman" w:cs="Times New Roman"/>
        </w:rPr>
        <w:t>assumpion</w:t>
      </w:r>
      <w:proofErr w:type="spellEnd"/>
      <w:r w:rsidR="000238F3" w:rsidRPr="00EA3DEC">
        <w:rPr>
          <w:rFonts w:eastAsia="Times New Roman" w:cs="Times New Roman"/>
        </w:rPr>
        <w:t xml:space="preserve"> of </w:t>
      </w:r>
      <w:proofErr w:type="spellStart"/>
      <w:r w:rsidR="000238F3" w:rsidRPr="00EA3DEC">
        <w:rPr>
          <w:rFonts w:eastAsia="Times New Roman" w:cs="Times New Roman"/>
        </w:rPr>
        <w:t>sphericity</w:t>
      </w:r>
      <w:proofErr w:type="spellEnd"/>
      <w:r w:rsidR="000238F3" w:rsidRPr="00EA3DEC">
        <w:rPr>
          <w:rFonts w:eastAsia="Times New Roman" w:cs="Times New Roman"/>
        </w:rPr>
        <w:t xml:space="preserve"> in behavioral tests involving repeated measures</w:t>
      </w:r>
    </w:p>
    <w:tbl>
      <w:tblPr>
        <w:tblStyle w:val="TableGrid"/>
        <w:tblW w:w="9072" w:type="dxa"/>
        <w:tblInd w:w="-5" w:type="dxa"/>
        <w:tblLook w:val="04A0" w:firstRow="1" w:lastRow="0" w:firstColumn="1" w:lastColumn="0" w:noHBand="0" w:noVBand="1"/>
      </w:tblPr>
      <w:tblGrid>
        <w:gridCol w:w="871"/>
        <w:gridCol w:w="1355"/>
        <w:gridCol w:w="1382"/>
        <w:gridCol w:w="2161"/>
        <w:gridCol w:w="2226"/>
        <w:gridCol w:w="1077"/>
      </w:tblGrid>
      <w:tr w:rsidR="00EA3DEC" w:rsidRPr="00EA3DEC" w:rsidTr="00A51D75">
        <w:tc>
          <w:tcPr>
            <w:tcW w:w="870" w:type="dxa"/>
          </w:tcPr>
          <w:p w:rsidR="000238F3" w:rsidRPr="00EA3DEC" w:rsidRDefault="000238F3" w:rsidP="00A51D75">
            <w:pPr>
              <w:spacing w:after="160" w:line="240" w:lineRule="auto"/>
              <w:jc w:val="center"/>
              <w:rPr>
                <w:rFonts w:eastAsia="Calibri" w:cs="Times New Roman"/>
                <w:b/>
                <w:sz w:val="14"/>
                <w:szCs w:val="16"/>
              </w:rPr>
            </w:pPr>
            <w:r w:rsidRPr="00EA3DEC">
              <w:rPr>
                <w:rFonts w:eastAsia="Calibri" w:cs="Times New Roman"/>
                <w:b/>
                <w:sz w:val="14"/>
                <w:szCs w:val="16"/>
              </w:rPr>
              <w:t>Behavioral test</w:t>
            </w:r>
          </w:p>
        </w:tc>
        <w:tc>
          <w:tcPr>
            <w:tcW w:w="1460" w:type="dxa"/>
          </w:tcPr>
          <w:p w:rsidR="000238F3" w:rsidRPr="00EA3DEC" w:rsidRDefault="000238F3" w:rsidP="00A51D75">
            <w:pPr>
              <w:spacing w:after="160" w:line="240" w:lineRule="auto"/>
              <w:jc w:val="center"/>
              <w:rPr>
                <w:rFonts w:eastAsia="Calibri" w:cs="Times New Roman"/>
                <w:b/>
                <w:sz w:val="14"/>
                <w:szCs w:val="16"/>
              </w:rPr>
            </w:pPr>
            <w:proofErr w:type="spellStart"/>
            <w:r w:rsidRPr="00EA3DEC">
              <w:rPr>
                <w:rFonts w:eastAsia="Calibri" w:cs="Times New Roman"/>
                <w:b/>
                <w:sz w:val="14"/>
                <w:szCs w:val="16"/>
              </w:rPr>
              <w:t>Sphericity</w:t>
            </w:r>
            <w:proofErr w:type="spellEnd"/>
          </w:p>
        </w:tc>
        <w:tc>
          <w:tcPr>
            <w:tcW w:w="1503" w:type="dxa"/>
          </w:tcPr>
          <w:p w:rsidR="000238F3" w:rsidRPr="00EA3DEC" w:rsidRDefault="000238F3" w:rsidP="00A51D75">
            <w:pPr>
              <w:spacing w:after="160" w:line="240" w:lineRule="auto"/>
              <w:jc w:val="center"/>
              <w:rPr>
                <w:rFonts w:eastAsia="Calibri" w:cs="Times New Roman"/>
                <w:b/>
                <w:sz w:val="14"/>
                <w:szCs w:val="16"/>
              </w:rPr>
            </w:pPr>
            <w:r w:rsidRPr="00EA3DEC">
              <w:rPr>
                <w:rFonts w:eastAsia="Calibri" w:cs="Times New Roman"/>
                <w:b/>
                <w:sz w:val="14"/>
                <w:szCs w:val="16"/>
              </w:rPr>
              <w:t>Original degrees of freedom</w:t>
            </w:r>
          </w:p>
        </w:tc>
        <w:tc>
          <w:tcPr>
            <w:tcW w:w="2429" w:type="dxa"/>
          </w:tcPr>
          <w:p w:rsidR="000238F3" w:rsidRPr="00EA3DEC" w:rsidRDefault="000238F3" w:rsidP="00A51D75">
            <w:pPr>
              <w:spacing w:after="160" w:line="240" w:lineRule="auto"/>
              <w:jc w:val="center"/>
              <w:rPr>
                <w:rFonts w:eastAsia="Calibri" w:cs="Times New Roman"/>
                <w:b/>
                <w:sz w:val="14"/>
                <w:szCs w:val="16"/>
              </w:rPr>
            </w:pPr>
            <w:r w:rsidRPr="00EA3DEC">
              <w:rPr>
                <w:rFonts w:eastAsia="Calibri" w:cs="Times New Roman"/>
                <w:b/>
                <w:sz w:val="14"/>
                <w:szCs w:val="16"/>
              </w:rPr>
              <w:t>Corrected degrees of freedom</w:t>
            </w:r>
          </w:p>
          <w:p w:rsidR="000238F3" w:rsidRPr="00EA3DEC" w:rsidRDefault="000238F3" w:rsidP="00A51D75">
            <w:pPr>
              <w:spacing w:after="160" w:line="240" w:lineRule="auto"/>
              <w:jc w:val="center"/>
              <w:rPr>
                <w:rFonts w:eastAsia="Calibri" w:cs="Times New Roman"/>
                <w:b/>
                <w:sz w:val="14"/>
                <w:szCs w:val="16"/>
              </w:rPr>
            </w:pPr>
          </w:p>
        </w:tc>
        <w:tc>
          <w:tcPr>
            <w:tcW w:w="2449" w:type="dxa"/>
          </w:tcPr>
          <w:p w:rsidR="000238F3" w:rsidRPr="00EA3DEC" w:rsidRDefault="000238F3" w:rsidP="00A51D75">
            <w:pPr>
              <w:spacing w:after="160" w:line="240" w:lineRule="auto"/>
              <w:jc w:val="center"/>
              <w:rPr>
                <w:rFonts w:eastAsia="Calibri" w:cs="Times New Roman"/>
                <w:b/>
                <w:sz w:val="14"/>
                <w:szCs w:val="16"/>
              </w:rPr>
            </w:pPr>
            <w:r w:rsidRPr="00EA3DEC">
              <w:rPr>
                <w:rFonts w:eastAsia="Calibri" w:cs="Times New Roman"/>
                <w:b/>
                <w:sz w:val="14"/>
                <w:szCs w:val="16"/>
              </w:rPr>
              <w:t>Corrected Time Effect</w:t>
            </w:r>
          </w:p>
          <w:p w:rsidR="000238F3" w:rsidRPr="00EA3DEC" w:rsidRDefault="000238F3" w:rsidP="00A51D75">
            <w:pPr>
              <w:spacing w:after="160" w:line="240" w:lineRule="auto"/>
              <w:jc w:val="center"/>
              <w:rPr>
                <w:rFonts w:eastAsia="Calibri" w:cs="Times New Roman"/>
                <w:b/>
                <w:sz w:val="14"/>
                <w:szCs w:val="16"/>
              </w:rPr>
            </w:pPr>
          </w:p>
        </w:tc>
        <w:tc>
          <w:tcPr>
            <w:tcW w:w="361" w:type="dxa"/>
          </w:tcPr>
          <w:p w:rsidR="000238F3" w:rsidRPr="00EA3DEC" w:rsidRDefault="000238F3" w:rsidP="00A51D75">
            <w:pPr>
              <w:spacing w:after="160" w:line="240" w:lineRule="auto"/>
              <w:jc w:val="center"/>
              <w:rPr>
                <w:rFonts w:eastAsia="Calibri" w:cs="Times New Roman"/>
                <w:b/>
                <w:sz w:val="14"/>
                <w:szCs w:val="16"/>
              </w:rPr>
            </w:pPr>
            <w:r w:rsidRPr="00EA3DEC">
              <w:rPr>
                <w:rFonts w:eastAsia="Calibri" w:cs="Times New Roman"/>
                <w:b/>
                <w:sz w:val="14"/>
                <w:szCs w:val="16"/>
              </w:rPr>
              <w:t>Corrected Treatment Effect</w:t>
            </w:r>
          </w:p>
        </w:tc>
      </w:tr>
      <w:tr w:rsidR="00EA3DEC" w:rsidRPr="00EA3DEC" w:rsidTr="00A51D75">
        <w:trPr>
          <w:trHeight w:val="929"/>
        </w:trPr>
        <w:tc>
          <w:tcPr>
            <w:tcW w:w="87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5-CSRTT, males</w:t>
            </w:r>
          </w:p>
        </w:tc>
        <w:tc>
          <w:tcPr>
            <w:tcW w:w="146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epsilon: 1.0000</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epsilon: 0.0345</w:t>
            </w:r>
          </w:p>
          <w:p w:rsidR="000238F3" w:rsidRPr="00EA3DEC" w:rsidRDefault="000238F3" w:rsidP="00A51D75">
            <w:pPr>
              <w:spacing w:after="160" w:line="240" w:lineRule="auto"/>
              <w:jc w:val="center"/>
              <w:rPr>
                <w:rFonts w:eastAsia="Calibri" w:cs="Times New Roman"/>
                <w:sz w:val="14"/>
                <w:szCs w:val="16"/>
              </w:rPr>
            </w:pPr>
          </w:p>
        </w:tc>
        <w:tc>
          <w:tcPr>
            <w:tcW w:w="1503"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29; Error </w:t>
            </w:r>
            <w:proofErr w:type="spellStart"/>
            <w:r w:rsidRPr="00EA3DEC">
              <w:rPr>
                <w:rFonts w:eastAsia="Calibri" w:cs="Times New Roman"/>
                <w:sz w:val="14"/>
                <w:szCs w:val="16"/>
              </w:rPr>
              <w:t>df</w:t>
            </w:r>
            <w:proofErr w:type="spellEnd"/>
            <w:r w:rsidRPr="00EA3DEC">
              <w:rPr>
                <w:rFonts w:eastAsia="Calibri" w:cs="Times New Roman"/>
                <w:sz w:val="14"/>
                <w:szCs w:val="16"/>
              </w:rPr>
              <w:t>: 348</w:t>
            </w:r>
          </w:p>
          <w:p w:rsidR="000238F3" w:rsidRPr="00EA3DEC" w:rsidRDefault="000238F3" w:rsidP="00A51D75">
            <w:pPr>
              <w:spacing w:after="160" w:line="240" w:lineRule="auto"/>
              <w:jc w:val="center"/>
              <w:rPr>
                <w:rFonts w:eastAsia="Calibri" w:cs="Times New Roman"/>
                <w:sz w:val="14"/>
                <w:szCs w:val="16"/>
              </w:rPr>
            </w:pPr>
          </w:p>
        </w:tc>
        <w:tc>
          <w:tcPr>
            <w:tcW w:w="242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GG -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29.00, Error </w:t>
            </w:r>
            <w:proofErr w:type="spellStart"/>
            <w:r w:rsidRPr="00EA3DEC">
              <w:rPr>
                <w:rFonts w:eastAsia="Calibri" w:cs="Times New Roman"/>
                <w:sz w:val="14"/>
                <w:szCs w:val="16"/>
              </w:rPr>
              <w:t>df</w:t>
            </w:r>
            <w:proofErr w:type="spellEnd"/>
            <w:r w:rsidRPr="00EA3DEC">
              <w:rPr>
                <w:rFonts w:eastAsia="Calibri" w:cs="Times New Roman"/>
                <w:sz w:val="14"/>
                <w:szCs w:val="16"/>
              </w:rPr>
              <w:t>: 348.00</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HF-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1.00, Error </w:t>
            </w:r>
            <w:proofErr w:type="spellStart"/>
            <w:r w:rsidRPr="00EA3DEC">
              <w:rPr>
                <w:rFonts w:eastAsia="Calibri" w:cs="Times New Roman"/>
                <w:sz w:val="14"/>
                <w:szCs w:val="16"/>
              </w:rPr>
              <w:t>df</w:t>
            </w:r>
            <w:proofErr w:type="spellEnd"/>
            <w:r w:rsidRPr="00EA3DEC">
              <w:rPr>
                <w:rFonts w:eastAsia="Calibri" w:cs="Times New Roman"/>
                <w:sz w:val="14"/>
                <w:szCs w:val="16"/>
              </w:rPr>
              <w:t>: 12.00</w:t>
            </w:r>
          </w:p>
        </w:tc>
        <w:tc>
          <w:tcPr>
            <w:tcW w:w="244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F(29, 348)= 28.7443, p&lt;0.0001;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corrected p&lt; 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corrected p&lt;0.0002</w:t>
            </w:r>
          </w:p>
        </w:tc>
        <w:tc>
          <w:tcPr>
            <w:tcW w:w="361"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F(29, 348)= 33.1092; p&lt; 0.0001</w:t>
            </w:r>
          </w:p>
          <w:p w:rsidR="000238F3" w:rsidRPr="00EA3DEC" w:rsidRDefault="000238F3" w:rsidP="00A51D75">
            <w:pPr>
              <w:spacing w:after="160" w:line="240" w:lineRule="auto"/>
              <w:jc w:val="center"/>
              <w:rPr>
                <w:rFonts w:eastAsia="Calibri" w:cs="Times New Roman"/>
                <w:sz w:val="14"/>
                <w:szCs w:val="16"/>
              </w:rPr>
            </w:pPr>
          </w:p>
        </w:tc>
      </w:tr>
      <w:tr w:rsidR="00EA3DEC" w:rsidRPr="00EA3DEC" w:rsidTr="00A51D75">
        <w:trPr>
          <w:trHeight w:val="636"/>
        </w:trPr>
        <w:tc>
          <w:tcPr>
            <w:tcW w:w="87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Delay discounting</w:t>
            </w:r>
          </w:p>
        </w:tc>
        <w:tc>
          <w:tcPr>
            <w:tcW w:w="146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epsilon: 1.0000</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epsilon: 1.0000</w:t>
            </w:r>
          </w:p>
        </w:tc>
        <w:tc>
          <w:tcPr>
            <w:tcW w:w="1503"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7; Error </w:t>
            </w:r>
            <w:proofErr w:type="spellStart"/>
            <w:r w:rsidRPr="00EA3DEC">
              <w:rPr>
                <w:rFonts w:eastAsia="Calibri" w:cs="Times New Roman"/>
                <w:sz w:val="14"/>
                <w:szCs w:val="16"/>
              </w:rPr>
              <w:t>df</w:t>
            </w:r>
            <w:proofErr w:type="spellEnd"/>
            <w:r w:rsidRPr="00EA3DEC">
              <w:rPr>
                <w:rFonts w:eastAsia="Calibri" w:cs="Times New Roman"/>
                <w:sz w:val="14"/>
                <w:szCs w:val="16"/>
              </w:rPr>
              <w:t>: 112</w:t>
            </w:r>
            <w:r w:rsidRPr="00EA3DEC">
              <w:rPr>
                <w:rFonts w:eastAsia="Calibri" w:cs="Times New Roman"/>
                <w:sz w:val="14"/>
                <w:szCs w:val="16"/>
              </w:rPr>
              <w:tab/>
            </w:r>
          </w:p>
        </w:tc>
        <w:tc>
          <w:tcPr>
            <w:tcW w:w="242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GG -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7.00, Error </w:t>
            </w:r>
            <w:proofErr w:type="spellStart"/>
            <w:r w:rsidRPr="00EA3DEC">
              <w:rPr>
                <w:rFonts w:eastAsia="Calibri" w:cs="Times New Roman"/>
                <w:sz w:val="14"/>
                <w:szCs w:val="16"/>
              </w:rPr>
              <w:t>df</w:t>
            </w:r>
            <w:proofErr w:type="spellEnd"/>
            <w:r w:rsidRPr="00EA3DEC">
              <w:rPr>
                <w:rFonts w:eastAsia="Calibri" w:cs="Times New Roman"/>
                <w:sz w:val="14"/>
                <w:szCs w:val="16"/>
              </w:rPr>
              <w:t>: 112.00</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HF -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7.00, Error </w:t>
            </w:r>
            <w:proofErr w:type="spellStart"/>
            <w:r w:rsidRPr="00EA3DEC">
              <w:rPr>
                <w:rFonts w:eastAsia="Calibri" w:cs="Times New Roman"/>
                <w:sz w:val="14"/>
                <w:szCs w:val="16"/>
              </w:rPr>
              <w:t>df</w:t>
            </w:r>
            <w:proofErr w:type="spellEnd"/>
            <w:r w:rsidRPr="00EA3DEC">
              <w:rPr>
                <w:rFonts w:eastAsia="Calibri" w:cs="Times New Roman"/>
                <w:sz w:val="14"/>
                <w:szCs w:val="16"/>
              </w:rPr>
              <w:t>: 112.00</w:t>
            </w:r>
          </w:p>
        </w:tc>
        <w:tc>
          <w:tcPr>
            <w:tcW w:w="244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F(7, 112)= 10.2655, p&lt;0.0001;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corrected p&lt; 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corrected p&lt;0.0001</w:t>
            </w:r>
          </w:p>
        </w:tc>
        <w:tc>
          <w:tcPr>
            <w:tcW w:w="361"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F(7, 112)=6.0536;</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p= 0.0152</w:t>
            </w:r>
          </w:p>
        </w:tc>
      </w:tr>
      <w:tr w:rsidR="00EA3DEC" w:rsidRPr="00EA3DEC" w:rsidTr="00A51D75">
        <w:tc>
          <w:tcPr>
            <w:tcW w:w="87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Delay </w:t>
            </w:r>
            <w:proofErr w:type="spellStart"/>
            <w:r w:rsidRPr="00EA3DEC">
              <w:rPr>
                <w:rFonts w:eastAsia="Calibri" w:cs="Times New Roman"/>
                <w:sz w:val="14"/>
                <w:szCs w:val="16"/>
              </w:rPr>
              <w:t>discountin</w:t>
            </w:r>
            <w:proofErr w:type="spellEnd"/>
            <w:r w:rsidRPr="00EA3DEC">
              <w:rPr>
                <w:rFonts w:eastAsia="Calibri" w:cs="Times New Roman"/>
                <w:sz w:val="14"/>
                <w:szCs w:val="16"/>
              </w:rPr>
              <w:t xml:space="preserve"> learning</w:t>
            </w:r>
          </w:p>
        </w:tc>
        <w:tc>
          <w:tcPr>
            <w:tcW w:w="146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epsilon: 1.0000</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epsilon: 1.0000</w:t>
            </w:r>
          </w:p>
          <w:p w:rsidR="000238F3" w:rsidRPr="00EA3DEC" w:rsidRDefault="000238F3" w:rsidP="00A51D75">
            <w:pPr>
              <w:spacing w:after="160" w:line="240" w:lineRule="auto"/>
              <w:jc w:val="center"/>
              <w:rPr>
                <w:rFonts w:eastAsia="Calibri" w:cs="Times New Roman"/>
                <w:sz w:val="14"/>
                <w:szCs w:val="16"/>
              </w:rPr>
            </w:pPr>
          </w:p>
        </w:tc>
        <w:tc>
          <w:tcPr>
            <w:tcW w:w="1503"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4; Error </w:t>
            </w:r>
            <w:proofErr w:type="spellStart"/>
            <w:r w:rsidRPr="00EA3DEC">
              <w:rPr>
                <w:rFonts w:eastAsia="Calibri" w:cs="Times New Roman"/>
                <w:sz w:val="14"/>
                <w:szCs w:val="16"/>
              </w:rPr>
              <w:t>df</w:t>
            </w:r>
            <w:proofErr w:type="spellEnd"/>
            <w:r w:rsidRPr="00EA3DEC">
              <w:rPr>
                <w:rFonts w:eastAsia="Calibri" w:cs="Times New Roman"/>
                <w:sz w:val="14"/>
                <w:szCs w:val="16"/>
              </w:rPr>
              <w:t>: 64</w:t>
            </w:r>
          </w:p>
        </w:tc>
        <w:tc>
          <w:tcPr>
            <w:tcW w:w="242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GG-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4; Error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64      HF-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4; Error </w:t>
            </w:r>
            <w:proofErr w:type="spellStart"/>
            <w:r w:rsidRPr="00EA3DEC">
              <w:rPr>
                <w:rFonts w:eastAsia="Calibri" w:cs="Times New Roman"/>
                <w:sz w:val="14"/>
                <w:szCs w:val="16"/>
              </w:rPr>
              <w:t>df</w:t>
            </w:r>
            <w:proofErr w:type="spellEnd"/>
            <w:r w:rsidRPr="00EA3DEC">
              <w:rPr>
                <w:rFonts w:eastAsia="Calibri" w:cs="Times New Roman"/>
                <w:sz w:val="14"/>
                <w:szCs w:val="16"/>
              </w:rPr>
              <w:t>: 64</w:t>
            </w:r>
          </w:p>
        </w:tc>
        <w:tc>
          <w:tcPr>
            <w:tcW w:w="244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F(4, 64)= 26.00064, p&lt;0.0001;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corrected p&lt; 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corrected p&lt;0.0001</w:t>
            </w:r>
          </w:p>
        </w:tc>
        <w:tc>
          <w:tcPr>
            <w:tcW w:w="361"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F(4, 64)= 2.1249; p= 0.1487</w:t>
            </w:r>
          </w:p>
        </w:tc>
      </w:tr>
      <w:tr w:rsidR="00EA3DEC" w:rsidRPr="00EA3DEC" w:rsidTr="00A51D75">
        <w:tc>
          <w:tcPr>
            <w:tcW w:w="87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Go/</w:t>
            </w:r>
            <w:proofErr w:type="spellStart"/>
            <w:r w:rsidRPr="00EA3DEC">
              <w:rPr>
                <w:rFonts w:eastAsia="Calibri" w:cs="Times New Roman"/>
                <w:sz w:val="14"/>
                <w:szCs w:val="16"/>
              </w:rPr>
              <w:t>NoGo</w:t>
            </w:r>
            <w:proofErr w:type="spellEnd"/>
            <w:r w:rsidRPr="00EA3DEC">
              <w:rPr>
                <w:rFonts w:eastAsia="Calibri" w:cs="Times New Roman"/>
                <w:sz w:val="14"/>
                <w:szCs w:val="16"/>
              </w:rPr>
              <w:t xml:space="preserve"> task, Go success</w:t>
            </w:r>
          </w:p>
        </w:tc>
        <w:tc>
          <w:tcPr>
            <w:tcW w:w="146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epsilon: 0.5000</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epsilon: 0.5000</w:t>
            </w:r>
          </w:p>
          <w:p w:rsidR="000238F3" w:rsidRPr="00EA3DEC" w:rsidRDefault="000238F3" w:rsidP="00A51D75">
            <w:pPr>
              <w:spacing w:after="160" w:line="240" w:lineRule="auto"/>
              <w:jc w:val="center"/>
              <w:rPr>
                <w:rFonts w:eastAsia="Calibri" w:cs="Times New Roman"/>
                <w:sz w:val="14"/>
                <w:szCs w:val="16"/>
              </w:rPr>
            </w:pPr>
          </w:p>
        </w:tc>
        <w:tc>
          <w:tcPr>
            <w:tcW w:w="1503"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2; Error </w:t>
            </w:r>
            <w:proofErr w:type="spellStart"/>
            <w:r w:rsidRPr="00EA3DEC">
              <w:rPr>
                <w:rFonts w:eastAsia="Calibri" w:cs="Times New Roman"/>
                <w:sz w:val="14"/>
                <w:szCs w:val="16"/>
              </w:rPr>
              <w:t>df</w:t>
            </w:r>
            <w:proofErr w:type="spellEnd"/>
            <w:r w:rsidRPr="00EA3DEC">
              <w:rPr>
                <w:rFonts w:eastAsia="Calibri" w:cs="Times New Roman"/>
                <w:sz w:val="14"/>
                <w:szCs w:val="16"/>
              </w:rPr>
              <w:t>: 20</w:t>
            </w:r>
          </w:p>
        </w:tc>
        <w:tc>
          <w:tcPr>
            <w:tcW w:w="242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GG-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1; Error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10      HF-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1; Error </w:t>
            </w:r>
            <w:proofErr w:type="spellStart"/>
            <w:r w:rsidRPr="00EA3DEC">
              <w:rPr>
                <w:rFonts w:eastAsia="Calibri" w:cs="Times New Roman"/>
                <w:sz w:val="14"/>
                <w:szCs w:val="16"/>
              </w:rPr>
              <w:t>df</w:t>
            </w:r>
            <w:proofErr w:type="spellEnd"/>
            <w:r w:rsidRPr="00EA3DEC">
              <w:rPr>
                <w:rFonts w:eastAsia="Calibri" w:cs="Times New Roman"/>
                <w:sz w:val="14"/>
                <w:szCs w:val="16"/>
              </w:rPr>
              <w:t>: 10</w:t>
            </w:r>
          </w:p>
        </w:tc>
        <w:tc>
          <w:tcPr>
            <w:tcW w:w="244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F(2, 20)= 76.1064, p&lt;0.0001;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corrected p&lt; 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corrected p&lt;0.0001</w:t>
            </w:r>
          </w:p>
        </w:tc>
        <w:tc>
          <w:tcPr>
            <w:tcW w:w="361"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F(2, 20)=0.1889; p=0.668</w:t>
            </w:r>
          </w:p>
        </w:tc>
      </w:tr>
      <w:tr w:rsidR="00EA3DEC" w:rsidRPr="00EA3DEC" w:rsidTr="00A51D75">
        <w:tc>
          <w:tcPr>
            <w:tcW w:w="87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Go/</w:t>
            </w:r>
            <w:proofErr w:type="spellStart"/>
            <w:r w:rsidRPr="00EA3DEC">
              <w:rPr>
                <w:rFonts w:eastAsia="Calibri" w:cs="Times New Roman"/>
                <w:sz w:val="14"/>
                <w:szCs w:val="16"/>
              </w:rPr>
              <w:t>NoGo</w:t>
            </w:r>
            <w:proofErr w:type="spellEnd"/>
            <w:r w:rsidRPr="00EA3DEC">
              <w:rPr>
                <w:rFonts w:eastAsia="Calibri" w:cs="Times New Roman"/>
                <w:sz w:val="14"/>
                <w:szCs w:val="16"/>
              </w:rPr>
              <w:t xml:space="preserve"> task, total correct Go</w:t>
            </w:r>
          </w:p>
        </w:tc>
        <w:tc>
          <w:tcPr>
            <w:tcW w:w="146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epsilon: 1.0000</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epsilon: 1.0000</w:t>
            </w:r>
          </w:p>
        </w:tc>
        <w:tc>
          <w:tcPr>
            <w:tcW w:w="1503"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12; Error </w:t>
            </w:r>
            <w:proofErr w:type="spellStart"/>
            <w:r w:rsidRPr="00EA3DEC">
              <w:rPr>
                <w:rFonts w:eastAsia="Calibri" w:cs="Times New Roman"/>
                <w:sz w:val="14"/>
                <w:szCs w:val="16"/>
              </w:rPr>
              <w:t>df</w:t>
            </w:r>
            <w:proofErr w:type="spellEnd"/>
            <w:r w:rsidRPr="00EA3DEC">
              <w:rPr>
                <w:rFonts w:eastAsia="Calibri" w:cs="Times New Roman"/>
                <w:sz w:val="14"/>
                <w:szCs w:val="16"/>
              </w:rPr>
              <w:t>: 168</w:t>
            </w:r>
          </w:p>
        </w:tc>
        <w:tc>
          <w:tcPr>
            <w:tcW w:w="242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GG-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12; Error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168      HF-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12; Error </w:t>
            </w:r>
            <w:proofErr w:type="spellStart"/>
            <w:r w:rsidRPr="00EA3DEC">
              <w:rPr>
                <w:rFonts w:eastAsia="Calibri" w:cs="Times New Roman"/>
                <w:sz w:val="14"/>
                <w:szCs w:val="16"/>
              </w:rPr>
              <w:t>df</w:t>
            </w:r>
            <w:proofErr w:type="spellEnd"/>
            <w:r w:rsidRPr="00EA3DEC">
              <w:rPr>
                <w:rFonts w:eastAsia="Calibri" w:cs="Times New Roman"/>
                <w:sz w:val="14"/>
                <w:szCs w:val="16"/>
              </w:rPr>
              <w:t>: 168</w:t>
            </w:r>
          </w:p>
        </w:tc>
        <w:tc>
          <w:tcPr>
            <w:tcW w:w="244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F(12, 168)= 0.2278, p=0.9969;</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corrected p=0.9968</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corrected p=0.9968</w:t>
            </w:r>
          </w:p>
        </w:tc>
        <w:tc>
          <w:tcPr>
            <w:tcW w:w="361"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F(12, 168)=3.0202; p=0.0838</w:t>
            </w:r>
          </w:p>
        </w:tc>
      </w:tr>
      <w:tr w:rsidR="00EA3DEC" w:rsidRPr="00EA3DEC" w:rsidTr="00A51D75">
        <w:tc>
          <w:tcPr>
            <w:tcW w:w="87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Go/</w:t>
            </w:r>
            <w:proofErr w:type="spellStart"/>
            <w:r w:rsidRPr="00EA3DEC">
              <w:rPr>
                <w:rFonts w:eastAsia="Calibri" w:cs="Times New Roman"/>
                <w:sz w:val="14"/>
                <w:szCs w:val="16"/>
              </w:rPr>
              <w:t>NoGo</w:t>
            </w:r>
            <w:proofErr w:type="spellEnd"/>
            <w:r w:rsidRPr="00EA3DEC">
              <w:rPr>
                <w:rFonts w:eastAsia="Calibri" w:cs="Times New Roman"/>
                <w:sz w:val="14"/>
                <w:szCs w:val="16"/>
              </w:rPr>
              <w:t xml:space="preserve"> task, total correct </w:t>
            </w:r>
            <w:proofErr w:type="spellStart"/>
            <w:r w:rsidRPr="00EA3DEC">
              <w:rPr>
                <w:rFonts w:eastAsia="Calibri" w:cs="Times New Roman"/>
                <w:sz w:val="14"/>
                <w:szCs w:val="16"/>
              </w:rPr>
              <w:t>NoGo</w:t>
            </w:r>
            <w:proofErr w:type="spellEnd"/>
          </w:p>
        </w:tc>
        <w:tc>
          <w:tcPr>
            <w:tcW w:w="146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epsilon: 1.0000</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epsilon: 1.0000</w:t>
            </w:r>
          </w:p>
        </w:tc>
        <w:tc>
          <w:tcPr>
            <w:tcW w:w="1503"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12; Error </w:t>
            </w:r>
            <w:proofErr w:type="spellStart"/>
            <w:r w:rsidRPr="00EA3DEC">
              <w:rPr>
                <w:rFonts w:eastAsia="Calibri" w:cs="Times New Roman"/>
                <w:sz w:val="14"/>
                <w:szCs w:val="16"/>
              </w:rPr>
              <w:t>df</w:t>
            </w:r>
            <w:proofErr w:type="spellEnd"/>
            <w:r w:rsidRPr="00EA3DEC">
              <w:rPr>
                <w:rFonts w:eastAsia="Calibri" w:cs="Times New Roman"/>
                <w:sz w:val="14"/>
                <w:szCs w:val="16"/>
              </w:rPr>
              <w:t>: 156</w:t>
            </w:r>
          </w:p>
        </w:tc>
        <w:tc>
          <w:tcPr>
            <w:tcW w:w="242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GG-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12; Error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156      HF-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12; Error </w:t>
            </w:r>
            <w:proofErr w:type="spellStart"/>
            <w:r w:rsidRPr="00EA3DEC">
              <w:rPr>
                <w:rFonts w:eastAsia="Calibri" w:cs="Times New Roman"/>
                <w:sz w:val="14"/>
                <w:szCs w:val="16"/>
              </w:rPr>
              <w:t>df</w:t>
            </w:r>
            <w:proofErr w:type="spellEnd"/>
            <w:r w:rsidRPr="00EA3DEC">
              <w:rPr>
                <w:rFonts w:eastAsia="Calibri" w:cs="Times New Roman"/>
                <w:sz w:val="14"/>
                <w:szCs w:val="16"/>
              </w:rPr>
              <w:t>: 156</w:t>
            </w:r>
          </w:p>
        </w:tc>
        <w:tc>
          <w:tcPr>
            <w:tcW w:w="244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F(12, 156)=7.9483, p=&lt;0.0001;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corrected p&lt;0.0001;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corrected p&lt;0.0001</w:t>
            </w:r>
          </w:p>
        </w:tc>
        <w:tc>
          <w:tcPr>
            <w:tcW w:w="361"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F(12, 156)=25.7612;</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p&lt;0.0001</w:t>
            </w:r>
          </w:p>
        </w:tc>
      </w:tr>
      <w:tr w:rsidR="00EA3DEC" w:rsidRPr="00EA3DEC" w:rsidTr="00A51D75">
        <w:tc>
          <w:tcPr>
            <w:tcW w:w="87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Hole board test</w:t>
            </w:r>
          </w:p>
        </w:tc>
        <w:tc>
          <w:tcPr>
            <w:tcW w:w="146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epsilon: 1.0000</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epsilon: 1.0000</w:t>
            </w:r>
          </w:p>
        </w:tc>
        <w:tc>
          <w:tcPr>
            <w:tcW w:w="1503"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3; Error </w:t>
            </w:r>
            <w:proofErr w:type="spellStart"/>
            <w:r w:rsidRPr="00EA3DEC">
              <w:rPr>
                <w:rFonts w:eastAsia="Calibri" w:cs="Times New Roman"/>
                <w:sz w:val="14"/>
                <w:szCs w:val="16"/>
              </w:rPr>
              <w:t>df</w:t>
            </w:r>
            <w:proofErr w:type="spellEnd"/>
            <w:r w:rsidRPr="00EA3DEC">
              <w:rPr>
                <w:rFonts w:eastAsia="Calibri" w:cs="Times New Roman"/>
                <w:sz w:val="14"/>
                <w:szCs w:val="16"/>
              </w:rPr>
              <w:t>: 90</w:t>
            </w:r>
          </w:p>
        </w:tc>
        <w:tc>
          <w:tcPr>
            <w:tcW w:w="242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GG-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3; Error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90      HF-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3; Error </w:t>
            </w:r>
            <w:proofErr w:type="spellStart"/>
            <w:r w:rsidRPr="00EA3DEC">
              <w:rPr>
                <w:rFonts w:eastAsia="Calibri" w:cs="Times New Roman"/>
                <w:sz w:val="14"/>
                <w:szCs w:val="16"/>
              </w:rPr>
              <w:t>df</w:t>
            </w:r>
            <w:proofErr w:type="spellEnd"/>
            <w:r w:rsidRPr="00EA3DEC">
              <w:rPr>
                <w:rFonts w:eastAsia="Calibri" w:cs="Times New Roman"/>
                <w:sz w:val="14"/>
                <w:szCs w:val="16"/>
              </w:rPr>
              <w:t>: 90</w:t>
            </w:r>
          </w:p>
        </w:tc>
        <w:tc>
          <w:tcPr>
            <w:tcW w:w="244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F(3, 90)=11.8247, p&lt;0.0001;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corrected p&lt; 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corrected p&lt;0.0001</w:t>
            </w:r>
          </w:p>
        </w:tc>
        <w:tc>
          <w:tcPr>
            <w:tcW w:w="361"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F(3, 90)=7.7240; p=0.0063</w:t>
            </w:r>
          </w:p>
        </w:tc>
      </w:tr>
      <w:tr w:rsidR="00EA3DEC" w:rsidRPr="00EA3DEC" w:rsidTr="00A51D75">
        <w:tc>
          <w:tcPr>
            <w:tcW w:w="87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Morris water maze test</w:t>
            </w:r>
          </w:p>
        </w:tc>
        <w:tc>
          <w:tcPr>
            <w:tcW w:w="146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epsilon: 1.0000</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epsilon: 1.0000</w:t>
            </w:r>
          </w:p>
        </w:tc>
        <w:tc>
          <w:tcPr>
            <w:tcW w:w="1503"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4; Error </w:t>
            </w:r>
            <w:proofErr w:type="spellStart"/>
            <w:r w:rsidRPr="00EA3DEC">
              <w:rPr>
                <w:rFonts w:eastAsia="Calibri" w:cs="Times New Roman"/>
                <w:sz w:val="14"/>
                <w:szCs w:val="16"/>
              </w:rPr>
              <w:t>df</w:t>
            </w:r>
            <w:proofErr w:type="spellEnd"/>
            <w:r w:rsidRPr="00EA3DEC">
              <w:rPr>
                <w:rFonts w:eastAsia="Calibri" w:cs="Times New Roman"/>
                <w:sz w:val="14"/>
                <w:szCs w:val="16"/>
              </w:rPr>
              <w:t>: 84</w:t>
            </w:r>
          </w:p>
        </w:tc>
        <w:tc>
          <w:tcPr>
            <w:tcW w:w="242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GG-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4; Error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84      HF-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4; Error </w:t>
            </w:r>
            <w:proofErr w:type="spellStart"/>
            <w:r w:rsidRPr="00EA3DEC">
              <w:rPr>
                <w:rFonts w:eastAsia="Calibri" w:cs="Times New Roman"/>
                <w:sz w:val="14"/>
                <w:szCs w:val="16"/>
              </w:rPr>
              <w:t>df</w:t>
            </w:r>
            <w:proofErr w:type="spellEnd"/>
            <w:r w:rsidRPr="00EA3DEC">
              <w:rPr>
                <w:rFonts w:eastAsia="Calibri" w:cs="Times New Roman"/>
                <w:sz w:val="14"/>
                <w:szCs w:val="16"/>
              </w:rPr>
              <w:t>: 84</w:t>
            </w:r>
          </w:p>
        </w:tc>
        <w:tc>
          <w:tcPr>
            <w:tcW w:w="244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F(4, 84)=11.7821, p&lt;0.0001;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corrected p&lt; 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corrected p&lt;0.0001</w:t>
            </w:r>
          </w:p>
        </w:tc>
        <w:tc>
          <w:tcPr>
            <w:tcW w:w="361"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F(4, 84)=2.7850; p=0.0980</w:t>
            </w:r>
          </w:p>
        </w:tc>
      </w:tr>
      <w:tr w:rsidR="00EA3DEC" w:rsidRPr="00EA3DEC" w:rsidTr="00A51D75">
        <w:tc>
          <w:tcPr>
            <w:tcW w:w="87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5-CSRTT (IL-1RA treatment)</w:t>
            </w:r>
          </w:p>
        </w:tc>
        <w:tc>
          <w:tcPr>
            <w:tcW w:w="146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epsilon: 1.0000</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epsilon: 1.0000</w:t>
            </w:r>
          </w:p>
        </w:tc>
        <w:tc>
          <w:tcPr>
            <w:tcW w:w="1503"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29; Error </w:t>
            </w:r>
            <w:proofErr w:type="spellStart"/>
            <w:r w:rsidRPr="00EA3DEC">
              <w:rPr>
                <w:rFonts w:eastAsia="Calibri" w:cs="Times New Roman"/>
                <w:sz w:val="14"/>
                <w:szCs w:val="16"/>
              </w:rPr>
              <w:t>df</w:t>
            </w:r>
            <w:proofErr w:type="spellEnd"/>
            <w:r w:rsidRPr="00EA3DEC">
              <w:rPr>
                <w:rFonts w:eastAsia="Calibri" w:cs="Times New Roman"/>
                <w:sz w:val="14"/>
                <w:szCs w:val="16"/>
              </w:rPr>
              <w:t>: 1363</w:t>
            </w:r>
          </w:p>
        </w:tc>
        <w:tc>
          <w:tcPr>
            <w:tcW w:w="242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GG-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29; Error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1363      HF-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29; Error </w:t>
            </w:r>
            <w:proofErr w:type="spellStart"/>
            <w:r w:rsidRPr="00EA3DEC">
              <w:rPr>
                <w:rFonts w:eastAsia="Calibri" w:cs="Times New Roman"/>
                <w:sz w:val="14"/>
                <w:szCs w:val="16"/>
              </w:rPr>
              <w:t>df</w:t>
            </w:r>
            <w:proofErr w:type="spellEnd"/>
            <w:r w:rsidRPr="00EA3DEC">
              <w:rPr>
                <w:rFonts w:eastAsia="Calibri" w:cs="Times New Roman"/>
                <w:sz w:val="14"/>
                <w:szCs w:val="16"/>
              </w:rPr>
              <w:t>: 1363</w:t>
            </w:r>
          </w:p>
        </w:tc>
        <w:tc>
          <w:tcPr>
            <w:tcW w:w="244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F(29, 1363)=61.8247, p&lt;0.0001;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corrected p&lt; 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corrected p&lt;0.0001</w:t>
            </w:r>
          </w:p>
        </w:tc>
        <w:tc>
          <w:tcPr>
            <w:tcW w:w="361"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F(29, 1363)=28.3481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p&lt;0.0001</w:t>
            </w:r>
          </w:p>
        </w:tc>
      </w:tr>
      <w:tr w:rsidR="00EA3DEC" w:rsidRPr="00EA3DEC" w:rsidTr="00A51D75">
        <w:tc>
          <w:tcPr>
            <w:tcW w:w="87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Set-shifted 5-CSRTT phase 2 </w:t>
            </w:r>
          </w:p>
        </w:tc>
        <w:tc>
          <w:tcPr>
            <w:tcW w:w="1460"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epsilon: 1.0000</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epsilon: 1.0000</w:t>
            </w:r>
          </w:p>
        </w:tc>
        <w:tc>
          <w:tcPr>
            <w:tcW w:w="1503"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11; Error </w:t>
            </w:r>
            <w:proofErr w:type="spellStart"/>
            <w:r w:rsidRPr="00EA3DEC">
              <w:rPr>
                <w:rFonts w:eastAsia="Calibri" w:cs="Times New Roman"/>
                <w:sz w:val="14"/>
                <w:szCs w:val="16"/>
              </w:rPr>
              <w:t>df</w:t>
            </w:r>
            <w:proofErr w:type="spellEnd"/>
            <w:r w:rsidRPr="00EA3DEC">
              <w:rPr>
                <w:rFonts w:eastAsia="Calibri" w:cs="Times New Roman"/>
                <w:sz w:val="14"/>
                <w:szCs w:val="16"/>
              </w:rPr>
              <w:t>: 275</w:t>
            </w:r>
          </w:p>
        </w:tc>
        <w:tc>
          <w:tcPr>
            <w:tcW w:w="242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 xml:space="preserve">GG-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11; Error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275      HF- Condition </w:t>
            </w:r>
            <w:proofErr w:type="spellStart"/>
            <w:r w:rsidRPr="00EA3DEC">
              <w:rPr>
                <w:rFonts w:eastAsia="Calibri" w:cs="Times New Roman"/>
                <w:sz w:val="14"/>
                <w:szCs w:val="16"/>
              </w:rPr>
              <w:t>df</w:t>
            </w:r>
            <w:proofErr w:type="spellEnd"/>
            <w:r w:rsidRPr="00EA3DEC">
              <w:rPr>
                <w:rFonts w:eastAsia="Calibri" w:cs="Times New Roman"/>
                <w:sz w:val="14"/>
                <w:szCs w:val="16"/>
              </w:rPr>
              <w:t xml:space="preserve">: 11; Error </w:t>
            </w:r>
            <w:proofErr w:type="spellStart"/>
            <w:r w:rsidRPr="00EA3DEC">
              <w:rPr>
                <w:rFonts w:eastAsia="Calibri" w:cs="Times New Roman"/>
                <w:sz w:val="14"/>
                <w:szCs w:val="16"/>
              </w:rPr>
              <w:t>df</w:t>
            </w:r>
            <w:proofErr w:type="spellEnd"/>
            <w:r w:rsidRPr="00EA3DEC">
              <w:rPr>
                <w:rFonts w:eastAsia="Calibri" w:cs="Times New Roman"/>
                <w:sz w:val="14"/>
                <w:szCs w:val="16"/>
              </w:rPr>
              <w:t>: 275</w:t>
            </w:r>
          </w:p>
        </w:tc>
        <w:tc>
          <w:tcPr>
            <w:tcW w:w="2449"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F(11, 275)=63,1748, p&lt;0.0001;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GG corrected p&lt; 0.0001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HF corrected p&lt;0.0001</w:t>
            </w:r>
          </w:p>
        </w:tc>
        <w:tc>
          <w:tcPr>
            <w:tcW w:w="361" w:type="dxa"/>
          </w:tcPr>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F(11, 275)=1.2951</w:t>
            </w:r>
          </w:p>
          <w:p w:rsidR="000238F3" w:rsidRPr="00EA3DEC" w:rsidRDefault="000238F3" w:rsidP="00A51D75">
            <w:pPr>
              <w:spacing w:after="160" w:line="240" w:lineRule="auto"/>
              <w:jc w:val="center"/>
              <w:rPr>
                <w:rFonts w:eastAsia="Calibri" w:cs="Times New Roman"/>
                <w:sz w:val="14"/>
                <w:szCs w:val="16"/>
              </w:rPr>
            </w:pPr>
            <w:r w:rsidRPr="00EA3DEC">
              <w:rPr>
                <w:rFonts w:eastAsia="Calibri" w:cs="Times New Roman"/>
                <w:sz w:val="14"/>
                <w:szCs w:val="16"/>
              </w:rPr>
              <w:t>p=0.2560</w:t>
            </w:r>
          </w:p>
        </w:tc>
      </w:tr>
    </w:tbl>
    <w:p w:rsidR="000238F3" w:rsidRPr="00EA3DEC" w:rsidRDefault="000238F3" w:rsidP="000238F3">
      <w:pPr>
        <w:spacing w:line="259" w:lineRule="auto"/>
        <w:jc w:val="left"/>
        <w:rPr>
          <w:rFonts w:eastAsia="Times New Roman" w:cs="Times New Roman"/>
          <w:b/>
        </w:rPr>
      </w:pPr>
    </w:p>
    <w:p w:rsidR="00EA3DEC" w:rsidRDefault="00EA3DEC">
      <w:pPr>
        <w:spacing w:line="259" w:lineRule="auto"/>
        <w:jc w:val="left"/>
        <w:rPr>
          <w:rFonts w:eastAsia="Times New Roman" w:cs="Times New Roman"/>
          <w:b/>
        </w:rPr>
      </w:pPr>
      <w:r>
        <w:rPr>
          <w:rFonts w:eastAsia="Times New Roman" w:cs="Times New Roman"/>
          <w:b/>
        </w:rPr>
        <w:br w:type="page"/>
      </w:r>
    </w:p>
    <w:p w:rsidR="000238F3" w:rsidRPr="00EA3DEC" w:rsidRDefault="005D5602" w:rsidP="000238F3">
      <w:pPr>
        <w:rPr>
          <w:rFonts w:eastAsia="Times New Roman" w:cs="Times New Roman"/>
        </w:rPr>
      </w:pPr>
      <w:r>
        <w:rPr>
          <w:rFonts w:eastAsia="Times New Roman" w:cs="Times New Roman"/>
          <w:b/>
        </w:rPr>
        <w:t>Supplementary T</w:t>
      </w:r>
      <w:r w:rsidR="000238F3" w:rsidRPr="00EA3DEC">
        <w:rPr>
          <w:rFonts w:eastAsia="Times New Roman" w:cs="Times New Roman"/>
          <w:b/>
        </w:rPr>
        <w:t>able 7.</w:t>
      </w:r>
      <w:r w:rsidR="000238F3" w:rsidRPr="00EA3DEC">
        <w:rPr>
          <w:rFonts w:eastAsia="Times New Roman" w:cs="Times New Roman"/>
        </w:rPr>
        <w:t xml:space="preserve"> Justification for outlier removal</w:t>
      </w:r>
    </w:p>
    <w:tbl>
      <w:tblPr>
        <w:tblW w:w="90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69"/>
        <w:gridCol w:w="3500"/>
        <w:gridCol w:w="2903"/>
      </w:tblGrid>
      <w:tr w:rsidR="00EA3DEC" w:rsidRPr="00EA3DEC" w:rsidTr="00A51D75">
        <w:trPr>
          <w:jc w:val="center"/>
        </w:trPr>
        <w:tc>
          <w:tcPr>
            <w:tcW w:w="2669" w:type="dxa"/>
            <w:tcMar>
              <w:top w:w="100" w:type="dxa"/>
              <w:left w:w="100" w:type="dxa"/>
              <w:bottom w:w="100" w:type="dxa"/>
              <w:right w:w="100" w:type="dxa"/>
            </w:tcMar>
          </w:tcPr>
          <w:p w:rsidR="000238F3" w:rsidRPr="00EA3DEC" w:rsidRDefault="000238F3" w:rsidP="00A51D75">
            <w:pPr>
              <w:pBdr>
                <w:top w:val="nil"/>
                <w:left w:val="nil"/>
                <w:bottom w:val="nil"/>
                <w:right w:val="nil"/>
                <w:between w:val="nil"/>
              </w:pBdr>
              <w:spacing w:after="0" w:line="240" w:lineRule="auto"/>
              <w:rPr>
                <w:rFonts w:eastAsia="Times New Roman" w:cs="Times New Roman"/>
                <w:b/>
                <w:bCs/>
              </w:rPr>
            </w:pPr>
            <w:r w:rsidRPr="00EA3DEC">
              <w:rPr>
                <w:rFonts w:eastAsia="Times New Roman" w:cs="Times New Roman"/>
                <w:b/>
                <w:bCs/>
              </w:rPr>
              <w:t>Test</w:t>
            </w:r>
          </w:p>
        </w:tc>
        <w:tc>
          <w:tcPr>
            <w:tcW w:w="3500" w:type="dxa"/>
            <w:tcMar>
              <w:top w:w="100" w:type="dxa"/>
              <w:left w:w="100" w:type="dxa"/>
              <w:bottom w:w="100" w:type="dxa"/>
              <w:right w:w="100" w:type="dxa"/>
            </w:tcMar>
          </w:tcPr>
          <w:p w:rsidR="000238F3" w:rsidRPr="00EA3DEC" w:rsidRDefault="000238F3" w:rsidP="00A51D75">
            <w:pPr>
              <w:pBdr>
                <w:top w:val="nil"/>
                <w:left w:val="nil"/>
                <w:bottom w:val="nil"/>
                <w:right w:val="nil"/>
                <w:between w:val="nil"/>
              </w:pBdr>
              <w:spacing w:after="0" w:line="240" w:lineRule="auto"/>
              <w:rPr>
                <w:rFonts w:eastAsia="Times New Roman" w:cs="Times New Roman"/>
                <w:b/>
                <w:bCs/>
              </w:rPr>
            </w:pPr>
            <w:r w:rsidRPr="00EA3DEC">
              <w:rPr>
                <w:rFonts w:eastAsia="Times New Roman" w:cs="Times New Roman"/>
                <w:b/>
                <w:bCs/>
              </w:rPr>
              <w:t>Number and treatment group of outliers</w:t>
            </w:r>
          </w:p>
        </w:tc>
        <w:tc>
          <w:tcPr>
            <w:tcW w:w="2903" w:type="dxa"/>
            <w:tcMar>
              <w:top w:w="100" w:type="dxa"/>
              <w:left w:w="100" w:type="dxa"/>
              <w:bottom w:w="100" w:type="dxa"/>
              <w:right w:w="100" w:type="dxa"/>
            </w:tcMar>
          </w:tcPr>
          <w:p w:rsidR="000238F3" w:rsidRPr="00EA3DEC" w:rsidRDefault="000238F3" w:rsidP="00A51D75">
            <w:pPr>
              <w:pBdr>
                <w:top w:val="nil"/>
                <w:left w:val="nil"/>
                <w:bottom w:val="nil"/>
                <w:right w:val="nil"/>
                <w:between w:val="nil"/>
              </w:pBdr>
              <w:spacing w:after="0" w:line="240" w:lineRule="auto"/>
              <w:rPr>
                <w:rFonts w:eastAsia="Times New Roman" w:cs="Times New Roman"/>
                <w:b/>
                <w:bCs/>
              </w:rPr>
            </w:pPr>
            <w:r w:rsidRPr="00EA3DEC">
              <w:rPr>
                <w:rFonts w:eastAsia="Times New Roman" w:cs="Times New Roman"/>
                <w:b/>
                <w:bCs/>
              </w:rPr>
              <w:t>Justification</w:t>
            </w:r>
          </w:p>
        </w:tc>
      </w:tr>
      <w:tr w:rsidR="00EA3DEC" w:rsidRPr="00EA3DEC" w:rsidTr="00A51D75">
        <w:trPr>
          <w:jc w:val="center"/>
        </w:trPr>
        <w:tc>
          <w:tcPr>
            <w:tcW w:w="2669" w:type="dxa"/>
            <w:tcMar>
              <w:top w:w="100" w:type="dxa"/>
              <w:left w:w="100" w:type="dxa"/>
              <w:bottom w:w="100" w:type="dxa"/>
              <w:right w:w="100" w:type="dxa"/>
            </w:tcMar>
          </w:tcPr>
          <w:p w:rsidR="000238F3" w:rsidRPr="00EA3DEC" w:rsidRDefault="000238F3" w:rsidP="00A51D75">
            <w:pPr>
              <w:pBdr>
                <w:top w:val="nil"/>
                <w:left w:val="nil"/>
                <w:bottom w:val="nil"/>
                <w:right w:val="nil"/>
                <w:between w:val="nil"/>
              </w:pBdr>
              <w:spacing w:after="0" w:line="240" w:lineRule="auto"/>
              <w:rPr>
                <w:rFonts w:eastAsia="Times New Roman" w:cs="Times New Roman"/>
                <w:bCs/>
              </w:rPr>
            </w:pPr>
            <w:r w:rsidRPr="00EA3DEC">
              <w:rPr>
                <w:rFonts w:eastAsia="Times New Roman" w:cs="Times New Roman"/>
                <w:bCs/>
              </w:rPr>
              <w:t>Juvenile Open field</w:t>
            </w:r>
          </w:p>
        </w:tc>
        <w:tc>
          <w:tcPr>
            <w:tcW w:w="3500" w:type="dxa"/>
            <w:tcMar>
              <w:top w:w="100" w:type="dxa"/>
              <w:left w:w="100" w:type="dxa"/>
              <w:bottom w:w="100" w:type="dxa"/>
              <w:right w:w="100" w:type="dxa"/>
            </w:tcMar>
          </w:tcPr>
          <w:p w:rsidR="000238F3" w:rsidRPr="00EA3DEC" w:rsidRDefault="000238F3" w:rsidP="00A51D75">
            <w:pPr>
              <w:pBdr>
                <w:top w:val="nil"/>
                <w:left w:val="nil"/>
                <w:bottom w:val="nil"/>
                <w:right w:val="nil"/>
                <w:between w:val="nil"/>
              </w:pBdr>
              <w:spacing w:after="0" w:line="240" w:lineRule="auto"/>
              <w:rPr>
                <w:rFonts w:eastAsia="Times New Roman" w:cs="Times New Roman"/>
                <w:bCs/>
              </w:rPr>
            </w:pPr>
            <w:r w:rsidRPr="00EA3DEC">
              <w:rPr>
                <w:rFonts w:eastAsia="Times New Roman" w:cs="Times New Roman"/>
                <w:bCs/>
              </w:rPr>
              <w:t>1, control</w:t>
            </w:r>
          </w:p>
        </w:tc>
        <w:tc>
          <w:tcPr>
            <w:tcW w:w="2903" w:type="dxa"/>
            <w:tcMar>
              <w:top w:w="100" w:type="dxa"/>
              <w:left w:w="100" w:type="dxa"/>
              <w:bottom w:w="100" w:type="dxa"/>
              <w:right w:w="100" w:type="dxa"/>
            </w:tcMar>
          </w:tcPr>
          <w:p w:rsidR="000238F3" w:rsidRPr="00EA3DEC" w:rsidRDefault="000238F3" w:rsidP="00A51D75">
            <w:pPr>
              <w:pBdr>
                <w:top w:val="nil"/>
                <w:left w:val="nil"/>
                <w:bottom w:val="nil"/>
                <w:right w:val="nil"/>
                <w:between w:val="nil"/>
              </w:pBdr>
              <w:spacing w:after="0" w:line="240" w:lineRule="auto"/>
              <w:rPr>
                <w:rFonts w:eastAsia="Times New Roman" w:cs="Times New Roman"/>
                <w:bCs/>
              </w:rPr>
            </w:pPr>
            <w:r w:rsidRPr="00EA3DEC">
              <w:rPr>
                <w:rFonts w:eastAsia="Times New Roman" w:cs="Times New Roman"/>
                <w:bCs/>
              </w:rPr>
              <w:t>Video artefact</w:t>
            </w:r>
          </w:p>
        </w:tc>
      </w:tr>
      <w:tr w:rsidR="00EA3DEC" w:rsidRPr="00EA3DEC" w:rsidTr="00A51D75">
        <w:trPr>
          <w:jc w:val="center"/>
        </w:trPr>
        <w:tc>
          <w:tcPr>
            <w:tcW w:w="2669" w:type="dxa"/>
            <w:tcMar>
              <w:top w:w="100" w:type="dxa"/>
              <w:left w:w="100" w:type="dxa"/>
              <w:bottom w:w="100" w:type="dxa"/>
              <w:right w:w="100" w:type="dxa"/>
            </w:tcMar>
          </w:tcPr>
          <w:p w:rsidR="000238F3" w:rsidRPr="00EA3DEC" w:rsidRDefault="000238F3" w:rsidP="00A51D75">
            <w:pPr>
              <w:pBdr>
                <w:top w:val="nil"/>
                <w:left w:val="nil"/>
                <w:bottom w:val="nil"/>
                <w:right w:val="nil"/>
                <w:between w:val="nil"/>
              </w:pBdr>
              <w:spacing w:after="0" w:line="240" w:lineRule="auto"/>
              <w:jc w:val="left"/>
              <w:rPr>
                <w:rFonts w:eastAsia="Times New Roman" w:cs="Times New Roman"/>
                <w:bCs/>
              </w:rPr>
            </w:pPr>
            <w:r w:rsidRPr="00EA3DEC">
              <w:rPr>
                <w:rFonts w:eastAsia="Times New Roman" w:cs="Times New Roman"/>
                <w:bCs/>
              </w:rPr>
              <w:t>5-choice serial reaction time task</w:t>
            </w:r>
          </w:p>
        </w:tc>
        <w:tc>
          <w:tcPr>
            <w:tcW w:w="3500" w:type="dxa"/>
            <w:tcMar>
              <w:top w:w="100" w:type="dxa"/>
              <w:left w:w="100" w:type="dxa"/>
              <w:bottom w:w="100" w:type="dxa"/>
              <w:right w:w="100" w:type="dxa"/>
            </w:tcMar>
          </w:tcPr>
          <w:p w:rsidR="000238F3" w:rsidRPr="00EA3DEC" w:rsidRDefault="000238F3" w:rsidP="00A51D75">
            <w:pPr>
              <w:pBdr>
                <w:top w:val="nil"/>
                <w:left w:val="nil"/>
                <w:bottom w:val="nil"/>
                <w:right w:val="nil"/>
                <w:between w:val="nil"/>
              </w:pBdr>
              <w:spacing w:after="0" w:line="240" w:lineRule="auto"/>
              <w:rPr>
                <w:rFonts w:eastAsia="Times New Roman" w:cs="Times New Roman"/>
                <w:bCs/>
              </w:rPr>
            </w:pPr>
            <w:r w:rsidRPr="00EA3DEC">
              <w:rPr>
                <w:rFonts w:eastAsia="Times New Roman" w:cs="Times New Roman"/>
                <w:bCs/>
              </w:rPr>
              <w:t>1, control</w:t>
            </w:r>
          </w:p>
        </w:tc>
        <w:tc>
          <w:tcPr>
            <w:tcW w:w="2903" w:type="dxa"/>
            <w:tcMar>
              <w:top w:w="100" w:type="dxa"/>
              <w:left w:w="100" w:type="dxa"/>
              <w:bottom w:w="100" w:type="dxa"/>
              <w:right w:w="100" w:type="dxa"/>
            </w:tcMar>
          </w:tcPr>
          <w:p w:rsidR="000238F3" w:rsidRPr="00EA3DEC" w:rsidRDefault="000238F3" w:rsidP="00A51D75">
            <w:pPr>
              <w:pBdr>
                <w:top w:val="nil"/>
                <w:left w:val="nil"/>
                <w:bottom w:val="nil"/>
                <w:right w:val="nil"/>
                <w:between w:val="nil"/>
              </w:pBdr>
              <w:spacing w:after="0" w:line="240" w:lineRule="auto"/>
              <w:jc w:val="left"/>
              <w:rPr>
                <w:rFonts w:eastAsia="Times New Roman" w:cs="Times New Roman"/>
                <w:bCs/>
              </w:rPr>
            </w:pPr>
            <w:r w:rsidRPr="00EA3DEC">
              <w:rPr>
                <w:rFonts w:eastAsia="Times New Roman" w:cs="Times New Roman"/>
                <w:bCs/>
              </w:rPr>
              <w:t>Inability to learn nose poking</w:t>
            </w:r>
          </w:p>
        </w:tc>
      </w:tr>
      <w:tr w:rsidR="00EA3DEC" w:rsidRPr="00EA3DEC" w:rsidTr="00A51D75">
        <w:trPr>
          <w:jc w:val="center"/>
        </w:trPr>
        <w:tc>
          <w:tcPr>
            <w:tcW w:w="2669" w:type="dxa"/>
            <w:tcMar>
              <w:top w:w="100" w:type="dxa"/>
              <w:left w:w="100" w:type="dxa"/>
              <w:bottom w:w="100" w:type="dxa"/>
              <w:right w:w="100" w:type="dxa"/>
            </w:tcMar>
          </w:tcPr>
          <w:p w:rsidR="000238F3" w:rsidRPr="00EA3DEC" w:rsidRDefault="000238F3" w:rsidP="00A51D75">
            <w:pPr>
              <w:pBdr>
                <w:top w:val="nil"/>
                <w:left w:val="nil"/>
                <w:bottom w:val="nil"/>
                <w:right w:val="nil"/>
                <w:between w:val="nil"/>
              </w:pBdr>
              <w:spacing w:after="0" w:line="240" w:lineRule="auto"/>
              <w:jc w:val="left"/>
              <w:rPr>
                <w:rFonts w:eastAsia="Times New Roman" w:cs="Times New Roman"/>
                <w:bCs/>
              </w:rPr>
            </w:pPr>
            <w:r w:rsidRPr="00EA3DEC">
              <w:rPr>
                <w:rFonts w:eastAsia="Times New Roman" w:cs="Times New Roman"/>
                <w:bCs/>
              </w:rPr>
              <w:t>Histological analysis</w:t>
            </w:r>
          </w:p>
        </w:tc>
        <w:tc>
          <w:tcPr>
            <w:tcW w:w="3500" w:type="dxa"/>
            <w:tcMar>
              <w:top w:w="100" w:type="dxa"/>
              <w:left w:w="100" w:type="dxa"/>
              <w:bottom w:w="100" w:type="dxa"/>
              <w:right w:w="100" w:type="dxa"/>
            </w:tcMar>
          </w:tcPr>
          <w:p w:rsidR="000238F3" w:rsidRPr="00EA3DEC" w:rsidRDefault="000238F3" w:rsidP="00A51D75">
            <w:pPr>
              <w:pBdr>
                <w:top w:val="nil"/>
                <w:left w:val="nil"/>
                <w:bottom w:val="nil"/>
                <w:right w:val="nil"/>
                <w:between w:val="nil"/>
              </w:pBdr>
              <w:spacing w:after="0" w:line="240" w:lineRule="auto"/>
              <w:rPr>
                <w:rFonts w:eastAsia="Times New Roman" w:cs="Times New Roman"/>
                <w:bCs/>
              </w:rPr>
            </w:pPr>
            <w:r w:rsidRPr="00EA3DEC">
              <w:rPr>
                <w:rFonts w:eastAsia="Times New Roman" w:cs="Times New Roman"/>
                <w:bCs/>
              </w:rPr>
              <w:t>1, control; 1, PA</w:t>
            </w:r>
          </w:p>
        </w:tc>
        <w:tc>
          <w:tcPr>
            <w:tcW w:w="2903" w:type="dxa"/>
            <w:tcMar>
              <w:top w:w="100" w:type="dxa"/>
              <w:left w:w="100" w:type="dxa"/>
              <w:bottom w:w="100" w:type="dxa"/>
              <w:right w:w="100" w:type="dxa"/>
            </w:tcMar>
          </w:tcPr>
          <w:p w:rsidR="000238F3" w:rsidRPr="00EA3DEC" w:rsidRDefault="000238F3" w:rsidP="00A51D75">
            <w:pPr>
              <w:pBdr>
                <w:top w:val="nil"/>
                <w:left w:val="nil"/>
                <w:bottom w:val="nil"/>
                <w:right w:val="nil"/>
                <w:between w:val="nil"/>
              </w:pBdr>
              <w:spacing w:after="0" w:line="240" w:lineRule="auto"/>
              <w:jc w:val="left"/>
              <w:rPr>
                <w:rFonts w:eastAsia="Times New Roman" w:cs="Times New Roman"/>
                <w:bCs/>
              </w:rPr>
            </w:pPr>
            <w:r w:rsidRPr="00EA3DEC">
              <w:rPr>
                <w:rFonts w:eastAsia="Times New Roman" w:cs="Times New Roman"/>
                <w:bCs/>
              </w:rPr>
              <w:t>Brain perfusion error (visible blood in cerebral vessels)</w:t>
            </w:r>
          </w:p>
        </w:tc>
      </w:tr>
      <w:tr w:rsidR="00EA3DEC" w:rsidRPr="00EA3DEC" w:rsidTr="00A51D75">
        <w:trPr>
          <w:jc w:val="center"/>
        </w:trPr>
        <w:tc>
          <w:tcPr>
            <w:tcW w:w="2669" w:type="dxa"/>
            <w:tcMar>
              <w:top w:w="100" w:type="dxa"/>
              <w:left w:w="100" w:type="dxa"/>
              <w:bottom w:w="100" w:type="dxa"/>
              <w:right w:w="100" w:type="dxa"/>
            </w:tcMar>
          </w:tcPr>
          <w:p w:rsidR="000238F3" w:rsidRPr="00EA3DEC" w:rsidRDefault="000238F3" w:rsidP="00A51D75">
            <w:pPr>
              <w:pBdr>
                <w:top w:val="nil"/>
                <w:left w:val="nil"/>
                <w:bottom w:val="nil"/>
                <w:right w:val="nil"/>
                <w:between w:val="nil"/>
              </w:pBdr>
              <w:spacing w:after="0" w:line="240" w:lineRule="auto"/>
              <w:jc w:val="left"/>
              <w:rPr>
                <w:rFonts w:eastAsia="Times New Roman" w:cs="Times New Roman"/>
                <w:bCs/>
              </w:rPr>
            </w:pPr>
            <w:r w:rsidRPr="00EA3DEC">
              <w:rPr>
                <w:rFonts w:eastAsia="Times New Roman" w:cs="Times New Roman"/>
                <w:bCs/>
              </w:rPr>
              <w:t>Removal from experiment</w:t>
            </w:r>
          </w:p>
        </w:tc>
        <w:tc>
          <w:tcPr>
            <w:tcW w:w="3500" w:type="dxa"/>
            <w:tcMar>
              <w:top w:w="100" w:type="dxa"/>
              <w:left w:w="100" w:type="dxa"/>
              <w:bottom w:w="100" w:type="dxa"/>
              <w:right w:w="100" w:type="dxa"/>
            </w:tcMar>
          </w:tcPr>
          <w:p w:rsidR="000238F3" w:rsidRPr="00EA3DEC" w:rsidRDefault="000238F3" w:rsidP="00A51D75">
            <w:pPr>
              <w:pBdr>
                <w:top w:val="nil"/>
                <w:left w:val="nil"/>
                <w:bottom w:val="nil"/>
                <w:right w:val="nil"/>
                <w:between w:val="nil"/>
              </w:pBdr>
              <w:spacing w:after="0" w:line="240" w:lineRule="auto"/>
              <w:rPr>
                <w:rFonts w:eastAsia="Times New Roman" w:cs="Times New Roman"/>
                <w:bCs/>
              </w:rPr>
            </w:pPr>
            <w:r w:rsidRPr="00EA3DEC">
              <w:rPr>
                <w:rFonts w:eastAsia="Times New Roman" w:cs="Times New Roman"/>
                <w:bCs/>
              </w:rPr>
              <w:t>1 litter of animals</w:t>
            </w:r>
          </w:p>
        </w:tc>
        <w:tc>
          <w:tcPr>
            <w:tcW w:w="2903" w:type="dxa"/>
            <w:tcMar>
              <w:top w:w="100" w:type="dxa"/>
              <w:left w:w="100" w:type="dxa"/>
              <w:bottom w:w="100" w:type="dxa"/>
              <w:right w:w="100" w:type="dxa"/>
            </w:tcMar>
          </w:tcPr>
          <w:p w:rsidR="000238F3" w:rsidRPr="00EA3DEC" w:rsidRDefault="000238F3" w:rsidP="00A51D75">
            <w:pPr>
              <w:pBdr>
                <w:top w:val="nil"/>
                <w:left w:val="nil"/>
                <w:bottom w:val="nil"/>
                <w:right w:val="nil"/>
                <w:between w:val="nil"/>
              </w:pBdr>
              <w:spacing w:after="0" w:line="240" w:lineRule="auto"/>
              <w:jc w:val="left"/>
              <w:rPr>
                <w:rFonts w:eastAsia="Times New Roman" w:cs="Times New Roman"/>
                <w:bCs/>
              </w:rPr>
            </w:pPr>
            <w:r w:rsidRPr="00EA3DEC">
              <w:rPr>
                <w:rFonts w:eastAsia="Times New Roman" w:cs="Times New Roman"/>
                <w:bCs/>
              </w:rPr>
              <w:t>Low average weight and small litter size at weaning</w:t>
            </w:r>
          </w:p>
        </w:tc>
      </w:tr>
    </w:tbl>
    <w:p w:rsidR="000238F3" w:rsidRPr="00EA3DEC" w:rsidRDefault="000238F3">
      <w:pPr>
        <w:spacing w:line="259" w:lineRule="auto"/>
        <w:jc w:val="left"/>
        <w:rPr>
          <w:rFonts w:eastAsia="Times New Roman" w:cs="Times New Roman"/>
          <w:b/>
        </w:rPr>
      </w:pPr>
    </w:p>
    <w:p w:rsidR="00EA3DEC" w:rsidRDefault="00EA3DEC">
      <w:pPr>
        <w:spacing w:line="259" w:lineRule="auto"/>
        <w:jc w:val="left"/>
        <w:rPr>
          <w:rFonts w:eastAsia="Times New Roman" w:cs="Times New Roman"/>
          <w:b/>
        </w:rPr>
      </w:pPr>
      <w:r>
        <w:rPr>
          <w:rFonts w:eastAsia="Times New Roman" w:cs="Times New Roman"/>
          <w:b/>
        </w:rPr>
        <w:br w:type="page"/>
      </w:r>
    </w:p>
    <w:p w:rsidR="000238F3" w:rsidRPr="00EA3DEC" w:rsidRDefault="005D5602" w:rsidP="000238F3">
      <w:pPr>
        <w:rPr>
          <w:rFonts w:eastAsia="Times New Roman" w:cs="Times New Roman"/>
        </w:rPr>
      </w:pPr>
      <w:r>
        <w:rPr>
          <w:rFonts w:eastAsia="Times New Roman" w:cs="Times New Roman"/>
          <w:b/>
        </w:rPr>
        <w:t>Supplementary T</w:t>
      </w:r>
      <w:r w:rsidR="000238F3" w:rsidRPr="00EA3DEC">
        <w:rPr>
          <w:rFonts w:eastAsia="Times New Roman" w:cs="Times New Roman"/>
          <w:b/>
        </w:rPr>
        <w:t>able 8.</w:t>
      </w:r>
      <w:r w:rsidR="000238F3" w:rsidRPr="00EA3DEC">
        <w:rPr>
          <w:rFonts w:eastAsia="Times New Roman" w:cs="Times New Roman"/>
        </w:rPr>
        <w:t xml:space="preserve"> Summary table of effect size estimates</w:t>
      </w:r>
    </w:p>
    <w:tbl>
      <w:tblPr>
        <w:tblStyle w:val="TableGrid"/>
        <w:tblW w:w="9072" w:type="dxa"/>
        <w:tblInd w:w="-5" w:type="dxa"/>
        <w:tblLayout w:type="fixed"/>
        <w:tblLook w:val="04A0" w:firstRow="1" w:lastRow="0" w:firstColumn="1" w:lastColumn="0" w:noHBand="0" w:noVBand="1"/>
      </w:tblPr>
      <w:tblGrid>
        <w:gridCol w:w="993"/>
        <w:gridCol w:w="1559"/>
        <w:gridCol w:w="2551"/>
        <w:gridCol w:w="709"/>
        <w:gridCol w:w="709"/>
        <w:gridCol w:w="709"/>
        <w:gridCol w:w="850"/>
        <w:gridCol w:w="992"/>
      </w:tblGrid>
      <w:tr w:rsidR="00EA3DEC" w:rsidRPr="00EA3DEC" w:rsidTr="00A51D75">
        <w:tc>
          <w:tcPr>
            <w:tcW w:w="993" w:type="dxa"/>
          </w:tcPr>
          <w:p w:rsidR="000238F3" w:rsidRPr="00EA3DEC" w:rsidRDefault="000238F3" w:rsidP="00A51D75">
            <w:pPr>
              <w:spacing w:line="360" w:lineRule="auto"/>
              <w:jc w:val="left"/>
              <w:rPr>
                <w:rFonts w:eastAsia="Calibri" w:cs="Times New Roman"/>
                <w:b/>
                <w:sz w:val="14"/>
                <w:szCs w:val="14"/>
              </w:rPr>
            </w:pPr>
            <w:r w:rsidRPr="00EA3DEC">
              <w:rPr>
                <w:rFonts w:eastAsia="Calibri" w:cs="Times New Roman"/>
                <w:b/>
                <w:sz w:val="14"/>
                <w:szCs w:val="14"/>
              </w:rPr>
              <w:t>Statistical test</w:t>
            </w:r>
          </w:p>
        </w:tc>
        <w:tc>
          <w:tcPr>
            <w:tcW w:w="1559" w:type="dxa"/>
          </w:tcPr>
          <w:p w:rsidR="000238F3" w:rsidRPr="00EA3DEC" w:rsidRDefault="000238F3" w:rsidP="00A51D75">
            <w:pPr>
              <w:spacing w:line="360" w:lineRule="auto"/>
              <w:jc w:val="left"/>
              <w:rPr>
                <w:rFonts w:eastAsia="Calibri" w:cs="Times New Roman"/>
                <w:b/>
                <w:sz w:val="14"/>
                <w:szCs w:val="14"/>
              </w:rPr>
            </w:pPr>
            <w:r w:rsidRPr="00EA3DEC">
              <w:rPr>
                <w:rFonts w:eastAsia="Calibri" w:cs="Times New Roman"/>
                <w:b/>
                <w:sz w:val="14"/>
                <w:szCs w:val="14"/>
              </w:rPr>
              <w:t>Behavioral test</w:t>
            </w:r>
          </w:p>
        </w:tc>
        <w:tc>
          <w:tcPr>
            <w:tcW w:w="2551" w:type="dxa"/>
          </w:tcPr>
          <w:p w:rsidR="000238F3" w:rsidRPr="00EA3DEC" w:rsidRDefault="000238F3" w:rsidP="00A51D75">
            <w:pPr>
              <w:spacing w:line="360" w:lineRule="auto"/>
              <w:rPr>
                <w:rFonts w:eastAsia="Calibri" w:cs="Times New Roman"/>
                <w:b/>
                <w:sz w:val="14"/>
                <w:szCs w:val="14"/>
              </w:rPr>
            </w:pPr>
            <w:r w:rsidRPr="00EA3DEC">
              <w:rPr>
                <w:rFonts w:eastAsia="Calibri" w:cs="Times New Roman"/>
                <w:b/>
                <w:sz w:val="14"/>
                <w:szCs w:val="14"/>
              </w:rPr>
              <w:t>Basis for effect size calculation</w:t>
            </w:r>
          </w:p>
        </w:tc>
        <w:tc>
          <w:tcPr>
            <w:tcW w:w="709" w:type="dxa"/>
          </w:tcPr>
          <w:p w:rsidR="000238F3" w:rsidRPr="00EA3DEC" w:rsidRDefault="000238F3" w:rsidP="00A51D75">
            <w:pPr>
              <w:spacing w:line="360" w:lineRule="auto"/>
              <w:rPr>
                <w:rFonts w:eastAsia="Calibri" w:cs="Times New Roman"/>
                <w:b/>
                <w:sz w:val="14"/>
                <w:szCs w:val="14"/>
              </w:rPr>
            </w:pPr>
            <w:r w:rsidRPr="00EA3DEC">
              <w:rPr>
                <w:rFonts w:eastAsia="Calibri" w:cs="Times New Roman"/>
                <w:b/>
                <w:sz w:val="14"/>
                <w:szCs w:val="14"/>
              </w:rPr>
              <w:t>Effect size (f or d)</w:t>
            </w:r>
          </w:p>
        </w:tc>
        <w:tc>
          <w:tcPr>
            <w:tcW w:w="709" w:type="dxa"/>
          </w:tcPr>
          <w:p w:rsidR="000238F3" w:rsidRPr="00EA3DEC" w:rsidRDefault="000238F3" w:rsidP="00A51D75">
            <w:pPr>
              <w:spacing w:line="360" w:lineRule="auto"/>
              <w:rPr>
                <w:rFonts w:eastAsia="Calibri" w:cs="Times New Roman"/>
                <w:b/>
                <w:sz w:val="14"/>
                <w:szCs w:val="14"/>
              </w:rPr>
            </w:pPr>
            <w:r w:rsidRPr="00EA3DEC">
              <w:rPr>
                <w:rFonts w:eastAsia="Calibri" w:cs="Times New Roman"/>
                <w:b/>
                <w:sz w:val="14"/>
                <w:szCs w:val="14"/>
              </w:rPr>
              <w:t>Alpha</w:t>
            </w:r>
          </w:p>
        </w:tc>
        <w:tc>
          <w:tcPr>
            <w:tcW w:w="709" w:type="dxa"/>
          </w:tcPr>
          <w:p w:rsidR="000238F3" w:rsidRPr="00EA3DEC" w:rsidRDefault="000238F3" w:rsidP="00A51D75">
            <w:pPr>
              <w:spacing w:line="360" w:lineRule="auto"/>
              <w:rPr>
                <w:rFonts w:eastAsia="Calibri" w:cs="Times New Roman"/>
                <w:b/>
                <w:sz w:val="14"/>
                <w:szCs w:val="14"/>
              </w:rPr>
            </w:pPr>
            <w:r w:rsidRPr="00EA3DEC">
              <w:rPr>
                <w:rFonts w:eastAsia="Calibri" w:cs="Times New Roman"/>
                <w:b/>
                <w:sz w:val="14"/>
                <w:szCs w:val="14"/>
              </w:rPr>
              <w:t>Power</w:t>
            </w:r>
          </w:p>
        </w:tc>
        <w:tc>
          <w:tcPr>
            <w:tcW w:w="850" w:type="dxa"/>
          </w:tcPr>
          <w:p w:rsidR="000238F3" w:rsidRPr="00EA3DEC" w:rsidRDefault="000238F3" w:rsidP="00A51D75">
            <w:pPr>
              <w:spacing w:line="360" w:lineRule="auto"/>
              <w:rPr>
                <w:rFonts w:eastAsia="Calibri" w:cs="Times New Roman"/>
                <w:b/>
                <w:sz w:val="14"/>
                <w:szCs w:val="14"/>
              </w:rPr>
            </w:pPr>
            <w:r w:rsidRPr="00EA3DEC">
              <w:rPr>
                <w:rFonts w:eastAsia="Calibri" w:cs="Times New Roman"/>
                <w:b/>
                <w:sz w:val="14"/>
                <w:szCs w:val="14"/>
              </w:rPr>
              <w:t>Estimated Sample Size (per group)</w:t>
            </w:r>
          </w:p>
        </w:tc>
        <w:tc>
          <w:tcPr>
            <w:tcW w:w="992" w:type="dxa"/>
          </w:tcPr>
          <w:p w:rsidR="000238F3" w:rsidRPr="00EA3DEC" w:rsidRDefault="000238F3" w:rsidP="00A51D75">
            <w:pPr>
              <w:spacing w:line="360" w:lineRule="auto"/>
              <w:rPr>
                <w:rFonts w:eastAsia="Calibri" w:cs="Times New Roman"/>
                <w:b/>
                <w:sz w:val="14"/>
                <w:szCs w:val="14"/>
              </w:rPr>
            </w:pPr>
            <w:r w:rsidRPr="00EA3DEC">
              <w:rPr>
                <w:rFonts w:eastAsia="Calibri" w:cs="Times New Roman"/>
                <w:b/>
                <w:sz w:val="14"/>
                <w:szCs w:val="14"/>
              </w:rPr>
              <w:t>Used Sample Size (per group, males/ females)</w:t>
            </w:r>
          </w:p>
        </w:tc>
      </w:tr>
      <w:tr w:rsidR="00EA3DEC" w:rsidRPr="00EA3DEC" w:rsidTr="00A51D75">
        <w:tc>
          <w:tcPr>
            <w:tcW w:w="993"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Mann-Whitney U test</w:t>
            </w:r>
          </w:p>
        </w:tc>
        <w:tc>
          <w:tcPr>
            <w:tcW w:w="1559"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Elevated plus maze</w:t>
            </w:r>
          </w:p>
        </w:tc>
        <w:tc>
          <w:tcPr>
            <w:tcW w:w="2551" w:type="dxa"/>
          </w:tcPr>
          <w:p w:rsidR="000238F3" w:rsidRPr="00EA3DEC" w:rsidRDefault="000238F3" w:rsidP="00E57E01">
            <w:pPr>
              <w:spacing w:line="360" w:lineRule="auto"/>
              <w:rPr>
                <w:rFonts w:eastAsia="Calibri" w:cs="Times New Roman"/>
                <w:sz w:val="14"/>
                <w:szCs w:val="14"/>
              </w:rPr>
            </w:pPr>
            <w:r w:rsidRPr="00EA3DEC">
              <w:rPr>
                <w:rFonts w:eastAsia="Calibri" w:cs="Times New Roman"/>
                <w:sz w:val="14"/>
                <w:szCs w:val="14"/>
              </w:rPr>
              <w:t>Previous studies showing robust effects on open arm entries</w:t>
            </w:r>
            <w:r w:rsidRPr="00EA3DEC">
              <w:rPr>
                <w:rFonts w:eastAsia="Calibri" w:cs="Times New Roman"/>
                <w:sz w:val="14"/>
                <w:szCs w:val="14"/>
              </w:rPr>
              <w:fldChar w:fldCharType="begin" w:fldLock="1"/>
            </w:r>
            <w:r w:rsidR="00E57E01">
              <w:rPr>
                <w:rFonts w:eastAsia="Calibri" w:cs="Times New Roman"/>
                <w:sz w:val="14"/>
                <w:szCs w:val="14"/>
              </w:rPr>
              <w:instrText>ADDIN CSL_CITATION {"citationItems":[{"id":"ITEM-1","itemData":{"DOI":"10.1101/2023.06.01.543235","abstract":"The reliability and validity of preclinical anxiety testing is essential for translating animal research into clinical use. However, the commonly used anxiety tests lack inter-test correlations and face challenges with repeatability. While translational animal research should be able to capture stable individual anxiety traits, the current approach employs a single type of test at a single time that only measures transient states of animals, heavily influenced by experimental conditions. Here, we propose a validated, optimized test battery capable of reliably capturing trait anxiety in rats and mice of both sexes. Instead of developing novel tests, we combined widely used tests (elevated plus-maze, open field and light-dark test) to provide instantly applicable adjustments for better predictive validity. We repeated these tests three times to capture behaviour across multiple challenges, which we combined to generate summary measures (SuMs). Our approach resolved between-test correlation issues and provided better predictions for subsequent outcomes under anxiogenic conditions or fear conditioning. SuMs were also able to reveal differences in anxiety in an etiological stress model. Finally, we tested our method’s efficacy in discovering anxiety-related molecular pathways through RNA sequencing of the medial prefrontal cortex. Using SuMs, we identified four-times more molecular correlates of trait anxiety as compared to transient anxiety states, pointing out novel functional gene clusters. Furthermore, 16% of these molecular correlates of anxiety were replicated in amygdalar samples, as well. In summary, we provide a novel approach to capture trait anxiety in rodents, offering improved predictions for potential therapeutic targets for personalized medicine.Competing Interest StatementThe authors have declared no competing interest.","author":[{"dropping-particle":"","family":"Varga","given":"Zoltán K","non-dropping-particle":"","parse-names":false,"suffix":""},{"dropping-particle":"","family":"Pejtsik","given":"Diána","non-dropping-particle":"","parse-names":false,"suffix":""},{"dropping-particle":"","family":"Tóth","given":"Máté","non-dropping-particle":"","parse-names":false,"suffix":""},{"dropping-particle":"","family":"Balogh","given":"Zoltán","non-dropping-particle":"","parse-names":false,"suffix":""},{"dropping-particle":"","family":"Aliczki","given":"Manó","non-dropping-particle":"","parse-names":false,"suffix":""},{"dropping-particle":"","family":"Szente","given":"László","non-dropping-particle":"","parse-names":false,"suffix":""},{"dropping-particle":"","family":"Balla","given":"Gyula Y","non-dropping-particle":"","parse-names":false,"suffix":""},{"dropping-particle":"","family":"Kontra","given":"Levente","non-dropping-particle":"","parse-names":false,"suffix":""},{"dropping-particle":"","family":"Eckert","given":"Zsófia","non-dropping-particle":"","parse-names":false,"suffix":""},{"dropping-particle":"","family":"Szebik","given":"Huba","non-dropping-particle":"","parse-names":false,"suffix":""},{"dropping-particle":"","family":"Borhegyi","given":"Zsolt","non-dropping-particle":"","parse-names":false,"suffix":""},{"dropping-particle":"","family":"Mikics","given":"Éva","non-dropping-particle":"","parse-names":false,"suffix":""}],"container-title":"bioRxiv","id":"ITEM-1","issued":{"date-parts":[["2024","1","1"]]},"page":"2023.06.01.543235","title":"Improving anxiety research: novel approach to reveal trait anxiety through summary measures of multiple states","type":"article-journal"},"uris":["http://www.mendeley.com/documents/?uuid=3d5a9588-ce97-4ca5-8510-2f3705868e5a"]}],"mendeley":{"formattedCitation":"&lt;sup&gt;33&lt;/sup&gt;","plainTextFormattedCitation":"33","previouslyFormattedCitation":"&lt;sup&gt;33&lt;/sup&gt;"},"properties":{"noteIndex":0},"schema":"https://github.com/citation-style-language/schema/raw/master/csl-citation.json"}</w:instrText>
            </w:r>
            <w:r w:rsidRPr="00EA3DEC">
              <w:rPr>
                <w:rFonts w:eastAsia="Calibri" w:cs="Times New Roman"/>
                <w:sz w:val="14"/>
                <w:szCs w:val="14"/>
              </w:rPr>
              <w:fldChar w:fldCharType="separate"/>
            </w:r>
            <w:r w:rsidR="00E57E01" w:rsidRPr="00E57E01">
              <w:rPr>
                <w:rFonts w:eastAsia="Calibri" w:cs="Times New Roman"/>
                <w:noProof/>
                <w:sz w:val="14"/>
                <w:szCs w:val="14"/>
                <w:vertAlign w:val="superscript"/>
              </w:rPr>
              <w:t>33</w:t>
            </w:r>
            <w:r w:rsidRPr="00EA3DEC">
              <w:rPr>
                <w:rFonts w:eastAsia="Calibri" w:cs="Times New Roman"/>
                <w:sz w:val="14"/>
                <w:szCs w:val="14"/>
              </w:rPr>
              <w:fldChar w:fldCharType="end"/>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1.3</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0.05</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0.7</w:t>
            </w:r>
          </w:p>
        </w:tc>
        <w:tc>
          <w:tcPr>
            <w:tcW w:w="850"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8</w:t>
            </w:r>
          </w:p>
        </w:tc>
        <w:tc>
          <w:tcPr>
            <w:tcW w:w="992" w:type="dxa"/>
          </w:tcPr>
          <w:p w:rsidR="000238F3" w:rsidRPr="00EA3DEC" w:rsidRDefault="000238F3" w:rsidP="00A51D75">
            <w:pPr>
              <w:spacing w:line="360" w:lineRule="auto"/>
              <w:ind w:right="-108"/>
              <w:rPr>
                <w:rFonts w:eastAsia="Calibri" w:cs="Times New Roman"/>
                <w:sz w:val="14"/>
                <w:szCs w:val="14"/>
              </w:rPr>
            </w:pPr>
            <w:r w:rsidRPr="00EA3DEC">
              <w:rPr>
                <w:rFonts w:eastAsia="Calibri" w:cs="Times New Roman"/>
                <w:sz w:val="14"/>
                <w:szCs w:val="14"/>
              </w:rPr>
              <w:t>6-11 / 11-15</w:t>
            </w:r>
          </w:p>
        </w:tc>
      </w:tr>
      <w:tr w:rsidR="00EA3DEC" w:rsidRPr="00EA3DEC" w:rsidTr="00A51D75">
        <w:tc>
          <w:tcPr>
            <w:tcW w:w="993"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Mann-Whitney U test</w:t>
            </w:r>
          </w:p>
        </w:tc>
        <w:tc>
          <w:tcPr>
            <w:tcW w:w="1559"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Social interaction test, sociability test</w:t>
            </w:r>
          </w:p>
        </w:tc>
        <w:tc>
          <w:tcPr>
            <w:tcW w:w="2551" w:type="dxa"/>
          </w:tcPr>
          <w:p w:rsidR="000238F3" w:rsidRPr="00EA3DEC" w:rsidRDefault="000238F3" w:rsidP="00E57E01">
            <w:pPr>
              <w:spacing w:line="360" w:lineRule="auto"/>
              <w:rPr>
                <w:rFonts w:eastAsia="Calibri" w:cs="Times New Roman"/>
                <w:sz w:val="14"/>
                <w:szCs w:val="14"/>
              </w:rPr>
            </w:pPr>
            <w:r w:rsidRPr="00EA3DEC">
              <w:rPr>
                <w:rFonts w:eastAsia="Calibri" w:cs="Times New Roman"/>
                <w:sz w:val="14"/>
                <w:szCs w:val="14"/>
              </w:rPr>
              <w:t>Pilot studies and literature data reporting large effect sizes for behavioral changes in sniffing and following</w:t>
            </w:r>
            <w:r w:rsidRPr="00EA3DEC">
              <w:rPr>
                <w:rFonts w:eastAsia="Calibri" w:cs="Times New Roman"/>
                <w:sz w:val="14"/>
                <w:szCs w:val="14"/>
              </w:rPr>
              <w:fldChar w:fldCharType="begin" w:fldLock="1"/>
            </w:r>
            <w:r w:rsidR="00E57E01">
              <w:rPr>
                <w:rFonts w:eastAsia="Calibri" w:cs="Times New Roman"/>
                <w:sz w:val="14"/>
                <w:szCs w:val="14"/>
              </w:rPr>
              <w:instrText>ADDIN CSL_CITATION {"citationItems":[{"id":"ITEM-1","itemData":{"DOI":"10.1016/j.euroneuro.2013.11.008","ISSN":"1873-7862 (Electronic)","PMID":"24342774","abstract":"Negative symptoms (e.g., asociality and anhedonia) are a distinct symptomatic  domain that has been found to significantly affect the quality of life in patients diagnosed with schizophrenia. Additionally, the primary negative symptom of asociality (i.e., withdrawal from social contact that derives from indifference or lack of desire to have social contact) is a major contributor to poor psychosocial functioning and has been found to play an important role in the course of the disorder. Nonetheless, the pathophysiology underlying these symptoms is unknown and currently available treatment options (e.g., antipsychotics and cognitive-behavioral therapy) fail to reliably produce efficacious benefits. Utilizing rodent paradigms that measure social behaviors (e.g., social withdrawal) to elucidate the neurobiological substrates that underlie social dysfunction and to identify novel therapeutic targets may be highly informative and useful to understand more about the negative symptoms of schizophrenia. Accordingly, the purpose of this review is to provide an overview of the behavioral tasks for assessing social functioning that may be translationally relevant for investigating negative symptoms associated with schizophrenia.","author":[{"dropping-particle":"","family":"Wilson","given":"Christina A","non-dropping-particle":"","parse-names":false,"suffix":""},{"dropping-particle":"","family":"Koenig","given":"James I","non-dropping-particle":"","parse-names":false,"suffix":""}],"container-title":"European neuropsychopharmacology : the journal of the European College of  Neuropsychopharmacology","id":"ITEM-1","issue":"5","issued":{"date-parts":[["2014","5"]]},"language":"eng","page":"759-773","publisher-place":"Netherlands","title":"Social interaction and social withdrawal in rodents as readouts for investigating  the negative symptoms of schizophrenia.","type":"article-journal","volume":"24"},"uris":["http://www.mendeley.com/documents/?uuid=60dfade0-e4be-4fd0-a251-a59d46b1db1b"]}],"mendeley":{"formattedCitation":"&lt;sup&gt;34&lt;/sup&gt;","plainTextFormattedCitation":"34","previouslyFormattedCitation":"&lt;sup&gt;34&lt;/sup&gt;"},"properties":{"noteIndex":0},"schema":"https://github.com/citation-style-language/schema/raw/master/csl-citation.json"}</w:instrText>
            </w:r>
            <w:r w:rsidRPr="00EA3DEC">
              <w:rPr>
                <w:rFonts w:eastAsia="Calibri" w:cs="Times New Roman"/>
                <w:sz w:val="14"/>
                <w:szCs w:val="14"/>
              </w:rPr>
              <w:fldChar w:fldCharType="separate"/>
            </w:r>
            <w:r w:rsidR="00E57E01" w:rsidRPr="00E57E01">
              <w:rPr>
                <w:rFonts w:eastAsia="Calibri" w:cs="Times New Roman"/>
                <w:noProof/>
                <w:sz w:val="14"/>
                <w:szCs w:val="14"/>
                <w:vertAlign w:val="superscript"/>
              </w:rPr>
              <w:t>34</w:t>
            </w:r>
            <w:r w:rsidRPr="00EA3DEC">
              <w:rPr>
                <w:rFonts w:eastAsia="Calibri" w:cs="Times New Roman"/>
                <w:sz w:val="14"/>
                <w:szCs w:val="14"/>
              </w:rPr>
              <w:fldChar w:fldCharType="end"/>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1.3</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0.05</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0.7</w:t>
            </w:r>
          </w:p>
        </w:tc>
        <w:tc>
          <w:tcPr>
            <w:tcW w:w="850"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8</w:t>
            </w:r>
          </w:p>
        </w:tc>
        <w:tc>
          <w:tcPr>
            <w:tcW w:w="992"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6-11/ 11-15</w:t>
            </w:r>
          </w:p>
        </w:tc>
      </w:tr>
      <w:tr w:rsidR="00EA3DEC" w:rsidRPr="00EA3DEC" w:rsidTr="00A51D75">
        <w:tc>
          <w:tcPr>
            <w:tcW w:w="993"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Unpaired t-test; Mann-Whitney U test</w:t>
            </w:r>
          </w:p>
        </w:tc>
        <w:tc>
          <w:tcPr>
            <w:tcW w:w="1559"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Righting reflex test, ultrasound vocalization test</w:t>
            </w:r>
          </w:p>
        </w:tc>
        <w:tc>
          <w:tcPr>
            <w:tcW w:w="2551" w:type="dxa"/>
          </w:tcPr>
          <w:p w:rsidR="000238F3" w:rsidRPr="00EA3DEC" w:rsidRDefault="000238F3" w:rsidP="00E57E01">
            <w:pPr>
              <w:spacing w:line="360" w:lineRule="auto"/>
              <w:rPr>
                <w:rFonts w:eastAsia="Calibri" w:cs="Times New Roman"/>
                <w:sz w:val="14"/>
                <w:szCs w:val="14"/>
              </w:rPr>
            </w:pPr>
            <w:r w:rsidRPr="00EA3DEC">
              <w:rPr>
                <w:rFonts w:eastAsia="Calibri" w:cs="Times New Roman"/>
                <w:sz w:val="14"/>
                <w:szCs w:val="14"/>
              </w:rPr>
              <w:t>Literature data reporting large effect sizes in motor impairment studies</w:t>
            </w:r>
            <w:r w:rsidRPr="00EA3DEC">
              <w:rPr>
                <w:rFonts w:eastAsia="Calibri" w:cs="Times New Roman"/>
                <w:sz w:val="14"/>
                <w:szCs w:val="14"/>
              </w:rPr>
              <w:fldChar w:fldCharType="begin" w:fldLock="1"/>
            </w:r>
            <w:r w:rsidR="00E57E01">
              <w:rPr>
                <w:rFonts w:eastAsia="Calibri" w:cs="Times New Roman"/>
                <w:sz w:val="14"/>
                <w:szCs w:val="14"/>
              </w:rPr>
              <w:instrText>ADDIN CSL_CITATION {"citationItems":[{"id":"ITEM-1","itemData":{"DOI":"10.1016/j.ntt.2005.06.005","ISSN":"0892-0362 (Print)","PMID":"16040231","abstract":"Negative geotaxis, an automatic, reliable, stimulus-bound, orientation and  movement directionally against gravitational cues, is often used for behavioral assessments of infant rodents. We summarize historical and contemporary analyses and conclude that negative geotaxis does not exist in infant rats. Infant rodents placed on inclined surfaces (ranging from 15 degrees to 70 degrees in most tests) are posturally unstable and their compensatory responses have been misinterpreted as negative geotaxis. In fact, recent findings suggest that if infant rats display a geotaxis, they show positive geotaxis on shallow angles of inclination (e.g., 4 degrees and 8 degrees ). There may be utility in assessing postures and motoric responses of infant rats on relatively robust angles of inclination, but these are not tests of negative geotaxis.","author":[{"dropping-particle":"","family":"Motz","given":"Benjamin A","non-dropping-particle":"","parse-names":false,"suffix":""},{"dropping-particle":"","family":"Alberts","given":"Jeffrey R","non-dropping-particle":"","parse-names":false,"suffix":""}],"container-title":"Neurotoxicology and teratology","id":"ITEM-1","issue":"4","issued":{"date-parts":[["2005"]]},"language":"eng","page":"529-533","publisher-place":"United States","title":"The validity and utility of geotaxis in young rodents.","type":"article-journal","volume":"27"},"uris":["http://www.mendeley.com/documents/?uuid=b1048431-57aa-4945-bdf1-95272eb792fb"]}],"mendeley":{"formattedCitation":"&lt;sup&gt;35&lt;/sup&gt;","plainTextFormattedCitation":"35","previouslyFormattedCitation":"&lt;sup&gt;35&lt;/sup&gt;"},"properties":{"noteIndex":0},"schema":"https://github.com/citation-style-language/schema/raw/master/csl-citation.json"}</w:instrText>
            </w:r>
            <w:r w:rsidRPr="00EA3DEC">
              <w:rPr>
                <w:rFonts w:eastAsia="Calibri" w:cs="Times New Roman"/>
                <w:sz w:val="14"/>
                <w:szCs w:val="14"/>
              </w:rPr>
              <w:fldChar w:fldCharType="separate"/>
            </w:r>
            <w:r w:rsidR="00E57E01" w:rsidRPr="00E57E01">
              <w:rPr>
                <w:rFonts w:eastAsia="Calibri" w:cs="Times New Roman"/>
                <w:noProof/>
                <w:sz w:val="14"/>
                <w:szCs w:val="14"/>
                <w:vertAlign w:val="superscript"/>
              </w:rPr>
              <w:t>35</w:t>
            </w:r>
            <w:r w:rsidRPr="00EA3DEC">
              <w:rPr>
                <w:rFonts w:eastAsia="Calibri" w:cs="Times New Roman"/>
                <w:sz w:val="14"/>
                <w:szCs w:val="14"/>
              </w:rPr>
              <w:fldChar w:fldCharType="end"/>
            </w:r>
            <w:r w:rsidRPr="00EA3DEC">
              <w:rPr>
                <w:rFonts w:eastAsia="Calibri" w:cs="Times New Roman"/>
                <w:sz w:val="14"/>
                <w:szCs w:val="14"/>
              </w:rPr>
              <w:t xml:space="preserve"> and significant alterations in pup ultrasonic vocalization following early-life stress</w:t>
            </w:r>
            <w:r w:rsidRPr="00EA3DEC">
              <w:rPr>
                <w:rFonts w:eastAsia="Calibri" w:cs="Times New Roman"/>
                <w:sz w:val="14"/>
                <w:szCs w:val="14"/>
              </w:rPr>
              <w:fldChar w:fldCharType="begin" w:fldLock="1"/>
            </w:r>
            <w:r w:rsidR="00E57E01">
              <w:rPr>
                <w:rFonts w:eastAsia="Calibri" w:cs="Times New Roman"/>
                <w:sz w:val="14"/>
                <w:szCs w:val="14"/>
              </w:rPr>
              <w:instrText>ADDIN CSL_CITATION {"citationItems":[{"id":"ITEM-1","itemData":{"DOI":"10.1038/s41598-019-54800-z","ISSN":"2045-2322 (Electronic)","PMID":"31831757","abstract":"Early separation of preterm infants from their mothers has adverse, long-term  neurodevelopmental consequences. We investigated the effects of daily maternal separation (MS) of rat pups from postnatal days 2-10 (PND2-10) on neurobehavioural responses to brief isolation at PND12 compared with pups receiving controlled handling without MS. Ultrasonic vocalizations (USV) were measured at PND12 during two, 3-minute isolations occurring immediately before and after a 3-minute maternal reunion. There were no significant differences in acoustic characteristics between MS and control animals in the first isolation. However, in the second isolation, MS pups produced a greater proportion of high (~60 kHz) vs low (~40 kHz) frequency calls. During this isolation, control pups made longer and louder low frequency calls compared to the first isolation, whereas MS pups did the opposite. Maternal behaviour of control and MS mothers modulated pup acoustic characteristics in opposite directions; higher maternal care was associated with more low frequency calls in control pups but more high frequency calls in MS pups. We hypothesize that MS results in USV emission patterns reflective of a greater stress response to isolation. This translational model can be used to identify mechanisms and interventions that may be exploited to overcome the negative, long-term effects of MS.","author":[{"dropping-particle":"","family":"Kaidbey","given":"Jasmine H","non-dropping-particle":"","parse-names":false,"suffix":""},{"dropping-particle":"","family":"Ranger","given":"Manon","non-dropping-particle":"","parse-names":false,"suffix":""},{"dropping-particle":"","family":"Myers","given":"Michael M","non-dropping-particle":"","parse-names":false,"suffix":""},{"dropping-particle":"","family":"Anwar","given":"Muhammad","non-dropping-particle":"","parse-names":false,"suffix":""},{"dropping-particle":"","family":"Ludwig","given":"Robert J","non-dropping-particle":"","parse-names":false,"suffix":""},{"dropping-particle":"","family":"Schulz","given":"Alexandra M","non-dropping-particle":"","parse-names":false,"suffix":""},{"dropping-particle":"","family":"Barone","given":"Joseph L","non-dropping-particle":"","parse-names":false,"suffix":""},{"dropping-particle":"","family":"Kolacz","given":"Jacek","non-dropping-particle":"","parse-names":false,"suffix":""},{"dropping-particle":"","family":"Welch","given":"Martha G","non-dropping-particle":"","parse-names":false,"suffix":""}],"container-title":"Scientific reports","id":"ITEM-1","issue":"1","issued":{"date-parts":[["2019","12"]]},"language":"eng","page":"19012","publisher-place":"England","title":"Early Life Maternal Separation and Maternal Behaviour Modulate Acoustic  Characteristics of Rat Pup Ultrasonic Vocalizations.","type":"article-journal","volume":"9"},"uris":["http://www.mendeley.com/documents/?uuid=a78aa78c-3efa-41c6-928e-db3944f83029"]}],"mendeley":{"formattedCitation":"&lt;sup&gt;36&lt;/sup&gt;","plainTextFormattedCitation":"36","previouslyFormattedCitation":"&lt;sup&gt;36&lt;/sup&gt;"},"properties":{"noteIndex":0},"schema":"https://github.com/citation-style-language/schema/raw/master/csl-citation.json"}</w:instrText>
            </w:r>
            <w:r w:rsidRPr="00EA3DEC">
              <w:rPr>
                <w:rFonts w:eastAsia="Calibri" w:cs="Times New Roman"/>
                <w:sz w:val="14"/>
                <w:szCs w:val="14"/>
              </w:rPr>
              <w:fldChar w:fldCharType="separate"/>
            </w:r>
            <w:r w:rsidR="00E57E01" w:rsidRPr="00E57E01">
              <w:rPr>
                <w:rFonts w:eastAsia="Calibri" w:cs="Times New Roman"/>
                <w:noProof/>
                <w:sz w:val="14"/>
                <w:szCs w:val="14"/>
                <w:vertAlign w:val="superscript"/>
              </w:rPr>
              <w:t>36</w:t>
            </w:r>
            <w:r w:rsidRPr="00EA3DEC">
              <w:rPr>
                <w:rFonts w:eastAsia="Calibri" w:cs="Times New Roman"/>
                <w:sz w:val="14"/>
                <w:szCs w:val="14"/>
              </w:rPr>
              <w:fldChar w:fldCharType="end"/>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0.05</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0.7</w:t>
            </w:r>
          </w:p>
        </w:tc>
        <w:tc>
          <w:tcPr>
            <w:tcW w:w="850"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14</w:t>
            </w:r>
          </w:p>
        </w:tc>
        <w:tc>
          <w:tcPr>
            <w:tcW w:w="992"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15-16</w:t>
            </w:r>
          </w:p>
        </w:tc>
      </w:tr>
      <w:tr w:rsidR="00EA3DEC" w:rsidRPr="00EA3DEC" w:rsidTr="00A51D75">
        <w:tc>
          <w:tcPr>
            <w:tcW w:w="993"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Mann-Whitney U test</w:t>
            </w:r>
          </w:p>
        </w:tc>
        <w:tc>
          <w:tcPr>
            <w:tcW w:w="1559"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Resident-intruder test</w:t>
            </w:r>
          </w:p>
        </w:tc>
        <w:tc>
          <w:tcPr>
            <w:tcW w:w="2551" w:type="dxa"/>
          </w:tcPr>
          <w:p w:rsidR="000238F3" w:rsidRPr="00EA3DEC" w:rsidRDefault="000238F3" w:rsidP="00E57E01">
            <w:pPr>
              <w:spacing w:line="360" w:lineRule="auto"/>
              <w:rPr>
                <w:rFonts w:eastAsia="Calibri" w:cs="Times New Roman"/>
                <w:sz w:val="14"/>
                <w:szCs w:val="14"/>
              </w:rPr>
            </w:pPr>
            <w:r w:rsidRPr="00EA3DEC">
              <w:rPr>
                <w:rFonts w:eastAsia="Calibri" w:cs="Times New Roman"/>
                <w:sz w:val="14"/>
                <w:szCs w:val="14"/>
              </w:rPr>
              <w:t>Previous studies showing robust effects on aggressive behavior</w:t>
            </w:r>
            <w:r w:rsidRPr="00EA3DEC">
              <w:rPr>
                <w:rFonts w:eastAsia="Calibri" w:cs="Times New Roman"/>
                <w:sz w:val="14"/>
                <w:szCs w:val="14"/>
              </w:rPr>
              <w:fldChar w:fldCharType="begin" w:fldLock="1"/>
            </w:r>
            <w:r w:rsidR="00E57E01">
              <w:rPr>
                <w:rFonts w:eastAsia="Calibri" w:cs="Times New Roman"/>
                <w:sz w:val="14"/>
                <w:szCs w:val="14"/>
              </w:rPr>
              <w:instrText>ADDIN CSL_CITATION {"citationItems":[{"id":"ITEM-1","itemData":{"DOI":"10.1016/j.ynstr.2023.100546","ISSN":"2352-2895 (Print)","PMID":"37323648","abstract":"Adverse social experiences during childhood increase the risk of developing  aggression-related psychopathologies. The prefrontal cortex (PFC) is a key regulator of social behavior, where experience-dependent network development is tied to the maturation of parvalbumin-positive (PV+) interneurons. Maltreatment in childhood could impact PFC development and lead to disturbances in social behavior during later life. However, our knowledge regarding the impact of early-life social stress on PFC operation and PV+ cell function is still scarce. Here, we used post-weaning social isolation (PWSI) to model early-life social neglect in mice and to study the associated neuronal changes in the PFC, additionally distinguishing between the two main subpopulations of PV+ interneurons, i.e. those without or those enwrapped by perineuronal nets (PNN). For the first time to such detailed extent in mice, we show that PWSI induced disturbances in social behavior, including abnormal aggression, excessive vigilance and fragmented behavioral organization. PWSI mice showed altered resting-state and fighting-induced co-activation patterns between orbitofrontal and medial PFC (mPFC) subregions, with a particularly highly elevated activity in the mPFC. Surprisingly, aggressive interaction was associated with a higher recruitment of mPFC PV+ neurons that were surrounded by PNN in PWSI mice that seemed to mediate the emergence of social deficits. PWSI did not affect the number of PV+ neurons and PNN density, but enhanced PV and PNN intensity as well as cortical and subcortical glutamatergic drive onto mPFC PV+ neurons. Our results suggest that the increased excitatory input of PV+ cells could emerge as a compensatory mechanism for the PV+ neuron-mediated impaired inhibition of mPFC layer 5 pyramidal neurons, since we found lower numbers of GABAergic PV+ puncta on the perisomatic region of these cells. In conclusion, PWSI leads to altered PV-PNN activity and impaired excitatory/inhibitory balance in the mPFC, which possibly contributes to social behavioral disruptions seen in PWSI mice. Our data advances our understanding on how early-life social stress can impact the maturing PFC and lead to the development of social abnormalities in adulthood.","author":[{"dropping-particle":"","family":"Biro","given":"Laszlo","non-dropping-particle":"","parse-names":false,"suffix":""},{"dropping-particle":"","family":"Miskolczi","given":"Christina","non-dropping-particle":"","parse-names":false,"suffix":""},{"dropping-particle":"","family":"Szebik","given":"Huba","non-dropping-particle":"","parse-names":false,"suffix":""},{"dropping-particle":"","family":"Bruzsik","given":"Biborka","non-dropping-particle":"","parse-names":false,"suffix":""},{"dropping-particle":"","family":"Varga","given":"Zoltan Kristof","non-dropping-particle":"","parse-names":false,"suffix":""},{"dropping-particle":"","family":"Szente","given":"Laszlo","non-dropping-particle":"","parse-names":false,"suffix":""},{"dropping-particle":"","family":"Toth","given":"Mate","non-dropping-particle":"","parse-names":false,"suffix":""},{"dropping-particle":"","family":"Halasz","given":"Jozsef","non-dropping-particle":"","parse-names":false,"suffix":""},{"dropping-particle":"","family":"Mikics","given":"Eva","non-dropping-particle":"","parse-names":false,"suffix":""}],"container-title":"Neurobiology of stress","id":"ITEM-1","issued":{"date-parts":[["2023","7"]]},"language":"eng","page":"100546","publisher-place":"United States","title":"Post-weaning social isolation in male mice leads to abnormal aggression and  disrupted network organization in the prefrontal cortex: Contribution of parvalbumin interneurons with or without perineuronal nets.","type":"article-journal","volume":"25"},"uris":["http://www.mendeley.com/documents/?uuid=9ccefafa-345c-4ece-8bed-1621e392ddf8"]}],"mendeley":{"formattedCitation":"&lt;sup&gt;37&lt;/sup&gt;","plainTextFormattedCitation":"37","previouslyFormattedCitation":"&lt;sup&gt;37&lt;/sup&gt;"},"properties":{"noteIndex":0},"schema":"https://github.com/citation-style-language/schema/raw/master/csl-citation.json"}</w:instrText>
            </w:r>
            <w:r w:rsidRPr="00EA3DEC">
              <w:rPr>
                <w:rFonts w:eastAsia="Calibri" w:cs="Times New Roman"/>
                <w:sz w:val="14"/>
                <w:szCs w:val="14"/>
              </w:rPr>
              <w:fldChar w:fldCharType="separate"/>
            </w:r>
            <w:r w:rsidR="00E57E01" w:rsidRPr="00E57E01">
              <w:rPr>
                <w:rFonts w:eastAsia="Calibri" w:cs="Times New Roman"/>
                <w:noProof/>
                <w:sz w:val="14"/>
                <w:szCs w:val="14"/>
                <w:vertAlign w:val="superscript"/>
              </w:rPr>
              <w:t>37</w:t>
            </w:r>
            <w:r w:rsidRPr="00EA3DEC">
              <w:rPr>
                <w:rFonts w:eastAsia="Calibri" w:cs="Times New Roman"/>
                <w:sz w:val="14"/>
                <w:szCs w:val="14"/>
              </w:rPr>
              <w:fldChar w:fldCharType="end"/>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1.2</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0.05</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0.7</w:t>
            </w:r>
          </w:p>
        </w:tc>
        <w:tc>
          <w:tcPr>
            <w:tcW w:w="850"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10</w:t>
            </w:r>
          </w:p>
        </w:tc>
        <w:tc>
          <w:tcPr>
            <w:tcW w:w="992"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11-12</w:t>
            </w:r>
          </w:p>
        </w:tc>
      </w:tr>
      <w:tr w:rsidR="00EA3DEC" w:rsidRPr="00EA3DEC" w:rsidTr="00A51D75">
        <w:tc>
          <w:tcPr>
            <w:tcW w:w="993"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Unpaired t-test</w:t>
            </w:r>
          </w:p>
        </w:tc>
        <w:tc>
          <w:tcPr>
            <w:tcW w:w="1559" w:type="dxa"/>
          </w:tcPr>
          <w:p w:rsidR="000238F3" w:rsidRPr="00EA3DEC" w:rsidRDefault="000238F3" w:rsidP="00A51D75">
            <w:pPr>
              <w:spacing w:line="360" w:lineRule="auto"/>
              <w:jc w:val="left"/>
              <w:rPr>
                <w:rFonts w:eastAsia="Calibri" w:cs="Times New Roman"/>
                <w:sz w:val="14"/>
                <w:szCs w:val="14"/>
              </w:rPr>
            </w:pPr>
            <w:proofErr w:type="spellStart"/>
            <w:r w:rsidRPr="00EA3DEC">
              <w:rPr>
                <w:rFonts w:eastAsia="Calibri" w:cs="Times New Roman"/>
                <w:sz w:val="14"/>
                <w:szCs w:val="14"/>
              </w:rPr>
              <w:t>Playfight</w:t>
            </w:r>
            <w:proofErr w:type="spellEnd"/>
            <w:r w:rsidRPr="00EA3DEC">
              <w:rPr>
                <w:rFonts w:eastAsia="Calibri" w:cs="Times New Roman"/>
                <w:sz w:val="14"/>
                <w:szCs w:val="14"/>
              </w:rPr>
              <w:t xml:space="preserve"> test</w:t>
            </w:r>
          </w:p>
        </w:tc>
        <w:tc>
          <w:tcPr>
            <w:tcW w:w="2551" w:type="dxa"/>
          </w:tcPr>
          <w:p w:rsidR="000238F3" w:rsidRPr="00EA3DEC" w:rsidRDefault="000238F3" w:rsidP="00E57E01">
            <w:pPr>
              <w:spacing w:line="360" w:lineRule="auto"/>
              <w:rPr>
                <w:rFonts w:eastAsia="Calibri" w:cs="Times New Roman"/>
                <w:sz w:val="14"/>
                <w:szCs w:val="14"/>
              </w:rPr>
            </w:pPr>
            <w:r w:rsidRPr="00EA3DEC">
              <w:rPr>
                <w:rFonts w:eastAsia="Calibri" w:cs="Times New Roman"/>
                <w:sz w:val="14"/>
                <w:szCs w:val="14"/>
              </w:rPr>
              <w:t xml:space="preserve">Literature data reporting large effect size </w:t>
            </w:r>
            <w:proofErr w:type="spellStart"/>
            <w:r w:rsidRPr="00EA3DEC">
              <w:rPr>
                <w:rFonts w:eastAsia="Calibri" w:cs="Times New Roman"/>
                <w:sz w:val="14"/>
                <w:szCs w:val="14"/>
              </w:rPr>
              <w:t>peripubertal</w:t>
            </w:r>
            <w:proofErr w:type="spellEnd"/>
            <w:r w:rsidRPr="00EA3DEC">
              <w:rPr>
                <w:rFonts w:eastAsia="Calibri" w:cs="Times New Roman"/>
                <w:sz w:val="14"/>
                <w:szCs w:val="14"/>
              </w:rPr>
              <w:t xml:space="preserve"> stress study</w:t>
            </w:r>
            <w:r w:rsidRPr="00EA3DEC">
              <w:rPr>
                <w:rFonts w:eastAsia="Calibri" w:cs="Times New Roman"/>
                <w:sz w:val="14"/>
                <w:szCs w:val="14"/>
              </w:rPr>
              <w:fldChar w:fldCharType="begin" w:fldLock="1"/>
            </w:r>
            <w:r w:rsidR="00E57E01">
              <w:rPr>
                <w:rFonts w:eastAsia="Calibri" w:cs="Times New Roman"/>
                <w:sz w:val="14"/>
                <w:szCs w:val="14"/>
              </w:rPr>
              <w:instrText>ADDIN CSL_CITATION {"citationItems":[{"id":"ITEM-1","itemData":{"DOI":"10.1038/s41398-018-0215-6","ISSN":"2158-3188 (Electronic)","PMID":"30111823","abstract":"Play fighting is a highly rewarding behavior that helps individuals to develop  social skills. Early-life stress has been shown to alter play fighting in rats and hamsters as well as to increase aggressive behaviors at adulthood. However, it is not known whether individual differences in stress-induced play fighting are related to differential developmental trajectories towards adult aggression. To address this question, we used a rat model of peripubertal stress (PPS)-induced psychopathology that involves increased aggression at adulthood. We report that, indeed, PPS leads to enhanced play fighting at adolescence. Using a stratification approach, we identify individuals with heightened levels of play fighting as the ones that show abnormal forms of aggression at adulthood. These animals showed as well a rapid habituation of their corticosterone responsiveness to repeated stressor exposure at peripuberty. They also showed a striking increase in mitochondrial function in the amygdala-but not nucleus accumbens-when tested ex vivo. Conversely, low, but not high players, displayed increased expression of the CB1 cannabinoid receptor in the nucleus accumbens shell. Our results highlight adolescence as a potential critical period in which aberrant play fighting is linked to the emergence of adult aggression. They also point at brain energy metabolism during adolescence as a possible target to prevent adult aggression.","author":[{"dropping-particle":"","family":"Papilloud","given":"Aurélie","non-dropping-particle":"","parse-names":false,"suffix":""},{"dropping-particle":"","family":"Guillot de Suduiraut","given":"Isabelle","non-dropping-particle":"","parse-names":false,"suffix":""},{"dropping-particle":"","family":"Zanoletti","given":"Olivia","non-dropping-particle":"","parse-names":false,"suffix":""},{"dropping-particle":"","family":"Grosse","given":"Jocelyn","non-dropping-particle":"","parse-names":false,"suffix":""},{"dropping-particle":"","family":"Sandi","given":"Carmen","non-dropping-particle":"","parse-names":false,"suffix":""}],"container-title":"Translational psychiatry","id":"ITEM-1","issue":"1","issued":{"date-parts":[["2018","8"]]},"language":"eng","page":"156","publisher-place":"United States","title":"Peripubertal stress increases play fighting at adolescence and modulates nucleus  accumbens CB1 receptor expression and mitochondrial function in the amygdala.","type":"article-journal","volume":"8"},"uris":["http://www.mendeley.com/documents/?uuid=e4c5994c-e4cc-4d66-a8fb-3d4c42689e98"]}],"mendeley":{"formattedCitation":"&lt;sup&gt;38&lt;/sup&gt;","plainTextFormattedCitation":"38","previouslyFormattedCitation":"&lt;sup&gt;38&lt;/sup&gt;"},"properties":{"noteIndex":0},"schema":"https://github.com/citation-style-language/schema/raw/master/csl-citation.json"}</w:instrText>
            </w:r>
            <w:r w:rsidRPr="00EA3DEC">
              <w:rPr>
                <w:rFonts w:eastAsia="Calibri" w:cs="Times New Roman"/>
                <w:sz w:val="14"/>
                <w:szCs w:val="14"/>
              </w:rPr>
              <w:fldChar w:fldCharType="separate"/>
            </w:r>
            <w:r w:rsidR="00E57E01" w:rsidRPr="00E57E01">
              <w:rPr>
                <w:rFonts w:eastAsia="Calibri" w:cs="Times New Roman"/>
                <w:noProof/>
                <w:sz w:val="14"/>
                <w:szCs w:val="14"/>
                <w:vertAlign w:val="superscript"/>
              </w:rPr>
              <w:t>38</w:t>
            </w:r>
            <w:r w:rsidRPr="00EA3DEC">
              <w:rPr>
                <w:rFonts w:eastAsia="Calibri" w:cs="Times New Roman"/>
                <w:sz w:val="14"/>
                <w:szCs w:val="14"/>
              </w:rPr>
              <w:fldChar w:fldCharType="end"/>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1.2</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0.05</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0.7</w:t>
            </w:r>
          </w:p>
        </w:tc>
        <w:tc>
          <w:tcPr>
            <w:tcW w:w="850"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10</w:t>
            </w:r>
          </w:p>
        </w:tc>
        <w:tc>
          <w:tcPr>
            <w:tcW w:w="992"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10-10</w:t>
            </w:r>
          </w:p>
        </w:tc>
      </w:tr>
      <w:tr w:rsidR="00EA3DEC" w:rsidRPr="00EA3DEC" w:rsidTr="00A51D75">
        <w:tc>
          <w:tcPr>
            <w:tcW w:w="993"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Unpaired t-test</w:t>
            </w:r>
          </w:p>
        </w:tc>
        <w:tc>
          <w:tcPr>
            <w:tcW w:w="1559"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Open field test</w:t>
            </w:r>
          </w:p>
        </w:tc>
        <w:tc>
          <w:tcPr>
            <w:tcW w:w="2551" w:type="dxa"/>
          </w:tcPr>
          <w:p w:rsidR="000238F3" w:rsidRPr="00EA3DEC" w:rsidRDefault="000238F3" w:rsidP="00E57E01">
            <w:pPr>
              <w:spacing w:line="360" w:lineRule="auto"/>
              <w:rPr>
                <w:rFonts w:eastAsia="Calibri" w:cs="Times New Roman"/>
                <w:sz w:val="14"/>
                <w:szCs w:val="14"/>
              </w:rPr>
            </w:pPr>
            <w:r w:rsidRPr="00EA3DEC">
              <w:rPr>
                <w:rFonts w:eastAsia="Calibri" w:cs="Times New Roman"/>
                <w:sz w:val="14"/>
                <w:szCs w:val="14"/>
              </w:rPr>
              <w:t>Previous studies showing robust effects on centrum time</w:t>
            </w:r>
            <w:r w:rsidRPr="00EA3DEC">
              <w:rPr>
                <w:rFonts w:eastAsia="Calibri" w:cs="Times New Roman"/>
                <w:sz w:val="14"/>
                <w:szCs w:val="14"/>
              </w:rPr>
              <w:fldChar w:fldCharType="begin" w:fldLock="1"/>
            </w:r>
            <w:r w:rsidR="00E57E01">
              <w:rPr>
                <w:rFonts w:eastAsia="Calibri" w:cs="Times New Roman"/>
                <w:sz w:val="14"/>
                <w:szCs w:val="14"/>
              </w:rPr>
              <w:instrText>ADDIN CSL_CITATION {"citationItems":[{"id":"ITEM-1","itemData":{"DOI":"10.1101/2023.06.01.543235","abstract":"The reliability and validity of preclinical anxiety testing is essential for translating animal research into clinical use. However, the commonly used anxiety tests lack inter-test correlations and face challenges with repeatability. While translational animal research should be able to capture stable individual anxiety traits, the current approach employs a single type of test at a single time that only measures transient states of animals, heavily influenced by experimental conditions. Here, we propose a validated, optimized test battery capable of reliably capturing trait anxiety in rats and mice of both sexes. Instead of developing novel tests, we combined widely used tests (elevated plus-maze, open field and light-dark test) to provide instantly applicable adjustments for better predictive validity. We repeated these tests three times to capture behaviour across multiple challenges, which we combined to generate summary measures (SuMs). Our approach resolved between-test correlation issues and provided better predictions for subsequent outcomes under anxiogenic conditions or fear conditioning. SuMs were also able to reveal differences in anxiety in an etiological stress model. Finally, we tested our method’s efficacy in discovering anxiety-related molecular pathways through RNA sequencing of the medial prefrontal cortex. Using SuMs, we identified four-times more molecular correlates of trait anxiety as compared to transient anxiety states, pointing out novel functional gene clusters. Furthermore, 16% of these molecular correlates of anxiety were replicated in amygdalar samples, as well. In summary, we provide a novel approach to capture trait anxiety in rodents, offering improved predictions for potential therapeutic targets for personalized medicine.Competing Interest StatementThe authors have declared no competing interest.","author":[{"dropping-particle":"","family":"Varga","given":"Zoltán K","non-dropping-particle":"","parse-names":false,"suffix":""},{"dropping-particle":"","family":"Pejtsik","given":"Diána","non-dropping-particle":"","parse-names":false,"suffix":""},{"dropping-particle":"","family":"Tóth","given":"Máté","non-dropping-particle":"","parse-names":false,"suffix":""},{"dropping-particle":"","family":"Balogh","given":"Zoltán","non-dropping-particle":"","parse-names":false,"suffix":""},{"dropping-particle":"","family":"Aliczki","given":"Manó","non-dropping-particle":"","parse-names":false,"suffix":""},{"dropping-particle":"","family":"Szente","given":"László","non-dropping-particle":"","parse-names":false,"suffix":""},{"dropping-particle":"","family":"Balla","given":"Gyula Y","non-dropping-particle":"","parse-names":false,"suffix":""},{"dropping-particle":"","family":"Kontra","given":"Levente","non-dropping-particle":"","parse-names":false,"suffix":""},{"dropping-particle":"","family":"Eckert","given":"Zsófia","non-dropping-particle":"","parse-names":false,"suffix":""},{"dropping-particle":"","family":"Szebik","given":"Huba","non-dropping-particle":"","parse-names":false,"suffix":""},{"dropping-particle":"","family":"Borhegyi","given":"Zsolt","non-dropping-particle":"","parse-names":false,"suffix":""},{"dropping-particle":"","family":"Mikics","given":"Éva","non-dropping-particle":"","parse-names":false,"suffix":""}],"container-title":"bioRxiv","id":"ITEM-1","issued":{"date-parts":[["2024","1","1"]]},"page":"2023.06.01.543235","title":"Improving anxiety research: novel approach to reveal trait anxiety through summary measures of multiple states","type":"article-journal"},"uris":["http://www.mendeley.com/documents/?uuid=3d5a9588-ce97-4ca5-8510-2f3705868e5a"]}],"mendeley":{"formattedCitation":"&lt;sup&gt;33&lt;/sup&gt;","plainTextFormattedCitation":"33","previouslyFormattedCitation":"&lt;sup&gt;33&lt;/sup&gt;"},"properties":{"noteIndex":0},"schema":"https://github.com/citation-style-language/schema/raw/master/csl-citation.json"}</w:instrText>
            </w:r>
            <w:r w:rsidRPr="00EA3DEC">
              <w:rPr>
                <w:rFonts w:eastAsia="Calibri" w:cs="Times New Roman"/>
                <w:sz w:val="14"/>
                <w:szCs w:val="14"/>
              </w:rPr>
              <w:fldChar w:fldCharType="separate"/>
            </w:r>
            <w:r w:rsidR="00E57E01" w:rsidRPr="00E57E01">
              <w:rPr>
                <w:rFonts w:eastAsia="Calibri" w:cs="Times New Roman"/>
                <w:noProof/>
                <w:sz w:val="14"/>
                <w:szCs w:val="14"/>
                <w:vertAlign w:val="superscript"/>
              </w:rPr>
              <w:t>33</w:t>
            </w:r>
            <w:r w:rsidRPr="00EA3DEC">
              <w:rPr>
                <w:rFonts w:eastAsia="Calibri" w:cs="Times New Roman"/>
                <w:sz w:val="14"/>
                <w:szCs w:val="14"/>
              </w:rPr>
              <w:fldChar w:fldCharType="end"/>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1.2</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0.05</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0.7</w:t>
            </w:r>
          </w:p>
        </w:tc>
        <w:tc>
          <w:tcPr>
            <w:tcW w:w="850"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10</w:t>
            </w:r>
          </w:p>
        </w:tc>
        <w:tc>
          <w:tcPr>
            <w:tcW w:w="992"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6-11/ 11-15</w:t>
            </w:r>
          </w:p>
        </w:tc>
      </w:tr>
      <w:tr w:rsidR="00EA3DEC" w:rsidRPr="00EA3DEC" w:rsidTr="00A51D75">
        <w:tc>
          <w:tcPr>
            <w:tcW w:w="993"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Unpaired t-test</w:t>
            </w:r>
          </w:p>
        </w:tc>
        <w:tc>
          <w:tcPr>
            <w:tcW w:w="1559"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Y-maze test</w:t>
            </w:r>
          </w:p>
        </w:tc>
        <w:tc>
          <w:tcPr>
            <w:tcW w:w="2551" w:type="dxa"/>
          </w:tcPr>
          <w:p w:rsidR="000238F3" w:rsidRPr="00EA3DEC" w:rsidRDefault="000238F3" w:rsidP="00E57E01">
            <w:pPr>
              <w:spacing w:line="360" w:lineRule="auto"/>
              <w:rPr>
                <w:rFonts w:eastAsia="Calibri" w:cs="Times New Roman"/>
                <w:sz w:val="14"/>
                <w:szCs w:val="14"/>
              </w:rPr>
            </w:pPr>
            <w:r w:rsidRPr="00EA3DEC">
              <w:rPr>
                <w:rFonts w:eastAsia="Calibri" w:cs="Times New Roman"/>
                <w:sz w:val="14"/>
                <w:szCs w:val="14"/>
              </w:rPr>
              <w:t>Literature data reporting large effect size reflecting working memory impairment and hyperactivity</w:t>
            </w:r>
            <w:r w:rsidRPr="00EA3DEC">
              <w:rPr>
                <w:rFonts w:eastAsia="Calibri" w:cs="Times New Roman"/>
                <w:sz w:val="14"/>
                <w:szCs w:val="14"/>
              </w:rPr>
              <w:fldChar w:fldCharType="begin" w:fldLock="1"/>
            </w:r>
            <w:r w:rsidR="00E57E01">
              <w:rPr>
                <w:rFonts w:eastAsia="Calibri" w:cs="Times New Roman"/>
                <w:sz w:val="14"/>
                <w:szCs w:val="14"/>
              </w:rPr>
              <w:instrText>ADDIN CSL_CITATION {"citationItems":[{"id":"ITEM-1","itemData":{"DOI":"10.3390/ijms242015064","ISSN":"1422-0067 (Electronic)","PMID":"37894744","abstract":"Alzheimer's disease (AD) is characterized by the accumulation of amyloid β (Aβ)  plaques in the brain, leading to cognitive impairment and other clinical symptoms. The 5XFAD mouse model is commonly used in AD research because it expresses five human transgenes that result in the accumulation of Aβ plaques and cognitive decline at a relatively early age. Behavioral experiments are frequently conducted using this model; however, the effect size has not yet been reported. In this study, we examined basic cognition and locomotion in 5XFAD mice with a C57BL6/J background (5XFAD-J) at 6 months of age, a period in which impairments of cognitive function and locomotion are commonly observed. We analyzed the effect sizes of cognitive and locomotive experiments in the 5XFAD mice compared with those in the wild-type mice. Our results suggest that for long-term memory analysis, the novel object recognition test (p = 0.013, effect size 1.24) required a sample size of at least 12 to obtain meaningful results. Moreover, analysis of general locomotion over total distance with the Laboratory Animal Behavior Observation, Registration and Analysis System (LABORAS) test during the dark phase (p = 0.007, effect size -1.37) needed a sample size of 10 for a statistical power (1-β) of 0.8. In conclusion, we can conduct more ethical and scientifically rigorous animal experiments using 5XFAD mice based on the effect and sample sizes suggested in this study.","author":[{"dropping-particle":"","family":"Choi","given":"Moonseok","non-dropping-particle":"","parse-names":false,"suffix":""},{"dropping-particle":"","family":"Jang","given":"Hyung-Sup","non-dropping-particle":"","parse-names":false,"suffix":""},{"dropping-particle":"","family":"Son","given":"Taekwon","non-dropping-particle":"","parse-names":false,"suffix":""},{"dropping-particle":"","family":"Kim","given":"Dongsoo","non-dropping-particle":"","parse-names":false,"suffix":""},{"dropping-particle":"","family":"Youn","given":"Young-Jin","non-dropping-particle":"","parse-names":false,"suffix":""},{"dropping-particle":"","family":"Hwang","given":"Gyu-Bin","non-dropping-particle":"","parse-names":false,"suffix":""},{"dropping-particle":"","family":"Choi","given":"Young Pyo","non-dropping-particle":"","parse-names":false,"suffix":""},{"dropping-particle":"","family":"Jeong","given":"Yun Ha","non-dropping-particle":"","parse-names":false,"suffix":""}],"container-title":"International journal of molecular sciences","id":"ITEM-1","issue":"20","issued":{"date-parts":[["2023","10"]]},"language":"eng","publisher-place":"Switzerland","title":"Effect Sizes of Cognitive and Locomotive Behavior Tests in the 5XFAD-J Mouse  Model of Alzheimer's Disease.","type":"article-journal","volume":"24"},"uris":["http://www.mendeley.com/documents/?uuid=6717e187-4a7d-4719-a26e-878ede0c7a91"]},{"id":"ITEM-2","itemData":{"DOI":"10.1089/neu.2015.3977","ISSN":"1557-9042 (Electronic)","PMID":"25951234","abstract":"To date, clinical trials have failed to find an effective therapy for victims of  traumatic brain injury (TBI) who live with motor, cognitive, and psychiatric complaints. Pre-clinical investigators are now encouraged to include male and female subjects in all translational research, which is of particular interest in the field of neurotrauma given that circulating female hormones (progesterone and estrogen) have been demonstrated to exert neuroprotective effects. To determine whether behavior of male and female C57BL6/J mice is differentially impaired by TBI, male and cycling female mice were injured by controlled cortical impact and tested for several weeks with functional assessments commonly employed in pre-clinical research. We found that cognitive and motor impairments post-TBI, as measured by the Morris water maze (MWM) and rotarod, respectively, were largely equivalent in male and female animals. However, spatial working memory, assessed by the y-maze, was poorer in female mice. Female mice were generally more active, as evidenced by greater distance traveled in the first exposure to the open field, greater distance in the y-maze, and faster swimming speeds in the MWM. Statistical analysis showed that variability in all behavioral data was no greater in cycling female mice than it was in male mice. These data all suggest that with careful selection of tests, procedures, and measurements, both sexes can be included in translational TBI research without concern for effect of hormones on functional impairments or behavioral variability.","author":[{"dropping-particle":"","family":"Tucker","given":"Laura B","non-dropping-particle":"","parse-names":false,"suffix":""},{"dropping-particle":"","family":"Fu","given":"Amanda H","non-dropping-particle":"","parse-names":false,"suffix":""},{"dropping-particle":"","family":"McCabe","given":"Joseph T","non-dropping-particle":"","parse-names":false,"suffix":""}],"container-title":"Journal of neurotrauma","id":"ITEM-2","issue":"9","issued":{"date-parts":[["2016","5"]]},"language":"eng","page":"880-894","publisher-place":"United States","title":"Performance of Male and Female C57BL/6J Mice on Motor and Cognitive Tasks  Commonly Used in Pre-Clinical Traumatic Brain Injury Research.","type":"article-journal","volume":"33"},"uris":["http://www.mendeley.com/documents/?uuid=ad8249ad-27dd-4fbb-8a9a-e93afcefc7cb"]}],"mendeley":{"formattedCitation":"&lt;sup&gt;39,40&lt;/sup&gt;","plainTextFormattedCitation":"39,40","previouslyFormattedCitation":"&lt;sup&gt;39,40&lt;/sup&gt;"},"properties":{"noteIndex":0},"schema":"https://github.com/citation-style-language/schema/raw/master/csl-citation.json"}</w:instrText>
            </w:r>
            <w:r w:rsidRPr="00EA3DEC">
              <w:rPr>
                <w:rFonts w:eastAsia="Calibri" w:cs="Times New Roman"/>
                <w:sz w:val="14"/>
                <w:szCs w:val="14"/>
              </w:rPr>
              <w:fldChar w:fldCharType="separate"/>
            </w:r>
            <w:r w:rsidR="00E57E01" w:rsidRPr="00E57E01">
              <w:rPr>
                <w:rFonts w:eastAsia="Calibri" w:cs="Times New Roman"/>
                <w:noProof/>
                <w:sz w:val="14"/>
                <w:szCs w:val="14"/>
                <w:vertAlign w:val="superscript"/>
              </w:rPr>
              <w:t>39,40</w:t>
            </w:r>
            <w:r w:rsidRPr="00EA3DEC">
              <w:rPr>
                <w:rFonts w:eastAsia="Calibri" w:cs="Times New Roman"/>
                <w:sz w:val="14"/>
                <w:szCs w:val="14"/>
              </w:rPr>
              <w:fldChar w:fldCharType="end"/>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1.2</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0.05</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0.7</w:t>
            </w:r>
          </w:p>
        </w:tc>
        <w:tc>
          <w:tcPr>
            <w:tcW w:w="850"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10</w:t>
            </w:r>
          </w:p>
        </w:tc>
        <w:tc>
          <w:tcPr>
            <w:tcW w:w="992"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15-16</w:t>
            </w:r>
          </w:p>
        </w:tc>
      </w:tr>
      <w:tr w:rsidR="00EA3DEC" w:rsidRPr="00EA3DEC" w:rsidTr="00A51D75">
        <w:tc>
          <w:tcPr>
            <w:tcW w:w="993"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Unpaired t-test</w:t>
            </w:r>
          </w:p>
        </w:tc>
        <w:tc>
          <w:tcPr>
            <w:tcW w:w="1559" w:type="dxa"/>
          </w:tcPr>
          <w:p w:rsidR="000238F3" w:rsidRPr="00EA3DEC" w:rsidRDefault="000238F3" w:rsidP="00A51D75">
            <w:pPr>
              <w:spacing w:line="360" w:lineRule="auto"/>
              <w:jc w:val="left"/>
              <w:rPr>
                <w:rFonts w:eastAsia="Calibri" w:cs="Times New Roman"/>
                <w:sz w:val="14"/>
                <w:szCs w:val="14"/>
              </w:rPr>
            </w:pPr>
            <w:proofErr w:type="spellStart"/>
            <w:r w:rsidRPr="00EA3DEC">
              <w:rPr>
                <w:rFonts w:eastAsia="Calibri" w:cs="Times New Roman"/>
                <w:sz w:val="14"/>
                <w:szCs w:val="14"/>
              </w:rPr>
              <w:t>Rotarod</w:t>
            </w:r>
            <w:proofErr w:type="spellEnd"/>
          </w:p>
        </w:tc>
        <w:tc>
          <w:tcPr>
            <w:tcW w:w="2551" w:type="dxa"/>
          </w:tcPr>
          <w:p w:rsidR="000238F3" w:rsidRPr="00EA3DEC" w:rsidRDefault="000238F3" w:rsidP="00E57E01">
            <w:pPr>
              <w:spacing w:line="360" w:lineRule="auto"/>
              <w:rPr>
                <w:rFonts w:eastAsia="Calibri" w:cs="Times New Roman"/>
                <w:sz w:val="14"/>
                <w:szCs w:val="14"/>
              </w:rPr>
            </w:pPr>
            <w:r w:rsidRPr="00EA3DEC">
              <w:rPr>
                <w:rFonts w:eastAsia="Calibri" w:cs="Times New Roman"/>
                <w:sz w:val="14"/>
                <w:szCs w:val="14"/>
              </w:rPr>
              <w:t>Literature data reporting large effect size in brain injury models</w:t>
            </w:r>
            <w:r w:rsidRPr="00EA3DEC">
              <w:rPr>
                <w:rFonts w:eastAsia="Calibri" w:cs="Times New Roman"/>
                <w:sz w:val="14"/>
                <w:szCs w:val="14"/>
              </w:rPr>
              <w:fldChar w:fldCharType="begin" w:fldLock="1"/>
            </w:r>
            <w:r w:rsidR="00E57E01">
              <w:rPr>
                <w:rFonts w:eastAsia="Calibri" w:cs="Times New Roman"/>
                <w:sz w:val="14"/>
                <w:szCs w:val="14"/>
              </w:rPr>
              <w:instrText>ADDIN CSL_CITATION {"citationItems":[{"id":"ITEM-1","itemData":{"DOI":"10.1089/neu.2015.3977","ISSN":"1557-9042 (Electronic)","PMID":"25951234","abstract":"To date, clinical trials have failed to find an effective therapy for victims of  traumatic brain injury (TBI) who live with motor, cognitive, and psychiatric complaints. Pre-clinical investigators are now encouraged to include male and female subjects in all translational research, which is of particular interest in the field of neurotrauma given that circulating female hormones (progesterone and estrogen) have been demonstrated to exert neuroprotective effects. To determine whether behavior of male and female C57BL6/J mice is differentially impaired by TBI, male and cycling female mice were injured by controlled cortical impact and tested for several weeks with functional assessments commonly employed in pre-clinical research. We found that cognitive and motor impairments post-TBI, as measured by the Morris water maze (MWM) and rotarod, respectively, were largely equivalent in male and female animals. However, spatial working memory, assessed by the y-maze, was poorer in female mice. Female mice were generally more active, as evidenced by greater distance traveled in the first exposure to the open field, greater distance in the y-maze, and faster swimming speeds in the MWM. Statistical analysis showed that variability in all behavioral data was no greater in cycling female mice than it was in male mice. These data all suggest that with careful selection of tests, procedures, and measurements, both sexes can be included in translational TBI research without concern for effect of hormones on functional impairments or behavioral variability.","author":[{"dropping-particle":"","family":"Tucker","given":"Laura B","non-dropping-particle":"","parse-names":false,"suffix":""},{"dropping-particle":"","family":"Fu","given":"Amanda H","non-dropping-particle":"","parse-names":false,"suffix":""},{"dropping-particle":"","family":"McCabe","given":"Joseph T","non-dropping-particle":"","parse-names":false,"suffix":""}],"container-title":"Journal of neurotrauma","id":"ITEM-1","issue":"9","issued":{"date-parts":[["2016","5"]]},"language":"eng","page":"880-894","publisher-place":"United States","title":"Performance of Male and Female C57BL/6J Mice on Motor and Cognitive Tasks  Commonly Used in Pre-Clinical Traumatic Brain Injury Research.","type":"article-journal","volume":"33"},"uris":["http://www.mendeley.com/documents/?uuid=ad8249ad-27dd-4fbb-8a9a-e93afcefc7cb"]}],"mendeley":{"formattedCitation":"&lt;sup&gt;40&lt;/sup&gt;","plainTextFormattedCitation":"40","previouslyFormattedCitation":"&lt;sup&gt;40&lt;/sup&gt;"},"properties":{"noteIndex":0},"schema":"https://github.com/citation-style-language/schema/raw/master/csl-citation.json"}</w:instrText>
            </w:r>
            <w:r w:rsidRPr="00EA3DEC">
              <w:rPr>
                <w:rFonts w:eastAsia="Calibri" w:cs="Times New Roman"/>
                <w:sz w:val="14"/>
                <w:szCs w:val="14"/>
              </w:rPr>
              <w:fldChar w:fldCharType="separate"/>
            </w:r>
            <w:r w:rsidR="00E57E01" w:rsidRPr="00E57E01">
              <w:rPr>
                <w:rFonts w:eastAsia="Calibri" w:cs="Times New Roman"/>
                <w:noProof/>
                <w:sz w:val="14"/>
                <w:szCs w:val="14"/>
                <w:vertAlign w:val="superscript"/>
              </w:rPr>
              <w:t>40</w:t>
            </w:r>
            <w:r w:rsidRPr="00EA3DEC">
              <w:rPr>
                <w:rFonts w:eastAsia="Calibri" w:cs="Times New Roman"/>
                <w:sz w:val="14"/>
                <w:szCs w:val="14"/>
              </w:rPr>
              <w:fldChar w:fldCharType="end"/>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1.2</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0.05</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0.7</w:t>
            </w:r>
          </w:p>
        </w:tc>
        <w:tc>
          <w:tcPr>
            <w:tcW w:w="850"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10</w:t>
            </w:r>
          </w:p>
        </w:tc>
        <w:tc>
          <w:tcPr>
            <w:tcW w:w="992"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11-12</w:t>
            </w:r>
          </w:p>
        </w:tc>
      </w:tr>
      <w:tr w:rsidR="00EA3DEC" w:rsidRPr="00EA3DEC" w:rsidTr="00A51D75">
        <w:tc>
          <w:tcPr>
            <w:tcW w:w="993"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Unpaired t-test</w:t>
            </w:r>
          </w:p>
        </w:tc>
        <w:tc>
          <w:tcPr>
            <w:tcW w:w="1559"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Conditioned fear learning</w:t>
            </w:r>
          </w:p>
        </w:tc>
        <w:tc>
          <w:tcPr>
            <w:tcW w:w="2551" w:type="dxa"/>
          </w:tcPr>
          <w:p w:rsidR="000238F3" w:rsidRPr="00EA3DEC" w:rsidRDefault="000238F3" w:rsidP="00E57E01">
            <w:pPr>
              <w:spacing w:line="360" w:lineRule="auto"/>
              <w:rPr>
                <w:rFonts w:eastAsia="Calibri" w:cs="Times New Roman"/>
                <w:sz w:val="14"/>
                <w:szCs w:val="14"/>
              </w:rPr>
            </w:pPr>
            <w:r w:rsidRPr="00EA3DEC">
              <w:rPr>
                <w:rFonts w:eastAsia="Calibri" w:cs="Times New Roman"/>
                <w:sz w:val="14"/>
                <w:szCs w:val="14"/>
              </w:rPr>
              <w:t>Previous studies showing robust effects on fear learning and generalization</w:t>
            </w:r>
            <w:r w:rsidRPr="00EA3DEC">
              <w:rPr>
                <w:rFonts w:eastAsia="Calibri" w:cs="Times New Roman"/>
                <w:sz w:val="14"/>
                <w:szCs w:val="14"/>
              </w:rPr>
              <w:fldChar w:fldCharType="begin" w:fldLock="1"/>
            </w:r>
            <w:r w:rsidR="00E57E01">
              <w:rPr>
                <w:rFonts w:eastAsia="Calibri" w:cs="Times New Roman"/>
                <w:sz w:val="14"/>
                <w:szCs w:val="14"/>
              </w:rPr>
              <w:instrText>ADDIN CSL_CITATION {"citationItems":[{"id":"ITEM-1","itemData":{"DOI":"10.1101/2024.03.11.584500","abstract":"Posttraumatic stress disorder (PTSD) is a chronic psychiatric condition that develops in susceptible individuals exposed to traumatic stress, challenging clinicians to identify risk factors and mechanisms for mitigating vulnerability. Here we investigated behavioral predictors of high fear generalization, a core PTSD symptom, and its neural correlates longitudinally in rats. In a comprehensive behavioral test battery of emotional and cognitive function, pretrauma lower operant learning performance emerged as high predictor of fear generalization following trauma. Posttrauma operant training facilitated fear extinction, suggesting an overlap in neural circuits governing operant learning and fear expression. Neuronal activity mapping revealed significant changes in the medial prefrontal cortex (mPFC) in high fear generalizers, with alterations in CRH/VIP+ interneuron functioning. Silencing prefrontal Crh expression after fear memory consolidation enhanced mPFC activation and reduced fear expression, favoring resilience. These findings highlight operant learning and mPFC alterations as vulnerability markers and mediators of excessive fear generalization, with implications for prevention and targeted therapy in PTSD.Competing Interest StatementThe authors have declared no competing interest.","author":[{"dropping-particle":"","family":"Szente","given":"László","non-dropping-particle":"","parse-names":false,"suffix":""},{"dropping-particle":"","family":"Aliczki","given":"Manó","non-dropping-particle":"","parse-names":false,"suffix":""},{"dropping-particle":"","family":"Balla","given":"Gyula Y","non-dropping-particle":"","parse-names":false,"suffix":""},{"dropping-particle":"","family":"Maróthy","given":"Róbert D","non-dropping-particle":"","parse-names":false,"suffix":""},{"dropping-particle":"","family":"Varga","given":"Zoltán K","non-dropping-particle":"","parse-names":false,"suffix":""},{"dropping-particle":"","family":"Varga","given":"Bendegúz Á","non-dropping-particle":"","parse-names":false,"suffix":""},{"dropping-particle":"","family":"Borhegyi","given":"Zsolt","non-dropping-particle":"","parse-names":false,"suffix":""},{"dropping-particle":"","family":"Biró","given":"László","non-dropping-particle":"","parse-names":false,"suffix":""},{"dropping-particle":"","family":"Demeter","given":"Kornél","non-dropping-particle":"","parse-names":false,"suffix":""},{"dropping-particle":"","family":"Miskolczi","given":"Christina","non-dropping-particle":"","parse-names":false,"suffix":""},{"dropping-particle":"","family":"Balogh","given":"Zoltán","non-dropping-particle":"","parse-names":false,"suffix":""},{"dropping-particle":"","family":"Szebik","given":"Huba","non-dropping-particle":"","parse-names":false,"suffix":""},{"dropping-particle":"","family":"Szilvásy-Szabó","given":"Anett","non-dropping-particle":"","parse-names":false,"suffix":""},{"dropping-particle":"","family":"Kurilla","given":"Anita","non-dropping-particle":"","parse-names":false,"suffix":""},{"dropping-particle":"","family":"Tóth","given":"Máté","non-dropping-particle":"","parse-names":false,"suffix":""},{"dropping-particle":"","family":"Mikics","given":"Éva","non-dropping-particle":"","parse-names":false,"suffix":""}],"container-title":"bioRxiv","id":"ITEM-1","issued":{"date-parts":[["2024","1","1"]]},"page":"2024.03.11.584500","title":"Pretrauma cognitive traits predict trauma-induced fear generalization and associated prefrontal functioning in a longitudinal model of posttraumatic stress disorder","type":"article-journal"},"uris":["http://www.mendeley.com/documents/?uuid=144a84cc-4ff1-41e8-bc91-34d925f27ea0"]}],"mendeley":{"formattedCitation":"&lt;sup&gt;41&lt;/sup&gt;","plainTextFormattedCitation":"41","previouslyFormattedCitation":"&lt;sup&gt;41&lt;/sup&gt;"},"properties":{"noteIndex":0},"schema":"https://github.com/citation-style-language/schema/raw/master/csl-citation.json"}</w:instrText>
            </w:r>
            <w:r w:rsidRPr="00EA3DEC">
              <w:rPr>
                <w:rFonts w:eastAsia="Calibri" w:cs="Times New Roman"/>
                <w:sz w:val="14"/>
                <w:szCs w:val="14"/>
              </w:rPr>
              <w:fldChar w:fldCharType="separate"/>
            </w:r>
            <w:r w:rsidR="00E57E01" w:rsidRPr="00E57E01">
              <w:rPr>
                <w:rFonts w:eastAsia="Calibri" w:cs="Times New Roman"/>
                <w:noProof/>
                <w:sz w:val="14"/>
                <w:szCs w:val="14"/>
                <w:vertAlign w:val="superscript"/>
              </w:rPr>
              <w:t>41</w:t>
            </w:r>
            <w:r w:rsidRPr="00EA3DEC">
              <w:rPr>
                <w:rFonts w:eastAsia="Calibri" w:cs="Times New Roman"/>
                <w:sz w:val="14"/>
                <w:szCs w:val="14"/>
              </w:rPr>
              <w:fldChar w:fldCharType="end"/>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0.05</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0.7</w:t>
            </w:r>
          </w:p>
        </w:tc>
        <w:tc>
          <w:tcPr>
            <w:tcW w:w="850"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14</w:t>
            </w:r>
          </w:p>
        </w:tc>
        <w:tc>
          <w:tcPr>
            <w:tcW w:w="992"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11-15</w:t>
            </w:r>
          </w:p>
        </w:tc>
      </w:tr>
      <w:tr w:rsidR="00EA3DEC" w:rsidRPr="00EA3DEC" w:rsidTr="00A51D75">
        <w:tc>
          <w:tcPr>
            <w:tcW w:w="993"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Repeated measures ANOVA</w:t>
            </w:r>
          </w:p>
        </w:tc>
        <w:tc>
          <w:tcPr>
            <w:tcW w:w="1559"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Morris water maze test</w:t>
            </w:r>
          </w:p>
        </w:tc>
        <w:tc>
          <w:tcPr>
            <w:tcW w:w="2551"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Pilot studies showing robust effects on spatial learning and memory</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0.05</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0.7</w:t>
            </w:r>
          </w:p>
        </w:tc>
        <w:tc>
          <w:tcPr>
            <w:tcW w:w="850"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8</w:t>
            </w:r>
          </w:p>
        </w:tc>
        <w:tc>
          <w:tcPr>
            <w:tcW w:w="992"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10-12</w:t>
            </w:r>
          </w:p>
        </w:tc>
      </w:tr>
      <w:tr w:rsidR="00EA3DEC" w:rsidRPr="00EA3DEC" w:rsidTr="00A51D75">
        <w:trPr>
          <w:trHeight w:val="351"/>
        </w:trPr>
        <w:tc>
          <w:tcPr>
            <w:tcW w:w="993"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Repeated measures ANOVA</w:t>
            </w:r>
          </w:p>
        </w:tc>
        <w:tc>
          <w:tcPr>
            <w:tcW w:w="1559" w:type="dxa"/>
          </w:tcPr>
          <w:p w:rsidR="000238F3" w:rsidRPr="00EA3DEC" w:rsidRDefault="000238F3" w:rsidP="00A51D75">
            <w:pPr>
              <w:spacing w:line="360" w:lineRule="auto"/>
              <w:jc w:val="left"/>
              <w:rPr>
                <w:rFonts w:eastAsia="Calibri" w:cs="Times New Roman"/>
                <w:sz w:val="14"/>
                <w:szCs w:val="14"/>
              </w:rPr>
            </w:pPr>
            <w:proofErr w:type="spellStart"/>
            <w:r w:rsidRPr="00EA3DEC">
              <w:rPr>
                <w:rFonts w:eastAsia="Calibri" w:cs="Times New Roman"/>
                <w:sz w:val="14"/>
                <w:szCs w:val="14"/>
              </w:rPr>
              <w:t>Holeboard</w:t>
            </w:r>
            <w:proofErr w:type="spellEnd"/>
            <w:r w:rsidRPr="00EA3DEC">
              <w:rPr>
                <w:rFonts w:eastAsia="Calibri" w:cs="Times New Roman"/>
                <w:sz w:val="14"/>
                <w:szCs w:val="14"/>
              </w:rPr>
              <w:t xml:space="preserve"> learning test</w:t>
            </w:r>
          </w:p>
        </w:tc>
        <w:tc>
          <w:tcPr>
            <w:tcW w:w="2551" w:type="dxa"/>
          </w:tcPr>
          <w:p w:rsidR="000238F3" w:rsidRPr="00EA3DEC" w:rsidRDefault="000238F3" w:rsidP="00E57E01">
            <w:pPr>
              <w:spacing w:line="360" w:lineRule="auto"/>
              <w:rPr>
                <w:rFonts w:eastAsia="Calibri" w:cs="Times New Roman"/>
                <w:sz w:val="14"/>
                <w:szCs w:val="14"/>
              </w:rPr>
            </w:pPr>
            <w:r w:rsidRPr="00EA3DEC">
              <w:rPr>
                <w:rFonts w:eastAsia="Calibri" w:cs="Times New Roman"/>
                <w:sz w:val="14"/>
                <w:szCs w:val="14"/>
              </w:rPr>
              <w:t>Literature data reporting large effect size in post-</w:t>
            </w:r>
            <w:proofErr w:type="spellStart"/>
            <w:r w:rsidRPr="00EA3DEC">
              <w:rPr>
                <w:rFonts w:eastAsia="Calibri" w:cs="Times New Roman"/>
                <w:sz w:val="14"/>
                <w:szCs w:val="14"/>
              </w:rPr>
              <w:t>ischaemia</w:t>
            </w:r>
            <w:proofErr w:type="spellEnd"/>
            <w:r w:rsidRPr="00EA3DEC">
              <w:rPr>
                <w:rFonts w:eastAsia="Calibri" w:cs="Times New Roman"/>
                <w:sz w:val="14"/>
                <w:szCs w:val="14"/>
              </w:rPr>
              <w:t xml:space="preserve"> rats</w:t>
            </w:r>
            <w:r w:rsidRPr="00EA3DEC">
              <w:rPr>
                <w:rFonts w:eastAsia="Calibri" w:cs="Times New Roman"/>
                <w:sz w:val="14"/>
                <w:szCs w:val="14"/>
              </w:rPr>
              <w:fldChar w:fldCharType="begin" w:fldLock="1"/>
            </w:r>
            <w:r w:rsidR="00E57E01">
              <w:rPr>
                <w:rFonts w:eastAsia="Calibri" w:cs="Times New Roman"/>
                <w:sz w:val="14"/>
                <w:szCs w:val="14"/>
              </w:rPr>
              <w:instrText>ADDIN CSL_CITATION {"citationItems":[{"id":"ITEM-1","itemData":{"DOI":"10.1016/j.bbr.2012.07.027","ISSN":"1872-7549 (Electronic)","PMID":"22835822","abstract":"OBJECTIVE: While histological injury following cerebral ischemia has been  extensively characterized in rodents, evidence on the effects on executive functioning is still missing. This study was designed to evaluate neuropsychological outcome following different severities of cerebral ischemia in rats with the modified hole board test or the Morris water maze. SETTING: With institutional review board approval, anesthetized rats were exposed to bilateral carotid artery occlusion (BCAO) for escalating time intervals (0-12.5 min). Postoperatively cognitive performance was assessed using either the modified hole board test (mHB) or the Morris water maze (MWM). On postoperative day 14 rats were euthanized and intact neurons in five cerebral regions were counted. RESULTS: Rats of the 0 and 5 min groups showed normal functional outcome with mild histological damage after 5 min of BCAO. Following 7.5 min of BCAO the mHB test showed cognitive deficits reflecting histological damage of the hippocampus while the MWM revealed normal functional outcome. Rats of the 10 and 12.5 min groups showed cognitive deficits in both tests, motor dysfunction and behavioral alterations in the mHB test and profound histological damage. CONCLUSIONS: The results indicate that the mHB is not inferior to the MWM for the evaluation of cognitive impairment following incomplete forebrain ischemia in rats. As the mHB additionally investigates a variety of behavioral dimensions and motor parameters in the same test environment, it is advantageous for the evaluation of interacting and potentially confounding behavioral changes following cerebral ischemia in rats.","author":[{"dropping-particle":"","family":"Gordan","given":"Maria Lucia","non-dropping-particle":"","parse-names":false,"suffix":""},{"dropping-particle":"","family":"Jungwirth","given":"Bettina","non-dropping-particle":"","parse-names":false,"suffix":""},{"dropping-particle":"","family":"Ohl","given":"Frauke","non-dropping-particle":"","parse-names":false,"suffix":""},{"dropping-particle":"","family":"Kellermann","given":"Kristine","non-dropping-particle":"","parse-names":false,"suffix":""},{"dropping-particle":"","family":"Kochs","given":"Eberhard F","non-dropping-particle":"","parse-names":false,"suffix":""},{"dropping-particle":"","family":"Blobner","given":"Manfred","non-dropping-particle":"","parse-names":false,"suffix":""}],"container-title":"Behavioural brain research","id":"ITEM-1","issue":"1","issued":{"date-parts":[["2012","11"]]},"language":"eng","page":"7-20","publisher-place":"Netherlands","title":"Evaluation of neurobehavioral deficits following different severities of cerebral  ischemia in rats: a comparison between the modified hole board test and the Morris water maze test.","type":"article-journal","volume":"235"},"uris":["http://www.mendeley.com/documents/?uuid=a73a8868-f43b-4768-8677-cd32dc3d27f0"]}],"mendeley":{"formattedCitation":"&lt;sup&gt;42&lt;/sup&gt;","plainTextFormattedCitation":"42","previouslyFormattedCitation":"&lt;sup&gt;42&lt;/sup&gt;"},"properties":{"noteIndex":0},"schema":"https://github.com/citation-style-language/schema/raw/master/csl-citation.json"}</w:instrText>
            </w:r>
            <w:r w:rsidRPr="00EA3DEC">
              <w:rPr>
                <w:rFonts w:eastAsia="Calibri" w:cs="Times New Roman"/>
                <w:sz w:val="14"/>
                <w:szCs w:val="14"/>
              </w:rPr>
              <w:fldChar w:fldCharType="separate"/>
            </w:r>
            <w:r w:rsidR="00E57E01" w:rsidRPr="00E57E01">
              <w:rPr>
                <w:rFonts w:eastAsia="Calibri" w:cs="Times New Roman"/>
                <w:noProof/>
                <w:sz w:val="14"/>
                <w:szCs w:val="14"/>
                <w:vertAlign w:val="superscript"/>
              </w:rPr>
              <w:t>42</w:t>
            </w:r>
            <w:r w:rsidRPr="00EA3DEC">
              <w:rPr>
                <w:rFonts w:eastAsia="Calibri" w:cs="Times New Roman"/>
                <w:sz w:val="14"/>
                <w:szCs w:val="14"/>
              </w:rPr>
              <w:fldChar w:fldCharType="end"/>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0.05</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0.7</w:t>
            </w:r>
          </w:p>
        </w:tc>
        <w:tc>
          <w:tcPr>
            <w:tcW w:w="850"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8</w:t>
            </w:r>
          </w:p>
        </w:tc>
        <w:tc>
          <w:tcPr>
            <w:tcW w:w="992"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15-16</w:t>
            </w:r>
          </w:p>
        </w:tc>
      </w:tr>
      <w:tr w:rsidR="00EA3DEC" w:rsidRPr="00EA3DEC" w:rsidTr="00A51D75">
        <w:tc>
          <w:tcPr>
            <w:tcW w:w="993"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Repeated measures ANOVA</w:t>
            </w:r>
          </w:p>
        </w:tc>
        <w:tc>
          <w:tcPr>
            <w:tcW w:w="1559"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Delay Discounting task</w:t>
            </w:r>
          </w:p>
        </w:tc>
        <w:tc>
          <w:tcPr>
            <w:tcW w:w="2551" w:type="dxa"/>
          </w:tcPr>
          <w:p w:rsidR="000238F3" w:rsidRPr="00EA3DEC" w:rsidRDefault="000238F3" w:rsidP="00E57E01">
            <w:pPr>
              <w:spacing w:line="360" w:lineRule="auto"/>
              <w:rPr>
                <w:rFonts w:eastAsia="Calibri" w:cs="Times New Roman"/>
                <w:sz w:val="14"/>
                <w:szCs w:val="14"/>
              </w:rPr>
            </w:pPr>
            <w:r w:rsidRPr="00EA3DEC">
              <w:rPr>
                <w:rFonts w:eastAsia="Calibri" w:cs="Times New Roman"/>
                <w:sz w:val="14"/>
                <w:szCs w:val="14"/>
              </w:rPr>
              <w:t>Literature data reporting large effect size with stable trait-like performance</w:t>
            </w:r>
            <w:r w:rsidRPr="00EA3DEC">
              <w:rPr>
                <w:rFonts w:eastAsia="Calibri" w:cs="Times New Roman"/>
                <w:sz w:val="14"/>
                <w:szCs w:val="14"/>
              </w:rPr>
              <w:fldChar w:fldCharType="begin" w:fldLock="1"/>
            </w:r>
            <w:r w:rsidR="00E57E01">
              <w:rPr>
                <w:rFonts w:eastAsia="Calibri" w:cs="Times New Roman"/>
                <w:sz w:val="14"/>
                <w:szCs w:val="14"/>
              </w:rPr>
              <w:instrText>ADDIN CSL_CITATION {"citationItems":[{"id":"ITEM-1","itemData":{"DOI":"10.1016/j.beproc.2016.03.014","ISSN":"1872-8308 (Electronic)","PMID":"27016155","abstract":"Delay discounting describes the tendency for organisms to devalue outcomes  because they are delayed. Robust, positive correlations exist between excessive delay discounting and many maladaptive behaviors (e.g., substance abuse, obesity). Several studies have demonstrated that delay discounting can be reduced and this may hold promise for improving treatment outcomes. One method of reducing delay discounting provides rats with extended training with delayed reinforcement (i.e., delay-exposure training) and this significantly reduces impulsive choices, relative to rats trained with an equal number of immediate-reinforcement sessions (i.e., immediate-exposure training). To evaluate the stability of this effect, 12 weanling male Wistar rats were randomly assigned to receive either delay-exposure or immediate-exposure training for 120 sessions. Impulsive choice was assessed using an increasing-delay procedure immediately following training and 120 days after completion of the initial assessment. Delay-exposed rats discounted delayed food rewards significantly less than immediate-exposed rats in the initial assessment and the reassessment conducted 120 days later. These results are encouraging as they suggest that the effects of delay-exposure training are robust to the passage of time and intervening experience.","author":[{"dropping-particle":"","family":"Renda","given":"C Renee","non-dropping-particle":"","parse-names":false,"suffix":""},{"dropping-particle":"","family":"Madden","given":"Gregory J","non-dropping-particle":"","parse-names":false,"suffix":""}],"container-title":"Behavioural processes","id":"ITEM-1","issued":{"date-parts":[["2016","5"]]},"language":"eng","page":"108-112","publisher-place":"Netherlands","title":"Impulsive choice and pre-exposure to delays: III. Four-month test-retest outcomes  in male wistar rats.","type":"article-journal","volume":"126"},"uris":["http://www.mendeley.com/documents/?uuid=d5cdf389-9351-458e-914d-c1fd6d8fee1c"]},{"id":"ITEM-2","itemData":{"DOI":"10.1007/s00213-021-05963-z","ISSN":"1432-2072 (Electronic)","PMID":"34427720","abstract":"RATIONALE AND OBJECTIVES: Pain sensation can negatively impact cognitive  function, including impulsivity. Pain-induced changes in impulsivity can contribute to development of psychiatric comorbidities found in those with chronic pain conditions. The goal of this study was to determine whether complete Freund's adjuvant (CFA)-induced pain manipulation enhances impulsivity in rats. Whether the pain-induced impulsivity is sexually dimorphic, and if mu-opioid receptors play a role in these processes. METHODS: Male and female rats were screened for trait impulsivity and designated as high or low impulsive using a delay discounting task. Rats then received a hind paw injection of CFA, and their impulsivity was assessed for 16 days. The effects of morphine on impulsivity were also examined. In a separate experiment, rats were pretreated with beta-funaltrexamine (β-FNA) to determine the role of mu-opioid receptors on impulsivity. RESULTS: CFA treatment increased impulsivity in males and females. The onset of CFA-induced impulsivity was faster in high impulsive females than males. Morphine blocked CFA-induced impulsivity in both sexes in a dose- and time-dependent manner. β-FNA prevented the actions of morphine on CFA-induced impulsivity in high impulsive males, but not high impulsive females. Moreover, β-FNA increased CFA-induced impulsivity in morphine naïve males, but not females. CONCLUSION: These findings demonstrate unique sex differences in CFA-induced impulsivity, response to morphine, and the impact of mu-opioid receptors. A better understanding of cognitive deficits and their mechanisms can provide insight into the development of substance abuse and psychiatric comorbidities that occur in people with chronic pain.","author":[{"dropping-particle":"","family":"Serrano","given":"Nidia Espinoza","non-dropping-particle":"","parse-names":false,"suffix":""},{"dropping-particle":"","family":"Saputra","given":"Samuel G","non-dropping-particle":"","parse-names":false,"suffix":""},{"dropping-particle":"","family":"Íbias","given":"Javier","non-dropping-particle":"","parse-names":false,"suffix":""},{"dropping-particle":"","family":"Company","given":"Matthew","non-dropping-particle":"","parse-names":false,"suffix":""},{"dropping-particle":"","family":"Nazarian","given":"Arbi","non-dropping-particle":"","parse-names":false,"suffix":""}],"container-title":"Psychopharmacology","id":"ITEM-2","issue":"12","issued":{"date-parts":[["2021","12"]]},"language":"eng","page":"3447-3462","publisher-place":"Germany","title":"Pain-induced impulsivity is sexually dimorphic and mu-opioid receptor sensitive  in rats.","type":"article-journal","volume":"238"},"uris":["http://www.mendeley.com/documents/?uuid=28c34e10-7a30-4f46-b4b7-e826eb4ec1bb"]}],"mendeley":{"formattedCitation":"&lt;sup&gt;43,44&lt;/sup&gt;","plainTextFormattedCitation":"43,44","previouslyFormattedCitation":"&lt;sup&gt;43,44&lt;/sup&gt;"},"properties":{"noteIndex":0},"schema":"https://github.com/citation-style-language/schema/raw/master/csl-citation.json"}</w:instrText>
            </w:r>
            <w:r w:rsidRPr="00EA3DEC">
              <w:rPr>
                <w:rFonts w:eastAsia="Calibri" w:cs="Times New Roman"/>
                <w:sz w:val="14"/>
                <w:szCs w:val="14"/>
              </w:rPr>
              <w:fldChar w:fldCharType="separate"/>
            </w:r>
            <w:r w:rsidR="00E57E01" w:rsidRPr="00E57E01">
              <w:rPr>
                <w:rFonts w:eastAsia="Calibri" w:cs="Times New Roman"/>
                <w:noProof/>
                <w:sz w:val="14"/>
                <w:szCs w:val="14"/>
                <w:vertAlign w:val="superscript"/>
              </w:rPr>
              <w:t>43,44</w:t>
            </w:r>
            <w:r w:rsidRPr="00EA3DEC">
              <w:rPr>
                <w:rFonts w:eastAsia="Calibri" w:cs="Times New Roman"/>
                <w:sz w:val="14"/>
                <w:szCs w:val="14"/>
              </w:rPr>
              <w:fldChar w:fldCharType="end"/>
            </w:r>
            <w:r w:rsidRPr="00EA3DEC">
              <w:rPr>
                <w:rFonts w:eastAsia="Calibri" w:cs="Times New Roman"/>
                <w:sz w:val="14"/>
                <w:szCs w:val="14"/>
              </w:rPr>
              <w:t xml:space="preserve"> </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0.05</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0.7</w:t>
            </w:r>
          </w:p>
        </w:tc>
        <w:tc>
          <w:tcPr>
            <w:tcW w:w="850"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8</w:t>
            </w:r>
          </w:p>
        </w:tc>
        <w:tc>
          <w:tcPr>
            <w:tcW w:w="992"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6-11</w:t>
            </w:r>
          </w:p>
        </w:tc>
      </w:tr>
      <w:tr w:rsidR="00EA3DEC" w:rsidRPr="00EA3DEC" w:rsidTr="00A51D75">
        <w:trPr>
          <w:trHeight w:val="869"/>
        </w:trPr>
        <w:tc>
          <w:tcPr>
            <w:tcW w:w="993"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Repeated measures ANOVA</w:t>
            </w:r>
          </w:p>
        </w:tc>
        <w:tc>
          <w:tcPr>
            <w:tcW w:w="1559"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5-choice serial reaction time task, set-shifting 5-choice serial reaction time task</w:t>
            </w:r>
          </w:p>
        </w:tc>
        <w:tc>
          <w:tcPr>
            <w:tcW w:w="2551" w:type="dxa"/>
          </w:tcPr>
          <w:p w:rsidR="000238F3" w:rsidRPr="00EA3DEC" w:rsidRDefault="000238F3" w:rsidP="00E57E01">
            <w:pPr>
              <w:spacing w:line="360" w:lineRule="auto"/>
              <w:rPr>
                <w:rFonts w:eastAsia="Calibri" w:cs="Times New Roman"/>
                <w:sz w:val="14"/>
                <w:szCs w:val="14"/>
              </w:rPr>
            </w:pPr>
            <w:r w:rsidRPr="00EA3DEC">
              <w:rPr>
                <w:rFonts w:eastAsia="Calibri" w:cs="Times New Roman"/>
                <w:sz w:val="14"/>
                <w:szCs w:val="14"/>
              </w:rPr>
              <w:t>Previous studies showing robust and consistent effects on attention and operant learning</w:t>
            </w:r>
            <w:r w:rsidRPr="00EA3DEC">
              <w:rPr>
                <w:rFonts w:eastAsia="Calibri" w:cs="Times New Roman"/>
                <w:sz w:val="14"/>
                <w:szCs w:val="14"/>
              </w:rPr>
              <w:fldChar w:fldCharType="begin" w:fldLock="1"/>
            </w:r>
            <w:r w:rsidR="00E57E01">
              <w:rPr>
                <w:rFonts w:eastAsia="Calibri" w:cs="Times New Roman"/>
                <w:sz w:val="14"/>
                <w:szCs w:val="14"/>
              </w:rPr>
              <w:instrText>ADDIN CSL_CITATION {"citationItems":[{"id":"ITEM-1","itemData":{"DOI":"10.1101/2024.03.11.584500","abstract":"Posttraumatic stress disorder (PTSD) is a chronic psychiatric condition that develops in susceptible individuals exposed to traumatic stress, challenging clinicians to identify risk factors and mechanisms for mitigating vulnerability. Here we investigated behavioral predictors of high fear generalization, a core PTSD symptom, and its neural correlates longitudinally in rats. In a comprehensive behavioral test battery of emotional and cognitive function, pretrauma lower operant learning performance emerged as high predictor of fear generalization following trauma. Posttrauma operant training facilitated fear extinction, suggesting an overlap in neural circuits governing operant learning and fear expression. Neuronal activity mapping revealed significant changes in the medial prefrontal cortex (mPFC) in high fear generalizers, with alterations in CRH/VIP+ interneuron functioning. Silencing prefrontal Crh expression after fear memory consolidation enhanced mPFC activation and reduced fear expression, favoring resilience. These findings highlight operant learning and mPFC alterations as vulnerability markers and mediators of excessive fear generalization, with implications for prevention and targeted therapy in PTSD.Competing Interest StatementThe authors have declared no competing interest.","author":[{"dropping-particle":"","family":"Szente","given":"László","non-dropping-particle":"","parse-names":false,"suffix":""},{"dropping-particle":"","family":"Aliczki","given":"Manó","non-dropping-particle":"","parse-names":false,"suffix":""},{"dropping-particle":"","family":"Balla","given":"Gyula Y","non-dropping-particle":"","parse-names":false,"suffix":""},{"dropping-particle":"","family":"Maróthy","given":"Róbert D","non-dropping-particle":"","parse-names":false,"suffix":""},{"dropping-particle":"","family":"Varga","given":"Zoltán K","non-dropping-particle":"","parse-names":false,"suffix":""},{"dropping-particle":"","family":"Varga","given":"Bendegúz Á","non-dropping-particle":"","parse-names":false,"suffix":""},{"dropping-particle":"","family":"Borhegyi","given":"Zsolt","non-dropping-particle":"","parse-names":false,"suffix":""},{"dropping-particle":"","family":"Biró","given":"László","non-dropping-particle":"","parse-names":false,"suffix":""},{"dropping-particle":"","family":"Demeter","given":"Kornél","non-dropping-particle":"","parse-names":false,"suffix":""},{"dropping-particle":"","family":"Miskolczi","given":"Christina","non-dropping-particle":"","parse-names":false,"suffix":""},{"dropping-particle":"","family":"Balogh","given":"Zoltán","non-dropping-particle":"","parse-names":false,"suffix":""},{"dropping-particle":"","family":"Szebik","given":"Huba","non-dropping-particle":"","parse-names":false,"suffix":""},{"dropping-particle":"","family":"Szilvásy-Szabó","given":"Anett","non-dropping-particle":"","parse-names":false,"suffix":""},{"dropping-particle":"","family":"Kurilla","given":"Anita","non-dropping-particle":"","parse-names":false,"suffix":""},{"dropping-particle":"","family":"Tóth","given":"Máté","non-dropping-particle":"","parse-names":false,"suffix":""},{"dropping-particle":"","family":"Mikics","given":"Éva","non-dropping-particle":"","parse-names":false,"suffix":""}],"container-title":"bioRxiv","id":"ITEM-1","issued":{"date-parts":[["2024","1","1"]]},"page":"2024.03.11.584500","title":"Pretrauma cognitive traits predict trauma-induced fear generalization and associated prefrontal functioning in a longitudinal model of posttraumatic stress disorder","type":"article-journal"},"uris":["http://www.mendeley.com/documents/?uuid=144a84cc-4ff1-41e8-bc91-34d925f27ea0"]}],"mendeley":{"formattedCitation":"&lt;sup&gt;41&lt;/sup&gt;","plainTextFormattedCitation":"41","previouslyFormattedCitation":"&lt;sup&gt;41&lt;/sup&gt;"},"properties":{"noteIndex":0},"schema":"https://github.com/citation-style-language/schema/raw/master/csl-citation.json"}</w:instrText>
            </w:r>
            <w:r w:rsidRPr="00EA3DEC">
              <w:rPr>
                <w:rFonts w:eastAsia="Calibri" w:cs="Times New Roman"/>
                <w:sz w:val="14"/>
                <w:szCs w:val="14"/>
              </w:rPr>
              <w:fldChar w:fldCharType="separate"/>
            </w:r>
            <w:r w:rsidR="00E57E01" w:rsidRPr="00E57E01">
              <w:rPr>
                <w:rFonts w:eastAsia="Calibri" w:cs="Times New Roman"/>
                <w:noProof/>
                <w:sz w:val="14"/>
                <w:szCs w:val="14"/>
                <w:vertAlign w:val="superscript"/>
              </w:rPr>
              <w:t>41</w:t>
            </w:r>
            <w:r w:rsidRPr="00EA3DEC">
              <w:rPr>
                <w:rFonts w:eastAsia="Calibri" w:cs="Times New Roman"/>
                <w:sz w:val="14"/>
                <w:szCs w:val="14"/>
              </w:rPr>
              <w:fldChar w:fldCharType="end"/>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0.05</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0.7</w:t>
            </w:r>
          </w:p>
        </w:tc>
        <w:tc>
          <w:tcPr>
            <w:tcW w:w="850"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8</w:t>
            </w:r>
          </w:p>
        </w:tc>
        <w:tc>
          <w:tcPr>
            <w:tcW w:w="992"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7-8/ 11-15</w:t>
            </w:r>
          </w:p>
        </w:tc>
      </w:tr>
      <w:tr w:rsidR="00EA3DEC" w:rsidRPr="00EA3DEC" w:rsidTr="00A51D75">
        <w:tc>
          <w:tcPr>
            <w:tcW w:w="993"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Repeated measures ANOVA</w:t>
            </w:r>
          </w:p>
        </w:tc>
        <w:tc>
          <w:tcPr>
            <w:tcW w:w="1559" w:type="dxa"/>
          </w:tcPr>
          <w:p w:rsidR="000238F3" w:rsidRPr="00EA3DEC" w:rsidRDefault="000238F3" w:rsidP="00A51D75">
            <w:pPr>
              <w:spacing w:line="360" w:lineRule="auto"/>
              <w:jc w:val="left"/>
              <w:rPr>
                <w:rFonts w:eastAsia="Calibri" w:cs="Times New Roman"/>
                <w:sz w:val="14"/>
                <w:szCs w:val="14"/>
              </w:rPr>
            </w:pPr>
            <w:r w:rsidRPr="00EA3DEC">
              <w:rPr>
                <w:rFonts w:eastAsia="Calibri" w:cs="Times New Roman"/>
                <w:sz w:val="14"/>
                <w:szCs w:val="14"/>
              </w:rPr>
              <w:t>Go/ no-Go task</w:t>
            </w:r>
          </w:p>
        </w:tc>
        <w:tc>
          <w:tcPr>
            <w:tcW w:w="2551" w:type="dxa"/>
          </w:tcPr>
          <w:p w:rsidR="000238F3" w:rsidRPr="00EA3DEC" w:rsidRDefault="000238F3" w:rsidP="00E57E01">
            <w:pPr>
              <w:spacing w:line="360" w:lineRule="auto"/>
              <w:rPr>
                <w:rFonts w:eastAsia="Calibri" w:cs="Times New Roman"/>
                <w:sz w:val="14"/>
                <w:szCs w:val="14"/>
              </w:rPr>
            </w:pPr>
            <w:r w:rsidRPr="00EA3DEC">
              <w:rPr>
                <w:rFonts w:eastAsia="Calibri" w:cs="Times New Roman"/>
                <w:sz w:val="14"/>
                <w:szCs w:val="14"/>
              </w:rPr>
              <w:t>Literature reporting a significant correlation between symptoms of impulsivity with no-go errors</w:t>
            </w:r>
            <w:r w:rsidRPr="00EA3DEC">
              <w:rPr>
                <w:rFonts w:eastAsia="Calibri" w:cs="Times New Roman"/>
                <w:sz w:val="14"/>
                <w:szCs w:val="14"/>
              </w:rPr>
              <w:fldChar w:fldCharType="begin" w:fldLock="1"/>
            </w:r>
            <w:r w:rsidR="00E57E01">
              <w:rPr>
                <w:rFonts w:eastAsia="Calibri" w:cs="Times New Roman"/>
                <w:sz w:val="14"/>
                <w:szCs w:val="14"/>
              </w:rPr>
              <w:instrText>ADDIN CSL_CITATION {"citationItems":[{"id":"ITEM-1","itemData":{"DOI":"10.1348/026151008X314919","ISSN":"0261-510X (Print)","PMID":"19812711","abstract":"Behavioural performance in the Go/NoGo task was compared with caregiver and  teacher reports of inattention and hyperactivity-impulsivity in 1,151 children (N = 557 boys; N = 594 girls) age 9- 10-years-old. Errors of commission (NoGo errors) were significantly correlated with symptom counts of hyperactivity-impulsivity, while errors of omission (Go errors) were significantly correlated with symptom counts for inattention in both caregiver and teacher reports. Cross-correlations were also evident, however, such that errors of commission were related to inattention symptoms, and errors of omission were related to hyperactivity-impulsivity. Moreover, hyperactivity-impulsivity and inattention symptoms were highly intercorrelated in both caregiver (r = .52) and teacher reports (r = .70), while errors of commission and omission were virtually uncorrelated in the Go/NoGo task (r = .06). The results highlight the difficulty in disentangling hyperactivity-impulsivity and inattention in questionnaires, and suggest that these constructs may be more clearly distinguished in laboratory measures such as the Go/NoGo task.","author":[{"dropping-particle":"","family":"Bezdjian","given":"Serena","non-dropping-particle":"","parse-names":false,"suffix":""},{"dropping-particle":"","family":"Baker","given":"Laura A","non-dropping-particle":"","parse-names":false,"suffix":""},{"dropping-particle":"","family":"Lozano","given":"Dora Isabel","non-dropping-particle":"","parse-names":false,"suffix":""},{"dropping-particle":"","family":"Raine","given":"Adrian","non-dropping-particle":"","parse-names":false,"suffix":""}],"container-title":"The British journal of developmental psychology","id":"ITEM-1","issue":"Pt 2","issued":{"date-parts":[["2009","6"]]},"language":"eng","page":"365-383","publisher-place":"England","title":"Assessing inattention and impulsivity in children during the Go/NoGo task.","type":"article-journal","volume":"27"},"uris":["http://www.mendeley.com/documents/?uuid=81d85a5e-0fab-449f-99ed-ddcf69df6079"]}],"mendeley":{"formattedCitation":"&lt;sup&gt;45&lt;/sup&gt;","plainTextFormattedCitation":"45","previouslyFormattedCitation":"&lt;sup&gt;45&lt;/sup&gt;"},"properties":{"noteIndex":0},"schema":"https://github.com/citation-style-language/schema/raw/master/csl-citation.json"}</w:instrText>
            </w:r>
            <w:r w:rsidRPr="00EA3DEC">
              <w:rPr>
                <w:rFonts w:eastAsia="Calibri" w:cs="Times New Roman"/>
                <w:sz w:val="14"/>
                <w:szCs w:val="14"/>
              </w:rPr>
              <w:fldChar w:fldCharType="separate"/>
            </w:r>
            <w:r w:rsidR="00E57E01" w:rsidRPr="00E57E01">
              <w:rPr>
                <w:rFonts w:eastAsia="Calibri" w:cs="Times New Roman"/>
                <w:noProof/>
                <w:sz w:val="14"/>
                <w:szCs w:val="14"/>
                <w:vertAlign w:val="superscript"/>
              </w:rPr>
              <w:t>45</w:t>
            </w:r>
            <w:r w:rsidRPr="00EA3DEC">
              <w:rPr>
                <w:rFonts w:eastAsia="Calibri" w:cs="Times New Roman"/>
                <w:sz w:val="14"/>
                <w:szCs w:val="14"/>
              </w:rPr>
              <w:fldChar w:fldCharType="end"/>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1</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0.05</w:t>
            </w:r>
          </w:p>
        </w:tc>
        <w:tc>
          <w:tcPr>
            <w:tcW w:w="709"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0.7</w:t>
            </w:r>
          </w:p>
        </w:tc>
        <w:tc>
          <w:tcPr>
            <w:tcW w:w="850"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8</w:t>
            </w:r>
          </w:p>
        </w:tc>
        <w:tc>
          <w:tcPr>
            <w:tcW w:w="992" w:type="dxa"/>
          </w:tcPr>
          <w:p w:rsidR="000238F3" w:rsidRPr="00EA3DEC" w:rsidRDefault="000238F3" w:rsidP="00A51D75">
            <w:pPr>
              <w:spacing w:line="360" w:lineRule="auto"/>
              <w:rPr>
                <w:rFonts w:eastAsia="Calibri" w:cs="Times New Roman"/>
                <w:sz w:val="14"/>
                <w:szCs w:val="14"/>
              </w:rPr>
            </w:pPr>
            <w:r w:rsidRPr="00EA3DEC">
              <w:rPr>
                <w:rFonts w:eastAsia="Calibri" w:cs="Times New Roman"/>
                <w:sz w:val="14"/>
                <w:szCs w:val="14"/>
              </w:rPr>
              <w:t>7-9</w:t>
            </w:r>
          </w:p>
        </w:tc>
      </w:tr>
    </w:tbl>
    <w:p w:rsidR="00886DF3" w:rsidRDefault="00886DF3" w:rsidP="002C1D22"/>
    <w:p w:rsidR="001537AF" w:rsidRDefault="001537AF" w:rsidP="001537AF">
      <w:pPr>
        <w:pStyle w:val="Heading3"/>
      </w:pPr>
      <w:r w:rsidRPr="001537AF">
        <w:rPr>
          <w:color w:val="auto"/>
        </w:rPr>
        <w:t>Refere</w:t>
      </w:r>
      <w:bookmarkStart w:id="0" w:name="_GoBack"/>
      <w:bookmarkEnd w:id="0"/>
      <w:r w:rsidRPr="001537AF">
        <w:rPr>
          <w:color w:val="auto"/>
        </w:rPr>
        <w:t>nces</w:t>
      </w:r>
    </w:p>
    <w:p w:rsidR="00E57E01" w:rsidRPr="00E57E01" w:rsidRDefault="00E57E01" w:rsidP="00E57E01">
      <w:pPr>
        <w:widowControl w:val="0"/>
        <w:autoSpaceDE w:val="0"/>
        <w:autoSpaceDN w:val="0"/>
        <w:adjustRightInd w:val="0"/>
        <w:spacing w:after="0"/>
        <w:ind w:left="640" w:hanging="640"/>
        <w:rPr>
          <w:rFonts w:cs="Times New Roman"/>
          <w:noProof/>
          <w:szCs w:val="24"/>
        </w:rPr>
      </w:pPr>
      <w:r>
        <w:rPr>
          <w:rFonts w:cs="Times New Roman"/>
          <w:noProof/>
          <w:szCs w:val="24"/>
        </w:rPr>
        <w:fldChar w:fldCharType="begin" w:fldLock="1"/>
      </w:r>
      <w:r>
        <w:rPr>
          <w:rFonts w:cs="Times New Roman"/>
          <w:noProof/>
          <w:szCs w:val="24"/>
        </w:rPr>
        <w:instrText xml:space="preserve">ADDIN Mendeley Bibliography CSL_BIBLIOGRAPHY </w:instrText>
      </w:r>
      <w:r>
        <w:rPr>
          <w:rFonts w:cs="Times New Roman"/>
          <w:noProof/>
          <w:szCs w:val="24"/>
        </w:rPr>
        <w:fldChar w:fldCharType="separate"/>
      </w:r>
      <w:r w:rsidRPr="00E57E01">
        <w:rPr>
          <w:rFonts w:cs="Times New Roman"/>
          <w:noProof/>
          <w:szCs w:val="24"/>
        </w:rPr>
        <w:t xml:space="preserve">1. </w:t>
      </w:r>
      <w:r w:rsidRPr="00E57E01">
        <w:rPr>
          <w:rFonts w:cs="Times New Roman"/>
          <w:noProof/>
          <w:szCs w:val="24"/>
        </w:rPr>
        <w:tab/>
        <w:t xml:space="preserve">Altman J, Sudarshan K. Postnatal development of locomotion in the laboratory rat. </w:t>
      </w:r>
      <w:r w:rsidRPr="00E57E01">
        <w:rPr>
          <w:rFonts w:cs="Times New Roman"/>
          <w:i/>
          <w:iCs/>
          <w:noProof/>
          <w:szCs w:val="24"/>
        </w:rPr>
        <w:t>Anim Behav</w:t>
      </w:r>
      <w:r w:rsidRPr="00E57E01">
        <w:rPr>
          <w:rFonts w:cs="Times New Roman"/>
          <w:noProof/>
          <w:szCs w:val="24"/>
        </w:rPr>
        <w:t>. 1975;23(4):896-920. doi:10.1016/0003-3472(75)90114-1</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2. </w:t>
      </w:r>
      <w:r w:rsidRPr="00E57E01">
        <w:rPr>
          <w:rFonts w:cs="Times New Roman"/>
          <w:noProof/>
          <w:szCs w:val="24"/>
        </w:rPr>
        <w:tab/>
        <w:t xml:space="preserve">Horiquini Barbosa E, Vallim JH, Lachat J-J, de Castro VLSS. Assessments of Motor Abnormalities on the Grid-Walking and Foot-Fault Tests From  Undernutrition in Wistar Rats. </w:t>
      </w:r>
      <w:r w:rsidRPr="00E57E01">
        <w:rPr>
          <w:rFonts w:cs="Times New Roman"/>
          <w:i/>
          <w:iCs/>
          <w:noProof/>
          <w:szCs w:val="24"/>
        </w:rPr>
        <w:t>J Mot Behav</w:t>
      </w:r>
      <w:r w:rsidRPr="00E57E01">
        <w:rPr>
          <w:rFonts w:cs="Times New Roman"/>
          <w:noProof/>
          <w:szCs w:val="24"/>
        </w:rPr>
        <w:t>. 2016;48(1):5-12. doi:10.1080/00222895.2015.1024824</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3. </w:t>
      </w:r>
      <w:r w:rsidRPr="00E57E01">
        <w:rPr>
          <w:rFonts w:cs="Times New Roman"/>
          <w:noProof/>
          <w:szCs w:val="24"/>
        </w:rPr>
        <w:tab/>
        <w:t xml:space="preserve">Hofer MA. Multiple regulators of ultrasonic vocalization in the infant rat. </w:t>
      </w:r>
      <w:r w:rsidRPr="00E57E01">
        <w:rPr>
          <w:rFonts w:cs="Times New Roman"/>
          <w:i/>
          <w:iCs/>
          <w:noProof/>
          <w:szCs w:val="24"/>
        </w:rPr>
        <w:t>Psychoneuroendocrinology</w:t>
      </w:r>
      <w:r w:rsidRPr="00E57E01">
        <w:rPr>
          <w:rFonts w:cs="Times New Roman"/>
          <w:noProof/>
          <w:szCs w:val="24"/>
        </w:rPr>
        <w:t>. 1996;21(2):203-217. doi:10.1016/0306-4530(95)00042-9</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4. </w:t>
      </w:r>
      <w:r w:rsidRPr="00E57E01">
        <w:rPr>
          <w:rFonts w:cs="Times New Roman"/>
          <w:noProof/>
          <w:szCs w:val="24"/>
        </w:rPr>
        <w:tab/>
        <w:t xml:space="preserve">Török B, Fodor A, Zsebők S, Sipos E, Zelena D. The Effect of Vasopressin Antagonists on Maternal-Separation-Induced Ultrasonic Vocalization and Stress-Hormone Level Increase during the Early Postnatal Period. </w:t>
      </w:r>
      <w:r w:rsidRPr="00E57E01">
        <w:rPr>
          <w:rFonts w:cs="Times New Roman"/>
          <w:i/>
          <w:iCs/>
          <w:noProof/>
          <w:szCs w:val="24"/>
        </w:rPr>
        <w:t>Brain Sci</w:t>
      </w:r>
      <w:r w:rsidRPr="00E57E01">
        <w:rPr>
          <w:rFonts w:cs="Times New Roman"/>
          <w:noProof/>
          <w:szCs w:val="24"/>
        </w:rPr>
        <w:t>. 2021;11(4). doi:10.3390/brainsci11040444</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5. </w:t>
      </w:r>
      <w:r w:rsidRPr="00E57E01">
        <w:rPr>
          <w:rFonts w:cs="Times New Roman"/>
          <w:noProof/>
          <w:szCs w:val="24"/>
        </w:rPr>
        <w:tab/>
        <w:t xml:space="preserve">Vanderschuren LJ, Niesink RJ, Van Ree JM. The neurobiology of social play behavior in rats. </w:t>
      </w:r>
      <w:r w:rsidRPr="00E57E01">
        <w:rPr>
          <w:rFonts w:cs="Times New Roman"/>
          <w:i/>
          <w:iCs/>
          <w:noProof/>
          <w:szCs w:val="24"/>
        </w:rPr>
        <w:t>Neurosci Biobehav Rev</w:t>
      </w:r>
      <w:r w:rsidRPr="00E57E01">
        <w:rPr>
          <w:rFonts w:cs="Times New Roman"/>
          <w:noProof/>
          <w:szCs w:val="24"/>
        </w:rPr>
        <w:t>. 1997;21(3):309-326. doi:10.1016/s0149-7634(96)00020-6</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6. </w:t>
      </w:r>
      <w:r w:rsidRPr="00E57E01">
        <w:rPr>
          <w:rFonts w:cs="Times New Roman"/>
          <w:noProof/>
          <w:szCs w:val="24"/>
        </w:rPr>
        <w:tab/>
        <w:t xml:space="preserve">Veenema AH, Neumann ID. Maternal separation enhances offensive play-fighting, basal corticosterone and  hypothalamic vasopressin mRNA expression in juvenile male rats. </w:t>
      </w:r>
      <w:r w:rsidRPr="00E57E01">
        <w:rPr>
          <w:rFonts w:cs="Times New Roman"/>
          <w:i/>
          <w:iCs/>
          <w:noProof/>
          <w:szCs w:val="24"/>
        </w:rPr>
        <w:t>Psychoneuroendocrinology</w:t>
      </w:r>
      <w:r w:rsidRPr="00E57E01">
        <w:rPr>
          <w:rFonts w:cs="Times New Roman"/>
          <w:noProof/>
          <w:szCs w:val="24"/>
        </w:rPr>
        <w:t>. 2009;34(3):463-467. doi:10.1016/j.psyneuen.2008.10.017</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7. </w:t>
      </w:r>
      <w:r w:rsidRPr="00E57E01">
        <w:rPr>
          <w:rFonts w:cs="Times New Roman"/>
          <w:noProof/>
          <w:szCs w:val="24"/>
        </w:rPr>
        <w:tab/>
        <w:t xml:space="preserve">Vorhees C V, Williams MT. Assessing spatial learning and memory in rodents. </w:t>
      </w:r>
      <w:r w:rsidRPr="00E57E01">
        <w:rPr>
          <w:rFonts w:cs="Times New Roman"/>
          <w:i/>
          <w:iCs/>
          <w:noProof/>
          <w:szCs w:val="24"/>
        </w:rPr>
        <w:t>ILAR J</w:t>
      </w:r>
      <w:r w:rsidRPr="00E57E01">
        <w:rPr>
          <w:rFonts w:cs="Times New Roman"/>
          <w:noProof/>
          <w:szCs w:val="24"/>
        </w:rPr>
        <w:t>. 2014;55(2):310-332. doi:10.1093/ilar/ilu013</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8. </w:t>
      </w:r>
      <w:r w:rsidRPr="00E57E01">
        <w:rPr>
          <w:rFonts w:cs="Times New Roman"/>
          <w:noProof/>
          <w:szCs w:val="24"/>
        </w:rPr>
        <w:tab/>
        <w:t xml:space="preserve">Kraeuter A-K, Guest PC, Sarnyai Z. The Y-Maze for Assessment of Spatial Working and Reference Memory in Mice. </w:t>
      </w:r>
      <w:r w:rsidRPr="00E57E01">
        <w:rPr>
          <w:rFonts w:cs="Times New Roman"/>
          <w:i/>
          <w:iCs/>
          <w:noProof/>
          <w:szCs w:val="24"/>
        </w:rPr>
        <w:t>Methods Mol Biol</w:t>
      </w:r>
      <w:r w:rsidRPr="00E57E01">
        <w:rPr>
          <w:rFonts w:cs="Times New Roman"/>
          <w:noProof/>
          <w:szCs w:val="24"/>
        </w:rPr>
        <w:t>. 2019;1916:105-111. doi:10.1007/978-1-4939-8994-2_10</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9. </w:t>
      </w:r>
      <w:r w:rsidRPr="00E57E01">
        <w:rPr>
          <w:rFonts w:cs="Times New Roman"/>
          <w:noProof/>
          <w:szCs w:val="24"/>
        </w:rPr>
        <w:tab/>
        <w:t xml:space="preserve">Shiotsuki H, Yoshimi K, Shimo Y, et al. A rotarod test for evaluation of motor skill learning. </w:t>
      </w:r>
      <w:r w:rsidRPr="00E57E01">
        <w:rPr>
          <w:rFonts w:cs="Times New Roman"/>
          <w:i/>
          <w:iCs/>
          <w:noProof/>
          <w:szCs w:val="24"/>
        </w:rPr>
        <w:t>J Neurosci Methods</w:t>
      </w:r>
      <w:r w:rsidRPr="00E57E01">
        <w:rPr>
          <w:rFonts w:cs="Times New Roman"/>
          <w:noProof/>
          <w:szCs w:val="24"/>
        </w:rPr>
        <w:t>. 2010;189(2):180-185. doi:10.1016/j.jneumeth.2010.03.026</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10. </w:t>
      </w:r>
      <w:r w:rsidRPr="00E57E01">
        <w:rPr>
          <w:rFonts w:cs="Times New Roman"/>
          <w:noProof/>
          <w:szCs w:val="24"/>
        </w:rPr>
        <w:tab/>
        <w:t xml:space="preserve">Haller J, Nagy R, Toth M, Pelczer KG, Mikics E. NR2B subunit-specific NMDA antagonist Ro25-6981 inhibits the expression of  conditioned fear: a comparison with the NMDA antagonist MK-801 and fluoxetine. </w:t>
      </w:r>
      <w:r w:rsidRPr="00E57E01">
        <w:rPr>
          <w:rFonts w:cs="Times New Roman"/>
          <w:i/>
          <w:iCs/>
          <w:noProof/>
          <w:szCs w:val="24"/>
        </w:rPr>
        <w:t>Behav Pharmacol</w:t>
      </w:r>
      <w:r w:rsidRPr="00E57E01">
        <w:rPr>
          <w:rFonts w:cs="Times New Roman"/>
          <w:noProof/>
          <w:szCs w:val="24"/>
        </w:rPr>
        <w:t>. 2011;22(2):113-121. doi:10.1097/FBP.0b013e328343d7b2</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11. </w:t>
      </w:r>
      <w:r w:rsidRPr="00E57E01">
        <w:rPr>
          <w:rFonts w:cs="Times New Roman"/>
          <w:noProof/>
          <w:szCs w:val="24"/>
        </w:rPr>
        <w:tab/>
        <w:t xml:space="preserve">Pellow S, Chopin P, File SE, Briley M. Validation of open:closed arm entries in an elevated plus-maze as a measure of  anxiety in the rat. </w:t>
      </w:r>
      <w:r w:rsidRPr="00E57E01">
        <w:rPr>
          <w:rFonts w:cs="Times New Roman"/>
          <w:i/>
          <w:iCs/>
          <w:noProof/>
          <w:szCs w:val="24"/>
        </w:rPr>
        <w:t>J Neurosci Methods</w:t>
      </w:r>
      <w:r w:rsidRPr="00E57E01">
        <w:rPr>
          <w:rFonts w:cs="Times New Roman"/>
          <w:noProof/>
          <w:szCs w:val="24"/>
        </w:rPr>
        <w:t>. 1985;14(3):149-167. doi:10.1016/0165-0270(85)90031-7</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12. </w:t>
      </w:r>
      <w:r w:rsidRPr="00E57E01">
        <w:rPr>
          <w:rFonts w:cs="Times New Roman"/>
          <w:noProof/>
          <w:szCs w:val="24"/>
        </w:rPr>
        <w:tab/>
        <w:t xml:space="preserve">Adriani W, Seta D Della, Dessì-Fulgheri F, Farabollini F, Laviola G. Altered profiles of spontaneous novelty seeking, impulsive behavior, and response to D-amphetamine in rats perinatally exposed to bisphenol A. </w:t>
      </w:r>
      <w:r w:rsidRPr="00E57E01">
        <w:rPr>
          <w:rFonts w:cs="Times New Roman"/>
          <w:i/>
          <w:iCs/>
          <w:noProof/>
          <w:szCs w:val="24"/>
        </w:rPr>
        <w:t>Environ Health Perspect</w:t>
      </w:r>
      <w:r w:rsidRPr="00E57E01">
        <w:rPr>
          <w:rFonts w:cs="Times New Roman"/>
          <w:noProof/>
          <w:szCs w:val="24"/>
        </w:rPr>
        <w:t>. 2003;111(4). doi:10.1289/ehp.5856</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13. </w:t>
      </w:r>
      <w:r w:rsidRPr="00E57E01">
        <w:rPr>
          <w:rFonts w:cs="Times New Roman"/>
          <w:noProof/>
          <w:szCs w:val="24"/>
        </w:rPr>
        <w:tab/>
        <w:t xml:space="preserve">Morris R. Developments of a water-maze procedure for studying spatial learning in the rat. </w:t>
      </w:r>
      <w:r w:rsidRPr="00E57E01">
        <w:rPr>
          <w:rFonts w:cs="Times New Roman"/>
          <w:i/>
          <w:iCs/>
          <w:noProof/>
          <w:szCs w:val="24"/>
        </w:rPr>
        <w:t>J Neurosci Methods</w:t>
      </w:r>
      <w:r w:rsidRPr="00E57E01">
        <w:rPr>
          <w:rFonts w:cs="Times New Roman"/>
          <w:noProof/>
          <w:szCs w:val="24"/>
        </w:rPr>
        <w:t>. 1984;11(1):47-60. doi:10.1016/0165-0270(84)90007-4</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14. </w:t>
      </w:r>
      <w:r w:rsidRPr="00E57E01">
        <w:rPr>
          <w:rFonts w:cs="Times New Roman"/>
          <w:noProof/>
          <w:szCs w:val="24"/>
        </w:rPr>
        <w:tab/>
        <w:t xml:space="preserve">Bari A, Dalley JW, Robbins TW. The application of the 5-choice serial reaction time task for the assessment of visual attentional processes and impulse control in rats. </w:t>
      </w:r>
      <w:r w:rsidRPr="00E57E01">
        <w:rPr>
          <w:rFonts w:cs="Times New Roman"/>
          <w:i/>
          <w:iCs/>
          <w:noProof/>
          <w:szCs w:val="24"/>
        </w:rPr>
        <w:t>Nat Protoc</w:t>
      </w:r>
      <w:r w:rsidRPr="00E57E01">
        <w:rPr>
          <w:rFonts w:cs="Times New Roman"/>
          <w:noProof/>
          <w:szCs w:val="24"/>
        </w:rPr>
        <w:t>. 2008;3(5):759-767. doi:10.1038/nprot.2008.41</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15. </w:t>
      </w:r>
      <w:r w:rsidRPr="00E57E01">
        <w:rPr>
          <w:rFonts w:cs="Times New Roman"/>
          <w:noProof/>
          <w:szCs w:val="24"/>
        </w:rPr>
        <w:tab/>
        <w:t xml:space="preserve">Winstanley CA, Eagle DM, Robbins TW. Behavioral models of impulsivity in relation to ADHD: translation between  clinical and preclinical studies. </w:t>
      </w:r>
      <w:r w:rsidRPr="00E57E01">
        <w:rPr>
          <w:rFonts w:cs="Times New Roman"/>
          <w:i/>
          <w:iCs/>
          <w:noProof/>
          <w:szCs w:val="24"/>
        </w:rPr>
        <w:t>Clin Psychol Rev</w:t>
      </w:r>
      <w:r w:rsidRPr="00E57E01">
        <w:rPr>
          <w:rFonts w:cs="Times New Roman"/>
          <w:noProof/>
          <w:szCs w:val="24"/>
        </w:rPr>
        <w:t>. 2006;26(4):379-395. doi:10.1016/j.cpr.2006.01.001</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16. </w:t>
      </w:r>
      <w:r w:rsidRPr="00E57E01">
        <w:rPr>
          <w:rFonts w:cs="Times New Roman"/>
          <w:noProof/>
          <w:szCs w:val="24"/>
        </w:rPr>
        <w:tab/>
        <w:t xml:space="preserve">File SE, Hyde JR. Can social interaction be used to measure anxiety? </w:t>
      </w:r>
      <w:r w:rsidRPr="00E57E01">
        <w:rPr>
          <w:rFonts w:cs="Times New Roman"/>
          <w:i/>
          <w:iCs/>
          <w:noProof/>
          <w:szCs w:val="24"/>
        </w:rPr>
        <w:t>Br J Pharmacol</w:t>
      </w:r>
      <w:r w:rsidRPr="00E57E01">
        <w:rPr>
          <w:rFonts w:cs="Times New Roman"/>
          <w:noProof/>
          <w:szCs w:val="24"/>
        </w:rPr>
        <w:t>. 1978;62(1):19-24. doi:10.1111/j.1476-5381.1978.tb07001.x</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17. </w:t>
      </w:r>
      <w:r w:rsidRPr="00E57E01">
        <w:rPr>
          <w:rFonts w:cs="Times New Roman"/>
          <w:noProof/>
          <w:szCs w:val="24"/>
        </w:rPr>
        <w:tab/>
        <w:t xml:space="preserve">Deiana S, Watanabe A, Yamasaki Y, et al. MK-801-induced deficits in social recognition in rats: Reversal by aripiprazole, but not olanzapine, risperidone, or cannabidiol. </w:t>
      </w:r>
      <w:r w:rsidRPr="00E57E01">
        <w:rPr>
          <w:rFonts w:cs="Times New Roman"/>
          <w:i/>
          <w:iCs/>
          <w:noProof/>
          <w:szCs w:val="24"/>
        </w:rPr>
        <w:t>Behav Pharmacol</w:t>
      </w:r>
      <w:r w:rsidRPr="00E57E01">
        <w:rPr>
          <w:rFonts w:cs="Times New Roman"/>
          <w:noProof/>
          <w:szCs w:val="24"/>
        </w:rPr>
        <w:t>. 2015;26(8):748-765. doi:10.1097/FBP.0000000000000178</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18. </w:t>
      </w:r>
      <w:r w:rsidRPr="00E57E01">
        <w:rPr>
          <w:rFonts w:cs="Times New Roman"/>
          <w:noProof/>
          <w:szCs w:val="24"/>
        </w:rPr>
        <w:tab/>
        <w:t xml:space="preserve">Koolhaas JM, Coppens CM, de Boer SF, Buwalda B, Meerlo P, Timmermans PJA. The resident-intruder paradigm: a standardized test for aggression, violence and  social stress. </w:t>
      </w:r>
      <w:r w:rsidRPr="00E57E01">
        <w:rPr>
          <w:rFonts w:cs="Times New Roman"/>
          <w:i/>
          <w:iCs/>
          <w:noProof/>
          <w:szCs w:val="24"/>
        </w:rPr>
        <w:t>J Vis Exp</w:t>
      </w:r>
      <w:r w:rsidRPr="00E57E01">
        <w:rPr>
          <w:rFonts w:cs="Times New Roman"/>
          <w:noProof/>
          <w:szCs w:val="24"/>
        </w:rPr>
        <w:t>. 2013;(77):e4367. doi:10.3791/4367</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19. </w:t>
      </w:r>
      <w:r w:rsidRPr="00E57E01">
        <w:rPr>
          <w:rFonts w:cs="Times New Roman"/>
          <w:noProof/>
          <w:szCs w:val="24"/>
        </w:rPr>
        <w:tab/>
        <w:t xml:space="preserve">Szente L, Balla GY, Varga ZK, et al. Endocannabinoid and neuroplasticity-related changes as susceptibility factors in  a rat model of posttraumatic stress disorder. </w:t>
      </w:r>
      <w:r w:rsidRPr="00E57E01">
        <w:rPr>
          <w:rFonts w:cs="Times New Roman"/>
          <w:i/>
          <w:iCs/>
          <w:noProof/>
          <w:szCs w:val="24"/>
        </w:rPr>
        <w:t>Neurobiol Stress</w:t>
      </w:r>
      <w:r w:rsidRPr="00E57E01">
        <w:rPr>
          <w:rFonts w:cs="Times New Roman"/>
          <w:noProof/>
          <w:szCs w:val="24"/>
        </w:rPr>
        <w:t>. 2024;32:100662. doi:10.1016/j.ynstr.2024.100662</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20. </w:t>
      </w:r>
      <w:r w:rsidRPr="00E57E01">
        <w:rPr>
          <w:rFonts w:cs="Times New Roman"/>
          <w:noProof/>
          <w:szCs w:val="24"/>
        </w:rPr>
        <w:tab/>
        <w:t xml:space="preserve">Berg S, Kutra D, Kroeger T, et al. ilastik: interactive machine learning for (bio)image analysis. </w:t>
      </w:r>
      <w:r w:rsidRPr="00E57E01">
        <w:rPr>
          <w:rFonts w:cs="Times New Roman"/>
          <w:i/>
          <w:iCs/>
          <w:noProof/>
          <w:szCs w:val="24"/>
        </w:rPr>
        <w:t>Nat Methods</w:t>
      </w:r>
      <w:r w:rsidRPr="00E57E01">
        <w:rPr>
          <w:rFonts w:cs="Times New Roman"/>
          <w:noProof/>
          <w:szCs w:val="24"/>
        </w:rPr>
        <w:t>. 2019;16(12):1226-1232. doi:10.1038/s41592-019-0582-9</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21. </w:t>
      </w:r>
      <w:r w:rsidRPr="00E57E01">
        <w:rPr>
          <w:rFonts w:cs="Times New Roman"/>
          <w:noProof/>
          <w:szCs w:val="24"/>
        </w:rPr>
        <w:tab/>
        <w:t xml:space="preserve">Schneider CA, Rasband WS, Eliceiri KW. NIH Image to ImageJ: 25 years of image analysis. </w:t>
      </w:r>
      <w:r w:rsidRPr="00E57E01">
        <w:rPr>
          <w:rFonts w:cs="Times New Roman"/>
          <w:i/>
          <w:iCs/>
          <w:noProof/>
          <w:szCs w:val="24"/>
        </w:rPr>
        <w:t>Nat Methods</w:t>
      </w:r>
      <w:r w:rsidRPr="00E57E01">
        <w:rPr>
          <w:rFonts w:cs="Times New Roman"/>
          <w:noProof/>
          <w:szCs w:val="24"/>
        </w:rPr>
        <w:t>. 2012;9(7):671-675. doi:10.1038/nmeth.2089</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22. </w:t>
      </w:r>
      <w:r w:rsidRPr="00E57E01">
        <w:rPr>
          <w:rFonts w:cs="Times New Roman"/>
          <w:noProof/>
          <w:szCs w:val="24"/>
        </w:rPr>
        <w:tab/>
        <w:t xml:space="preserve">Clarke D, Crombag HS, Hall CN. An open-source pipeline for analysing changes in microglial morphology. </w:t>
      </w:r>
      <w:r w:rsidRPr="00E57E01">
        <w:rPr>
          <w:rFonts w:cs="Times New Roman"/>
          <w:i/>
          <w:iCs/>
          <w:noProof/>
          <w:szCs w:val="24"/>
        </w:rPr>
        <w:t>Open Biol</w:t>
      </w:r>
      <w:r w:rsidRPr="00E57E01">
        <w:rPr>
          <w:rFonts w:cs="Times New Roman"/>
          <w:noProof/>
          <w:szCs w:val="24"/>
        </w:rPr>
        <w:t>. 2021;11(8):210045. doi:10.1098/rsob.210045</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23. </w:t>
      </w:r>
      <w:r w:rsidRPr="00E57E01">
        <w:rPr>
          <w:rFonts w:cs="Times New Roman"/>
          <w:noProof/>
          <w:szCs w:val="24"/>
        </w:rPr>
        <w:tab/>
        <w:t xml:space="preserve">Zelena D, Mergl Z, Foldes A, Kovács KJ, Tóth Z, Makara GB. Role of hypothalamic inputs in maintaining pituitary-adrenal responsiveness in  repeated restraint. </w:t>
      </w:r>
      <w:r w:rsidRPr="00E57E01">
        <w:rPr>
          <w:rFonts w:cs="Times New Roman"/>
          <w:i/>
          <w:iCs/>
          <w:noProof/>
          <w:szCs w:val="24"/>
        </w:rPr>
        <w:t>Am J Physiol Endocrinol Metab</w:t>
      </w:r>
      <w:r w:rsidRPr="00E57E01">
        <w:rPr>
          <w:rFonts w:cs="Times New Roman"/>
          <w:noProof/>
          <w:szCs w:val="24"/>
        </w:rPr>
        <w:t>. 2003;285(5):E1110-7. doi:10.1152/ajpendo.00219.2003</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24. </w:t>
      </w:r>
      <w:r w:rsidRPr="00E57E01">
        <w:rPr>
          <w:rFonts w:cs="Times New Roman"/>
          <w:noProof/>
          <w:szCs w:val="24"/>
        </w:rPr>
        <w:tab/>
        <w:t xml:space="preserve">Toth M, Mikics E, Tulogdi A, Aliczki M, Haller J. Post-weaning social isolation induces abnormal forms of aggression in conjunction  with increased glucocorticoid and autonomic stress responses. </w:t>
      </w:r>
      <w:r w:rsidRPr="00E57E01">
        <w:rPr>
          <w:rFonts w:cs="Times New Roman"/>
          <w:i/>
          <w:iCs/>
          <w:noProof/>
          <w:szCs w:val="24"/>
        </w:rPr>
        <w:t>Horm Behav</w:t>
      </w:r>
      <w:r w:rsidRPr="00E57E01">
        <w:rPr>
          <w:rFonts w:cs="Times New Roman"/>
          <w:noProof/>
          <w:szCs w:val="24"/>
        </w:rPr>
        <w:t>. 2011;60(1):28-36. doi:10.1016/j.yhbeh.2011.02.003</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25. </w:t>
      </w:r>
      <w:r w:rsidRPr="00E57E01">
        <w:rPr>
          <w:rFonts w:cs="Times New Roman"/>
          <w:noProof/>
          <w:szCs w:val="24"/>
        </w:rPr>
        <w:tab/>
        <w:t xml:space="preserve">Bhavesh R, Lechuga-Vieco A V, Ruiz-Cabello J, Herranz F. T₁-MRI Fluorescent Iron Oxide Nanoparticles by Microwave Assisted Synthesis. </w:t>
      </w:r>
      <w:r w:rsidRPr="00E57E01">
        <w:rPr>
          <w:rFonts w:cs="Times New Roman"/>
          <w:i/>
          <w:iCs/>
          <w:noProof/>
          <w:szCs w:val="24"/>
        </w:rPr>
        <w:t>Nanomater (Basel, Switzerland)</w:t>
      </w:r>
      <w:r w:rsidRPr="00E57E01">
        <w:rPr>
          <w:rFonts w:cs="Times New Roman"/>
          <w:noProof/>
          <w:szCs w:val="24"/>
        </w:rPr>
        <w:t>. 2015;5(4):1880-1890. doi:10.3390/nano5041880</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26. </w:t>
      </w:r>
      <w:r w:rsidRPr="00E57E01">
        <w:rPr>
          <w:rFonts w:cs="Times New Roman"/>
          <w:noProof/>
          <w:szCs w:val="24"/>
        </w:rPr>
        <w:tab/>
        <w:t xml:space="preserve">Schwarz AJ, Danckaert A, Reese T, et al. A stereotaxic MRI template set for the rat brain with tissue class distribution  maps and co-registered anatomical atlas: application to pharmacological MRI. </w:t>
      </w:r>
      <w:r w:rsidRPr="00E57E01">
        <w:rPr>
          <w:rFonts w:cs="Times New Roman"/>
          <w:i/>
          <w:iCs/>
          <w:noProof/>
          <w:szCs w:val="24"/>
        </w:rPr>
        <w:t>Neuroimage</w:t>
      </w:r>
      <w:r w:rsidRPr="00E57E01">
        <w:rPr>
          <w:rFonts w:cs="Times New Roman"/>
          <w:noProof/>
          <w:szCs w:val="24"/>
        </w:rPr>
        <w:t>. 2006;32(2):538-550. doi:10.1016/j.neuroimage.2006.04.214</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27. </w:t>
      </w:r>
      <w:r w:rsidRPr="00E57E01">
        <w:rPr>
          <w:rFonts w:cs="Times New Roman"/>
          <w:noProof/>
          <w:szCs w:val="24"/>
        </w:rPr>
        <w:tab/>
        <w:t xml:space="preserve">Patro R, Duggal G, Love MI, Irizarry RA, Kingsford C. Salmon provides fast and bias-aware quantification of transcript expression. </w:t>
      </w:r>
      <w:r w:rsidRPr="00E57E01">
        <w:rPr>
          <w:rFonts w:cs="Times New Roman"/>
          <w:i/>
          <w:iCs/>
          <w:noProof/>
          <w:szCs w:val="24"/>
        </w:rPr>
        <w:t>Nat Methods</w:t>
      </w:r>
      <w:r w:rsidRPr="00E57E01">
        <w:rPr>
          <w:rFonts w:cs="Times New Roman"/>
          <w:noProof/>
          <w:szCs w:val="24"/>
        </w:rPr>
        <w:t>. 2017;14(4):417-419. doi:10.1038/nmeth.4197</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28. </w:t>
      </w:r>
      <w:r w:rsidRPr="00E57E01">
        <w:rPr>
          <w:rFonts w:cs="Times New Roman"/>
          <w:noProof/>
          <w:szCs w:val="24"/>
        </w:rPr>
        <w:tab/>
        <w:t xml:space="preserve">Soneson C, Love MI, Robinson MD. Differential analyses for RNA-seq: Transcript-level estimates improve gene-level inferences. </w:t>
      </w:r>
      <w:r w:rsidRPr="00E57E01">
        <w:rPr>
          <w:rFonts w:cs="Times New Roman"/>
          <w:i/>
          <w:iCs/>
          <w:noProof/>
          <w:szCs w:val="24"/>
        </w:rPr>
        <w:t>F1000Research</w:t>
      </w:r>
      <w:r w:rsidRPr="00E57E01">
        <w:rPr>
          <w:rFonts w:cs="Times New Roman"/>
          <w:noProof/>
          <w:szCs w:val="24"/>
        </w:rPr>
        <w:t>. 2016;4:1-19. doi:10.12688/F1000RESEARCH.7563.2</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29. </w:t>
      </w:r>
      <w:r w:rsidRPr="00E57E01">
        <w:rPr>
          <w:rFonts w:cs="Times New Roman"/>
          <w:noProof/>
          <w:szCs w:val="24"/>
        </w:rPr>
        <w:tab/>
        <w:t xml:space="preserve">Love MI, Huber W, Anders S. Moderated estimation of fold change and dispersion for RNA-seq data with DESeq2. </w:t>
      </w:r>
      <w:r w:rsidRPr="00E57E01">
        <w:rPr>
          <w:rFonts w:cs="Times New Roman"/>
          <w:i/>
          <w:iCs/>
          <w:noProof/>
          <w:szCs w:val="24"/>
        </w:rPr>
        <w:t>Genome Biol</w:t>
      </w:r>
      <w:r w:rsidRPr="00E57E01">
        <w:rPr>
          <w:rFonts w:cs="Times New Roman"/>
          <w:noProof/>
          <w:szCs w:val="24"/>
        </w:rPr>
        <w:t>. 2014;15(12):550. doi:10.1186/s13059-014-0550-8</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30. </w:t>
      </w:r>
      <w:r w:rsidRPr="00E57E01">
        <w:rPr>
          <w:rFonts w:cs="Times New Roman"/>
          <w:noProof/>
          <w:szCs w:val="24"/>
        </w:rPr>
        <w:tab/>
        <w:t>Blighe K, Rana S, Lewis M. EnhancedVolcano: Publication-ready volcano plots with enhanced colouring and labeling.le.</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31. </w:t>
      </w:r>
      <w:r w:rsidRPr="00E57E01">
        <w:rPr>
          <w:rFonts w:cs="Times New Roman"/>
          <w:noProof/>
          <w:szCs w:val="24"/>
        </w:rPr>
        <w:tab/>
        <w:t xml:space="preserve">Korotkevich G, Sukhov V, Budin N, Shpak B, Artyomov MN, Sergushichev A. Fast gene set enrichment analysis. </w:t>
      </w:r>
      <w:r w:rsidRPr="00E57E01">
        <w:rPr>
          <w:rFonts w:cs="Times New Roman"/>
          <w:i/>
          <w:iCs/>
          <w:noProof/>
          <w:szCs w:val="24"/>
        </w:rPr>
        <w:t>bioRxiv</w:t>
      </w:r>
      <w:r w:rsidRPr="00E57E01">
        <w:rPr>
          <w:rFonts w:cs="Times New Roman"/>
          <w:noProof/>
          <w:szCs w:val="24"/>
        </w:rPr>
        <w:t>. Published online January 1, 2021:60012. doi:10.1101/060012</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32. </w:t>
      </w:r>
      <w:r w:rsidRPr="00E57E01">
        <w:rPr>
          <w:rFonts w:cs="Times New Roman"/>
          <w:noProof/>
          <w:szCs w:val="24"/>
        </w:rPr>
        <w:tab/>
        <w:t xml:space="preserve">Wu T, Hu E, Xu S, et al. clusterProfiler 4.0: A universal enrichment tool for interpreting omics data. </w:t>
      </w:r>
      <w:r w:rsidRPr="00E57E01">
        <w:rPr>
          <w:rFonts w:cs="Times New Roman"/>
          <w:i/>
          <w:iCs/>
          <w:noProof/>
          <w:szCs w:val="24"/>
        </w:rPr>
        <w:t>Innov (Cambridge</w:t>
      </w:r>
      <w:r w:rsidRPr="00E57E01">
        <w:rPr>
          <w:rFonts w:cs="Times New Roman"/>
          <w:noProof/>
          <w:szCs w:val="24"/>
        </w:rPr>
        <w:t>. 2021;2(3):100141. doi:10.1016/j.xinn.2021.100141</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33. </w:t>
      </w:r>
      <w:r w:rsidRPr="00E57E01">
        <w:rPr>
          <w:rFonts w:cs="Times New Roman"/>
          <w:noProof/>
          <w:szCs w:val="24"/>
        </w:rPr>
        <w:tab/>
        <w:t xml:space="preserve">Varga ZK, Pejtsik D, Tóth M, et al. Improving anxiety research: novel approach to reveal trait anxiety through summary measures of multiple states. </w:t>
      </w:r>
      <w:r w:rsidRPr="00E57E01">
        <w:rPr>
          <w:rFonts w:cs="Times New Roman"/>
          <w:i/>
          <w:iCs/>
          <w:noProof/>
          <w:szCs w:val="24"/>
        </w:rPr>
        <w:t>bioRxiv</w:t>
      </w:r>
      <w:r w:rsidRPr="00E57E01">
        <w:rPr>
          <w:rFonts w:cs="Times New Roman"/>
          <w:noProof/>
          <w:szCs w:val="24"/>
        </w:rPr>
        <w:t>. Published online January 1, 2024:2023.06.01.543235. doi:10.1101/2023.06.01.543235</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34. </w:t>
      </w:r>
      <w:r w:rsidRPr="00E57E01">
        <w:rPr>
          <w:rFonts w:cs="Times New Roman"/>
          <w:noProof/>
          <w:szCs w:val="24"/>
        </w:rPr>
        <w:tab/>
        <w:t xml:space="preserve">Wilson CA, Koenig JI. Social interaction and social withdrawal in rodents as readouts for investigating  the negative symptoms of schizophrenia. </w:t>
      </w:r>
      <w:r w:rsidRPr="00E57E01">
        <w:rPr>
          <w:rFonts w:cs="Times New Roman"/>
          <w:i/>
          <w:iCs/>
          <w:noProof/>
          <w:szCs w:val="24"/>
        </w:rPr>
        <w:t>Eur Neuropsychopharmacol  J Eur Coll  Neuropsychopharmacol</w:t>
      </w:r>
      <w:r w:rsidRPr="00E57E01">
        <w:rPr>
          <w:rFonts w:cs="Times New Roman"/>
          <w:noProof/>
          <w:szCs w:val="24"/>
        </w:rPr>
        <w:t>. 2014;24(5):759-773. doi:10.1016/j.euroneuro.2013.11.008</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35. </w:t>
      </w:r>
      <w:r w:rsidRPr="00E57E01">
        <w:rPr>
          <w:rFonts w:cs="Times New Roman"/>
          <w:noProof/>
          <w:szCs w:val="24"/>
        </w:rPr>
        <w:tab/>
        <w:t xml:space="preserve">Motz BA, Alberts JR. The validity and utility of geotaxis in young rodents. </w:t>
      </w:r>
      <w:r w:rsidRPr="00E57E01">
        <w:rPr>
          <w:rFonts w:cs="Times New Roman"/>
          <w:i/>
          <w:iCs/>
          <w:noProof/>
          <w:szCs w:val="24"/>
        </w:rPr>
        <w:t>Neurotoxicol Teratol</w:t>
      </w:r>
      <w:r w:rsidRPr="00E57E01">
        <w:rPr>
          <w:rFonts w:cs="Times New Roman"/>
          <w:noProof/>
          <w:szCs w:val="24"/>
        </w:rPr>
        <w:t>. 2005;27(4):529-533. doi:10.1016/j.ntt.2005.06.005</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36. </w:t>
      </w:r>
      <w:r w:rsidRPr="00E57E01">
        <w:rPr>
          <w:rFonts w:cs="Times New Roman"/>
          <w:noProof/>
          <w:szCs w:val="24"/>
        </w:rPr>
        <w:tab/>
        <w:t xml:space="preserve">Kaidbey JH, Ranger M, Myers MM, et al. Early Life Maternal Separation and Maternal Behaviour Modulate Acoustic  Characteristics of Rat Pup Ultrasonic Vocalizations. </w:t>
      </w:r>
      <w:r w:rsidRPr="00E57E01">
        <w:rPr>
          <w:rFonts w:cs="Times New Roman"/>
          <w:i/>
          <w:iCs/>
          <w:noProof/>
          <w:szCs w:val="24"/>
        </w:rPr>
        <w:t>Sci Rep</w:t>
      </w:r>
      <w:r w:rsidRPr="00E57E01">
        <w:rPr>
          <w:rFonts w:cs="Times New Roman"/>
          <w:noProof/>
          <w:szCs w:val="24"/>
        </w:rPr>
        <w:t>. 2019;9(1):19012. doi:10.1038/s41598-019-54800-z</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37. </w:t>
      </w:r>
      <w:r w:rsidRPr="00E57E01">
        <w:rPr>
          <w:rFonts w:cs="Times New Roman"/>
          <w:noProof/>
          <w:szCs w:val="24"/>
        </w:rPr>
        <w:tab/>
        <w:t xml:space="preserve">Biro L, Miskolczi C, Szebik H, et al. Post-weaning social isolation in male mice leads to abnormal aggression and  disrupted network organization in the prefrontal cortex: Contribution of parvalbumin interneurons with or without perineuronal nets. </w:t>
      </w:r>
      <w:r w:rsidRPr="00E57E01">
        <w:rPr>
          <w:rFonts w:cs="Times New Roman"/>
          <w:i/>
          <w:iCs/>
          <w:noProof/>
          <w:szCs w:val="24"/>
        </w:rPr>
        <w:t>Neurobiol Stress</w:t>
      </w:r>
      <w:r w:rsidRPr="00E57E01">
        <w:rPr>
          <w:rFonts w:cs="Times New Roman"/>
          <w:noProof/>
          <w:szCs w:val="24"/>
        </w:rPr>
        <w:t>. 2023;25:100546. doi:10.1016/j.ynstr.2023.100546</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38. </w:t>
      </w:r>
      <w:r w:rsidRPr="00E57E01">
        <w:rPr>
          <w:rFonts w:cs="Times New Roman"/>
          <w:noProof/>
          <w:szCs w:val="24"/>
        </w:rPr>
        <w:tab/>
        <w:t xml:space="preserve">Papilloud A, Guillot de Suduiraut I, Zanoletti O, Grosse J, Sandi C. Peripubertal stress increases play fighting at adolescence and modulates nucleus  accumbens CB1 receptor expression and mitochondrial function in the amygdala. </w:t>
      </w:r>
      <w:r w:rsidRPr="00E57E01">
        <w:rPr>
          <w:rFonts w:cs="Times New Roman"/>
          <w:i/>
          <w:iCs/>
          <w:noProof/>
          <w:szCs w:val="24"/>
        </w:rPr>
        <w:t>Transl Psychiatry</w:t>
      </w:r>
      <w:r w:rsidRPr="00E57E01">
        <w:rPr>
          <w:rFonts w:cs="Times New Roman"/>
          <w:noProof/>
          <w:szCs w:val="24"/>
        </w:rPr>
        <w:t>. 2018;8(1):156. doi:10.1038/s41398-018-0215-6</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39. </w:t>
      </w:r>
      <w:r w:rsidRPr="00E57E01">
        <w:rPr>
          <w:rFonts w:cs="Times New Roman"/>
          <w:noProof/>
          <w:szCs w:val="24"/>
        </w:rPr>
        <w:tab/>
        <w:t xml:space="preserve">Choi M, Jang H-S, Son T, et al. Effect Sizes of Cognitive and Locomotive Behavior Tests in the 5XFAD-J Mouse  Model of Alzheimer’s Disease. </w:t>
      </w:r>
      <w:r w:rsidRPr="00E57E01">
        <w:rPr>
          <w:rFonts w:cs="Times New Roman"/>
          <w:i/>
          <w:iCs/>
          <w:noProof/>
          <w:szCs w:val="24"/>
        </w:rPr>
        <w:t>Int J Mol Sci</w:t>
      </w:r>
      <w:r w:rsidRPr="00E57E01">
        <w:rPr>
          <w:rFonts w:cs="Times New Roman"/>
          <w:noProof/>
          <w:szCs w:val="24"/>
        </w:rPr>
        <w:t>. 2023;24(20). doi:10.3390/ijms242015064</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40. </w:t>
      </w:r>
      <w:r w:rsidRPr="00E57E01">
        <w:rPr>
          <w:rFonts w:cs="Times New Roman"/>
          <w:noProof/>
          <w:szCs w:val="24"/>
        </w:rPr>
        <w:tab/>
        <w:t xml:space="preserve">Tucker LB, Fu AH, McCabe JT. Performance of Male and Female C57BL/6J Mice on Motor and Cognitive Tasks  Commonly Used in Pre-Clinical Traumatic Brain Injury Research. </w:t>
      </w:r>
      <w:r w:rsidRPr="00E57E01">
        <w:rPr>
          <w:rFonts w:cs="Times New Roman"/>
          <w:i/>
          <w:iCs/>
          <w:noProof/>
          <w:szCs w:val="24"/>
        </w:rPr>
        <w:t>J Neurotrauma</w:t>
      </w:r>
      <w:r w:rsidRPr="00E57E01">
        <w:rPr>
          <w:rFonts w:cs="Times New Roman"/>
          <w:noProof/>
          <w:szCs w:val="24"/>
        </w:rPr>
        <w:t>. 2016;33(9):880-894. doi:10.1089/neu.2015.3977</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41. </w:t>
      </w:r>
      <w:r w:rsidRPr="00E57E01">
        <w:rPr>
          <w:rFonts w:cs="Times New Roman"/>
          <w:noProof/>
          <w:szCs w:val="24"/>
        </w:rPr>
        <w:tab/>
        <w:t xml:space="preserve">Szente L, Aliczki M, Balla GY, et al. Pretrauma cognitive traits predict trauma-induced fear generalization and associated prefrontal functioning in a longitudinal model of posttraumatic stress disorder. </w:t>
      </w:r>
      <w:r w:rsidRPr="00E57E01">
        <w:rPr>
          <w:rFonts w:cs="Times New Roman"/>
          <w:i/>
          <w:iCs/>
          <w:noProof/>
          <w:szCs w:val="24"/>
        </w:rPr>
        <w:t>bioRxiv</w:t>
      </w:r>
      <w:r w:rsidRPr="00E57E01">
        <w:rPr>
          <w:rFonts w:cs="Times New Roman"/>
          <w:noProof/>
          <w:szCs w:val="24"/>
        </w:rPr>
        <w:t>. Published online January 1, 2024:2024.03.11.584500. doi:10.1101/2024.03.11.584500</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42. </w:t>
      </w:r>
      <w:r w:rsidRPr="00E57E01">
        <w:rPr>
          <w:rFonts w:cs="Times New Roman"/>
          <w:noProof/>
          <w:szCs w:val="24"/>
        </w:rPr>
        <w:tab/>
        <w:t xml:space="preserve">Gordan ML, Jungwirth B, Ohl F, Kellermann K, Kochs EF, Blobner M. Evaluation of neurobehavioral deficits following different severities of cerebral  ischemia in rats: a comparison between the modified hole board test and the Morris water maze test. </w:t>
      </w:r>
      <w:r w:rsidRPr="00E57E01">
        <w:rPr>
          <w:rFonts w:cs="Times New Roman"/>
          <w:i/>
          <w:iCs/>
          <w:noProof/>
          <w:szCs w:val="24"/>
        </w:rPr>
        <w:t>Behav Brain Res</w:t>
      </w:r>
      <w:r w:rsidRPr="00E57E01">
        <w:rPr>
          <w:rFonts w:cs="Times New Roman"/>
          <w:noProof/>
          <w:szCs w:val="24"/>
        </w:rPr>
        <w:t>. 2012;235(1):7-20. doi:10.1016/j.bbr.2012.07.027</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43. </w:t>
      </w:r>
      <w:r w:rsidRPr="00E57E01">
        <w:rPr>
          <w:rFonts w:cs="Times New Roman"/>
          <w:noProof/>
          <w:szCs w:val="24"/>
        </w:rPr>
        <w:tab/>
        <w:t xml:space="preserve">Renda CR, Madden GJ. Impulsive choice and pre-exposure to delays: III. Four-month test-retest outcomes  in male wistar rats. </w:t>
      </w:r>
      <w:r w:rsidRPr="00E57E01">
        <w:rPr>
          <w:rFonts w:cs="Times New Roman"/>
          <w:i/>
          <w:iCs/>
          <w:noProof/>
          <w:szCs w:val="24"/>
        </w:rPr>
        <w:t>Behav Processes</w:t>
      </w:r>
      <w:r w:rsidRPr="00E57E01">
        <w:rPr>
          <w:rFonts w:cs="Times New Roman"/>
          <w:noProof/>
          <w:szCs w:val="24"/>
        </w:rPr>
        <w:t>. 2016;126:108-112. doi:10.1016/j.beproc.2016.03.014</w:t>
      </w:r>
    </w:p>
    <w:p w:rsidR="00E57E01" w:rsidRPr="00E57E01" w:rsidRDefault="00E57E01" w:rsidP="00E57E01">
      <w:pPr>
        <w:widowControl w:val="0"/>
        <w:autoSpaceDE w:val="0"/>
        <w:autoSpaceDN w:val="0"/>
        <w:adjustRightInd w:val="0"/>
        <w:spacing w:after="0"/>
        <w:ind w:left="640" w:hanging="640"/>
        <w:rPr>
          <w:rFonts w:cs="Times New Roman"/>
          <w:noProof/>
          <w:szCs w:val="24"/>
        </w:rPr>
      </w:pPr>
      <w:r w:rsidRPr="00E57E01">
        <w:rPr>
          <w:rFonts w:cs="Times New Roman"/>
          <w:noProof/>
          <w:szCs w:val="24"/>
        </w:rPr>
        <w:t xml:space="preserve">44. </w:t>
      </w:r>
      <w:r w:rsidRPr="00E57E01">
        <w:rPr>
          <w:rFonts w:cs="Times New Roman"/>
          <w:noProof/>
          <w:szCs w:val="24"/>
        </w:rPr>
        <w:tab/>
        <w:t xml:space="preserve">Serrano NE, Saputra SG, Íbias J, Company M, Nazarian A. Pain-induced impulsivity is sexually dimorphic and mu-opioid receptor sensitive  in rats. </w:t>
      </w:r>
      <w:r w:rsidRPr="00E57E01">
        <w:rPr>
          <w:rFonts w:cs="Times New Roman"/>
          <w:i/>
          <w:iCs/>
          <w:noProof/>
          <w:szCs w:val="24"/>
        </w:rPr>
        <w:t>Psychopharmacology (Berl)</w:t>
      </w:r>
      <w:r w:rsidRPr="00E57E01">
        <w:rPr>
          <w:rFonts w:cs="Times New Roman"/>
          <w:noProof/>
          <w:szCs w:val="24"/>
        </w:rPr>
        <w:t>. 2021;238(12):3447-3462. doi:10.1007/s00213-021-05963-z</w:t>
      </w:r>
    </w:p>
    <w:p w:rsidR="00E57E01" w:rsidRPr="00E57E01" w:rsidRDefault="00E57E01" w:rsidP="00E57E01">
      <w:pPr>
        <w:widowControl w:val="0"/>
        <w:autoSpaceDE w:val="0"/>
        <w:autoSpaceDN w:val="0"/>
        <w:adjustRightInd w:val="0"/>
        <w:spacing w:after="0"/>
        <w:ind w:left="640" w:hanging="640"/>
        <w:rPr>
          <w:rFonts w:cs="Times New Roman"/>
          <w:noProof/>
        </w:rPr>
      </w:pPr>
      <w:r w:rsidRPr="00E57E01">
        <w:rPr>
          <w:rFonts w:cs="Times New Roman"/>
          <w:noProof/>
          <w:szCs w:val="24"/>
        </w:rPr>
        <w:t xml:space="preserve">45. </w:t>
      </w:r>
      <w:r w:rsidRPr="00E57E01">
        <w:rPr>
          <w:rFonts w:cs="Times New Roman"/>
          <w:noProof/>
          <w:szCs w:val="24"/>
        </w:rPr>
        <w:tab/>
        <w:t xml:space="preserve">Bezdjian S, Baker LA, Lozano DI, Raine A. Assessing inattention and impulsivity in children during the Go/NoGo task. </w:t>
      </w:r>
      <w:r w:rsidRPr="00E57E01">
        <w:rPr>
          <w:rFonts w:cs="Times New Roman"/>
          <w:i/>
          <w:iCs/>
          <w:noProof/>
          <w:szCs w:val="24"/>
        </w:rPr>
        <w:t>Br J Dev Psychol</w:t>
      </w:r>
      <w:r w:rsidRPr="00E57E01">
        <w:rPr>
          <w:rFonts w:cs="Times New Roman"/>
          <w:noProof/>
          <w:szCs w:val="24"/>
        </w:rPr>
        <w:t>. 2009;27(Pt 2):365-383. doi:10.1348/026151008X314919</w:t>
      </w:r>
    </w:p>
    <w:p w:rsidR="009B6B5E" w:rsidRPr="00EA3DEC" w:rsidRDefault="00E57E01" w:rsidP="00E57E01">
      <w:pPr>
        <w:widowControl w:val="0"/>
        <w:autoSpaceDE w:val="0"/>
        <w:autoSpaceDN w:val="0"/>
        <w:adjustRightInd w:val="0"/>
        <w:spacing w:after="0"/>
      </w:pPr>
      <w:r>
        <w:rPr>
          <w:rFonts w:cs="Times New Roman"/>
          <w:noProof/>
          <w:szCs w:val="24"/>
        </w:rPr>
        <w:fldChar w:fldCharType="end"/>
      </w:r>
    </w:p>
    <w:sectPr w:rsidR="009B6B5E" w:rsidRPr="00EA3DEC" w:rsidSect="00886DF3">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4F0A1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443E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68E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7A0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0E61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AC74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0AC6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7CBA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C290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AC37D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C22"/>
    <w:rsid w:val="000238F3"/>
    <w:rsid w:val="001250BA"/>
    <w:rsid w:val="001537AF"/>
    <w:rsid w:val="001E3F06"/>
    <w:rsid w:val="00272E60"/>
    <w:rsid w:val="002C1D22"/>
    <w:rsid w:val="002D3FEF"/>
    <w:rsid w:val="00350C22"/>
    <w:rsid w:val="004E3EF8"/>
    <w:rsid w:val="00573A1F"/>
    <w:rsid w:val="005D5602"/>
    <w:rsid w:val="005F42BC"/>
    <w:rsid w:val="00700F7A"/>
    <w:rsid w:val="007E4D0E"/>
    <w:rsid w:val="00886DF3"/>
    <w:rsid w:val="008B7A71"/>
    <w:rsid w:val="008D4E3B"/>
    <w:rsid w:val="009B6B5E"/>
    <w:rsid w:val="00A5652A"/>
    <w:rsid w:val="00A70632"/>
    <w:rsid w:val="00A85BF1"/>
    <w:rsid w:val="00B52DEF"/>
    <w:rsid w:val="00BD1960"/>
    <w:rsid w:val="00C10EF8"/>
    <w:rsid w:val="00C6724C"/>
    <w:rsid w:val="00CE3A06"/>
    <w:rsid w:val="00D77EDD"/>
    <w:rsid w:val="00E57E01"/>
    <w:rsid w:val="00EA3DEC"/>
    <w:rsid w:val="00EC7514"/>
    <w:rsid w:val="00F413AC"/>
    <w:rsid w:val="00F42701"/>
    <w:rsid w:val="00F51167"/>
    <w:rsid w:val="00FC7CE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B4DB2"/>
  <w15:chartTrackingRefBased/>
  <w15:docId w15:val="{BDA7022B-408A-4A92-A304-4418A0E28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C22"/>
    <w:pPr>
      <w:spacing w:line="480" w:lineRule="auto"/>
      <w:jc w:val="both"/>
    </w:pPr>
    <w:rPr>
      <w:rFonts w:ascii="Times New Roman" w:hAnsi="Times New Roman"/>
      <w:sz w:val="24"/>
      <w:lang w:val="en-CA"/>
    </w:rPr>
  </w:style>
  <w:style w:type="paragraph" w:styleId="Heading1">
    <w:name w:val="heading 1"/>
    <w:basedOn w:val="Normal"/>
    <w:next w:val="Normal"/>
    <w:link w:val="Heading1Char"/>
    <w:uiPriority w:val="9"/>
    <w:qFormat/>
    <w:rsid w:val="00350C22"/>
    <w:pPr>
      <w:keepNext/>
      <w:keepLines/>
      <w:pBdr>
        <w:top w:val="nil"/>
        <w:left w:val="nil"/>
        <w:bottom w:val="nil"/>
        <w:right w:val="nil"/>
        <w:between w:val="nil"/>
        <w:bar w:val="nil"/>
      </w:pBdr>
      <w:spacing w:before="480" w:after="120"/>
      <w:outlineLvl w:val="0"/>
    </w:pPr>
    <w:rPr>
      <w:rFonts w:eastAsia="Arial Unicode MS"/>
      <w:b/>
      <w:bCs/>
      <w:color w:val="7030A0"/>
      <w:sz w:val="36"/>
      <w:szCs w:val="48"/>
      <w:bdr w:val="nil"/>
      <w:lang w:val="en-US"/>
    </w:rPr>
  </w:style>
  <w:style w:type="paragraph" w:styleId="Heading2">
    <w:name w:val="heading 2"/>
    <w:basedOn w:val="Normal"/>
    <w:next w:val="Normal"/>
    <w:link w:val="Heading2Char"/>
    <w:uiPriority w:val="9"/>
    <w:qFormat/>
    <w:rsid w:val="00350C22"/>
    <w:pPr>
      <w:keepNext/>
      <w:keepLines/>
      <w:pBdr>
        <w:top w:val="nil"/>
        <w:left w:val="nil"/>
        <w:bottom w:val="nil"/>
        <w:right w:val="nil"/>
        <w:between w:val="nil"/>
        <w:bar w:val="nil"/>
      </w:pBdr>
      <w:spacing w:before="360" w:after="80"/>
      <w:outlineLvl w:val="1"/>
    </w:pPr>
    <w:rPr>
      <w:rFonts w:eastAsia="Arial Unicode MS"/>
      <w:b/>
      <w:bCs/>
      <w:color w:val="0070C0"/>
      <w:sz w:val="32"/>
      <w:szCs w:val="36"/>
      <w:bdr w:val="nil"/>
      <w:lang w:val="en-US"/>
    </w:rPr>
  </w:style>
  <w:style w:type="paragraph" w:styleId="Heading3">
    <w:name w:val="heading 3"/>
    <w:basedOn w:val="Normal"/>
    <w:next w:val="Normal"/>
    <w:link w:val="Heading3Char"/>
    <w:uiPriority w:val="9"/>
    <w:qFormat/>
    <w:rsid w:val="00350C22"/>
    <w:pPr>
      <w:keepNext/>
      <w:keepLines/>
      <w:spacing w:before="280" w:after="80"/>
      <w:outlineLvl w:val="2"/>
    </w:pPr>
    <w:rPr>
      <w:b/>
      <w:bCs/>
      <w:color w:val="00B0F0"/>
      <w:sz w:val="28"/>
      <w:szCs w:val="28"/>
    </w:rPr>
  </w:style>
  <w:style w:type="paragraph" w:styleId="Heading4">
    <w:name w:val="heading 4"/>
    <w:basedOn w:val="Normal"/>
    <w:next w:val="Normal"/>
    <w:link w:val="Heading4Char"/>
    <w:uiPriority w:val="9"/>
    <w:unhideWhenUsed/>
    <w:qFormat/>
    <w:rsid w:val="00350C22"/>
    <w:pPr>
      <w:keepNext/>
      <w:keepLines/>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C22"/>
    <w:rPr>
      <w:rFonts w:ascii="Times New Roman" w:eastAsia="Arial Unicode MS" w:hAnsi="Times New Roman"/>
      <w:b/>
      <w:bCs/>
      <w:color w:val="7030A0"/>
      <w:sz w:val="36"/>
      <w:szCs w:val="48"/>
      <w:bdr w:val="nil"/>
      <w:lang w:val="en-US"/>
    </w:rPr>
  </w:style>
  <w:style w:type="character" w:customStyle="1" w:styleId="Heading2Char">
    <w:name w:val="Heading 2 Char"/>
    <w:basedOn w:val="DefaultParagraphFont"/>
    <w:link w:val="Heading2"/>
    <w:uiPriority w:val="9"/>
    <w:rsid w:val="00350C22"/>
    <w:rPr>
      <w:rFonts w:ascii="Times New Roman" w:eastAsia="Arial Unicode MS" w:hAnsi="Times New Roman"/>
      <w:b/>
      <w:bCs/>
      <w:color w:val="0070C0"/>
      <w:sz w:val="32"/>
      <w:szCs w:val="36"/>
      <w:bdr w:val="nil"/>
      <w:lang w:val="en-US"/>
    </w:rPr>
  </w:style>
  <w:style w:type="character" w:customStyle="1" w:styleId="Heading3Char">
    <w:name w:val="Heading 3 Char"/>
    <w:basedOn w:val="DefaultParagraphFont"/>
    <w:link w:val="Heading3"/>
    <w:uiPriority w:val="9"/>
    <w:rsid w:val="00350C22"/>
    <w:rPr>
      <w:rFonts w:ascii="Times New Roman" w:hAnsi="Times New Roman"/>
      <w:b/>
      <w:bCs/>
      <w:color w:val="00B0F0"/>
      <w:sz w:val="28"/>
      <w:szCs w:val="28"/>
      <w:lang w:val="en-CA"/>
    </w:rPr>
  </w:style>
  <w:style w:type="character" w:customStyle="1" w:styleId="Heading4Char">
    <w:name w:val="Heading 4 Char"/>
    <w:basedOn w:val="DefaultParagraphFont"/>
    <w:link w:val="Heading4"/>
    <w:uiPriority w:val="9"/>
    <w:rsid w:val="00350C22"/>
    <w:rPr>
      <w:rFonts w:ascii="Times New Roman" w:eastAsiaTheme="majorEastAsia" w:hAnsi="Times New Roman" w:cstheme="majorBidi"/>
      <w:b/>
      <w:bCs/>
      <w:iCs/>
      <w:sz w:val="24"/>
      <w:lang w:val="en-CA"/>
    </w:rPr>
  </w:style>
  <w:style w:type="paragraph" w:styleId="NormalWeb">
    <w:name w:val="Normal (Web)"/>
    <w:basedOn w:val="Normal"/>
    <w:uiPriority w:val="99"/>
    <w:rsid w:val="00350C22"/>
    <w:pPr>
      <w:spacing w:before="100" w:beforeAutospacing="1" w:after="100" w:afterAutospacing="1"/>
    </w:pPr>
  </w:style>
  <w:style w:type="character" w:styleId="Hyperlink">
    <w:name w:val="Hyperlink"/>
    <w:uiPriority w:val="99"/>
    <w:rsid w:val="00350C22"/>
    <w:rPr>
      <w:rFonts w:cs="Times New Roman"/>
      <w:color w:val="0000FF"/>
      <w:u w:val="single"/>
    </w:rPr>
  </w:style>
  <w:style w:type="character" w:styleId="LineNumber">
    <w:name w:val="line number"/>
    <w:basedOn w:val="DefaultParagraphFont"/>
    <w:uiPriority w:val="99"/>
    <w:semiHidden/>
    <w:unhideWhenUsed/>
    <w:rsid w:val="00886DF3"/>
  </w:style>
  <w:style w:type="table" w:styleId="TableGrid">
    <w:name w:val="Table Grid"/>
    <w:basedOn w:val="TableNormal"/>
    <w:uiPriority w:val="39"/>
    <w:rsid w:val="00A85BF1"/>
    <w:pPr>
      <w:spacing w:after="0" w:line="240" w:lineRule="auto"/>
    </w:pPr>
    <w:rPr>
      <w:rFonts w:ascii="Arial" w:eastAsia="Arial" w:hAnsi="Arial" w:cs="Arial"/>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2C1D22"/>
    <w:rPr>
      <w:rFonts w:cs="Times New Roman"/>
      <w:b/>
      <w:bCs/>
    </w:rPr>
  </w:style>
  <w:style w:type="character" w:styleId="Emphasis">
    <w:name w:val="Emphasis"/>
    <w:uiPriority w:val="20"/>
    <w:qFormat/>
    <w:rsid w:val="002C1D22"/>
    <w:rPr>
      <w:rFonts w:cs="Times New Roman"/>
      <w:i/>
      <w:iCs/>
    </w:rPr>
  </w:style>
  <w:style w:type="paragraph" w:styleId="BalloonText">
    <w:name w:val="Balloon Text"/>
    <w:basedOn w:val="Normal"/>
    <w:link w:val="BalloonTextChar"/>
    <w:uiPriority w:val="99"/>
    <w:unhideWhenUsed/>
    <w:rsid w:val="002C1D22"/>
    <w:pPr>
      <w:shd w:val="pct15" w:color="auto" w:fill="auto"/>
      <w:spacing w:after="200" w:line="240" w:lineRule="auto"/>
    </w:pPr>
    <w:rPr>
      <w:rFonts w:eastAsia="Calibri"/>
      <w:sz w:val="18"/>
      <w:szCs w:val="18"/>
    </w:rPr>
  </w:style>
  <w:style w:type="character" w:customStyle="1" w:styleId="BalloonTextChar">
    <w:name w:val="Balloon Text Char"/>
    <w:basedOn w:val="DefaultParagraphFont"/>
    <w:link w:val="BalloonText"/>
    <w:uiPriority w:val="99"/>
    <w:rsid w:val="002C1D22"/>
    <w:rPr>
      <w:rFonts w:ascii="Times New Roman" w:eastAsia="Calibri" w:hAnsi="Times New Roman"/>
      <w:sz w:val="18"/>
      <w:szCs w:val="18"/>
      <w:shd w:val="pct15" w:color="auto" w:fill="auto"/>
      <w:lang w:val="en-CA"/>
    </w:rPr>
  </w:style>
  <w:style w:type="character" w:styleId="PlaceholderText">
    <w:name w:val="Placeholder Text"/>
    <w:basedOn w:val="DefaultParagraphFont"/>
    <w:uiPriority w:val="99"/>
    <w:semiHidden/>
    <w:rsid w:val="002C1D22"/>
    <w:rPr>
      <w:color w:val="808080"/>
    </w:rPr>
  </w:style>
  <w:style w:type="character" w:styleId="FollowedHyperlink">
    <w:name w:val="FollowedHyperlink"/>
    <w:basedOn w:val="DefaultParagraphFont"/>
    <w:uiPriority w:val="99"/>
    <w:semiHidden/>
    <w:unhideWhenUsed/>
    <w:rsid w:val="002C1D22"/>
    <w:rPr>
      <w:color w:val="954F72" w:themeColor="followedHyperlink"/>
      <w:u w:val="single"/>
    </w:rPr>
  </w:style>
  <w:style w:type="paragraph" w:styleId="Title">
    <w:name w:val="Title"/>
    <w:basedOn w:val="Normal"/>
    <w:next w:val="Normal"/>
    <w:link w:val="TitleChar"/>
    <w:qFormat/>
    <w:rsid w:val="002C1D22"/>
    <w:pPr>
      <w:spacing w:after="0"/>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rsid w:val="002C1D22"/>
    <w:rPr>
      <w:rFonts w:ascii="Times New Roman" w:eastAsiaTheme="majorEastAsia" w:hAnsi="Times New Roman" w:cstheme="majorBidi"/>
      <w:b/>
      <w:spacing w:val="-10"/>
      <w:kern w:val="28"/>
      <w:sz w:val="36"/>
      <w:szCs w:val="56"/>
      <w:lang w:val="en-CA"/>
    </w:rPr>
  </w:style>
  <w:style w:type="character" w:customStyle="1" w:styleId="UnresolvedMention1">
    <w:name w:val="Unresolved Mention1"/>
    <w:basedOn w:val="DefaultParagraphFont"/>
    <w:uiPriority w:val="99"/>
    <w:semiHidden/>
    <w:unhideWhenUsed/>
    <w:rsid w:val="002C1D22"/>
    <w:rPr>
      <w:color w:val="605E5C"/>
      <w:shd w:val="clear" w:color="auto" w:fill="E1DFDD"/>
    </w:rPr>
  </w:style>
  <w:style w:type="paragraph" w:customStyle="1" w:styleId="Authors">
    <w:name w:val="Authors"/>
    <w:basedOn w:val="Normal"/>
    <w:rsid w:val="002C1D22"/>
    <w:pPr>
      <w:spacing w:before="120" w:after="360" w:line="240" w:lineRule="auto"/>
      <w:jc w:val="center"/>
    </w:pPr>
    <w:rPr>
      <w:rFonts w:eastAsia="Times New Roman" w:cs="Times New Roman"/>
      <w:szCs w:val="24"/>
      <w:lang w:val="en-US"/>
    </w:rPr>
  </w:style>
  <w:style w:type="paragraph" w:customStyle="1" w:styleId="Head">
    <w:name w:val="Head"/>
    <w:basedOn w:val="Normal"/>
    <w:rsid w:val="002C1D22"/>
    <w:pPr>
      <w:keepNext/>
      <w:spacing w:before="120" w:after="120" w:line="240" w:lineRule="auto"/>
      <w:jc w:val="center"/>
      <w:outlineLvl w:val="0"/>
    </w:pPr>
    <w:rPr>
      <w:rFonts w:eastAsia="Times New Roman" w:cs="Times New Roman"/>
      <w:b/>
      <w:bCs/>
      <w:kern w:val="28"/>
      <w:sz w:val="28"/>
      <w:szCs w:val="28"/>
      <w:lang w:val="en-US"/>
    </w:rPr>
  </w:style>
  <w:style w:type="paragraph" w:customStyle="1" w:styleId="AbstractSummary">
    <w:name w:val="Abstract/Summary"/>
    <w:basedOn w:val="Normal"/>
    <w:rsid w:val="002C1D22"/>
    <w:pPr>
      <w:spacing w:before="120" w:after="0" w:line="240" w:lineRule="auto"/>
      <w:jc w:val="left"/>
    </w:pPr>
    <w:rPr>
      <w:rFonts w:eastAsia="Times New Roman" w:cs="Times New Roman"/>
      <w:szCs w:val="24"/>
      <w:lang w:val="en-US"/>
    </w:rPr>
  </w:style>
  <w:style w:type="paragraph" w:customStyle="1" w:styleId="Paragraph">
    <w:name w:val="Paragraph"/>
    <w:basedOn w:val="Normal"/>
    <w:rsid w:val="002C1D22"/>
    <w:pPr>
      <w:spacing w:before="120" w:after="0" w:line="240" w:lineRule="auto"/>
      <w:ind w:firstLine="720"/>
      <w:jc w:val="left"/>
    </w:pPr>
    <w:rPr>
      <w:rFonts w:eastAsia="Times New Roman" w:cs="Times New Roman"/>
      <w:szCs w:val="24"/>
      <w:lang w:val="en-US"/>
    </w:rPr>
  </w:style>
  <w:style w:type="paragraph" w:customStyle="1" w:styleId="Teaser">
    <w:name w:val="Teaser"/>
    <w:basedOn w:val="Normal"/>
    <w:rsid w:val="002C1D22"/>
    <w:pPr>
      <w:spacing w:before="120" w:after="0" w:line="240" w:lineRule="auto"/>
      <w:jc w:val="left"/>
    </w:pPr>
    <w:rPr>
      <w:rFonts w:eastAsia="Times New Roman" w:cs="Times New Roman"/>
      <w:szCs w:val="24"/>
      <w:lang w:val="en-US"/>
    </w:rPr>
  </w:style>
  <w:style w:type="paragraph" w:styleId="Header">
    <w:name w:val="header"/>
    <w:basedOn w:val="Normal"/>
    <w:link w:val="HeaderChar"/>
    <w:uiPriority w:val="99"/>
    <w:unhideWhenUsed/>
    <w:rsid w:val="002C1D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1D22"/>
    <w:rPr>
      <w:rFonts w:ascii="Times New Roman" w:hAnsi="Times New Roman"/>
      <w:sz w:val="24"/>
      <w:lang w:val="en-CA"/>
    </w:rPr>
  </w:style>
  <w:style w:type="paragraph" w:styleId="Footer">
    <w:name w:val="footer"/>
    <w:basedOn w:val="Normal"/>
    <w:link w:val="FooterChar"/>
    <w:uiPriority w:val="99"/>
    <w:unhideWhenUsed/>
    <w:rsid w:val="002C1D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D22"/>
    <w:rPr>
      <w:rFonts w:ascii="Times New Roman" w:hAnsi="Times New Roman"/>
      <w:sz w:val="24"/>
      <w:lang w:val="en-CA"/>
    </w:rPr>
  </w:style>
  <w:style w:type="paragraph" w:styleId="Revision">
    <w:name w:val="Revision"/>
    <w:hidden/>
    <w:uiPriority w:val="99"/>
    <w:semiHidden/>
    <w:rsid w:val="002C1D22"/>
    <w:pPr>
      <w:spacing w:after="0" w:line="240" w:lineRule="auto"/>
    </w:pPr>
    <w:rPr>
      <w:rFonts w:ascii="Times New Roman" w:hAnsi="Times New Roman"/>
      <w:sz w:val="24"/>
      <w:lang w:val="en-CA"/>
    </w:rPr>
  </w:style>
  <w:style w:type="character" w:styleId="CommentReference">
    <w:name w:val="annotation reference"/>
    <w:basedOn w:val="DefaultParagraphFont"/>
    <w:uiPriority w:val="99"/>
    <w:semiHidden/>
    <w:unhideWhenUsed/>
    <w:rsid w:val="002C1D22"/>
    <w:rPr>
      <w:sz w:val="16"/>
      <w:szCs w:val="16"/>
    </w:rPr>
  </w:style>
  <w:style w:type="paragraph" w:styleId="CommentText">
    <w:name w:val="annotation text"/>
    <w:basedOn w:val="Normal"/>
    <w:link w:val="CommentTextChar"/>
    <w:uiPriority w:val="99"/>
    <w:semiHidden/>
    <w:unhideWhenUsed/>
    <w:rsid w:val="002C1D22"/>
    <w:pPr>
      <w:spacing w:line="240" w:lineRule="auto"/>
      <w:jc w:val="left"/>
    </w:pPr>
    <w:rPr>
      <w:rFonts w:asciiTheme="minorHAnsi" w:hAnsiTheme="minorHAnsi"/>
      <w:sz w:val="20"/>
      <w:szCs w:val="20"/>
      <w:lang w:val="hu-HU"/>
    </w:rPr>
  </w:style>
  <w:style w:type="character" w:customStyle="1" w:styleId="CommentTextChar">
    <w:name w:val="Comment Text Char"/>
    <w:basedOn w:val="DefaultParagraphFont"/>
    <w:link w:val="CommentText"/>
    <w:uiPriority w:val="99"/>
    <w:semiHidden/>
    <w:rsid w:val="002C1D2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sit.co/"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hyperlink" Target="https://scikit-learn.org"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solomon-coder.software.informer.com/download/" TargetMode="Externa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gsea-msigdb.org/gsea/msigdb/collections.jsp"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57369-24BC-4A1D-81A6-6631C5E5A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25416</Words>
  <Characters>175372</Characters>
  <Application>Microsoft Office Word</Application>
  <DocSecurity>0</DocSecurity>
  <Lines>1461</Lines>
  <Paragraphs>400</Paragraphs>
  <ScaleCrop>false</ScaleCrop>
  <HeadingPairs>
    <vt:vector size="2" baseType="variant">
      <vt:variant>
        <vt:lpstr>Title</vt:lpstr>
      </vt:variant>
      <vt:variant>
        <vt:i4>1</vt:i4>
      </vt:variant>
    </vt:vector>
  </HeadingPairs>
  <TitlesOfParts>
    <vt:vector size="1" baseType="lpstr">
      <vt:lpstr/>
    </vt:vector>
  </TitlesOfParts>
  <Company>MTA KOKI</Company>
  <LinksUpToDate>false</LinksUpToDate>
  <CharactersWithSpaces>200388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Kelemen Hanga</dc:creator>
  <cp:keywords/>
  <dc:description/>
  <cp:lastModifiedBy>Kelemen Hanga</cp:lastModifiedBy>
  <cp:revision>3</cp:revision>
  <dcterms:created xsi:type="dcterms:W3CDTF">2025-09-02T17:20:00Z</dcterms:created>
  <dcterms:modified xsi:type="dcterms:W3CDTF">2025-09-02T17:20:00Z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http://www.zotero.org/styles/american-medical-association</vt:lpwstr>
  </property>
  <property fmtid="{D5CDD505-2E9C-101B-9397-08002B2CF9AE}" pid="4" name="Mendeley Unique User Id_1">
    <vt:lpwstr>848883c1-feca-3609-ad24-065ca0320716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