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FAD949" w14:textId="77777777" w:rsidR="00DA2026" w:rsidRDefault="008710ED">
      <w:pPr>
        <w:rPr>
          <w:lang w:val="en-US"/>
        </w:rPr>
      </w:pPr>
    </w:p>
    <w:p w14:paraId="3A6E7D6B" w14:textId="77777777" w:rsidR="008E39A2" w:rsidRDefault="008E39A2">
      <w:pPr>
        <w:rPr>
          <w:lang w:val="en-US"/>
        </w:rPr>
      </w:pPr>
    </w:p>
    <w:tbl>
      <w:tblPr>
        <w:tblStyle w:val="Tablaconcuadrcula"/>
        <w:tblpPr w:leftFromText="141" w:rightFromText="141" w:vertAnchor="text" w:tblpY="511"/>
        <w:tblOverlap w:val="never"/>
        <w:tblW w:w="483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4"/>
        <w:gridCol w:w="3259"/>
        <w:gridCol w:w="3122"/>
        <w:gridCol w:w="2837"/>
        <w:gridCol w:w="2980"/>
      </w:tblGrid>
      <w:tr w:rsidR="003D6897" w:rsidRPr="003D6897" w14:paraId="70FE3F34" w14:textId="77777777" w:rsidTr="008710ED">
        <w:tc>
          <w:tcPr>
            <w:tcW w:w="980" w:type="pct"/>
            <w:tcBorders>
              <w:top w:val="single" w:sz="4" w:space="0" w:color="auto"/>
              <w:bottom w:val="single" w:sz="4" w:space="0" w:color="auto"/>
            </w:tcBorders>
            <w:vAlign w:val="center"/>
          </w:tcPr>
          <w:p w14:paraId="799CF745" w14:textId="77777777" w:rsidR="003D6897" w:rsidRPr="00444FBD" w:rsidRDefault="003D6897" w:rsidP="008710ED">
            <w:pPr>
              <w:rPr>
                <w:rFonts w:ascii="Times New Roman" w:hAnsi="Times New Roman" w:cs="Times New Roman"/>
                <w:sz w:val="20"/>
                <w:szCs w:val="20"/>
              </w:rPr>
            </w:pPr>
          </w:p>
        </w:tc>
        <w:tc>
          <w:tcPr>
            <w:tcW w:w="1074" w:type="pct"/>
            <w:tcBorders>
              <w:top w:val="single" w:sz="4" w:space="0" w:color="auto"/>
              <w:bottom w:val="single" w:sz="4" w:space="0" w:color="auto"/>
            </w:tcBorders>
            <w:vAlign w:val="center"/>
          </w:tcPr>
          <w:p w14:paraId="15C716B1" w14:textId="31FFBB22" w:rsidR="003D6897" w:rsidRPr="00444FBD" w:rsidRDefault="003D6897" w:rsidP="008710ED">
            <w:pPr>
              <w:rPr>
                <w:rFonts w:ascii="Times New Roman" w:hAnsi="Times New Roman" w:cs="Times New Roman"/>
                <w:b/>
                <w:bCs/>
                <w:sz w:val="20"/>
                <w:szCs w:val="20"/>
                <w:lang w:val="en-US"/>
              </w:rPr>
            </w:pPr>
            <w:proofErr w:type="spellStart"/>
            <w:r w:rsidRPr="00444FBD">
              <w:rPr>
                <w:rFonts w:ascii="Times New Roman" w:hAnsi="Times New Roman" w:cs="Times New Roman"/>
                <w:b/>
                <w:bCs/>
                <w:sz w:val="20"/>
                <w:szCs w:val="20"/>
                <w:lang w:val="en-US"/>
              </w:rPr>
              <w:t>Dłużniak-Gołaska</w:t>
            </w:r>
            <w:proofErr w:type="spellEnd"/>
            <w:r w:rsidRPr="00444FBD">
              <w:rPr>
                <w:rFonts w:ascii="Times New Roman" w:hAnsi="Times New Roman" w:cs="Times New Roman"/>
                <w:b/>
                <w:bCs/>
                <w:sz w:val="20"/>
                <w:szCs w:val="20"/>
                <w:lang w:val="en-US"/>
              </w:rPr>
              <w:t xml:space="preserve"> 2019</w:t>
            </w:r>
            <w:r w:rsidRPr="00444FBD">
              <w:rPr>
                <w:rFonts w:ascii="Times New Roman" w:hAnsi="Times New Roman" w:cs="Times New Roman"/>
                <w:b/>
                <w:bCs/>
                <w:sz w:val="20"/>
                <w:szCs w:val="20"/>
                <w:lang w:val="en-US"/>
              </w:rPr>
              <w:fldChar w:fldCharType="begin" w:fldLock="1"/>
            </w:r>
            <w:r w:rsidR="000B1842">
              <w:rPr>
                <w:rFonts w:ascii="Times New Roman" w:hAnsi="Times New Roman" w:cs="Times New Roman"/>
                <w:b/>
                <w:bCs/>
                <w:sz w:val="20"/>
                <w:szCs w:val="20"/>
                <w:lang w:val="en-US"/>
              </w:rPr>
              <w:instrText>ADDIN CSL_CITATION {"citationItems":[{"id":"ITEM-1","itemData":{"DOI":"10.2147/DMSO.S186237","ISSN":"11787007","abstract":"Introduction: The dietary habits of patients with type 1 diabetes are key elements of treatment as they facilitate the normalization of glycemia and maintenance of normal body weight (BW), lipid concentration, and the level of blood pressure. Therefore, the aim of this study was to analyze dietary habits and to verify the influence of the quality of diet on insulin dosage and selected clinical variables. Materials and methods: The study included 194 subjects (8–18 years old) suffering from type 1 diabetes and treated with the use of insulin pump. A modified KomPAN questionnaire was used to assess dietary habits and the frequency of the consumption of selected products. Two groups of patients were distinguished: G1 (poorer quality of diet) and G2 (better quality of diet). Clinical data were also collected. Results: Very low scores were noted in the whole study group as regards the index of healthy diet (27.6±11.1, 3.8–61.0). After dividing the participants into groups, it was observed that G1 included more boys (63.8%), and more girls were found in G2 (66.9%). G2 patients chose sweet and salty snacks and fried meals less frequently, and they consumed boiled dishes and avoided sweetening with sugar or honey more frequently. The following characteristics were observed in G1 patients: longer duration of the disease (6.5 vs 5.2 years), higher doses of insulin (0.86 vs 0.76 U/kg of BW/day), and being overweight (31.0% vs 17.6%) and underweight (19.0% vs 8.8%) noted twice more frequently. We did not observe differences concerning the concentration of glycated hemoglobin and lipids in the serum and the values of blood pressure. Conclusion: The findings revealed unsatisfactory dietary habits in children and adolescents with type 1 diabetes and indicated the necessity to analyze additional factors that might influence the quality of diet of the patients.","author":[{"dropping-particle":"","family":"Dłużniak-Gołaska","given":"Karolina","non-dropping-particle":"","parse-names":false,"suffix":""},{"dropping-particle":"","family":"Panczyk","given":"Mariusz","non-dropping-particle":"","parse-names":false,"suffix":""},{"dropping-particle":"","family":"Szostak-Węgierek","given":"Dorota","non-dropping-particle":"","parse-names":false,"suffix":""},{"dropping-particle":"","family":"Szypowska","given":"Agnieszka","non-dropping-particle":"","parse-names":false,"suffix":""},{"dropping-particle":"","family":"Sińska","given":"Beata","non-dropping-particle":"","parse-names":false,"suffix":""}],"container-title":"Diabetes, Metabolic Syndrome and Obesity: Targets and Therapy","id":"ITEM-1","issued":{"date-parts":[["2019"]]},"page":"161-170","title":"Analysis of the diet quality and dietary habits of children and adolescents with type 1 diabetes","type":"article-journal","volume":"12"},"uris":["http://www.mendeley.com/documents/?uuid=6ec31fb1-0b71-4db8-a770-4b24b4f9c4e0"]}],"mendeley":{"formattedCitation":"&lt;sup&gt;1&lt;/sup&gt;","plainTextFormattedCitation":"1","previouslyFormattedCitation":"&lt;sup&gt;1&lt;/sup&gt;"},"properties":{"noteIndex":0},"schema":"https://github.com/citation-style-language/schema/raw/master/csl-citation.json"}</w:instrText>
            </w:r>
            <w:r w:rsidRPr="00444FBD">
              <w:rPr>
                <w:rFonts w:ascii="Times New Roman" w:hAnsi="Times New Roman" w:cs="Times New Roman"/>
                <w:b/>
                <w:bCs/>
                <w:sz w:val="20"/>
                <w:szCs w:val="20"/>
                <w:lang w:val="en-US"/>
              </w:rPr>
              <w:fldChar w:fldCharType="separate"/>
            </w:r>
            <w:r w:rsidRPr="003D6897">
              <w:rPr>
                <w:rFonts w:ascii="Times New Roman" w:hAnsi="Times New Roman" w:cs="Times New Roman"/>
                <w:bCs/>
                <w:noProof/>
                <w:sz w:val="20"/>
                <w:szCs w:val="20"/>
                <w:vertAlign w:val="superscript"/>
                <w:lang w:val="en-US"/>
              </w:rPr>
              <w:t>1</w:t>
            </w:r>
            <w:r w:rsidRPr="00444FBD">
              <w:rPr>
                <w:rFonts w:ascii="Times New Roman" w:hAnsi="Times New Roman" w:cs="Times New Roman"/>
                <w:b/>
                <w:bCs/>
                <w:sz w:val="20"/>
                <w:szCs w:val="20"/>
                <w:lang w:val="en-US"/>
              </w:rPr>
              <w:fldChar w:fldCharType="end"/>
            </w:r>
          </w:p>
        </w:tc>
        <w:tc>
          <w:tcPr>
            <w:tcW w:w="1029" w:type="pct"/>
            <w:tcBorders>
              <w:top w:val="single" w:sz="4" w:space="0" w:color="auto"/>
              <w:bottom w:val="single" w:sz="4" w:space="0" w:color="auto"/>
            </w:tcBorders>
            <w:vAlign w:val="center"/>
          </w:tcPr>
          <w:p w14:paraId="11BE4B43" w14:textId="390B044F" w:rsidR="003D6897" w:rsidRPr="00444FBD" w:rsidRDefault="003D6897" w:rsidP="008710ED">
            <w:pPr>
              <w:rPr>
                <w:rFonts w:ascii="Times New Roman" w:hAnsi="Times New Roman" w:cs="Times New Roman"/>
                <w:b/>
                <w:bCs/>
                <w:sz w:val="20"/>
                <w:szCs w:val="20"/>
                <w:lang w:val="en-US"/>
              </w:rPr>
            </w:pPr>
            <w:proofErr w:type="spellStart"/>
            <w:r w:rsidRPr="00444FBD">
              <w:rPr>
                <w:rFonts w:ascii="Times New Roman" w:hAnsi="Times New Roman" w:cs="Times New Roman"/>
                <w:b/>
                <w:bCs/>
                <w:sz w:val="20"/>
                <w:szCs w:val="20"/>
                <w:lang w:val="en-US"/>
              </w:rPr>
              <w:t>Nansel</w:t>
            </w:r>
            <w:proofErr w:type="spellEnd"/>
            <w:r w:rsidRPr="00444FBD">
              <w:rPr>
                <w:rFonts w:ascii="Times New Roman" w:hAnsi="Times New Roman" w:cs="Times New Roman"/>
                <w:b/>
                <w:bCs/>
                <w:sz w:val="20"/>
                <w:szCs w:val="20"/>
                <w:lang w:val="en-US"/>
              </w:rPr>
              <w:t xml:space="preserve"> 2015</w:t>
            </w:r>
            <w:r w:rsidRPr="00444FBD">
              <w:rPr>
                <w:rFonts w:ascii="Times New Roman" w:hAnsi="Times New Roman" w:cs="Times New Roman"/>
                <w:b/>
                <w:bCs/>
                <w:sz w:val="20"/>
                <w:szCs w:val="20"/>
                <w:lang w:val="en-US"/>
              </w:rPr>
              <w:fldChar w:fldCharType="begin" w:fldLock="1"/>
            </w:r>
            <w:r w:rsidR="000B1842">
              <w:rPr>
                <w:rFonts w:ascii="Times New Roman" w:hAnsi="Times New Roman" w:cs="Times New Roman"/>
                <w:b/>
                <w:bCs/>
                <w:sz w:val="20"/>
                <w:szCs w:val="20"/>
                <w:lang w:val="en-US"/>
              </w:rPr>
              <w:instrText>ADDIN CSL_CITATION {"citationItems":[{"id":"ITEM-1","itemData":{"DOI":"10.1186/s12966-015-0214-4","ISSN":"14795868","abstract":"Background: Diets of children with type 1 diabetes are low in fruits, vegetables, and whole grains, and high in foods of minimal nutritional value, increasing risk for future adverse health outcomes. This 18-month randomized clinical trial tested the effect of a family-based behavioral intervention integrating motivational interviewing, active learning, and applied problem-solving on the primary outcomes of dietary intake and glycemic control among youth with type 1 diabetes.Methods: A parallel-group study with equal randomization was conducted at an outpatient, free-standing,multidisciplinary tertiary diabetes center in the United States. Eligible youth were those age 8-16 years with type 1 diabetes diagnosis =1 year and hemoglobin A1c (HbA1c) =6.5% and =10.0%. Participants were 136 parent-youth dyads (treatment n = 66, control n = 70). The intervention consisted of 9 in-clinic sessions delivered to the child and parent; control condition comprised equivalent assessments and number of contacts without dietary advice.Dietary intake was assessed using 3-day diet records at 6 time points across the 18-month study. Dietary outcomes included the Healthy Eating Index-2005 (HEI2005; index measuring conformance to the 2005 United States Dietary Guidelines for Americans) and Whole Plant Food Density (WPFD; number of cup or ounce equivalents per 1000 kcal of whole grains, whole fruit, vegetables, legumes, nuts, and seeds consumed). HbA1c was obtained every 3 months.Overall comparison of outcome variables between intervention and usual care groups was conducted using permutation tests.Results: There was a positive intervention effect across the study duration for HEI2005 (p = .015) and WPFD(p = .004). At 18 months, HEI2005 was 7.2 greater (mean ± SE 64.6 ± 2.0 versus 57.4 ± 1.6), and WPFD was 0.5 greater(2.2 ± 0.1 versus 1.7 ± 0.1) in the intervention group versus control. There was no difference between groups in HbA1c across the study duration.Conclusions: This behavioral nutrition intervention improved dietary quality among youth with type 1 diabetes,but did not impact glycemic control. Findings indicate the potential utility of incorporating such strategies into clinical care, and suggest that improvement in diet quality can be achieved in families living with this burdensome disease.Trial registration: Clinicaltrials.gov registration number: NCT00999375.","author":[{"dropping-particle":"","family":"Nansel","given":"Tonja R.","non-dropping-particle":"","parse-names":false,"suffix":""},{"dropping-particle":"","family":"Laffel","given":"Lori M.B.","non-dropping-particle":"","parse-names":false,"suffix":""},{"dropping-particle":"","family":"Haynie","given":"Denise L.","non-dropping-particle":"","parse-names":false,"suffix":""},{"dropping-particle":"","family":"Mehta","given":"Sanjeev N.","non-dropping-particle":"","parse-names":false,"suffix":""},{"dropping-particle":"","family":"Lipsky","given":"Leah M.","non-dropping-particle":"","parse-names":false,"suffix":""},{"dropping-particle":"","family":"Volkening","given":"Lisa K.","non-dropping-particle":"","parse-names":false,"suffix":""},{"dropping-particle":"","family":"Butler","given":"Deborah A.","non-dropping-particle":"","parse-names":false,"suffix":""},{"dropping-particle":"","family":"Higgins","given":"Laurie A.","non-dropping-particle":"","parse-names":false,"suffix":""},{"dropping-particle":"","family":"Liu","given":"Aiyi","non-dropping-particle":"","parse-names":false,"suffix":""}],"container-title":"International Journal of Behavioral Nutrition and Physical Activity","id":"ITEM-1","issue":"1","issued":{"date-parts":[["2015"]]},"page":"1-11","publisher":"???","title":"Improving dietary quality in youth with type 1 diabetes: Randomized clinical trial of a family-based behavioral intervention","type":"article-journal","volume":"12"},"uris":["http://www.mendeley.com/documents/?uuid=73ccb383-2589-484e-99b2-5a3fb74afb3c"]}],"mendeley":{"formattedCitation":"&lt;sup&gt;2&lt;/sup&gt;","plainTextFormattedCitation":"2","previouslyFormattedCitation":"&lt;sup&gt;2&lt;/sup&gt;"},"properties":{"noteIndex":0},"schema":"https://github.com/citation-style-language/schema/raw/master/csl-citation.json"}</w:instrText>
            </w:r>
            <w:r w:rsidRPr="00444FBD">
              <w:rPr>
                <w:rFonts w:ascii="Times New Roman" w:hAnsi="Times New Roman" w:cs="Times New Roman"/>
                <w:b/>
                <w:bCs/>
                <w:sz w:val="20"/>
                <w:szCs w:val="20"/>
                <w:lang w:val="en-US"/>
              </w:rPr>
              <w:fldChar w:fldCharType="separate"/>
            </w:r>
            <w:r w:rsidRPr="003D6897">
              <w:rPr>
                <w:rFonts w:ascii="Times New Roman" w:hAnsi="Times New Roman" w:cs="Times New Roman"/>
                <w:bCs/>
                <w:noProof/>
                <w:sz w:val="20"/>
                <w:szCs w:val="20"/>
                <w:vertAlign w:val="superscript"/>
                <w:lang w:val="en-US"/>
              </w:rPr>
              <w:t>2</w:t>
            </w:r>
            <w:r w:rsidRPr="00444FBD">
              <w:rPr>
                <w:rFonts w:ascii="Times New Roman" w:hAnsi="Times New Roman" w:cs="Times New Roman"/>
                <w:b/>
                <w:bCs/>
                <w:sz w:val="20"/>
                <w:szCs w:val="20"/>
                <w:lang w:val="en-US"/>
              </w:rPr>
              <w:fldChar w:fldCharType="end"/>
            </w:r>
          </w:p>
        </w:tc>
        <w:tc>
          <w:tcPr>
            <w:tcW w:w="935" w:type="pct"/>
            <w:tcBorders>
              <w:top w:val="single" w:sz="4" w:space="0" w:color="auto"/>
              <w:bottom w:val="single" w:sz="4" w:space="0" w:color="auto"/>
            </w:tcBorders>
            <w:vAlign w:val="center"/>
          </w:tcPr>
          <w:p w14:paraId="4C59FD57" w14:textId="03BED7EC" w:rsidR="003D6897" w:rsidRPr="00444FBD" w:rsidRDefault="003D6897" w:rsidP="008710ED">
            <w:pPr>
              <w:rPr>
                <w:rFonts w:ascii="Times New Roman" w:hAnsi="Times New Roman" w:cs="Times New Roman"/>
                <w:b/>
                <w:bCs/>
                <w:sz w:val="20"/>
                <w:szCs w:val="20"/>
                <w:lang w:val="en-US"/>
              </w:rPr>
            </w:pPr>
            <w:proofErr w:type="spellStart"/>
            <w:r w:rsidRPr="00444FBD">
              <w:rPr>
                <w:rFonts w:ascii="Times New Roman" w:hAnsi="Times New Roman" w:cs="Times New Roman"/>
                <w:b/>
                <w:bCs/>
                <w:sz w:val="20"/>
                <w:szCs w:val="20"/>
                <w:lang w:val="en-US"/>
              </w:rPr>
              <w:t>Gökşen</w:t>
            </w:r>
            <w:proofErr w:type="spellEnd"/>
            <w:r w:rsidRPr="00444FBD">
              <w:rPr>
                <w:rFonts w:ascii="Times New Roman" w:hAnsi="Times New Roman" w:cs="Times New Roman"/>
                <w:b/>
                <w:bCs/>
                <w:sz w:val="20"/>
                <w:szCs w:val="20"/>
                <w:lang w:val="en-US"/>
              </w:rPr>
              <w:t xml:space="preserve"> 2014</w:t>
            </w:r>
            <w:r w:rsidRPr="00444FBD">
              <w:rPr>
                <w:rFonts w:ascii="Times New Roman" w:hAnsi="Times New Roman" w:cs="Times New Roman"/>
                <w:b/>
                <w:bCs/>
                <w:sz w:val="20"/>
                <w:szCs w:val="20"/>
                <w:lang w:val="en-US"/>
              </w:rPr>
              <w:fldChar w:fldCharType="begin" w:fldLock="1"/>
            </w:r>
            <w:r w:rsidR="000B1842">
              <w:rPr>
                <w:rFonts w:ascii="Times New Roman" w:hAnsi="Times New Roman" w:cs="Times New Roman"/>
                <w:b/>
                <w:bCs/>
                <w:sz w:val="20"/>
                <w:szCs w:val="20"/>
                <w:lang w:val="en-US"/>
              </w:rPr>
              <w:instrText>ADDIN CSL_CITATION {"citationItems":[{"id":"ITEM-1","itemData":{"DOI":"10.4274/jcrpe.1191","ISSN":"13085735","abstract":"Objective: Medical nutritional therapy is important for glycemic control in children and adolescents with type 1 diabetes mellitus (T1DM). Carbohydrate (carb) counting, which is a more flexible nutritional method, has become popular in recent years. This study aimed to investigate the effects of carb counting on metabolic control, body measurements and serum lipid levels in children and adolescents with T1DM. Methods: T1DM patients aged 7-18 years and receiving flexible insulin therapy were divided into carb counting (n=52) and control (n=32) groups and were followed for 2 years in this randomized, controlled study. Demographic characteristics, body measurements, insulin requirements, hemoglobin A1c (HbA1c) and serum lipid levels at baseline and at follow-up were evaluated. Results: There were no statistically significant differences between the groups in mean HbA1c values in the year preceding the study or in age, gender, duration of diabetes, puberty stage, total daily insulin dose, body mass index (BMI) standard deviation score (SDS) and serum lipid values. While there were no differences in BMI SDS, daily insulin requirement, total cholesterol, low-density lipoprotein and triglyceride values between the two groups (p&gt;0.05) during the follow-up, annual mean HbA1c levels of the 2nd year were significantly lower in the carb counting group (p=0.010). The mean values of high-density lipoprotein were also significantly higher in the first and 2nd years in the carb counting group (p=0.02 and p=0.043, respectively). Conclusion: Carb counting may provide good metabolic control in children and adolescents with T1DM without causing any increase in weight or in insulin requirements. © Journal of Clinical Research in Pediatric Endocrinology, Published by Galenos Publishing.","author":[{"dropping-particle":"","family":"Gökşen","given":"Damla","non-dropping-particle":"","parse-names":false,"suffix":""},{"dropping-particle":"","family":"Altinok","given":"Yasemin Atik","non-dropping-particle":"","parse-names":false,"suffix":""},{"dropping-particle":"","family":"Özen","given":"Samim","non-dropping-particle":"","parse-names":false,"suffix":""},{"dropping-particle":"","family":"Demir","given":"Günay","non-dropping-particle":"","parse-names":false,"suffix":""},{"dropping-particle":"","family":"Darcan","given":"Şükran","non-dropping-particle":"","parse-names":false,"suffix":""}],"container-title":"Journal of Clinical Research in Pediatric Endocrinology","id":"ITEM-1","issue":"2","issued":{"date-parts":[["2014"]]},"page":"74-78","title":"Effects of carbohydrate counting method on metabolic control in children with type 1 diabetes mellitus","type":"article-journal","volume":"6"},"uris":["http://www.mendeley.com/documents/?uuid=29a4b49b-271a-4e5c-9420-7095dfcea0e0"]}],"mendeley":{"formattedCitation":"&lt;sup&gt;3&lt;/sup&gt;","plainTextFormattedCitation":"3","previouslyFormattedCitation":"&lt;sup&gt;3&lt;/sup&gt;"},"properties":{"noteIndex":0},"schema":"https://github.com/citation-style-language/schema/raw/master/csl-citation.json"}</w:instrText>
            </w:r>
            <w:r w:rsidRPr="00444FBD">
              <w:rPr>
                <w:rFonts w:ascii="Times New Roman" w:hAnsi="Times New Roman" w:cs="Times New Roman"/>
                <w:b/>
                <w:bCs/>
                <w:sz w:val="20"/>
                <w:szCs w:val="20"/>
                <w:lang w:val="en-US"/>
              </w:rPr>
              <w:fldChar w:fldCharType="separate"/>
            </w:r>
            <w:r w:rsidRPr="003D6897">
              <w:rPr>
                <w:rFonts w:ascii="Times New Roman" w:hAnsi="Times New Roman" w:cs="Times New Roman"/>
                <w:bCs/>
                <w:noProof/>
                <w:sz w:val="20"/>
                <w:szCs w:val="20"/>
                <w:vertAlign w:val="superscript"/>
                <w:lang w:val="en-US"/>
              </w:rPr>
              <w:t>3</w:t>
            </w:r>
            <w:r w:rsidRPr="00444FBD">
              <w:rPr>
                <w:rFonts w:ascii="Times New Roman" w:hAnsi="Times New Roman" w:cs="Times New Roman"/>
                <w:b/>
                <w:bCs/>
                <w:sz w:val="20"/>
                <w:szCs w:val="20"/>
                <w:lang w:val="en-US"/>
              </w:rPr>
              <w:fldChar w:fldCharType="end"/>
            </w:r>
          </w:p>
        </w:tc>
        <w:tc>
          <w:tcPr>
            <w:tcW w:w="982" w:type="pct"/>
            <w:tcBorders>
              <w:top w:val="single" w:sz="4" w:space="0" w:color="auto"/>
              <w:bottom w:val="single" w:sz="4" w:space="0" w:color="auto"/>
            </w:tcBorders>
            <w:vAlign w:val="center"/>
          </w:tcPr>
          <w:p w14:paraId="3358CEB2" w14:textId="5BA9F473" w:rsidR="003D6897" w:rsidRPr="00444FBD" w:rsidRDefault="003D6897" w:rsidP="008710ED">
            <w:pPr>
              <w:rPr>
                <w:rFonts w:ascii="Times New Roman" w:hAnsi="Times New Roman" w:cs="Times New Roman"/>
                <w:b/>
                <w:bCs/>
                <w:sz w:val="20"/>
                <w:szCs w:val="20"/>
                <w:lang w:val="en-US"/>
              </w:rPr>
            </w:pPr>
            <w:r w:rsidRPr="00444FBD">
              <w:rPr>
                <w:rFonts w:ascii="Times New Roman" w:hAnsi="Times New Roman" w:cs="Times New Roman"/>
                <w:b/>
                <w:bCs/>
                <w:sz w:val="20"/>
                <w:szCs w:val="20"/>
                <w:lang w:val="en-US"/>
              </w:rPr>
              <w:t>Spiegel 2012</w:t>
            </w:r>
            <w:r w:rsidRPr="00444FBD">
              <w:rPr>
                <w:rFonts w:ascii="Times New Roman" w:hAnsi="Times New Roman" w:cs="Times New Roman"/>
                <w:b/>
                <w:bCs/>
                <w:sz w:val="20"/>
                <w:szCs w:val="20"/>
                <w:lang w:val="en-US"/>
              </w:rPr>
              <w:fldChar w:fldCharType="begin" w:fldLock="1"/>
            </w:r>
            <w:r w:rsidR="000B1842">
              <w:rPr>
                <w:rFonts w:ascii="Times New Roman" w:hAnsi="Times New Roman" w:cs="Times New Roman"/>
                <w:b/>
                <w:bCs/>
                <w:sz w:val="20"/>
                <w:szCs w:val="20"/>
                <w:lang w:val="en-US"/>
              </w:rPr>
              <w:instrText>ADDIN CSL_CITATION {"citationItems":[{"id":"ITEM-1","itemData":{"DOI":"10.1016/j.jand.2012.06.001","ISSN":"22122672","abstract":"Background: Youth with type 1 diabetes do not count carbohydrates accurately, yet it is an important strategy in blood glucose control. Objective: The study objective was to determine whether a nutrition education intervention would improve carbohydrate counting accuracy and glycemic control. Design: We conducted a randomized, controlled nutrition intervention trial that was recruited from February 2009 to February 2010. Subjects: Youth (12 to 18 years of age, n=101) with type 1 diabetes were screened to identify those with poor carbohydrate counting accuracy, using a previously developed carbohydrate counting accuracy test covering commonly consumed foods and beverage items presented in six mixed meals and two snacks. All participants (n=66, age=15±3 years, 41 male, diabetes duration=6±4 years, hemoglobin A1c [HbA1c]=8.3%±1.1%) were randomized to the control or intervention group at the baseline visit. The intervention group attended a 90-minute class with a registered dietitian/certified diabetes educator and twice kept 3-day food records, which were used to review carbohydrate counting progress. Main outcome measures: Carbohydrate counting accuracy (measured as described) and HbA1c were evaluated at baseline and 3 months to determine the effectiveness of the intervention. Statistical analyses performed: t Tests, Spearman correlations, and repeated measures models were used. Results: At baseline, carbohydrate content was over- and underestimated in 16 and 5 of 29 food items, respectively. When foods were presented as mixed meals, participants either significantly over- or underestimated 10 of the 9 meals and 4 snacks. After 3 months of follow-up, HbA1c decreased in both the intervention and control groups by -0.19%±0.12% (P=0.12) and -0.08%±0.11% (P=0.51), respectively; however, the overall intervention effect was not statistically significant for change in HbA1c or carbohydrate counting accuracy. Conclusions: More intensive intervention might be required to improve adolescents' carbohydrate counting accuracy and nutrition management of type 1 diabetes. Additional research is needed to translate nutrition education into improved health outcomes. © 2012 Academy of Nutrition and Dietetics.","author":[{"dropping-particle":"","family":"Spiegel","given":"Gail","non-dropping-particle":"","parse-names":false,"suffix":""},{"dropping-particle":"","family":"Bortsov","given":"Andrey","non-dropping-particle":"","parse-names":false,"suffix":""},{"dropping-particle":"","family":"Bishop","given":"Franziska K.","non-dropping-particle":"","parse-names":false,"suffix":""},{"dropping-particle":"","family":"Owen","given":"Darcy","non-dropping-particle":"","parse-names":false,"suffix":""},{"dropping-particle":"","family":"Klingensmith","given":"Georgeanna J.","non-dropping-particle":"","parse-names":false,"suffix":""},{"dropping-particle":"","family":"Mayer-Davis","given":"Elizabeth J.","non-dropping-particle":"","parse-names":false,"suffix":""},{"dropping-particle":"","family":"Maahs","given":"David M.","non-dropping-particle":"","parse-names":false,"suffix":""}],"container-title":"Journal of the Academy of Nutrition and Dietetics","id":"ITEM-1","issue":"11","issued":{"date-parts":[["2012"]]},"page":"1736-1746","title":"Randomized Nutrition Education Intervention to Improve Carbohydrate Counting in Adolescents with Type 1 Diabetes Study: Is More Intensive Education Needed?","type":"article-journal","volume":"112"},"uris":["http://www.mendeley.com/documents/?uuid=390c4af6-b090-41e1-8f06-de5a3a988847"]}],"mendeley":{"formattedCitation":"&lt;sup&gt;4&lt;/sup&gt;","plainTextFormattedCitation":"4","previouslyFormattedCitation":"&lt;sup&gt;4&lt;/sup&gt;"},"properties":{"noteIndex":0},"schema":"https://github.com/citation-style-language/schema/raw/master/csl-citation.json"}</w:instrText>
            </w:r>
            <w:r w:rsidRPr="00444FBD">
              <w:rPr>
                <w:rFonts w:ascii="Times New Roman" w:hAnsi="Times New Roman" w:cs="Times New Roman"/>
                <w:b/>
                <w:bCs/>
                <w:sz w:val="20"/>
                <w:szCs w:val="20"/>
                <w:lang w:val="en-US"/>
              </w:rPr>
              <w:fldChar w:fldCharType="separate"/>
            </w:r>
            <w:r w:rsidRPr="003D6897">
              <w:rPr>
                <w:rFonts w:ascii="Times New Roman" w:hAnsi="Times New Roman" w:cs="Times New Roman"/>
                <w:bCs/>
                <w:noProof/>
                <w:sz w:val="20"/>
                <w:szCs w:val="20"/>
                <w:vertAlign w:val="superscript"/>
                <w:lang w:val="en-US"/>
              </w:rPr>
              <w:t>4</w:t>
            </w:r>
            <w:r w:rsidRPr="00444FBD">
              <w:rPr>
                <w:rFonts w:ascii="Times New Roman" w:hAnsi="Times New Roman" w:cs="Times New Roman"/>
                <w:b/>
                <w:bCs/>
                <w:sz w:val="20"/>
                <w:szCs w:val="20"/>
                <w:lang w:val="en-US"/>
              </w:rPr>
              <w:fldChar w:fldCharType="end"/>
            </w:r>
          </w:p>
        </w:tc>
      </w:tr>
      <w:tr w:rsidR="003D6897" w:rsidRPr="003D6897" w14:paraId="30ED191C" w14:textId="77777777" w:rsidTr="008710ED">
        <w:tc>
          <w:tcPr>
            <w:tcW w:w="980" w:type="pct"/>
            <w:tcBorders>
              <w:top w:val="single" w:sz="4" w:space="0" w:color="auto"/>
            </w:tcBorders>
            <w:vAlign w:val="center"/>
          </w:tcPr>
          <w:p w14:paraId="64CBA51A" w14:textId="77777777" w:rsidR="003D6897" w:rsidRPr="00444FBD" w:rsidRDefault="003D6897" w:rsidP="008710ED">
            <w:pPr>
              <w:rPr>
                <w:rFonts w:ascii="Times New Roman" w:hAnsi="Times New Roman" w:cs="Times New Roman"/>
                <w:b/>
                <w:bCs/>
                <w:sz w:val="20"/>
                <w:szCs w:val="20"/>
                <w:lang w:val="en-US"/>
              </w:rPr>
            </w:pPr>
            <w:r w:rsidRPr="00444FBD">
              <w:rPr>
                <w:rFonts w:ascii="Times New Roman" w:hAnsi="Times New Roman" w:cs="Times New Roman"/>
                <w:b/>
                <w:bCs/>
                <w:sz w:val="20"/>
                <w:szCs w:val="20"/>
                <w:lang w:val="en-US"/>
              </w:rPr>
              <w:t xml:space="preserve">RANDOM SEQUENCE GENERATION </w:t>
            </w:r>
          </w:p>
          <w:p w14:paraId="7389AFFB" w14:textId="77777777" w:rsidR="003D6897" w:rsidRPr="00444FBD" w:rsidRDefault="003D6897" w:rsidP="008710ED">
            <w:pPr>
              <w:rPr>
                <w:rFonts w:ascii="Times New Roman" w:hAnsi="Times New Roman" w:cs="Times New Roman"/>
                <w:b/>
                <w:bCs/>
                <w:sz w:val="20"/>
                <w:szCs w:val="20"/>
                <w:lang w:val="en-US"/>
              </w:rPr>
            </w:pPr>
            <w:r w:rsidRPr="00444FBD">
              <w:rPr>
                <w:rFonts w:ascii="Times New Roman" w:hAnsi="Times New Roman" w:cs="Times New Roman"/>
                <w:sz w:val="20"/>
                <w:szCs w:val="20"/>
                <w:lang w:val="en-US"/>
              </w:rPr>
              <w:t>(selection bias)</w:t>
            </w:r>
          </w:p>
        </w:tc>
        <w:tc>
          <w:tcPr>
            <w:tcW w:w="1074" w:type="pct"/>
            <w:tcBorders>
              <w:top w:val="single" w:sz="4" w:space="0" w:color="auto"/>
            </w:tcBorders>
            <w:vAlign w:val="center"/>
          </w:tcPr>
          <w:p w14:paraId="043132B6"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low - randomization was generated using a computer software.</w:t>
            </w:r>
          </w:p>
        </w:tc>
        <w:tc>
          <w:tcPr>
            <w:tcW w:w="1029" w:type="pct"/>
            <w:tcBorders>
              <w:top w:val="single" w:sz="4" w:space="0" w:color="auto"/>
            </w:tcBorders>
            <w:vAlign w:val="center"/>
          </w:tcPr>
          <w:p w14:paraId="6E7333C6"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low - permuted block randomization scheme.</w:t>
            </w:r>
          </w:p>
        </w:tc>
        <w:tc>
          <w:tcPr>
            <w:tcW w:w="935" w:type="pct"/>
            <w:tcBorders>
              <w:top w:val="single" w:sz="4" w:space="0" w:color="auto"/>
            </w:tcBorders>
            <w:vAlign w:val="center"/>
          </w:tcPr>
          <w:p w14:paraId="549633F5"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this data was not described in detail.</w:t>
            </w:r>
          </w:p>
        </w:tc>
        <w:tc>
          <w:tcPr>
            <w:tcW w:w="982" w:type="pct"/>
            <w:tcBorders>
              <w:top w:val="single" w:sz="4" w:space="0" w:color="auto"/>
            </w:tcBorders>
            <w:vAlign w:val="center"/>
          </w:tcPr>
          <w:p w14:paraId="21540FC1"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low - randomization was generated using a computer software.</w:t>
            </w:r>
          </w:p>
        </w:tc>
      </w:tr>
      <w:tr w:rsidR="003D6897" w:rsidRPr="003D6897" w14:paraId="02F5F0FA" w14:textId="77777777" w:rsidTr="008710ED">
        <w:tc>
          <w:tcPr>
            <w:tcW w:w="980" w:type="pct"/>
            <w:vAlign w:val="center"/>
          </w:tcPr>
          <w:p w14:paraId="12E91147" w14:textId="77777777" w:rsidR="003D6897" w:rsidRPr="00444FBD" w:rsidRDefault="003D6897" w:rsidP="008710ED">
            <w:pPr>
              <w:rPr>
                <w:rFonts w:ascii="Times New Roman" w:hAnsi="Times New Roman" w:cs="Times New Roman"/>
                <w:b/>
                <w:bCs/>
                <w:sz w:val="20"/>
                <w:szCs w:val="20"/>
                <w:lang w:val="en-US"/>
              </w:rPr>
            </w:pPr>
            <w:r w:rsidRPr="00444FBD">
              <w:rPr>
                <w:rFonts w:ascii="Times New Roman" w:hAnsi="Times New Roman" w:cs="Times New Roman"/>
                <w:b/>
                <w:bCs/>
                <w:sz w:val="20"/>
                <w:szCs w:val="20"/>
                <w:lang w:val="en-US"/>
              </w:rPr>
              <w:t xml:space="preserve">ALLOCATION CONCEALMENT </w:t>
            </w:r>
          </w:p>
          <w:p w14:paraId="12489CEC" w14:textId="77777777" w:rsidR="003D6897" w:rsidRPr="00444FBD" w:rsidRDefault="003D6897" w:rsidP="008710ED">
            <w:pPr>
              <w:rPr>
                <w:rFonts w:ascii="Times New Roman" w:hAnsi="Times New Roman" w:cs="Times New Roman"/>
                <w:b/>
                <w:bCs/>
                <w:sz w:val="20"/>
                <w:szCs w:val="20"/>
                <w:lang w:val="en-US"/>
              </w:rPr>
            </w:pPr>
            <w:r w:rsidRPr="00444FBD">
              <w:rPr>
                <w:rFonts w:ascii="Times New Roman" w:hAnsi="Times New Roman" w:cs="Times New Roman"/>
                <w:sz w:val="20"/>
                <w:szCs w:val="20"/>
                <w:lang w:val="en-US"/>
              </w:rPr>
              <w:t>(selection bias)</w:t>
            </w:r>
          </w:p>
        </w:tc>
        <w:tc>
          <w:tcPr>
            <w:tcW w:w="1074" w:type="pct"/>
            <w:vAlign w:val="center"/>
          </w:tcPr>
          <w:p w14:paraId="06B8D232"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high - allocation was performed by the trainer.</w:t>
            </w:r>
          </w:p>
        </w:tc>
        <w:tc>
          <w:tcPr>
            <w:tcW w:w="1029" w:type="pct"/>
            <w:vAlign w:val="center"/>
          </w:tcPr>
          <w:p w14:paraId="7B646E13"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low - group assignment was performed by an online data management system.</w:t>
            </w:r>
          </w:p>
        </w:tc>
        <w:tc>
          <w:tcPr>
            <w:tcW w:w="935" w:type="pct"/>
            <w:vAlign w:val="center"/>
          </w:tcPr>
          <w:p w14:paraId="56DFCBA8"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this data was not described in detail.</w:t>
            </w:r>
          </w:p>
        </w:tc>
        <w:tc>
          <w:tcPr>
            <w:tcW w:w="982" w:type="pct"/>
            <w:vAlign w:val="center"/>
          </w:tcPr>
          <w:p w14:paraId="6294D681"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this data was not described in detail.</w:t>
            </w:r>
          </w:p>
        </w:tc>
      </w:tr>
      <w:tr w:rsidR="003D6897" w:rsidRPr="003D6897" w14:paraId="5387EB12" w14:textId="77777777" w:rsidTr="008710ED">
        <w:tc>
          <w:tcPr>
            <w:tcW w:w="980" w:type="pct"/>
            <w:vAlign w:val="center"/>
          </w:tcPr>
          <w:p w14:paraId="302A5FB1" w14:textId="77777777" w:rsidR="003D6897" w:rsidRPr="00444FBD" w:rsidRDefault="003D6897" w:rsidP="008710ED">
            <w:pPr>
              <w:rPr>
                <w:rFonts w:ascii="Times New Roman" w:hAnsi="Times New Roman" w:cs="Times New Roman"/>
                <w:b/>
                <w:bCs/>
                <w:sz w:val="20"/>
                <w:szCs w:val="20"/>
                <w:lang w:val="en-US"/>
              </w:rPr>
            </w:pPr>
            <w:r w:rsidRPr="00444FBD">
              <w:rPr>
                <w:rFonts w:ascii="Times New Roman" w:hAnsi="Times New Roman" w:cs="Times New Roman"/>
                <w:b/>
                <w:bCs/>
                <w:sz w:val="20"/>
                <w:szCs w:val="20"/>
                <w:lang w:val="en-US"/>
              </w:rPr>
              <w:t xml:space="preserve">BLINDING OF PARTICIPANTS AND PERSONNEL </w:t>
            </w:r>
          </w:p>
          <w:p w14:paraId="64A5DDF8" w14:textId="77777777" w:rsidR="003D6897" w:rsidRPr="00444FBD" w:rsidRDefault="003D6897" w:rsidP="008710ED">
            <w:pPr>
              <w:rPr>
                <w:rFonts w:ascii="Times New Roman" w:hAnsi="Times New Roman" w:cs="Times New Roman"/>
                <w:b/>
                <w:bCs/>
                <w:sz w:val="20"/>
                <w:szCs w:val="20"/>
                <w:lang w:val="en-US"/>
              </w:rPr>
            </w:pPr>
            <w:r w:rsidRPr="00444FBD">
              <w:rPr>
                <w:rFonts w:ascii="Times New Roman" w:hAnsi="Times New Roman" w:cs="Times New Roman"/>
                <w:sz w:val="20"/>
                <w:szCs w:val="20"/>
                <w:lang w:val="en-US"/>
              </w:rPr>
              <w:t>(performance bias)</w:t>
            </w:r>
          </w:p>
        </w:tc>
        <w:tc>
          <w:tcPr>
            <w:tcW w:w="1074" w:type="pct"/>
            <w:vAlign w:val="center"/>
          </w:tcPr>
          <w:p w14:paraId="4A416DAD"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patients were not informed which group they joined (single-blind).</w:t>
            </w:r>
          </w:p>
        </w:tc>
        <w:tc>
          <w:tcPr>
            <w:tcW w:w="1029" w:type="pct"/>
            <w:vAlign w:val="center"/>
          </w:tcPr>
          <w:p w14:paraId="4B1965FB"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high - participants were informed of their group assignment at the second study visit.</w:t>
            </w:r>
          </w:p>
        </w:tc>
        <w:tc>
          <w:tcPr>
            <w:tcW w:w="935" w:type="pct"/>
            <w:vAlign w:val="center"/>
          </w:tcPr>
          <w:p w14:paraId="286A29BF"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high - the study probably had an open design.</w:t>
            </w:r>
          </w:p>
        </w:tc>
        <w:tc>
          <w:tcPr>
            <w:tcW w:w="982" w:type="pct"/>
            <w:vAlign w:val="center"/>
          </w:tcPr>
          <w:p w14:paraId="0BD05CE1"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high - the study probably had an open design.</w:t>
            </w:r>
          </w:p>
        </w:tc>
      </w:tr>
      <w:tr w:rsidR="003D6897" w:rsidRPr="003D6897" w14:paraId="13948D35" w14:textId="77777777" w:rsidTr="008710ED">
        <w:tc>
          <w:tcPr>
            <w:tcW w:w="980" w:type="pct"/>
            <w:vAlign w:val="center"/>
          </w:tcPr>
          <w:p w14:paraId="2051E862" w14:textId="77777777" w:rsidR="003D6897" w:rsidRPr="00444FBD" w:rsidRDefault="003D6897" w:rsidP="008710ED">
            <w:pPr>
              <w:rPr>
                <w:rFonts w:ascii="Times New Roman" w:hAnsi="Times New Roman" w:cs="Times New Roman"/>
                <w:b/>
                <w:bCs/>
                <w:sz w:val="20"/>
                <w:szCs w:val="20"/>
                <w:lang w:val="en-US"/>
              </w:rPr>
            </w:pPr>
            <w:r w:rsidRPr="00444FBD">
              <w:rPr>
                <w:rFonts w:ascii="Times New Roman" w:hAnsi="Times New Roman" w:cs="Times New Roman"/>
                <w:b/>
                <w:bCs/>
                <w:sz w:val="20"/>
                <w:szCs w:val="20"/>
                <w:lang w:val="en-US"/>
              </w:rPr>
              <w:t xml:space="preserve">BLINDING OF OUTCOME ASSESSMENT </w:t>
            </w:r>
          </w:p>
          <w:p w14:paraId="014CBF16" w14:textId="77777777" w:rsidR="003D6897" w:rsidRPr="00444FBD" w:rsidRDefault="003D6897" w:rsidP="008710ED">
            <w:pPr>
              <w:rPr>
                <w:rFonts w:ascii="Times New Roman" w:hAnsi="Times New Roman" w:cs="Times New Roman"/>
                <w:b/>
                <w:bCs/>
                <w:sz w:val="20"/>
                <w:szCs w:val="20"/>
                <w:lang w:val="en-US"/>
              </w:rPr>
            </w:pPr>
            <w:r w:rsidRPr="00444FBD">
              <w:rPr>
                <w:rFonts w:ascii="Times New Roman" w:hAnsi="Times New Roman" w:cs="Times New Roman"/>
                <w:sz w:val="20"/>
                <w:szCs w:val="20"/>
                <w:lang w:val="en-US"/>
              </w:rPr>
              <w:t>(detection bias)</w:t>
            </w:r>
          </w:p>
        </w:tc>
        <w:tc>
          <w:tcPr>
            <w:tcW w:w="1074" w:type="pct"/>
            <w:vAlign w:val="center"/>
          </w:tcPr>
          <w:p w14:paraId="784B6D68"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this data was not described in detail.</w:t>
            </w:r>
          </w:p>
        </w:tc>
        <w:tc>
          <w:tcPr>
            <w:tcW w:w="1029" w:type="pct"/>
            <w:vAlign w:val="center"/>
          </w:tcPr>
          <w:p w14:paraId="00B11464"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this data was not described in detail.</w:t>
            </w:r>
          </w:p>
        </w:tc>
        <w:tc>
          <w:tcPr>
            <w:tcW w:w="935" w:type="pct"/>
            <w:vAlign w:val="center"/>
          </w:tcPr>
          <w:p w14:paraId="2467E4AC"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high - the study probably had an open design.</w:t>
            </w:r>
          </w:p>
        </w:tc>
        <w:tc>
          <w:tcPr>
            <w:tcW w:w="982" w:type="pct"/>
            <w:vAlign w:val="center"/>
          </w:tcPr>
          <w:p w14:paraId="40BC51A2"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high - the study probably had an open design.</w:t>
            </w:r>
          </w:p>
        </w:tc>
      </w:tr>
      <w:tr w:rsidR="003D6897" w:rsidRPr="003D6897" w14:paraId="7595EEFA" w14:textId="77777777" w:rsidTr="008710ED">
        <w:tc>
          <w:tcPr>
            <w:tcW w:w="980" w:type="pct"/>
            <w:vAlign w:val="center"/>
          </w:tcPr>
          <w:p w14:paraId="44F9E1DA" w14:textId="77777777" w:rsidR="003D6897" w:rsidRPr="00444FBD" w:rsidRDefault="003D6897" w:rsidP="008710ED">
            <w:pPr>
              <w:rPr>
                <w:rFonts w:ascii="Times New Roman" w:hAnsi="Times New Roman" w:cs="Times New Roman"/>
                <w:b/>
                <w:bCs/>
                <w:sz w:val="20"/>
                <w:szCs w:val="20"/>
                <w:lang w:val="en-US"/>
              </w:rPr>
            </w:pPr>
            <w:r w:rsidRPr="00444FBD">
              <w:rPr>
                <w:rFonts w:ascii="Times New Roman" w:hAnsi="Times New Roman" w:cs="Times New Roman"/>
                <w:b/>
                <w:bCs/>
                <w:sz w:val="20"/>
                <w:szCs w:val="20"/>
                <w:lang w:val="en-US"/>
              </w:rPr>
              <w:t xml:space="preserve">INCOMPLETE OUTCOME DATA </w:t>
            </w:r>
            <w:r w:rsidRPr="00444FBD">
              <w:rPr>
                <w:rFonts w:ascii="Times New Roman" w:hAnsi="Times New Roman" w:cs="Times New Roman"/>
                <w:sz w:val="20"/>
                <w:szCs w:val="20"/>
                <w:lang w:val="en-US"/>
              </w:rPr>
              <w:t>(attrition bias)</w:t>
            </w:r>
          </w:p>
        </w:tc>
        <w:tc>
          <w:tcPr>
            <w:tcW w:w="1074" w:type="pct"/>
            <w:vAlign w:val="center"/>
          </w:tcPr>
          <w:p w14:paraId="415A397E"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 xml:space="preserve">low - sample size calculation accounted a larger number of participants to account a proportion of losses of follow-up. </w:t>
            </w:r>
          </w:p>
        </w:tc>
        <w:tc>
          <w:tcPr>
            <w:tcW w:w="1029" w:type="pct"/>
            <w:vAlign w:val="center"/>
          </w:tcPr>
          <w:p w14:paraId="3D5C73AF"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high - unequal attrition between study groups. Authors recognize the possible sampling bias due to the withdrawal in the intervention group.</w:t>
            </w:r>
          </w:p>
        </w:tc>
        <w:tc>
          <w:tcPr>
            <w:tcW w:w="935" w:type="pct"/>
            <w:vAlign w:val="center"/>
          </w:tcPr>
          <w:p w14:paraId="1ECEE368"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this data was not described in detail.</w:t>
            </w:r>
          </w:p>
        </w:tc>
        <w:tc>
          <w:tcPr>
            <w:tcW w:w="982" w:type="pct"/>
            <w:vAlign w:val="center"/>
          </w:tcPr>
          <w:p w14:paraId="01F6D6AA"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 xml:space="preserve">low - sample size calculation accounted a larger number of participants to account a proportion of losses of follow-up. </w:t>
            </w:r>
          </w:p>
        </w:tc>
      </w:tr>
      <w:tr w:rsidR="003D6897" w:rsidRPr="003D6897" w14:paraId="40EC42AB" w14:textId="77777777" w:rsidTr="008710ED">
        <w:tc>
          <w:tcPr>
            <w:tcW w:w="980" w:type="pct"/>
            <w:vAlign w:val="center"/>
          </w:tcPr>
          <w:p w14:paraId="13FDE802" w14:textId="77777777" w:rsidR="003D6897" w:rsidRPr="00444FBD" w:rsidRDefault="003D6897" w:rsidP="008710ED">
            <w:pPr>
              <w:rPr>
                <w:rFonts w:ascii="Times New Roman" w:hAnsi="Times New Roman" w:cs="Times New Roman"/>
                <w:b/>
                <w:bCs/>
                <w:sz w:val="20"/>
                <w:szCs w:val="20"/>
                <w:lang w:val="en-US"/>
              </w:rPr>
            </w:pPr>
            <w:r w:rsidRPr="00444FBD">
              <w:rPr>
                <w:rFonts w:ascii="Times New Roman" w:hAnsi="Times New Roman" w:cs="Times New Roman"/>
                <w:b/>
                <w:bCs/>
                <w:sz w:val="20"/>
                <w:szCs w:val="20"/>
                <w:lang w:val="en-US"/>
              </w:rPr>
              <w:t xml:space="preserve">SELECTIVE REPORTING </w:t>
            </w:r>
          </w:p>
          <w:p w14:paraId="0EBA5099" w14:textId="77777777" w:rsidR="003D6897" w:rsidRPr="00444FBD" w:rsidRDefault="003D6897" w:rsidP="008710ED">
            <w:pPr>
              <w:rPr>
                <w:rFonts w:ascii="Times New Roman" w:hAnsi="Times New Roman" w:cs="Times New Roman"/>
                <w:b/>
                <w:bCs/>
                <w:sz w:val="20"/>
                <w:szCs w:val="20"/>
                <w:lang w:val="en-US"/>
              </w:rPr>
            </w:pPr>
            <w:r w:rsidRPr="00444FBD">
              <w:rPr>
                <w:rFonts w:ascii="Times New Roman" w:hAnsi="Times New Roman" w:cs="Times New Roman"/>
                <w:sz w:val="20"/>
                <w:szCs w:val="20"/>
                <w:lang w:val="en-US"/>
              </w:rPr>
              <w:t>(reporting bias)</w:t>
            </w:r>
          </w:p>
        </w:tc>
        <w:tc>
          <w:tcPr>
            <w:tcW w:w="1074" w:type="pct"/>
            <w:vAlign w:val="center"/>
          </w:tcPr>
          <w:p w14:paraId="1CB2B615"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study protocol was not available.</w:t>
            </w:r>
          </w:p>
        </w:tc>
        <w:tc>
          <w:tcPr>
            <w:tcW w:w="1029" w:type="pct"/>
            <w:vAlign w:val="center"/>
          </w:tcPr>
          <w:p w14:paraId="0EFFF576"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low - the study analyzed, and published results specified in the study protocol.</w:t>
            </w:r>
          </w:p>
        </w:tc>
        <w:tc>
          <w:tcPr>
            <w:tcW w:w="935" w:type="pct"/>
            <w:vAlign w:val="center"/>
          </w:tcPr>
          <w:p w14:paraId="0C785B54"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study protocol was not available.</w:t>
            </w:r>
          </w:p>
        </w:tc>
        <w:tc>
          <w:tcPr>
            <w:tcW w:w="982" w:type="pct"/>
            <w:vAlign w:val="center"/>
          </w:tcPr>
          <w:p w14:paraId="0054667C" w14:textId="77777777" w:rsidR="003D6897" w:rsidRPr="00444FBD" w:rsidRDefault="003D6897" w:rsidP="008710ED">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study protocol was not available.</w:t>
            </w:r>
          </w:p>
        </w:tc>
      </w:tr>
    </w:tbl>
    <w:p w14:paraId="339F8DBD" w14:textId="77777777" w:rsidR="00C00E4D" w:rsidRPr="008710ED" w:rsidRDefault="00702AD6" w:rsidP="00444FBD">
      <w:pPr>
        <w:rPr>
          <w:rFonts w:ascii="Times New Roman" w:hAnsi="Times New Roman" w:cs="Times New Roman"/>
          <w:b/>
          <w:bCs/>
          <w:lang w:val="en-US"/>
        </w:rPr>
      </w:pPr>
      <w:r w:rsidRPr="008710ED">
        <w:rPr>
          <w:rFonts w:ascii="Times New Roman" w:hAnsi="Times New Roman" w:cs="Times New Roman"/>
          <w:b/>
          <w:bCs/>
          <w:lang w:val="en-US"/>
        </w:rPr>
        <w:t xml:space="preserve">Table </w:t>
      </w:r>
      <w:r w:rsidR="00074E4E" w:rsidRPr="008710ED">
        <w:rPr>
          <w:rFonts w:ascii="Times New Roman" w:hAnsi="Times New Roman" w:cs="Times New Roman"/>
          <w:b/>
          <w:bCs/>
          <w:lang w:val="en-US"/>
        </w:rPr>
        <w:t>S</w:t>
      </w:r>
      <w:r w:rsidR="00AF6D01" w:rsidRPr="008710ED">
        <w:rPr>
          <w:rFonts w:ascii="Times New Roman" w:hAnsi="Times New Roman" w:cs="Times New Roman"/>
          <w:b/>
          <w:bCs/>
          <w:lang w:val="en-US"/>
        </w:rPr>
        <w:t>2</w:t>
      </w:r>
      <w:r w:rsidRPr="008710ED">
        <w:rPr>
          <w:rFonts w:ascii="Times New Roman" w:hAnsi="Times New Roman" w:cs="Times New Roman"/>
          <w:b/>
          <w:bCs/>
          <w:lang w:val="en-US"/>
        </w:rPr>
        <w:t xml:space="preserve">. </w:t>
      </w:r>
      <w:r w:rsidR="00027B24" w:rsidRPr="008710ED">
        <w:rPr>
          <w:rFonts w:ascii="Times New Roman" w:hAnsi="Times New Roman" w:cs="Times New Roman"/>
          <w:b/>
          <w:bCs/>
          <w:lang w:val="en-US"/>
        </w:rPr>
        <w:t>Risk of bias assessment of the randomized clinical trials included in the systematic review</w:t>
      </w:r>
      <w:r w:rsidR="00C00E4D" w:rsidRPr="008710ED">
        <w:rPr>
          <w:rFonts w:ascii="Times New Roman" w:hAnsi="Times New Roman" w:cs="Times New Roman"/>
          <w:b/>
          <w:bCs/>
          <w:lang w:val="en-US"/>
        </w:rPr>
        <w:br w:type="page"/>
      </w:r>
    </w:p>
    <w:tbl>
      <w:tblPr>
        <w:tblStyle w:val="Tablaconcuadrcula"/>
        <w:tblpPr w:leftFromText="141" w:rightFromText="141" w:vertAnchor="text" w:tblpY="1"/>
        <w:tblOverlap w:val="never"/>
        <w:tblW w:w="4953"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2"/>
        <w:gridCol w:w="2467"/>
        <w:gridCol w:w="2467"/>
        <w:gridCol w:w="2617"/>
        <w:gridCol w:w="2617"/>
        <w:gridCol w:w="2608"/>
      </w:tblGrid>
      <w:tr w:rsidR="00F17BEA" w:rsidRPr="00444FBD" w14:paraId="6BC8891F" w14:textId="77777777" w:rsidTr="000B1842">
        <w:tc>
          <w:tcPr>
            <w:tcW w:w="894" w:type="pct"/>
            <w:tcBorders>
              <w:top w:val="single" w:sz="4" w:space="0" w:color="auto"/>
              <w:bottom w:val="single" w:sz="4" w:space="0" w:color="auto"/>
            </w:tcBorders>
            <w:vAlign w:val="center"/>
          </w:tcPr>
          <w:p w14:paraId="0B0D51CC" w14:textId="77777777" w:rsidR="00F17BEA" w:rsidRPr="00444FBD" w:rsidRDefault="00F17BEA" w:rsidP="000B1842">
            <w:pPr>
              <w:rPr>
                <w:rFonts w:ascii="Times New Roman" w:hAnsi="Times New Roman" w:cs="Times New Roman"/>
                <w:sz w:val="20"/>
                <w:szCs w:val="20"/>
                <w:lang w:val="en-US"/>
              </w:rPr>
            </w:pPr>
          </w:p>
        </w:tc>
        <w:tc>
          <w:tcPr>
            <w:tcW w:w="793" w:type="pct"/>
            <w:tcBorders>
              <w:top w:val="single" w:sz="4" w:space="0" w:color="auto"/>
              <w:bottom w:val="single" w:sz="4" w:space="0" w:color="auto"/>
            </w:tcBorders>
            <w:vAlign w:val="center"/>
          </w:tcPr>
          <w:p w14:paraId="1907B330" w14:textId="37F4CA12" w:rsidR="00F17BEA" w:rsidRPr="00444FBD" w:rsidRDefault="00F17BEA" w:rsidP="000B1842">
            <w:pPr>
              <w:rPr>
                <w:rFonts w:ascii="Times New Roman" w:hAnsi="Times New Roman" w:cs="Times New Roman"/>
                <w:b/>
                <w:bCs/>
                <w:color w:val="000000" w:themeColor="text1"/>
                <w:sz w:val="20"/>
                <w:szCs w:val="20"/>
                <w:lang w:val="en-US"/>
              </w:rPr>
            </w:pPr>
            <w:proofErr w:type="spellStart"/>
            <w:r w:rsidRPr="00444FBD">
              <w:rPr>
                <w:rFonts w:ascii="Times New Roman" w:hAnsi="Times New Roman" w:cs="Times New Roman"/>
                <w:b/>
                <w:bCs/>
                <w:color w:val="000000" w:themeColor="text1"/>
                <w:sz w:val="20"/>
                <w:szCs w:val="20"/>
                <w:lang w:val="en-US"/>
              </w:rPr>
              <w:t>Marquard</w:t>
            </w:r>
            <w:proofErr w:type="spellEnd"/>
            <w:r w:rsidRPr="00444FBD">
              <w:rPr>
                <w:rFonts w:ascii="Times New Roman" w:hAnsi="Times New Roman" w:cs="Times New Roman"/>
                <w:b/>
                <w:bCs/>
                <w:color w:val="000000" w:themeColor="text1"/>
                <w:sz w:val="20"/>
                <w:szCs w:val="20"/>
                <w:lang w:val="en-US"/>
              </w:rPr>
              <w:t xml:space="preserve"> 2011</w:t>
            </w:r>
            <w:r w:rsidRPr="00444FBD">
              <w:rPr>
                <w:rFonts w:ascii="Times New Roman" w:hAnsi="Times New Roman" w:cs="Times New Roman"/>
                <w:b/>
                <w:bCs/>
                <w:color w:val="000000" w:themeColor="text1"/>
                <w:sz w:val="20"/>
                <w:szCs w:val="20"/>
                <w:lang w:val="en-US"/>
              </w:rPr>
              <w:fldChar w:fldCharType="begin" w:fldLock="1"/>
            </w:r>
            <w:r w:rsidR="000B1842">
              <w:rPr>
                <w:rFonts w:ascii="Times New Roman" w:hAnsi="Times New Roman" w:cs="Times New Roman"/>
                <w:b/>
                <w:bCs/>
                <w:color w:val="000000" w:themeColor="text1"/>
                <w:sz w:val="20"/>
                <w:szCs w:val="20"/>
                <w:lang w:val="en-US"/>
              </w:rPr>
              <w:instrText>ADDIN CSL_CITATION {"citationItems":[{"id":"ITEM-1","itemData":{"DOI":"10.1515/JPEM.2011.176","ISSN":"0334018X","abstract":"Background: Low-glycemic index (GI) diet vs. high-GI diet improves glycemic control, but it is not clear whether a low-GI diet is superior to an optimized mixed diet (OMD). Methods: This was a 12-week parallel-group pilot-trial including 17 children with type 1 diabetes. A separate dietary education into the allocated diet (OMD vs. low-GI) was performed. Nutrition was recorded by means of a three-day dietary record. Objectives: The primary objective was to determine the macro- and micronutrient composition of the different diets, the secondary objective was to determine the short-term effect on HbA1c levels. Results: In the low-GI group carbohydrate intake decreased, fat intake increased by trend. In the OMD group fat and energy intake decreased. No changes of HbA1c levels between the groups were observed. Conclusion: OMD could have positive effects in overweight and obese diabetic children, since a reduction in fat and energy intake can be achieved. The findings of this pilot-trial suggest that OMD could be superior to a low-GI diet. © 2011 by Walter de Gruyter Berlin Boston.","author":[{"dropping-particle":"","family":"Marquard","given":"Jan","non-dropping-particle":"","parse-names":false,"suffix":""},{"dropping-particle":"","family":"Stahl","given":"Anna","non-dropping-particle":"","parse-names":false,"suffix":""},{"dropping-particle":"","family":"Lerch","given":"Christian","non-dropping-particle":"","parse-names":false,"suffix":""},{"dropping-particle":"","family":"Wolters","given":"Mareen","non-dropping-particle":"","parse-names":false,"suffix":""},{"dropping-particle":"","family":"Grotzke-Leweling","given":"Maike","non-dropping-particle":"","parse-names":false,"suffix":""},{"dropping-particle":"","family":"Mayatepek","given":"Ertan","non-dropping-particle":"","parse-names":false,"suffix":""},{"dropping-particle":"","family":"Meissner","given":"Thomas","non-dropping-particle":"","parse-names":false,"suffix":""}],"container-title":"Journal of Pediatric Endocrinology and Metabolism","id":"ITEM-1","issue":"7-8","issued":{"date-parts":[["2011"]]},"page":"441-447","title":"A prospective clinical pilot-trial comparing the effect of an optimized mixed diet versus a flexible low-glycemic index diet on nutrient intake and HbA1c levels in children with type 1 diabetes","type":"article-journal","volume":"24"},"uris":["http://www.mendeley.com/documents/?uuid=7f2b6d73-e888-4f3c-89d2-5d126bd30abe"]}],"mendeley":{"formattedCitation":"&lt;sup&gt;5&lt;/sup&gt;","plainTextFormattedCitation":"5","previouslyFormattedCitation":"&lt;sup&gt;5&lt;/sup&gt;"},"properties":{"noteIndex":0},"schema":"https://github.com/citation-style-language/schema/raw/master/csl-citation.json"}</w:instrText>
            </w:r>
            <w:r w:rsidRPr="00444FBD">
              <w:rPr>
                <w:rFonts w:ascii="Times New Roman" w:hAnsi="Times New Roman" w:cs="Times New Roman"/>
                <w:b/>
                <w:bCs/>
                <w:color w:val="000000" w:themeColor="text1"/>
                <w:sz w:val="20"/>
                <w:szCs w:val="20"/>
                <w:lang w:val="en-US"/>
              </w:rPr>
              <w:fldChar w:fldCharType="separate"/>
            </w:r>
            <w:r w:rsidR="003D6897" w:rsidRPr="003D6897">
              <w:rPr>
                <w:rFonts w:ascii="Times New Roman" w:hAnsi="Times New Roman" w:cs="Times New Roman"/>
                <w:bCs/>
                <w:noProof/>
                <w:color w:val="000000" w:themeColor="text1"/>
                <w:sz w:val="20"/>
                <w:szCs w:val="20"/>
                <w:vertAlign w:val="superscript"/>
                <w:lang w:val="en-US"/>
              </w:rPr>
              <w:t>5</w:t>
            </w:r>
            <w:r w:rsidRPr="00444FBD">
              <w:rPr>
                <w:rFonts w:ascii="Times New Roman" w:hAnsi="Times New Roman" w:cs="Times New Roman"/>
                <w:b/>
                <w:bCs/>
                <w:color w:val="000000" w:themeColor="text1"/>
                <w:sz w:val="20"/>
                <w:szCs w:val="20"/>
                <w:lang w:val="en-US"/>
              </w:rPr>
              <w:fldChar w:fldCharType="end"/>
            </w:r>
          </w:p>
        </w:tc>
        <w:tc>
          <w:tcPr>
            <w:tcW w:w="793" w:type="pct"/>
            <w:tcBorders>
              <w:top w:val="single" w:sz="4" w:space="0" w:color="auto"/>
              <w:bottom w:val="single" w:sz="4" w:space="0" w:color="auto"/>
            </w:tcBorders>
            <w:vAlign w:val="center"/>
          </w:tcPr>
          <w:p w14:paraId="5771F521" w14:textId="13E06DCE" w:rsidR="00F17BEA" w:rsidRPr="00444FBD" w:rsidRDefault="00F17BEA" w:rsidP="000B1842">
            <w:pPr>
              <w:rPr>
                <w:rFonts w:ascii="Times New Roman" w:hAnsi="Times New Roman" w:cs="Times New Roman"/>
                <w:b/>
                <w:bCs/>
                <w:sz w:val="20"/>
                <w:szCs w:val="20"/>
                <w:lang w:val="en-US"/>
              </w:rPr>
            </w:pPr>
            <w:r w:rsidRPr="00444FBD">
              <w:rPr>
                <w:rFonts w:ascii="Times New Roman" w:hAnsi="Times New Roman" w:cs="Times New Roman"/>
                <w:b/>
                <w:bCs/>
                <w:sz w:val="20"/>
                <w:szCs w:val="20"/>
                <w:lang w:val="en-US"/>
              </w:rPr>
              <w:t>Gilbertson 2001</w:t>
            </w:r>
            <w:r w:rsidRPr="00444FBD">
              <w:rPr>
                <w:rFonts w:ascii="Times New Roman" w:hAnsi="Times New Roman" w:cs="Times New Roman"/>
                <w:b/>
                <w:bCs/>
                <w:sz w:val="20"/>
                <w:szCs w:val="20"/>
                <w:lang w:val="en-US"/>
              </w:rPr>
              <w:fldChar w:fldCharType="begin" w:fldLock="1"/>
            </w:r>
            <w:r w:rsidR="000B1842">
              <w:rPr>
                <w:rFonts w:ascii="Times New Roman" w:hAnsi="Times New Roman" w:cs="Times New Roman"/>
                <w:b/>
                <w:bCs/>
                <w:sz w:val="20"/>
                <w:szCs w:val="20"/>
                <w:lang w:val="en-US"/>
              </w:rPr>
              <w:instrText>ADDIN CSL_CITATION {"citationItems":[{"id":"ITEM-1","itemData":{"abstract":"OBJECTIVE — To determine the long-term effect of low glycemic index dietary advice on metabolic control and quality of life in children with type 1 diabetes. RESEARCH DESIGN AND METHODS — Children with type 1 diabetes (n 5 104) were recruited to a prospective, stratiﬁed, randomized, parallel study to examine the effects of a measured carbohydrate exchange (CHOx) diet versus a more ﬂexible low–glycemic index (GI) dietary regimen on HbA 1c levels, incidence of hypo- and hyperglycemia, insulin dose, dietary intake, and measures of quality of life over 12 months. RESULTS — At 12 months, children in the low-GI group had signiﬁcantly better HbA 1c levels than those in the CHOx group (8.05 6 0.95 vs. 8.61 6 1.37%, P 5 0.05). Rates of excessive hyperglycemia (.15 episodes per month) were signiﬁcantly lower in the low-GI group (35 vs. 66%, P 5 0.006). There were no differences in insulin dose, hypoglycemic episodes, or dietary composition. The low-GI dietary regimen was associated with better quality of life for both children and parents. CONCLUSIONS — Flexible dietary instruction based on the food pyramid with an empha- sis of low-GI foods improves HbA 1c levels without increasing the risk of hypoglycemia and enhances the quality of life in children with diabetes.","author":[{"dropping-particle":"","family":"Gilbertson","given":"Heather R.","non-dropping-particle":"","parse-names":false,"suffix":""},{"dropping-particle":"","family":"Evans","given":"Sharon","non-dropping-particle":"","parse-names":false,"suffix":""},{"dropping-particle":"","family":"Brand-Miller","given":"Jennie C.","non-dropping-particle":"","parse-names":false,"suffix":""},{"dropping-particle":"","family":"Chondros","given":"Patty","non-dropping-particle":"","parse-names":false,"suffix":""},{"dropping-particle":"","family":"Thorburn","given":"Anne W.","non-dropping-particle":"","parse-names":false,"suffix":""},{"dropping-particle":"","family":"Werther","given":"George A.","non-dropping-particle":"","parse-names":false,"suffix":""}],"container-title":"Diabetes Care","id":"ITEM-1","issue":"7","issued":{"date-parts":[["2001"]]},"page":"1137-43","title":"The Effect of Flexible Low Glycemic Diets on Glycemic Control in Children With Type 1 Diabetes","type":"article-journal","volume":"24"},"uris":["http://www.mendeley.com/documents/?uuid=a0b16571-5237-4018-a5d6-3116e62cd457"]}],"mendeley":{"formattedCitation":"&lt;sup&gt;6&lt;/sup&gt;","plainTextFormattedCitation":"6","previouslyFormattedCitation":"&lt;sup&gt;6&lt;/sup&gt;"},"properties":{"noteIndex":0},"schema":"https://github.com/citation-style-language/schema/raw/master/csl-citation.json"}</w:instrText>
            </w:r>
            <w:r w:rsidRPr="00444FBD">
              <w:rPr>
                <w:rFonts w:ascii="Times New Roman" w:hAnsi="Times New Roman" w:cs="Times New Roman"/>
                <w:b/>
                <w:bCs/>
                <w:sz w:val="20"/>
                <w:szCs w:val="20"/>
                <w:lang w:val="en-US"/>
              </w:rPr>
              <w:fldChar w:fldCharType="separate"/>
            </w:r>
            <w:r w:rsidR="003D6897" w:rsidRPr="003D6897">
              <w:rPr>
                <w:rFonts w:ascii="Times New Roman" w:hAnsi="Times New Roman" w:cs="Times New Roman"/>
                <w:bCs/>
                <w:noProof/>
                <w:sz w:val="20"/>
                <w:szCs w:val="20"/>
                <w:vertAlign w:val="superscript"/>
                <w:lang w:val="en-US"/>
              </w:rPr>
              <w:t>6</w:t>
            </w:r>
            <w:r w:rsidRPr="00444FBD">
              <w:rPr>
                <w:rFonts w:ascii="Times New Roman" w:hAnsi="Times New Roman" w:cs="Times New Roman"/>
                <w:b/>
                <w:bCs/>
                <w:sz w:val="20"/>
                <w:szCs w:val="20"/>
                <w:lang w:val="en-US"/>
              </w:rPr>
              <w:fldChar w:fldCharType="end"/>
            </w:r>
          </w:p>
        </w:tc>
        <w:tc>
          <w:tcPr>
            <w:tcW w:w="841" w:type="pct"/>
            <w:tcBorders>
              <w:top w:val="single" w:sz="4" w:space="0" w:color="auto"/>
              <w:bottom w:val="single" w:sz="4" w:space="0" w:color="auto"/>
            </w:tcBorders>
            <w:vAlign w:val="center"/>
          </w:tcPr>
          <w:p w14:paraId="49D5D1C6" w14:textId="096A4BFC" w:rsidR="00F17BEA" w:rsidRPr="00444FBD" w:rsidRDefault="00F17BEA" w:rsidP="000B1842">
            <w:pPr>
              <w:rPr>
                <w:rFonts w:ascii="Times New Roman" w:hAnsi="Times New Roman" w:cs="Times New Roman"/>
                <w:b/>
                <w:bCs/>
                <w:sz w:val="20"/>
                <w:szCs w:val="20"/>
                <w:lang w:val="en-US"/>
              </w:rPr>
            </w:pPr>
            <w:proofErr w:type="spellStart"/>
            <w:r w:rsidRPr="00444FBD">
              <w:rPr>
                <w:rFonts w:ascii="Times New Roman" w:hAnsi="Times New Roman" w:cs="Times New Roman"/>
                <w:b/>
                <w:bCs/>
                <w:sz w:val="20"/>
                <w:szCs w:val="20"/>
                <w:lang w:val="en-US"/>
              </w:rPr>
              <w:t>Donag</w:t>
            </w:r>
            <w:r w:rsidR="00F20F12" w:rsidRPr="00444FBD">
              <w:rPr>
                <w:rFonts w:ascii="Times New Roman" w:hAnsi="Times New Roman" w:cs="Times New Roman"/>
                <w:b/>
                <w:bCs/>
                <w:sz w:val="20"/>
                <w:szCs w:val="20"/>
                <w:lang w:val="en-US"/>
              </w:rPr>
              <w:t>h</w:t>
            </w:r>
            <w:r w:rsidRPr="00444FBD">
              <w:rPr>
                <w:rFonts w:ascii="Times New Roman" w:hAnsi="Times New Roman" w:cs="Times New Roman"/>
                <w:b/>
                <w:bCs/>
                <w:sz w:val="20"/>
                <w:szCs w:val="20"/>
                <w:lang w:val="en-US"/>
              </w:rPr>
              <w:t>ue</w:t>
            </w:r>
            <w:proofErr w:type="spellEnd"/>
            <w:r w:rsidRPr="00444FBD">
              <w:rPr>
                <w:rFonts w:ascii="Times New Roman" w:hAnsi="Times New Roman" w:cs="Times New Roman"/>
                <w:b/>
                <w:bCs/>
                <w:sz w:val="20"/>
                <w:szCs w:val="20"/>
                <w:lang w:val="en-US"/>
              </w:rPr>
              <w:t xml:space="preserve"> 2000</w:t>
            </w:r>
            <w:r w:rsidRPr="00444FBD">
              <w:rPr>
                <w:rFonts w:ascii="Times New Roman" w:hAnsi="Times New Roman" w:cs="Times New Roman"/>
                <w:b/>
                <w:bCs/>
                <w:sz w:val="20"/>
                <w:szCs w:val="20"/>
                <w:lang w:val="en-US"/>
              </w:rPr>
              <w:fldChar w:fldCharType="begin" w:fldLock="1"/>
            </w:r>
            <w:r w:rsidR="000B1842">
              <w:rPr>
                <w:rFonts w:ascii="Times New Roman" w:hAnsi="Times New Roman" w:cs="Times New Roman"/>
                <w:b/>
                <w:bCs/>
                <w:sz w:val="20"/>
                <w:szCs w:val="20"/>
                <w:lang w:val="en-US"/>
              </w:rPr>
              <w:instrText>ADDIN CSL_CITATION {"citationItems":[{"id":"ITEM-1","itemData":{"DOI":"10.1016/S0168-8227(00)00123-6","ISSN":"01688227","abstract":"This study aimed to increase the monounsaturated fat content in the diet of outpatient adolescents with type 1 diabetes and to examine the metabolic effects after 12 weeks. Twenty-three adolescents were randomly allocated to either a high monounsaturated fat diet or a control diet. Their mean age was 16.9 (S.D. 2.1) years and median HbA(1c) was 9.1% [IQR 7.9-10.4%]. Dietary targets were not reached judged by their 4-day food diaries. However, the whole study group had a significant increase in monounsaturated fat as indexed by red cell phospholipid fatty acids (RCFAs), with an increase of n-9 RCFAs from 14.9% [IQR: 14.5-21.7%] to 21.7% [IQR: 18.8-25.6%] (P=0.002). Changes in n-9 RCFAs were inversely related to changes in HbA(1c) (R2=0.26, P=0.02), such that a 10% increase in n-9 RCFAs corresponded to a 0.64% improvement (decrease) in HbA(1c). Changes in n-9 RCFAs were also inversely related to changes in plasma total cholesterol (R2=0.38, P=0.002) and plasma LDL cholesterol (R2=0.21, P=0.03). These changes were not associated with changes in insulin dose, body weight or physical activity. Overall, the results demonstrate that a modest increase in the monounsaturated fat content of an adolescent diet has the potential to improve glycaemic control and lipid profile. Copyright (C) 2000 Elsevier Science Ireland Ltd.","author":[{"dropping-particle":"","family":"Donaghue","given":"K. C.","non-dropping-particle":"","parse-names":false,"suffix":""},{"dropping-particle":"","family":"Pena","given":"M. M.","non-dropping-particle":"","parse-names":false,"suffix":""},{"dropping-particle":"","family":"Chan","given":"A. K.F.","non-dropping-particle":"","parse-names":false,"suffix":""},{"dropping-particle":"","family":"Blades","given":"B. L.","non-dropping-particle":"","parse-names":false,"suffix":""},{"dropping-particle":"","family":"King","given":"J.","non-dropping-particle":"","parse-names":false,"suffix":""},{"dropping-particle":"","family":"Storlien","given":"L. H.","non-dropping-particle":"","parse-names":false,"suffix":""},{"dropping-particle":"","family":"Silink","given":"M.","non-dropping-particle":"","parse-names":false,"suffix":""}],"container-title":"Diabetes Research and Clinical Practice","id":"ITEM-1","issue":"3","issued":{"date-parts":[["2000"]]},"page":"193-199","title":"Beneficial effects of increasing monounsaturated fat intake in adolescents with type 1 diabetes","type":"article-journal","volume":"48"},"uris":["http://www.mendeley.com/documents/?uuid=7b50b09c-c032-4c13-9e87-7a9c138c7a28"]}],"mendeley":{"formattedCitation":"&lt;sup&gt;7&lt;/sup&gt;","plainTextFormattedCitation":"7","previouslyFormattedCitation":"&lt;sup&gt;7&lt;/sup&gt;"},"properties":{"noteIndex":0},"schema":"https://github.com/citation-style-language/schema/raw/master/csl-citation.json"}</w:instrText>
            </w:r>
            <w:r w:rsidRPr="00444FBD">
              <w:rPr>
                <w:rFonts w:ascii="Times New Roman" w:hAnsi="Times New Roman" w:cs="Times New Roman"/>
                <w:b/>
                <w:bCs/>
                <w:sz w:val="20"/>
                <w:szCs w:val="20"/>
                <w:lang w:val="en-US"/>
              </w:rPr>
              <w:fldChar w:fldCharType="separate"/>
            </w:r>
            <w:r w:rsidR="003D6897" w:rsidRPr="003D6897">
              <w:rPr>
                <w:rFonts w:ascii="Times New Roman" w:hAnsi="Times New Roman" w:cs="Times New Roman"/>
                <w:bCs/>
                <w:noProof/>
                <w:sz w:val="20"/>
                <w:szCs w:val="20"/>
                <w:vertAlign w:val="superscript"/>
                <w:lang w:val="en-US"/>
              </w:rPr>
              <w:t>7</w:t>
            </w:r>
            <w:r w:rsidRPr="00444FBD">
              <w:rPr>
                <w:rFonts w:ascii="Times New Roman" w:hAnsi="Times New Roman" w:cs="Times New Roman"/>
                <w:b/>
                <w:bCs/>
                <w:sz w:val="20"/>
                <w:szCs w:val="20"/>
                <w:lang w:val="en-US"/>
              </w:rPr>
              <w:fldChar w:fldCharType="end"/>
            </w:r>
          </w:p>
        </w:tc>
        <w:tc>
          <w:tcPr>
            <w:tcW w:w="841" w:type="pct"/>
            <w:tcBorders>
              <w:top w:val="single" w:sz="4" w:space="0" w:color="auto"/>
              <w:bottom w:val="single" w:sz="4" w:space="0" w:color="auto"/>
            </w:tcBorders>
            <w:vAlign w:val="center"/>
          </w:tcPr>
          <w:p w14:paraId="2ADD6A27" w14:textId="4A0E669F" w:rsidR="00F17BEA" w:rsidRPr="00444FBD" w:rsidRDefault="00F17BEA" w:rsidP="000B1842">
            <w:pPr>
              <w:rPr>
                <w:rFonts w:ascii="Times New Roman" w:hAnsi="Times New Roman" w:cs="Times New Roman"/>
                <w:b/>
                <w:bCs/>
                <w:sz w:val="20"/>
                <w:szCs w:val="20"/>
                <w:lang w:val="en-US"/>
              </w:rPr>
            </w:pPr>
            <w:proofErr w:type="spellStart"/>
            <w:r w:rsidRPr="00444FBD">
              <w:rPr>
                <w:rFonts w:ascii="Times New Roman" w:hAnsi="Times New Roman" w:cs="Times New Roman"/>
                <w:b/>
                <w:bCs/>
                <w:sz w:val="20"/>
                <w:szCs w:val="20"/>
                <w:lang w:val="en-US"/>
              </w:rPr>
              <w:t>Pichert</w:t>
            </w:r>
            <w:proofErr w:type="spellEnd"/>
            <w:r w:rsidRPr="00444FBD">
              <w:rPr>
                <w:rFonts w:ascii="Times New Roman" w:hAnsi="Times New Roman" w:cs="Times New Roman"/>
                <w:b/>
                <w:bCs/>
                <w:sz w:val="20"/>
                <w:szCs w:val="20"/>
                <w:lang w:val="en-US"/>
              </w:rPr>
              <w:t xml:space="preserve"> 1994</w:t>
            </w:r>
            <w:r w:rsidRPr="00444FBD">
              <w:rPr>
                <w:rFonts w:ascii="Times New Roman" w:hAnsi="Times New Roman" w:cs="Times New Roman"/>
                <w:b/>
                <w:bCs/>
                <w:sz w:val="20"/>
                <w:szCs w:val="20"/>
                <w:lang w:val="en-US"/>
              </w:rPr>
              <w:fldChar w:fldCharType="begin" w:fldLock="1"/>
            </w:r>
            <w:r w:rsidR="000B1842">
              <w:rPr>
                <w:rFonts w:ascii="Times New Roman" w:hAnsi="Times New Roman" w:cs="Times New Roman"/>
                <w:b/>
                <w:bCs/>
                <w:sz w:val="20"/>
                <w:szCs w:val="20"/>
                <w:lang w:val="en-US"/>
              </w:rPr>
              <w:instrText>ADDIN CSL_CITATION {"citationItems":[{"id":"ITEM-1","itemData":{"DOI":"10.1177/014572179402000109","ISSN":"15546063","abstract":"This paper describes a nutrition education experiment in which traditional direct instruction was compared with a problem-solving method called anchored instruction (AI). Participants were 69 children ages 9 to 15 years, with insulin-dependent diabetes mellitus (IDDM), who attended a diabetes camp. Following pretesting, campers were assigned to AI or direct instruction control classes. Posttests involved evaluating diabetes knowledge, personal meal plan knowledge, ability to choose an appropriate meal from a buffet line, and ability to pack appropriate meals for an overnight campout. AI and direct instruction both produced significant knowledge gains in this study. However, because the scores for the two groups did not differ, this study was unsuccessful in replicating results of other studies or extending the findings to selected measures of actual behavior. © 1994, Sage Publications. All rights reserved.","author":[{"dropping-particle":"","family":"Pichert","given":"James W.","non-dropping-particle":"","parse-names":false,"suffix":""},{"dropping-particle":"","family":"Smeltzer","given":"Christopher","non-dropping-particle":"","parse-names":false,"suffix":""},{"dropping-particle":"","family":"Snyder","given":"Gabriele M.","non-dropping-particle":"","parse-names":false,"suffix":""},{"dropping-particle":"","family":"Gregory","given":"Rebecca P.","non-dropping-particle":"","parse-names":false,"suffix":""},{"dropping-particle":"","family":"Smeltzer","given":"Rebecca","non-dropping-particle":"","parse-names":false,"suffix":""},{"dropping-particle":"","family":"Kinzer","given":"Charles K.","non-dropping-particle":"","parse-names":false,"suffix":""}],"container-title":"The Diabetes educator","id":"ITEM-1","issue":"1","issued":{"date-parts":[["1994"]]},"page":"45-48","title":"Traditional vs Anchored Instruction for Diabetes-Related Nutritional Knowledge, Skills, and Behavior","type":"article-journal","volume":"20"},"uris":["http://www.mendeley.com/documents/?uuid=a2724654-182c-4c21-aa5a-d3fe2c72839a"]}],"mendeley":{"formattedCitation":"&lt;sup&gt;8&lt;/sup&gt;","plainTextFormattedCitation":"8","previouslyFormattedCitation":"&lt;sup&gt;8&lt;/sup&gt;"},"properties":{"noteIndex":0},"schema":"https://github.com/citation-style-language/schema/raw/master/csl-citation.json"}</w:instrText>
            </w:r>
            <w:r w:rsidRPr="00444FBD">
              <w:rPr>
                <w:rFonts w:ascii="Times New Roman" w:hAnsi="Times New Roman" w:cs="Times New Roman"/>
                <w:b/>
                <w:bCs/>
                <w:sz w:val="20"/>
                <w:szCs w:val="20"/>
                <w:lang w:val="en-US"/>
              </w:rPr>
              <w:fldChar w:fldCharType="separate"/>
            </w:r>
            <w:r w:rsidR="003D6897" w:rsidRPr="003D6897">
              <w:rPr>
                <w:rFonts w:ascii="Times New Roman" w:hAnsi="Times New Roman" w:cs="Times New Roman"/>
                <w:bCs/>
                <w:noProof/>
                <w:sz w:val="20"/>
                <w:szCs w:val="20"/>
                <w:vertAlign w:val="superscript"/>
                <w:lang w:val="en-US"/>
              </w:rPr>
              <w:t>8</w:t>
            </w:r>
            <w:r w:rsidRPr="00444FBD">
              <w:rPr>
                <w:rFonts w:ascii="Times New Roman" w:hAnsi="Times New Roman" w:cs="Times New Roman"/>
                <w:b/>
                <w:bCs/>
                <w:sz w:val="20"/>
                <w:szCs w:val="20"/>
                <w:lang w:val="en-US"/>
              </w:rPr>
              <w:fldChar w:fldCharType="end"/>
            </w:r>
          </w:p>
        </w:tc>
        <w:tc>
          <w:tcPr>
            <w:tcW w:w="840" w:type="pct"/>
            <w:tcBorders>
              <w:top w:val="single" w:sz="4" w:space="0" w:color="auto"/>
              <w:bottom w:val="single" w:sz="4" w:space="0" w:color="auto"/>
            </w:tcBorders>
            <w:vAlign w:val="center"/>
          </w:tcPr>
          <w:p w14:paraId="0B3E301D" w14:textId="09D73AA3" w:rsidR="00F17BEA" w:rsidRPr="00444FBD" w:rsidRDefault="00F17BEA" w:rsidP="000B1842">
            <w:pPr>
              <w:rPr>
                <w:rFonts w:ascii="Times New Roman" w:hAnsi="Times New Roman" w:cs="Times New Roman"/>
                <w:b/>
                <w:bCs/>
                <w:sz w:val="20"/>
                <w:szCs w:val="20"/>
                <w:lang w:val="en-US"/>
              </w:rPr>
            </w:pPr>
            <w:r w:rsidRPr="00444FBD">
              <w:rPr>
                <w:rFonts w:ascii="Times New Roman" w:hAnsi="Times New Roman" w:cs="Times New Roman"/>
                <w:b/>
                <w:bCs/>
                <w:color w:val="000000" w:themeColor="text1"/>
                <w:sz w:val="20"/>
                <w:szCs w:val="20"/>
                <w:lang w:val="en-US"/>
              </w:rPr>
              <w:t>Hackett 1989</w:t>
            </w:r>
            <w:r w:rsidRPr="00444FBD">
              <w:rPr>
                <w:rFonts w:ascii="Times New Roman" w:hAnsi="Times New Roman" w:cs="Times New Roman"/>
                <w:b/>
                <w:bCs/>
                <w:color w:val="000000" w:themeColor="text1"/>
                <w:sz w:val="20"/>
                <w:szCs w:val="20"/>
                <w:lang w:val="en-US"/>
              </w:rPr>
              <w:fldChar w:fldCharType="begin" w:fldLock="1"/>
            </w:r>
            <w:r w:rsidR="000B1842">
              <w:rPr>
                <w:rFonts w:ascii="Times New Roman" w:hAnsi="Times New Roman" w:cs="Times New Roman"/>
                <w:b/>
                <w:bCs/>
                <w:color w:val="000000" w:themeColor="text1"/>
                <w:sz w:val="20"/>
                <w:szCs w:val="20"/>
                <w:lang w:val="en-US"/>
              </w:rPr>
              <w:instrText>ADDIN CSL_CITATION {"citationItems":[{"id":"ITEM-1","itemData":{"DOI":"10.1136/adc.64.7.997","ISSN":"00039888","PMID":"2629642","abstract":"The importance of education in the management of diabetes is recognised but has rarely been assessed in children. In a longitudinal controlled study we have examined the effect of a programme of education on the knowledge, diet, and concentration of glycated haemoglobin A(1c) in a group of diabetics. The programme took the form of two packages of education each consisting of four weekly meetings, in which small groups of parents and older children were led in a discussion of different aspects of diabetes. Only one of the 119 families who began the study failed to complete it. Family knowledge about diabetes improved as a result of the programme, although this was poorly retained in the fathers. A trend to improvement in several aspects of diet was noted but did not reach significance. A significant fall in glycated haemoglobin A(1c) was apparent seven months after the education in children aged 11 years and over. Those whose initial control was poor improved most. We conclude that such meetings should be considered as a useful adjunct to regular diabetic clinics.","author":[{"dropping-particle":"","family":"Hackett","given":"A. F.","non-dropping-particle":"","parse-names":false,"suffix":""},{"dropping-particle":"","family":"Court","given":"S.","non-dropping-particle":"","parse-names":false,"suffix":""},{"dropping-particle":"","family":"Matthews","given":"J. N.S.","non-dropping-particle":"","parse-names":false,"suffix":""},{"dropping-particle":"","family":"McCowen","given":"C.","non-dropping-particle":"","parse-names":false,"suffix":""},{"dropping-particle":"","family":"Parkin","given":"J. M.","non-dropping-particle":"","parse-names":false,"suffix":""}],"container-title":"Archives of Disease in Childhood","id":"ITEM-1","issue":"7","issued":{"date-parts":[["1989"]]},"page":"977-1003","title":"Do education groups help diabetics and their parents?","type":"article-journal","volume":"64"},"uris":["http://www.mendeley.com/documents/?uuid=c69a293b-6250-4b42-87f9-6eee3f80da4c"]}],"mendeley":{"formattedCitation":"&lt;sup&gt;9&lt;/sup&gt;","plainTextFormattedCitation":"9","previouslyFormattedCitation":"&lt;sup&gt;9&lt;/sup&gt;"},"properties":{"noteIndex":0},"schema":"https://github.com/citation-style-language/schema/raw/master/csl-citation.json"}</w:instrText>
            </w:r>
            <w:r w:rsidRPr="00444FBD">
              <w:rPr>
                <w:rFonts w:ascii="Times New Roman" w:hAnsi="Times New Roman" w:cs="Times New Roman"/>
                <w:b/>
                <w:bCs/>
                <w:color w:val="000000" w:themeColor="text1"/>
                <w:sz w:val="20"/>
                <w:szCs w:val="20"/>
                <w:lang w:val="en-US"/>
              </w:rPr>
              <w:fldChar w:fldCharType="separate"/>
            </w:r>
            <w:r w:rsidR="003D6897" w:rsidRPr="003D6897">
              <w:rPr>
                <w:rFonts w:ascii="Times New Roman" w:hAnsi="Times New Roman" w:cs="Times New Roman"/>
                <w:bCs/>
                <w:noProof/>
                <w:color w:val="000000" w:themeColor="text1"/>
                <w:sz w:val="20"/>
                <w:szCs w:val="20"/>
                <w:vertAlign w:val="superscript"/>
                <w:lang w:val="en-US"/>
              </w:rPr>
              <w:t>9</w:t>
            </w:r>
            <w:r w:rsidRPr="00444FBD">
              <w:rPr>
                <w:rFonts w:ascii="Times New Roman" w:hAnsi="Times New Roman" w:cs="Times New Roman"/>
                <w:b/>
                <w:bCs/>
                <w:color w:val="000000" w:themeColor="text1"/>
                <w:sz w:val="20"/>
                <w:szCs w:val="20"/>
                <w:lang w:val="en-US"/>
              </w:rPr>
              <w:fldChar w:fldCharType="end"/>
            </w:r>
          </w:p>
        </w:tc>
      </w:tr>
      <w:tr w:rsidR="00F17BEA" w:rsidRPr="003D6897" w14:paraId="7C6700F4" w14:textId="77777777" w:rsidTr="000B1842">
        <w:tc>
          <w:tcPr>
            <w:tcW w:w="894" w:type="pct"/>
            <w:tcBorders>
              <w:top w:val="single" w:sz="4" w:space="0" w:color="auto"/>
            </w:tcBorders>
            <w:vAlign w:val="center"/>
          </w:tcPr>
          <w:p w14:paraId="07415A22" w14:textId="77777777" w:rsidR="00F17BEA" w:rsidRPr="00444FBD" w:rsidRDefault="00F17BEA" w:rsidP="000B1842">
            <w:pPr>
              <w:rPr>
                <w:rFonts w:ascii="Times New Roman" w:hAnsi="Times New Roman" w:cs="Times New Roman"/>
                <w:b/>
                <w:bCs/>
                <w:sz w:val="20"/>
                <w:szCs w:val="20"/>
                <w:lang w:val="en-US"/>
              </w:rPr>
            </w:pPr>
            <w:r w:rsidRPr="00444FBD">
              <w:rPr>
                <w:rFonts w:ascii="Times New Roman" w:hAnsi="Times New Roman" w:cs="Times New Roman"/>
                <w:b/>
                <w:bCs/>
                <w:sz w:val="20"/>
                <w:szCs w:val="20"/>
                <w:lang w:val="en-US"/>
              </w:rPr>
              <w:t xml:space="preserve">RANDOM SEQUENCE GENERATION </w:t>
            </w:r>
          </w:p>
          <w:p w14:paraId="712B852B" w14:textId="77777777" w:rsidR="00F17BEA" w:rsidRPr="00444FBD" w:rsidRDefault="00F17BEA" w:rsidP="000B1842">
            <w:pPr>
              <w:rPr>
                <w:rFonts w:ascii="Times New Roman" w:hAnsi="Times New Roman" w:cs="Times New Roman"/>
                <w:b/>
                <w:bCs/>
                <w:sz w:val="20"/>
                <w:szCs w:val="20"/>
                <w:lang w:val="en-US"/>
              </w:rPr>
            </w:pPr>
            <w:r w:rsidRPr="00444FBD">
              <w:rPr>
                <w:rFonts w:ascii="Times New Roman" w:hAnsi="Times New Roman" w:cs="Times New Roman"/>
                <w:sz w:val="20"/>
                <w:szCs w:val="20"/>
                <w:lang w:val="en-US"/>
              </w:rPr>
              <w:t>(selection bias)</w:t>
            </w:r>
          </w:p>
        </w:tc>
        <w:tc>
          <w:tcPr>
            <w:tcW w:w="793" w:type="pct"/>
            <w:tcBorders>
              <w:top w:val="single" w:sz="4" w:space="0" w:color="auto"/>
            </w:tcBorders>
            <w:vAlign w:val="center"/>
          </w:tcPr>
          <w:p w14:paraId="2DA0B304" w14:textId="77777777" w:rsidR="00F17BEA" w:rsidRPr="00444FBD" w:rsidRDefault="00A75AD4"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 xml:space="preserve">high – randomization was performed with a minimization according to age, gender, BMI, duration of diabetes and glycemic control </w:t>
            </w:r>
          </w:p>
        </w:tc>
        <w:tc>
          <w:tcPr>
            <w:tcW w:w="793" w:type="pct"/>
            <w:tcBorders>
              <w:top w:val="single" w:sz="4" w:space="0" w:color="auto"/>
            </w:tcBorders>
            <w:vAlign w:val="center"/>
          </w:tcPr>
          <w:p w14:paraId="0900659E" w14:textId="77777777" w:rsidR="00F17BEA" w:rsidRPr="00444FBD" w:rsidRDefault="00F17BEA"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low - randomization was generated using a computer software.</w:t>
            </w:r>
          </w:p>
        </w:tc>
        <w:tc>
          <w:tcPr>
            <w:tcW w:w="841" w:type="pct"/>
            <w:tcBorders>
              <w:top w:val="single" w:sz="4" w:space="0" w:color="auto"/>
            </w:tcBorders>
            <w:vAlign w:val="center"/>
          </w:tcPr>
          <w:p w14:paraId="6F47049C" w14:textId="77777777" w:rsidR="00F17BEA" w:rsidRPr="00444FBD" w:rsidRDefault="00F17BEA"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this data was not described in detail.</w:t>
            </w:r>
          </w:p>
        </w:tc>
        <w:tc>
          <w:tcPr>
            <w:tcW w:w="841" w:type="pct"/>
            <w:tcBorders>
              <w:top w:val="single" w:sz="4" w:space="0" w:color="auto"/>
            </w:tcBorders>
            <w:vAlign w:val="center"/>
          </w:tcPr>
          <w:p w14:paraId="1288C6F1" w14:textId="77777777" w:rsidR="00F17BEA" w:rsidRPr="00444FBD" w:rsidRDefault="00F17BEA"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this data was not described in detail.</w:t>
            </w:r>
          </w:p>
        </w:tc>
        <w:tc>
          <w:tcPr>
            <w:tcW w:w="840" w:type="pct"/>
            <w:tcBorders>
              <w:top w:val="single" w:sz="4" w:space="0" w:color="auto"/>
            </w:tcBorders>
            <w:vAlign w:val="center"/>
          </w:tcPr>
          <w:p w14:paraId="2444BF2E" w14:textId="77777777" w:rsidR="00F17BEA" w:rsidRPr="00444FBD" w:rsidRDefault="00451D0F"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this data was not described in detail.</w:t>
            </w:r>
          </w:p>
        </w:tc>
      </w:tr>
      <w:tr w:rsidR="00F17BEA" w:rsidRPr="003D6897" w14:paraId="04C16C68" w14:textId="77777777" w:rsidTr="000B1842">
        <w:tc>
          <w:tcPr>
            <w:tcW w:w="894" w:type="pct"/>
            <w:vAlign w:val="center"/>
          </w:tcPr>
          <w:p w14:paraId="169C8827" w14:textId="77777777" w:rsidR="00F17BEA" w:rsidRPr="00444FBD" w:rsidRDefault="00F17BEA" w:rsidP="000B1842">
            <w:pPr>
              <w:rPr>
                <w:rFonts w:ascii="Times New Roman" w:hAnsi="Times New Roman" w:cs="Times New Roman"/>
                <w:b/>
                <w:bCs/>
                <w:sz w:val="20"/>
                <w:szCs w:val="20"/>
                <w:lang w:val="en-US"/>
              </w:rPr>
            </w:pPr>
            <w:r w:rsidRPr="00444FBD">
              <w:rPr>
                <w:rFonts w:ascii="Times New Roman" w:hAnsi="Times New Roman" w:cs="Times New Roman"/>
                <w:b/>
                <w:bCs/>
                <w:sz w:val="20"/>
                <w:szCs w:val="20"/>
                <w:lang w:val="en-US"/>
              </w:rPr>
              <w:t xml:space="preserve">ALLOCATION CONCEALMENT </w:t>
            </w:r>
          </w:p>
          <w:p w14:paraId="0E200F38" w14:textId="77777777" w:rsidR="00F17BEA" w:rsidRPr="00444FBD" w:rsidRDefault="00F17BEA" w:rsidP="000B1842">
            <w:pPr>
              <w:rPr>
                <w:rFonts w:ascii="Times New Roman" w:hAnsi="Times New Roman" w:cs="Times New Roman"/>
                <w:b/>
                <w:bCs/>
                <w:sz w:val="20"/>
                <w:szCs w:val="20"/>
                <w:lang w:val="en-US"/>
              </w:rPr>
            </w:pPr>
            <w:r w:rsidRPr="00444FBD">
              <w:rPr>
                <w:rFonts w:ascii="Times New Roman" w:hAnsi="Times New Roman" w:cs="Times New Roman"/>
                <w:sz w:val="20"/>
                <w:szCs w:val="20"/>
                <w:lang w:val="en-US"/>
              </w:rPr>
              <w:t>(selection bias)</w:t>
            </w:r>
          </w:p>
        </w:tc>
        <w:tc>
          <w:tcPr>
            <w:tcW w:w="793" w:type="pct"/>
            <w:vAlign w:val="center"/>
          </w:tcPr>
          <w:p w14:paraId="7EF4A305" w14:textId="77777777" w:rsidR="00F17BEA" w:rsidRPr="00444FBD" w:rsidRDefault="00C719F6"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high – the study had an open-label design</w:t>
            </w:r>
          </w:p>
        </w:tc>
        <w:tc>
          <w:tcPr>
            <w:tcW w:w="793" w:type="pct"/>
            <w:vAlign w:val="center"/>
          </w:tcPr>
          <w:p w14:paraId="0A1EE231" w14:textId="77777777" w:rsidR="00F17BEA" w:rsidRPr="00444FBD" w:rsidRDefault="00F17BEA"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although the researchers generated a random number table, they described that the blocks of participants were assigned consecutively.</w:t>
            </w:r>
          </w:p>
        </w:tc>
        <w:tc>
          <w:tcPr>
            <w:tcW w:w="841" w:type="pct"/>
            <w:vAlign w:val="center"/>
          </w:tcPr>
          <w:p w14:paraId="5DD83084" w14:textId="77777777" w:rsidR="00F17BEA" w:rsidRPr="00444FBD" w:rsidRDefault="00F17BEA"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this data was not described in detail.</w:t>
            </w:r>
          </w:p>
        </w:tc>
        <w:tc>
          <w:tcPr>
            <w:tcW w:w="841" w:type="pct"/>
            <w:vAlign w:val="center"/>
          </w:tcPr>
          <w:p w14:paraId="49CA1311" w14:textId="77777777" w:rsidR="00F17BEA" w:rsidRPr="00444FBD" w:rsidRDefault="00F17BEA"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this data was not described in detail.</w:t>
            </w:r>
          </w:p>
        </w:tc>
        <w:tc>
          <w:tcPr>
            <w:tcW w:w="840" w:type="pct"/>
            <w:vAlign w:val="center"/>
          </w:tcPr>
          <w:p w14:paraId="684A4838" w14:textId="77777777" w:rsidR="00F17BEA" w:rsidRPr="00444FBD" w:rsidRDefault="00451D0F"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this data was not described in detail.</w:t>
            </w:r>
          </w:p>
        </w:tc>
      </w:tr>
      <w:tr w:rsidR="00F17BEA" w:rsidRPr="003D6897" w14:paraId="37593134" w14:textId="77777777" w:rsidTr="000B1842">
        <w:tc>
          <w:tcPr>
            <w:tcW w:w="894" w:type="pct"/>
            <w:vAlign w:val="center"/>
          </w:tcPr>
          <w:p w14:paraId="0B688004" w14:textId="77777777" w:rsidR="00F17BEA" w:rsidRPr="00444FBD" w:rsidRDefault="00F17BEA" w:rsidP="000B1842">
            <w:pPr>
              <w:rPr>
                <w:rFonts w:ascii="Times New Roman" w:hAnsi="Times New Roman" w:cs="Times New Roman"/>
                <w:b/>
                <w:bCs/>
                <w:sz w:val="20"/>
                <w:szCs w:val="20"/>
                <w:lang w:val="en-US"/>
              </w:rPr>
            </w:pPr>
            <w:r w:rsidRPr="00444FBD">
              <w:rPr>
                <w:rFonts w:ascii="Times New Roman" w:hAnsi="Times New Roman" w:cs="Times New Roman"/>
                <w:b/>
                <w:bCs/>
                <w:sz w:val="20"/>
                <w:szCs w:val="20"/>
                <w:lang w:val="en-US"/>
              </w:rPr>
              <w:t xml:space="preserve">BLINDING OF PARTICIPANTS AND PERSONNEL </w:t>
            </w:r>
          </w:p>
          <w:p w14:paraId="4303CFB4" w14:textId="77777777" w:rsidR="00F17BEA" w:rsidRPr="00444FBD" w:rsidRDefault="00F17BEA" w:rsidP="000B1842">
            <w:pPr>
              <w:rPr>
                <w:rFonts w:ascii="Times New Roman" w:hAnsi="Times New Roman" w:cs="Times New Roman"/>
                <w:b/>
                <w:bCs/>
                <w:sz w:val="20"/>
                <w:szCs w:val="20"/>
                <w:lang w:val="en-US"/>
              </w:rPr>
            </w:pPr>
            <w:r w:rsidRPr="00444FBD">
              <w:rPr>
                <w:rFonts w:ascii="Times New Roman" w:hAnsi="Times New Roman" w:cs="Times New Roman"/>
                <w:sz w:val="20"/>
                <w:szCs w:val="20"/>
                <w:lang w:val="en-US"/>
              </w:rPr>
              <w:t>(performance bias)</w:t>
            </w:r>
          </w:p>
        </w:tc>
        <w:tc>
          <w:tcPr>
            <w:tcW w:w="793" w:type="pct"/>
            <w:vAlign w:val="center"/>
          </w:tcPr>
          <w:p w14:paraId="0443F35A" w14:textId="77777777" w:rsidR="00F17BEA" w:rsidRPr="00444FBD" w:rsidRDefault="00C719F6"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high – the study had an open-label design</w:t>
            </w:r>
          </w:p>
        </w:tc>
        <w:tc>
          <w:tcPr>
            <w:tcW w:w="793" w:type="pct"/>
            <w:vAlign w:val="center"/>
          </w:tcPr>
          <w:p w14:paraId="3DDB77B2" w14:textId="77777777" w:rsidR="00F17BEA" w:rsidRPr="00444FBD" w:rsidRDefault="00F17BEA"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high - the study probably had an open design.</w:t>
            </w:r>
          </w:p>
        </w:tc>
        <w:tc>
          <w:tcPr>
            <w:tcW w:w="841" w:type="pct"/>
            <w:vAlign w:val="center"/>
          </w:tcPr>
          <w:p w14:paraId="278BC3C1" w14:textId="77777777" w:rsidR="00F17BEA" w:rsidRPr="00444FBD" w:rsidRDefault="00F17BEA"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this data was not described in detail.</w:t>
            </w:r>
          </w:p>
        </w:tc>
        <w:tc>
          <w:tcPr>
            <w:tcW w:w="841" w:type="pct"/>
            <w:vAlign w:val="center"/>
          </w:tcPr>
          <w:p w14:paraId="37E17FA8" w14:textId="77777777" w:rsidR="00F17BEA" w:rsidRPr="00444FBD" w:rsidRDefault="00F17BEA"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this data was not described in detail.</w:t>
            </w:r>
          </w:p>
        </w:tc>
        <w:tc>
          <w:tcPr>
            <w:tcW w:w="840" w:type="pct"/>
            <w:vAlign w:val="center"/>
          </w:tcPr>
          <w:p w14:paraId="60EB20E1" w14:textId="77777777" w:rsidR="00F17BEA" w:rsidRPr="00444FBD" w:rsidRDefault="00451D0F"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this data was not described in detail.</w:t>
            </w:r>
          </w:p>
        </w:tc>
      </w:tr>
      <w:tr w:rsidR="00F17BEA" w:rsidRPr="003D6897" w14:paraId="1BE49F47" w14:textId="77777777" w:rsidTr="000B1842">
        <w:tc>
          <w:tcPr>
            <w:tcW w:w="894" w:type="pct"/>
            <w:vAlign w:val="center"/>
          </w:tcPr>
          <w:p w14:paraId="73C16D15" w14:textId="77777777" w:rsidR="00F17BEA" w:rsidRPr="00444FBD" w:rsidRDefault="00F17BEA" w:rsidP="000B1842">
            <w:pPr>
              <w:rPr>
                <w:rFonts w:ascii="Times New Roman" w:hAnsi="Times New Roman" w:cs="Times New Roman"/>
                <w:b/>
                <w:bCs/>
                <w:sz w:val="20"/>
                <w:szCs w:val="20"/>
                <w:lang w:val="en-US"/>
              </w:rPr>
            </w:pPr>
            <w:r w:rsidRPr="00444FBD">
              <w:rPr>
                <w:rFonts w:ascii="Times New Roman" w:hAnsi="Times New Roman" w:cs="Times New Roman"/>
                <w:b/>
                <w:bCs/>
                <w:sz w:val="20"/>
                <w:szCs w:val="20"/>
                <w:lang w:val="en-US"/>
              </w:rPr>
              <w:t xml:space="preserve">BLINDING OF OUTCOME ASSESSMENT </w:t>
            </w:r>
          </w:p>
          <w:p w14:paraId="5E82AC9F" w14:textId="77777777" w:rsidR="00F17BEA" w:rsidRPr="00444FBD" w:rsidRDefault="00F17BEA" w:rsidP="000B1842">
            <w:pPr>
              <w:rPr>
                <w:rFonts w:ascii="Times New Roman" w:hAnsi="Times New Roman" w:cs="Times New Roman"/>
                <w:b/>
                <w:bCs/>
                <w:sz w:val="20"/>
                <w:szCs w:val="20"/>
                <w:lang w:val="en-US"/>
              </w:rPr>
            </w:pPr>
            <w:r w:rsidRPr="00444FBD">
              <w:rPr>
                <w:rFonts w:ascii="Times New Roman" w:hAnsi="Times New Roman" w:cs="Times New Roman"/>
                <w:sz w:val="20"/>
                <w:szCs w:val="20"/>
                <w:lang w:val="en-US"/>
              </w:rPr>
              <w:t>(detection bias)</w:t>
            </w:r>
          </w:p>
        </w:tc>
        <w:tc>
          <w:tcPr>
            <w:tcW w:w="793" w:type="pct"/>
            <w:vAlign w:val="center"/>
          </w:tcPr>
          <w:p w14:paraId="5625427A" w14:textId="77777777" w:rsidR="00F17BEA" w:rsidRPr="00444FBD" w:rsidRDefault="00C719F6"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high - food diaries were analyzed by the researcher.</w:t>
            </w:r>
          </w:p>
        </w:tc>
        <w:tc>
          <w:tcPr>
            <w:tcW w:w="793" w:type="pct"/>
            <w:vAlign w:val="center"/>
          </w:tcPr>
          <w:p w14:paraId="6E741FAE" w14:textId="77777777" w:rsidR="00F17BEA" w:rsidRPr="00444FBD" w:rsidRDefault="00F17BEA"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high - food diaries were analyzed by the researcher.</w:t>
            </w:r>
          </w:p>
        </w:tc>
        <w:tc>
          <w:tcPr>
            <w:tcW w:w="841" w:type="pct"/>
            <w:vAlign w:val="center"/>
          </w:tcPr>
          <w:p w14:paraId="77F03C7C" w14:textId="77777777" w:rsidR="00F17BEA" w:rsidRPr="00444FBD" w:rsidRDefault="00F17BEA"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high - the study probably had an open design.</w:t>
            </w:r>
          </w:p>
        </w:tc>
        <w:tc>
          <w:tcPr>
            <w:tcW w:w="841" w:type="pct"/>
            <w:vAlign w:val="center"/>
          </w:tcPr>
          <w:p w14:paraId="564D5F00" w14:textId="77777777" w:rsidR="00F17BEA" w:rsidRPr="00444FBD" w:rsidRDefault="00F17BEA"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high - the study probably had an open design.</w:t>
            </w:r>
          </w:p>
        </w:tc>
        <w:tc>
          <w:tcPr>
            <w:tcW w:w="840" w:type="pct"/>
            <w:vAlign w:val="center"/>
          </w:tcPr>
          <w:p w14:paraId="714269E0" w14:textId="77777777" w:rsidR="00F17BEA" w:rsidRPr="00444FBD" w:rsidRDefault="00451D0F"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high - the study probably had an open design.</w:t>
            </w:r>
          </w:p>
        </w:tc>
      </w:tr>
      <w:tr w:rsidR="00F17BEA" w:rsidRPr="003D6897" w14:paraId="3F874C74" w14:textId="77777777" w:rsidTr="000B1842">
        <w:tc>
          <w:tcPr>
            <w:tcW w:w="894" w:type="pct"/>
            <w:vAlign w:val="center"/>
          </w:tcPr>
          <w:p w14:paraId="2CBF25A9" w14:textId="77777777" w:rsidR="00F17BEA" w:rsidRPr="00444FBD" w:rsidRDefault="00F17BEA" w:rsidP="000B1842">
            <w:pPr>
              <w:rPr>
                <w:rFonts w:ascii="Times New Roman" w:hAnsi="Times New Roman" w:cs="Times New Roman"/>
                <w:b/>
                <w:bCs/>
                <w:sz w:val="20"/>
                <w:szCs w:val="20"/>
                <w:lang w:val="en-US"/>
              </w:rPr>
            </w:pPr>
            <w:r w:rsidRPr="00444FBD">
              <w:rPr>
                <w:rFonts w:ascii="Times New Roman" w:hAnsi="Times New Roman" w:cs="Times New Roman"/>
                <w:b/>
                <w:bCs/>
                <w:sz w:val="20"/>
                <w:szCs w:val="20"/>
                <w:lang w:val="en-US"/>
              </w:rPr>
              <w:t xml:space="preserve">INCOMPLETE OUTCOME DATA </w:t>
            </w:r>
          </w:p>
          <w:p w14:paraId="3C148715" w14:textId="77777777" w:rsidR="00F17BEA" w:rsidRPr="00444FBD" w:rsidRDefault="00F17BEA" w:rsidP="000B1842">
            <w:pPr>
              <w:rPr>
                <w:rFonts w:ascii="Times New Roman" w:hAnsi="Times New Roman" w:cs="Times New Roman"/>
                <w:b/>
                <w:bCs/>
                <w:sz w:val="20"/>
                <w:szCs w:val="20"/>
                <w:lang w:val="en-US"/>
              </w:rPr>
            </w:pPr>
            <w:r w:rsidRPr="00444FBD">
              <w:rPr>
                <w:rFonts w:ascii="Times New Roman" w:hAnsi="Times New Roman" w:cs="Times New Roman"/>
                <w:sz w:val="20"/>
                <w:szCs w:val="20"/>
                <w:lang w:val="en-US"/>
              </w:rPr>
              <w:t>(attrition bias)</w:t>
            </w:r>
          </w:p>
        </w:tc>
        <w:tc>
          <w:tcPr>
            <w:tcW w:w="793" w:type="pct"/>
            <w:vAlign w:val="center"/>
          </w:tcPr>
          <w:p w14:paraId="7A8EFD6D" w14:textId="77777777" w:rsidR="00F17BEA" w:rsidRPr="00444FBD" w:rsidRDefault="00C719F6"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low - study groups were equality without significant follow-up withdrawn.</w:t>
            </w:r>
          </w:p>
        </w:tc>
        <w:tc>
          <w:tcPr>
            <w:tcW w:w="793" w:type="pct"/>
            <w:vAlign w:val="center"/>
          </w:tcPr>
          <w:p w14:paraId="5A9D45C4" w14:textId="77777777" w:rsidR="00F17BEA" w:rsidRPr="00444FBD" w:rsidRDefault="00F17BEA"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high - unequal attrition between study groups.</w:t>
            </w:r>
          </w:p>
        </w:tc>
        <w:tc>
          <w:tcPr>
            <w:tcW w:w="841" w:type="pct"/>
            <w:vAlign w:val="center"/>
          </w:tcPr>
          <w:p w14:paraId="5E8A641E" w14:textId="77777777" w:rsidR="00F17BEA" w:rsidRPr="00444FBD" w:rsidRDefault="00F17BEA"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low - study groups were equality without significant follow-up withdrawn.</w:t>
            </w:r>
          </w:p>
        </w:tc>
        <w:tc>
          <w:tcPr>
            <w:tcW w:w="841" w:type="pct"/>
            <w:vAlign w:val="center"/>
          </w:tcPr>
          <w:p w14:paraId="7E2FACA9" w14:textId="77777777" w:rsidR="00F17BEA" w:rsidRPr="00444FBD" w:rsidRDefault="00F17BEA"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this data was not described in detail.</w:t>
            </w:r>
          </w:p>
        </w:tc>
        <w:tc>
          <w:tcPr>
            <w:tcW w:w="840" w:type="pct"/>
            <w:vAlign w:val="center"/>
          </w:tcPr>
          <w:p w14:paraId="05FFC077" w14:textId="77777777" w:rsidR="00F17BEA" w:rsidRPr="00444FBD" w:rsidRDefault="009D43A0"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this data was not described in detail.</w:t>
            </w:r>
          </w:p>
        </w:tc>
      </w:tr>
      <w:tr w:rsidR="00F17BEA" w:rsidRPr="003D6897" w14:paraId="5008C568" w14:textId="77777777" w:rsidTr="000B1842">
        <w:tc>
          <w:tcPr>
            <w:tcW w:w="894" w:type="pct"/>
            <w:vAlign w:val="center"/>
          </w:tcPr>
          <w:p w14:paraId="448CD2F6" w14:textId="77777777" w:rsidR="00F17BEA" w:rsidRPr="00444FBD" w:rsidRDefault="00F17BEA" w:rsidP="000B1842">
            <w:pPr>
              <w:rPr>
                <w:rFonts w:ascii="Times New Roman" w:hAnsi="Times New Roman" w:cs="Times New Roman"/>
                <w:b/>
                <w:bCs/>
                <w:sz w:val="20"/>
                <w:szCs w:val="20"/>
                <w:lang w:val="en-US"/>
              </w:rPr>
            </w:pPr>
            <w:r w:rsidRPr="00444FBD">
              <w:rPr>
                <w:rFonts w:ascii="Times New Roman" w:hAnsi="Times New Roman" w:cs="Times New Roman"/>
                <w:b/>
                <w:bCs/>
                <w:sz w:val="20"/>
                <w:szCs w:val="20"/>
                <w:lang w:val="en-US"/>
              </w:rPr>
              <w:t xml:space="preserve">SELECTIVE REPORTING </w:t>
            </w:r>
            <w:r w:rsidRPr="00444FBD">
              <w:rPr>
                <w:rFonts w:ascii="Times New Roman" w:hAnsi="Times New Roman" w:cs="Times New Roman"/>
                <w:sz w:val="20"/>
                <w:szCs w:val="20"/>
                <w:lang w:val="en-US"/>
              </w:rPr>
              <w:t>(reporting bias)</w:t>
            </w:r>
          </w:p>
        </w:tc>
        <w:tc>
          <w:tcPr>
            <w:tcW w:w="793" w:type="pct"/>
            <w:vAlign w:val="center"/>
          </w:tcPr>
          <w:p w14:paraId="6985F285" w14:textId="77777777" w:rsidR="00F17BEA" w:rsidRPr="00444FBD" w:rsidRDefault="00C719F6"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study protocol was not available.</w:t>
            </w:r>
          </w:p>
        </w:tc>
        <w:tc>
          <w:tcPr>
            <w:tcW w:w="793" w:type="pct"/>
            <w:vAlign w:val="center"/>
          </w:tcPr>
          <w:p w14:paraId="52B5B946" w14:textId="77777777" w:rsidR="00F17BEA" w:rsidRPr="00444FBD" w:rsidRDefault="00F17BEA"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study protocol was not available.</w:t>
            </w:r>
          </w:p>
        </w:tc>
        <w:tc>
          <w:tcPr>
            <w:tcW w:w="841" w:type="pct"/>
            <w:vAlign w:val="center"/>
          </w:tcPr>
          <w:p w14:paraId="20918DEB" w14:textId="77777777" w:rsidR="00F17BEA" w:rsidRPr="00444FBD" w:rsidRDefault="00F17BEA"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study protocol was not available.</w:t>
            </w:r>
          </w:p>
        </w:tc>
        <w:tc>
          <w:tcPr>
            <w:tcW w:w="841" w:type="pct"/>
            <w:vAlign w:val="center"/>
          </w:tcPr>
          <w:p w14:paraId="0AFE41E6" w14:textId="77777777" w:rsidR="00F17BEA" w:rsidRPr="00444FBD" w:rsidRDefault="00F17BEA"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study protocol was not available.</w:t>
            </w:r>
          </w:p>
        </w:tc>
        <w:tc>
          <w:tcPr>
            <w:tcW w:w="840" w:type="pct"/>
            <w:vAlign w:val="center"/>
          </w:tcPr>
          <w:p w14:paraId="5732B9A5" w14:textId="77777777" w:rsidR="00F17BEA" w:rsidRPr="00444FBD" w:rsidRDefault="009D43A0" w:rsidP="000B1842">
            <w:pPr>
              <w:rPr>
                <w:rFonts w:ascii="Times New Roman" w:hAnsi="Times New Roman" w:cs="Times New Roman"/>
                <w:sz w:val="20"/>
                <w:szCs w:val="20"/>
                <w:lang w:val="en-US"/>
              </w:rPr>
            </w:pPr>
            <w:r w:rsidRPr="00444FBD">
              <w:rPr>
                <w:rFonts w:ascii="Times New Roman" w:hAnsi="Times New Roman" w:cs="Times New Roman"/>
                <w:sz w:val="20"/>
                <w:szCs w:val="20"/>
                <w:lang w:val="en-US"/>
              </w:rPr>
              <w:t>uncertain - study protocol was not available.</w:t>
            </w:r>
          </w:p>
        </w:tc>
      </w:tr>
    </w:tbl>
    <w:p w14:paraId="7B8A1825" w14:textId="77777777" w:rsidR="008E39A2" w:rsidRDefault="008E39A2">
      <w:pPr>
        <w:rPr>
          <w:lang w:val="en-US"/>
        </w:rPr>
      </w:pPr>
    </w:p>
    <w:p w14:paraId="7BCD3CD2" w14:textId="77777777" w:rsidR="008E39A2" w:rsidRDefault="008E39A2">
      <w:pPr>
        <w:rPr>
          <w:lang w:val="en-US"/>
        </w:rPr>
      </w:pPr>
    </w:p>
    <w:p w14:paraId="0BA34E63" w14:textId="77777777" w:rsidR="008E39A2" w:rsidRDefault="008E39A2">
      <w:pPr>
        <w:rPr>
          <w:b/>
          <w:bCs/>
          <w:lang w:val="en-US"/>
        </w:rPr>
      </w:pPr>
      <w:r>
        <w:rPr>
          <w:b/>
          <w:bCs/>
          <w:lang w:val="en-US"/>
        </w:rPr>
        <w:br w:type="page"/>
      </w:r>
    </w:p>
    <w:p w14:paraId="1302D674" w14:textId="77777777" w:rsidR="008E39A2" w:rsidRDefault="008E39A2">
      <w:pPr>
        <w:rPr>
          <w:b/>
          <w:bCs/>
          <w:lang w:val="en-US"/>
        </w:rPr>
        <w:sectPr w:rsidR="008E39A2" w:rsidSect="009A1E91">
          <w:pgSz w:w="16840" w:h="11900" w:orient="landscape"/>
          <w:pgMar w:top="567" w:right="567" w:bottom="567" w:left="567" w:header="708" w:footer="708" w:gutter="0"/>
          <w:cols w:space="708"/>
          <w:docGrid w:linePitch="360"/>
        </w:sectPr>
      </w:pPr>
    </w:p>
    <w:p w14:paraId="6EE9D33D" w14:textId="11FDDCDA" w:rsidR="00724112" w:rsidRDefault="008E39A2" w:rsidP="00444FBD">
      <w:pPr>
        <w:spacing w:line="480" w:lineRule="auto"/>
        <w:rPr>
          <w:rFonts w:ascii="Times New Roman" w:hAnsi="Times New Roman" w:cs="Times New Roman"/>
          <w:b/>
          <w:bCs/>
          <w:sz w:val="22"/>
          <w:szCs w:val="22"/>
          <w:lang w:val="en-US"/>
        </w:rPr>
      </w:pPr>
      <w:r w:rsidRPr="00444FBD">
        <w:rPr>
          <w:rFonts w:ascii="Times New Roman" w:hAnsi="Times New Roman" w:cs="Times New Roman"/>
          <w:b/>
          <w:bCs/>
          <w:sz w:val="22"/>
          <w:szCs w:val="22"/>
          <w:lang w:val="en-US"/>
        </w:rPr>
        <w:lastRenderedPageBreak/>
        <w:t>REFERENCES</w:t>
      </w:r>
    </w:p>
    <w:p w14:paraId="156C49EB" w14:textId="6CE9C69E" w:rsidR="000B1842" w:rsidRPr="000B1842" w:rsidRDefault="000B1842" w:rsidP="008710ED">
      <w:pPr>
        <w:widowControl w:val="0"/>
        <w:autoSpaceDE w:val="0"/>
        <w:autoSpaceDN w:val="0"/>
        <w:adjustRightInd w:val="0"/>
        <w:spacing w:line="480" w:lineRule="auto"/>
        <w:ind w:left="640" w:hanging="640"/>
        <w:jc w:val="both"/>
        <w:rPr>
          <w:rFonts w:ascii="Times New Roman" w:hAnsi="Times New Roman" w:cs="Times New Roman"/>
          <w:noProof/>
          <w:sz w:val="22"/>
        </w:rPr>
      </w:pPr>
      <w:r>
        <w:rPr>
          <w:rFonts w:ascii="Times New Roman" w:hAnsi="Times New Roman" w:cs="Times New Roman"/>
          <w:b/>
          <w:bCs/>
          <w:sz w:val="22"/>
          <w:szCs w:val="22"/>
          <w:lang w:val="en-US"/>
        </w:rPr>
        <w:fldChar w:fldCharType="begin" w:fldLock="1"/>
      </w:r>
      <w:r>
        <w:rPr>
          <w:rFonts w:ascii="Times New Roman" w:hAnsi="Times New Roman" w:cs="Times New Roman"/>
          <w:b/>
          <w:bCs/>
          <w:sz w:val="22"/>
          <w:szCs w:val="22"/>
          <w:lang w:val="en-US"/>
        </w:rPr>
        <w:instrText xml:space="preserve">ADDIN Mendeley Bibliography CSL_BIBLIOGRAPHY </w:instrText>
      </w:r>
      <w:r>
        <w:rPr>
          <w:rFonts w:ascii="Times New Roman" w:hAnsi="Times New Roman" w:cs="Times New Roman"/>
          <w:b/>
          <w:bCs/>
          <w:sz w:val="22"/>
          <w:szCs w:val="22"/>
          <w:lang w:val="en-US"/>
        </w:rPr>
        <w:fldChar w:fldCharType="separate"/>
      </w:r>
      <w:r w:rsidRPr="000B1842">
        <w:rPr>
          <w:rFonts w:ascii="Times New Roman" w:hAnsi="Times New Roman" w:cs="Times New Roman"/>
          <w:noProof/>
          <w:sz w:val="22"/>
        </w:rPr>
        <w:t>1 .</w:t>
      </w:r>
      <w:r w:rsidRPr="000B1842">
        <w:rPr>
          <w:rFonts w:ascii="Times New Roman" w:hAnsi="Times New Roman" w:cs="Times New Roman"/>
          <w:noProof/>
          <w:sz w:val="22"/>
        </w:rPr>
        <w:tab/>
        <w:t xml:space="preserve">Dłużniak-Gołaska K, Panczyk M, Szostak-Węgierek D, Szypowska A, Sińska B. Analysis of the diet quality and dietary habits of children and adolescents with type 1 diabetes. </w:t>
      </w:r>
      <w:r w:rsidRPr="000B1842">
        <w:rPr>
          <w:rFonts w:ascii="Times New Roman" w:hAnsi="Times New Roman" w:cs="Times New Roman"/>
          <w:i/>
          <w:iCs/>
          <w:noProof/>
          <w:sz w:val="22"/>
        </w:rPr>
        <w:t>Diabetes, Metab. Syndr. Obes. Targets Ther.</w:t>
      </w:r>
      <w:r>
        <w:rPr>
          <w:rFonts w:ascii="Times New Roman" w:hAnsi="Times New Roman" w:cs="Times New Roman"/>
          <w:noProof/>
          <w:sz w:val="22"/>
        </w:rPr>
        <w:t xml:space="preserve"> </w:t>
      </w:r>
      <w:r w:rsidRPr="000B1842">
        <w:rPr>
          <w:rFonts w:ascii="Times New Roman" w:hAnsi="Times New Roman" w:cs="Times New Roman"/>
          <w:b/>
          <w:bCs/>
          <w:noProof/>
          <w:sz w:val="22"/>
        </w:rPr>
        <w:t>12</w:t>
      </w:r>
      <w:r>
        <w:rPr>
          <w:rFonts w:ascii="Times New Roman" w:hAnsi="Times New Roman" w:cs="Times New Roman"/>
          <w:noProof/>
          <w:sz w:val="22"/>
        </w:rPr>
        <w:t>,</w:t>
      </w:r>
      <w:r w:rsidRPr="000B1842">
        <w:rPr>
          <w:rFonts w:ascii="Times New Roman" w:hAnsi="Times New Roman" w:cs="Times New Roman"/>
          <w:noProof/>
          <w:sz w:val="22"/>
        </w:rPr>
        <w:t xml:space="preserve"> 161–170 (2019).</w:t>
      </w:r>
    </w:p>
    <w:p w14:paraId="765C6A60" w14:textId="4D5674A5" w:rsidR="000B1842" w:rsidRPr="000B1842" w:rsidRDefault="000B1842" w:rsidP="008710ED">
      <w:pPr>
        <w:widowControl w:val="0"/>
        <w:autoSpaceDE w:val="0"/>
        <w:autoSpaceDN w:val="0"/>
        <w:adjustRightInd w:val="0"/>
        <w:spacing w:line="480" w:lineRule="auto"/>
        <w:ind w:left="640" w:hanging="640"/>
        <w:jc w:val="both"/>
        <w:rPr>
          <w:rFonts w:ascii="Times New Roman" w:hAnsi="Times New Roman" w:cs="Times New Roman"/>
          <w:noProof/>
          <w:sz w:val="22"/>
        </w:rPr>
      </w:pPr>
      <w:r w:rsidRPr="000B1842">
        <w:rPr>
          <w:rFonts w:ascii="Times New Roman" w:hAnsi="Times New Roman" w:cs="Times New Roman"/>
          <w:noProof/>
          <w:sz w:val="22"/>
        </w:rPr>
        <w:t>2 .</w:t>
      </w:r>
      <w:r w:rsidRPr="000B1842">
        <w:rPr>
          <w:rFonts w:ascii="Times New Roman" w:hAnsi="Times New Roman" w:cs="Times New Roman"/>
          <w:noProof/>
          <w:sz w:val="22"/>
        </w:rPr>
        <w:tab/>
        <w:t xml:space="preserve">Nansel TR, Laffel LMB, Haynie DL, Mehta SN, Lipsky LM, Volkening LK </w:t>
      </w:r>
      <w:r w:rsidRPr="000B1842">
        <w:rPr>
          <w:rFonts w:ascii="Times New Roman" w:hAnsi="Times New Roman" w:cs="Times New Roman"/>
          <w:i/>
          <w:iCs/>
          <w:noProof/>
          <w:sz w:val="22"/>
        </w:rPr>
        <w:t>et al.</w:t>
      </w:r>
      <w:r w:rsidRPr="000B1842">
        <w:rPr>
          <w:rFonts w:ascii="Times New Roman" w:hAnsi="Times New Roman" w:cs="Times New Roman"/>
          <w:noProof/>
          <w:sz w:val="22"/>
        </w:rPr>
        <w:t xml:space="preserve"> Improving dietary quality in youth with type 1 diabetes: Randomized clinical trial of a family-based behavioral intervention. </w:t>
      </w:r>
      <w:r w:rsidRPr="000B1842">
        <w:rPr>
          <w:rFonts w:ascii="Times New Roman" w:hAnsi="Times New Roman" w:cs="Times New Roman"/>
          <w:i/>
          <w:iCs/>
          <w:noProof/>
          <w:sz w:val="22"/>
        </w:rPr>
        <w:t>Int. J. Behav. Nutr. Phys. Act.</w:t>
      </w:r>
      <w:r w:rsidRPr="000B1842">
        <w:rPr>
          <w:rFonts w:ascii="Times New Roman" w:hAnsi="Times New Roman" w:cs="Times New Roman"/>
          <w:noProof/>
          <w:sz w:val="22"/>
        </w:rPr>
        <w:t xml:space="preserve"> </w:t>
      </w:r>
      <w:r w:rsidRPr="000B1842">
        <w:rPr>
          <w:rFonts w:ascii="Times New Roman" w:hAnsi="Times New Roman" w:cs="Times New Roman"/>
          <w:b/>
          <w:bCs/>
          <w:noProof/>
          <w:sz w:val="22"/>
        </w:rPr>
        <w:t>12</w:t>
      </w:r>
      <w:r>
        <w:rPr>
          <w:rFonts w:ascii="Times New Roman" w:hAnsi="Times New Roman" w:cs="Times New Roman"/>
          <w:b/>
          <w:bCs/>
          <w:noProof/>
          <w:sz w:val="22"/>
        </w:rPr>
        <w:t>,</w:t>
      </w:r>
      <w:r w:rsidRPr="000B1842">
        <w:rPr>
          <w:rFonts w:ascii="Times New Roman" w:hAnsi="Times New Roman" w:cs="Times New Roman"/>
          <w:noProof/>
          <w:sz w:val="22"/>
        </w:rPr>
        <w:t xml:space="preserve"> 1–11 (2015).</w:t>
      </w:r>
    </w:p>
    <w:p w14:paraId="5269D2F2" w14:textId="656A95DE" w:rsidR="000B1842" w:rsidRPr="000B1842" w:rsidRDefault="000B1842" w:rsidP="008710ED">
      <w:pPr>
        <w:widowControl w:val="0"/>
        <w:autoSpaceDE w:val="0"/>
        <w:autoSpaceDN w:val="0"/>
        <w:adjustRightInd w:val="0"/>
        <w:spacing w:line="480" w:lineRule="auto"/>
        <w:ind w:left="640" w:hanging="640"/>
        <w:jc w:val="both"/>
        <w:rPr>
          <w:rFonts w:ascii="Times New Roman" w:hAnsi="Times New Roman" w:cs="Times New Roman"/>
          <w:noProof/>
          <w:sz w:val="22"/>
        </w:rPr>
      </w:pPr>
      <w:r w:rsidRPr="000B1842">
        <w:rPr>
          <w:rFonts w:ascii="Times New Roman" w:hAnsi="Times New Roman" w:cs="Times New Roman"/>
          <w:noProof/>
          <w:sz w:val="22"/>
        </w:rPr>
        <w:t>3 .</w:t>
      </w:r>
      <w:r w:rsidRPr="000B1842">
        <w:rPr>
          <w:rFonts w:ascii="Times New Roman" w:hAnsi="Times New Roman" w:cs="Times New Roman"/>
          <w:noProof/>
          <w:sz w:val="22"/>
        </w:rPr>
        <w:tab/>
        <w:t xml:space="preserve">Gökşen D, Altinok YA, Özen S, Demir G, Darcan Ş. Effects of carbohydrate counting method on metabolic control in children with type 1 diabetes mellitus. </w:t>
      </w:r>
      <w:r w:rsidRPr="000B1842">
        <w:rPr>
          <w:rFonts w:ascii="Times New Roman" w:hAnsi="Times New Roman" w:cs="Times New Roman"/>
          <w:i/>
          <w:iCs/>
          <w:noProof/>
          <w:sz w:val="22"/>
        </w:rPr>
        <w:t>J. Clin. Res. Pediatr. Endocrinol.</w:t>
      </w:r>
      <w:r w:rsidRPr="000B1842">
        <w:rPr>
          <w:rFonts w:ascii="Times New Roman" w:hAnsi="Times New Roman" w:cs="Times New Roman"/>
          <w:noProof/>
          <w:sz w:val="22"/>
        </w:rPr>
        <w:t xml:space="preserve"> </w:t>
      </w:r>
      <w:r w:rsidRPr="000B1842">
        <w:rPr>
          <w:rFonts w:ascii="Times New Roman" w:hAnsi="Times New Roman" w:cs="Times New Roman"/>
          <w:b/>
          <w:bCs/>
          <w:noProof/>
          <w:sz w:val="22"/>
        </w:rPr>
        <w:t>6</w:t>
      </w:r>
      <w:r>
        <w:rPr>
          <w:rFonts w:ascii="Times New Roman" w:hAnsi="Times New Roman" w:cs="Times New Roman"/>
          <w:noProof/>
          <w:sz w:val="22"/>
        </w:rPr>
        <w:t>,</w:t>
      </w:r>
      <w:r w:rsidRPr="000B1842">
        <w:rPr>
          <w:rFonts w:ascii="Times New Roman" w:hAnsi="Times New Roman" w:cs="Times New Roman"/>
          <w:noProof/>
          <w:sz w:val="22"/>
        </w:rPr>
        <w:t xml:space="preserve"> 74–78 (2014).</w:t>
      </w:r>
    </w:p>
    <w:p w14:paraId="40CE614F" w14:textId="308C8AD6" w:rsidR="000B1842" w:rsidRPr="000B1842" w:rsidRDefault="000B1842" w:rsidP="008710ED">
      <w:pPr>
        <w:widowControl w:val="0"/>
        <w:autoSpaceDE w:val="0"/>
        <w:autoSpaceDN w:val="0"/>
        <w:adjustRightInd w:val="0"/>
        <w:spacing w:line="480" w:lineRule="auto"/>
        <w:ind w:left="640" w:hanging="640"/>
        <w:jc w:val="both"/>
        <w:rPr>
          <w:rFonts w:ascii="Times New Roman" w:hAnsi="Times New Roman" w:cs="Times New Roman"/>
          <w:noProof/>
          <w:sz w:val="22"/>
        </w:rPr>
      </w:pPr>
      <w:r w:rsidRPr="000B1842">
        <w:rPr>
          <w:rFonts w:ascii="Times New Roman" w:hAnsi="Times New Roman" w:cs="Times New Roman"/>
          <w:noProof/>
          <w:sz w:val="22"/>
        </w:rPr>
        <w:t>4 .</w:t>
      </w:r>
      <w:r w:rsidRPr="000B1842">
        <w:rPr>
          <w:rFonts w:ascii="Times New Roman" w:hAnsi="Times New Roman" w:cs="Times New Roman"/>
          <w:noProof/>
          <w:sz w:val="22"/>
        </w:rPr>
        <w:tab/>
        <w:t xml:space="preserve">Spiegel G, Bortsov A, Bishop FK, Owen D, Klingensmith GJ, Mayer-Davis EJ </w:t>
      </w:r>
      <w:r w:rsidRPr="000B1842">
        <w:rPr>
          <w:rFonts w:ascii="Times New Roman" w:hAnsi="Times New Roman" w:cs="Times New Roman"/>
          <w:i/>
          <w:iCs/>
          <w:noProof/>
          <w:sz w:val="22"/>
        </w:rPr>
        <w:t>et al.</w:t>
      </w:r>
      <w:r w:rsidRPr="000B1842">
        <w:rPr>
          <w:rFonts w:ascii="Times New Roman" w:hAnsi="Times New Roman" w:cs="Times New Roman"/>
          <w:noProof/>
          <w:sz w:val="22"/>
        </w:rPr>
        <w:t xml:space="preserve"> Randomized Nutrition Education Intervention to Improve Carbohydrate Counting in Adolescents with Type 1 Diabetes Study: Is More Intensive Education Needed? </w:t>
      </w:r>
      <w:r w:rsidRPr="000B1842">
        <w:rPr>
          <w:rFonts w:ascii="Times New Roman" w:hAnsi="Times New Roman" w:cs="Times New Roman"/>
          <w:i/>
          <w:iCs/>
          <w:noProof/>
          <w:sz w:val="22"/>
        </w:rPr>
        <w:t>J. Acad. Nutr. Diet.</w:t>
      </w:r>
      <w:r w:rsidRPr="000B1842">
        <w:rPr>
          <w:rFonts w:ascii="Times New Roman" w:hAnsi="Times New Roman" w:cs="Times New Roman"/>
          <w:noProof/>
          <w:sz w:val="22"/>
        </w:rPr>
        <w:t xml:space="preserve"> </w:t>
      </w:r>
      <w:r w:rsidRPr="000B1842">
        <w:rPr>
          <w:rFonts w:ascii="Times New Roman" w:hAnsi="Times New Roman" w:cs="Times New Roman"/>
          <w:b/>
          <w:bCs/>
          <w:noProof/>
          <w:sz w:val="22"/>
        </w:rPr>
        <w:t>112</w:t>
      </w:r>
      <w:r>
        <w:rPr>
          <w:rFonts w:ascii="Times New Roman" w:hAnsi="Times New Roman" w:cs="Times New Roman"/>
          <w:noProof/>
          <w:sz w:val="22"/>
        </w:rPr>
        <w:t>,</w:t>
      </w:r>
      <w:r w:rsidRPr="000B1842">
        <w:rPr>
          <w:rFonts w:ascii="Times New Roman" w:hAnsi="Times New Roman" w:cs="Times New Roman"/>
          <w:noProof/>
          <w:sz w:val="22"/>
        </w:rPr>
        <w:t xml:space="preserve"> 1736–1746 (2012).</w:t>
      </w:r>
    </w:p>
    <w:p w14:paraId="4877F3E8" w14:textId="143A7DC9" w:rsidR="000B1842" w:rsidRPr="000B1842" w:rsidRDefault="000B1842" w:rsidP="008710ED">
      <w:pPr>
        <w:widowControl w:val="0"/>
        <w:autoSpaceDE w:val="0"/>
        <w:autoSpaceDN w:val="0"/>
        <w:adjustRightInd w:val="0"/>
        <w:spacing w:line="480" w:lineRule="auto"/>
        <w:ind w:left="640" w:hanging="640"/>
        <w:jc w:val="both"/>
        <w:rPr>
          <w:rFonts w:ascii="Times New Roman" w:hAnsi="Times New Roman" w:cs="Times New Roman"/>
          <w:noProof/>
          <w:sz w:val="22"/>
        </w:rPr>
      </w:pPr>
      <w:r w:rsidRPr="000B1842">
        <w:rPr>
          <w:rFonts w:ascii="Times New Roman" w:hAnsi="Times New Roman" w:cs="Times New Roman"/>
          <w:noProof/>
          <w:sz w:val="22"/>
        </w:rPr>
        <w:t>5 .</w:t>
      </w:r>
      <w:r w:rsidRPr="000B1842">
        <w:rPr>
          <w:rFonts w:ascii="Times New Roman" w:hAnsi="Times New Roman" w:cs="Times New Roman"/>
          <w:noProof/>
          <w:sz w:val="22"/>
        </w:rPr>
        <w:tab/>
        <w:t xml:space="preserve">Marquard J, Stahl A, Lerch C, Wolters M, Grotzke-Leweling M, Mayatepek E </w:t>
      </w:r>
      <w:r w:rsidRPr="000B1842">
        <w:rPr>
          <w:rFonts w:ascii="Times New Roman" w:hAnsi="Times New Roman" w:cs="Times New Roman"/>
          <w:i/>
          <w:iCs/>
          <w:noProof/>
          <w:sz w:val="22"/>
        </w:rPr>
        <w:t>et al.</w:t>
      </w:r>
      <w:r w:rsidRPr="000B1842">
        <w:rPr>
          <w:rFonts w:ascii="Times New Roman" w:hAnsi="Times New Roman" w:cs="Times New Roman"/>
          <w:noProof/>
          <w:sz w:val="22"/>
        </w:rPr>
        <w:t xml:space="preserve"> A prospective clinical pilot-trial comparing the effect of an optimized mixed diet versus a flexible low-glycemic index diet on nutrient intake and HbA1c levels in children with type 1 diabetes. </w:t>
      </w:r>
      <w:r w:rsidRPr="000B1842">
        <w:rPr>
          <w:rFonts w:ascii="Times New Roman" w:hAnsi="Times New Roman" w:cs="Times New Roman"/>
          <w:i/>
          <w:iCs/>
          <w:noProof/>
          <w:sz w:val="22"/>
        </w:rPr>
        <w:t>J. Pediatr. Endocrinol. Metab.</w:t>
      </w:r>
      <w:r w:rsidRPr="000B1842">
        <w:rPr>
          <w:rFonts w:ascii="Times New Roman" w:hAnsi="Times New Roman" w:cs="Times New Roman"/>
          <w:noProof/>
          <w:sz w:val="22"/>
        </w:rPr>
        <w:t xml:space="preserve"> </w:t>
      </w:r>
      <w:r w:rsidRPr="000B1842">
        <w:rPr>
          <w:rFonts w:ascii="Times New Roman" w:hAnsi="Times New Roman" w:cs="Times New Roman"/>
          <w:b/>
          <w:bCs/>
          <w:noProof/>
          <w:sz w:val="22"/>
        </w:rPr>
        <w:t>24</w:t>
      </w:r>
      <w:r>
        <w:rPr>
          <w:rFonts w:ascii="Times New Roman" w:hAnsi="Times New Roman" w:cs="Times New Roman"/>
          <w:noProof/>
          <w:sz w:val="22"/>
        </w:rPr>
        <w:t>,</w:t>
      </w:r>
      <w:r w:rsidRPr="000B1842">
        <w:rPr>
          <w:rFonts w:ascii="Times New Roman" w:hAnsi="Times New Roman" w:cs="Times New Roman"/>
          <w:noProof/>
          <w:sz w:val="22"/>
        </w:rPr>
        <w:t xml:space="preserve"> 441–447 (2011).</w:t>
      </w:r>
    </w:p>
    <w:p w14:paraId="3CD4EDD0" w14:textId="62667B20" w:rsidR="000B1842" w:rsidRPr="000B1842" w:rsidRDefault="000B1842" w:rsidP="008710ED">
      <w:pPr>
        <w:widowControl w:val="0"/>
        <w:autoSpaceDE w:val="0"/>
        <w:autoSpaceDN w:val="0"/>
        <w:adjustRightInd w:val="0"/>
        <w:spacing w:line="480" w:lineRule="auto"/>
        <w:ind w:left="640" w:hanging="640"/>
        <w:jc w:val="both"/>
        <w:rPr>
          <w:rFonts w:ascii="Times New Roman" w:hAnsi="Times New Roman" w:cs="Times New Roman"/>
          <w:noProof/>
          <w:sz w:val="22"/>
        </w:rPr>
      </w:pPr>
      <w:r w:rsidRPr="000B1842">
        <w:rPr>
          <w:rFonts w:ascii="Times New Roman" w:hAnsi="Times New Roman" w:cs="Times New Roman"/>
          <w:noProof/>
          <w:sz w:val="22"/>
        </w:rPr>
        <w:t>6 .</w:t>
      </w:r>
      <w:r w:rsidRPr="000B1842">
        <w:rPr>
          <w:rFonts w:ascii="Times New Roman" w:hAnsi="Times New Roman" w:cs="Times New Roman"/>
          <w:noProof/>
          <w:sz w:val="22"/>
        </w:rPr>
        <w:tab/>
        <w:t xml:space="preserve">Gilbertson HR, Evans S, Brand-Miller JC, Chondros P, Thorburn AW, Werther GA. The Effect of Flexible Low Glycemic Diets on Glycemic Control in Children With Type 1 Diabetes. </w:t>
      </w:r>
      <w:r w:rsidRPr="000B1842">
        <w:rPr>
          <w:rFonts w:ascii="Times New Roman" w:hAnsi="Times New Roman" w:cs="Times New Roman"/>
          <w:i/>
          <w:iCs/>
          <w:noProof/>
          <w:sz w:val="22"/>
        </w:rPr>
        <w:t>Diabetes Care</w:t>
      </w:r>
      <w:r>
        <w:rPr>
          <w:rFonts w:ascii="Times New Roman" w:hAnsi="Times New Roman" w:cs="Times New Roman"/>
          <w:noProof/>
          <w:sz w:val="22"/>
        </w:rPr>
        <w:t>.</w:t>
      </w:r>
      <w:r w:rsidRPr="000B1842">
        <w:rPr>
          <w:rFonts w:ascii="Times New Roman" w:hAnsi="Times New Roman" w:cs="Times New Roman"/>
          <w:noProof/>
          <w:sz w:val="22"/>
        </w:rPr>
        <w:t xml:space="preserve"> </w:t>
      </w:r>
      <w:r w:rsidRPr="000B1842">
        <w:rPr>
          <w:rFonts w:ascii="Times New Roman" w:hAnsi="Times New Roman" w:cs="Times New Roman"/>
          <w:b/>
          <w:bCs/>
          <w:noProof/>
          <w:sz w:val="22"/>
        </w:rPr>
        <w:t>24</w:t>
      </w:r>
      <w:r>
        <w:rPr>
          <w:rFonts w:ascii="Times New Roman" w:hAnsi="Times New Roman" w:cs="Times New Roman"/>
          <w:noProof/>
          <w:sz w:val="22"/>
        </w:rPr>
        <w:t>,</w:t>
      </w:r>
      <w:r w:rsidRPr="000B1842">
        <w:rPr>
          <w:rFonts w:ascii="Times New Roman" w:hAnsi="Times New Roman" w:cs="Times New Roman"/>
          <w:noProof/>
          <w:sz w:val="22"/>
        </w:rPr>
        <w:t xml:space="preserve"> 1137–43 (2001).</w:t>
      </w:r>
    </w:p>
    <w:p w14:paraId="4FB418EE" w14:textId="0230B6EA" w:rsidR="000B1842" w:rsidRPr="000B1842" w:rsidRDefault="000B1842" w:rsidP="008710ED">
      <w:pPr>
        <w:widowControl w:val="0"/>
        <w:autoSpaceDE w:val="0"/>
        <w:autoSpaceDN w:val="0"/>
        <w:adjustRightInd w:val="0"/>
        <w:spacing w:line="480" w:lineRule="auto"/>
        <w:ind w:left="640" w:hanging="640"/>
        <w:jc w:val="both"/>
        <w:rPr>
          <w:rFonts w:ascii="Times New Roman" w:hAnsi="Times New Roman" w:cs="Times New Roman"/>
          <w:noProof/>
          <w:sz w:val="22"/>
        </w:rPr>
      </w:pPr>
      <w:r w:rsidRPr="000B1842">
        <w:rPr>
          <w:rFonts w:ascii="Times New Roman" w:hAnsi="Times New Roman" w:cs="Times New Roman"/>
          <w:noProof/>
          <w:sz w:val="22"/>
        </w:rPr>
        <w:t>7 .</w:t>
      </w:r>
      <w:r w:rsidRPr="000B1842">
        <w:rPr>
          <w:rFonts w:ascii="Times New Roman" w:hAnsi="Times New Roman" w:cs="Times New Roman"/>
          <w:noProof/>
          <w:sz w:val="22"/>
        </w:rPr>
        <w:tab/>
        <w:t xml:space="preserve">Donaghue KC, Pena MM, Chan AKF, Blades BL, King J, Storlien LH </w:t>
      </w:r>
      <w:r w:rsidRPr="000B1842">
        <w:rPr>
          <w:rFonts w:ascii="Times New Roman" w:hAnsi="Times New Roman" w:cs="Times New Roman"/>
          <w:i/>
          <w:iCs/>
          <w:noProof/>
          <w:sz w:val="22"/>
        </w:rPr>
        <w:t>et al.</w:t>
      </w:r>
      <w:r w:rsidRPr="000B1842">
        <w:rPr>
          <w:rFonts w:ascii="Times New Roman" w:hAnsi="Times New Roman" w:cs="Times New Roman"/>
          <w:noProof/>
          <w:sz w:val="22"/>
        </w:rPr>
        <w:t xml:space="preserve"> Beneficial effects of increasing monounsaturated fat intake in adolescents with type 1 diabetes. </w:t>
      </w:r>
      <w:r w:rsidRPr="000B1842">
        <w:rPr>
          <w:rFonts w:ascii="Times New Roman" w:hAnsi="Times New Roman" w:cs="Times New Roman"/>
          <w:i/>
          <w:iCs/>
          <w:noProof/>
          <w:sz w:val="22"/>
        </w:rPr>
        <w:t>Diabetes Res. Clin. Pract.</w:t>
      </w:r>
      <w:r w:rsidRPr="000B1842">
        <w:rPr>
          <w:rFonts w:ascii="Times New Roman" w:hAnsi="Times New Roman" w:cs="Times New Roman"/>
          <w:noProof/>
          <w:sz w:val="22"/>
        </w:rPr>
        <w:t xml:space="preserve"> </w:t>
      </w:r>
      <w:r w:rsidRPr="000B1842">
        <w:rPr>
          <w:rFonts w:ascii="Times New Roman" w:hAnsi="Times New Roman" w:cs="Times New Roman"/>
          <w:b/>
          <w:bCs/>
          <w:noProof/>
          <w:sz w:val="22"/>
        </w:rPr>
        <w:t>48</w:t>
      </w:r>
      <w:r>
        <w:rPr>
          <w:rFonts w:ascii="Times New Roman" w:hAnsi="Times New Roman" w:cs="Times New Roman"/>
          <w:noProof/>
          <w:sz w:val="22"/>
        </w:rPr>
        <w:t>,</w:t>
      </w:r>
      <w:r w:rsidRPr="000B1842">
        <w:rPr>
          <w:rFonts w:ascii="Times New Roman" w:hAnsi="Times New Roman" w:cs="Times New Roman"/>
          <w:noProof/>
          <w:sz w:val="22"/>
        </w:rPr>
        <w:t xml:space="preserve"> 193–199 (2000).</w:t>
      </w:r>
    </w:p>
    <w:p w14:paraId="4B2D5088" w14:textId="76164A2A" w:rsidR="000B1842" w:rsidRPr="000B1842" w:rsidRDefault="000B1842" w:rsidP="008710ED">
      <w:pPr>
        <w:widowControl w:val="0"/>
        <w:autoSpaceDE w:val="0"/>
        <w:autoSpaceDN w:val="0"/>
        <w:adjustRightInd w:val="0"/>
        <w:spacing w:line="480" w:lineRule="auto"/>
        <w:ind w:left="640" w:hanging="640"/>
        <w:jc w:val="both"/>
        <w:rPr>
          <w:rFonts w:ascii="Times New Roman" w:hAnsi="Times New Roman" w:cs="Times New Roman"/>
          <w:noProof/>
          <w:sz w:val="22"/>
        </w:rPr>
      </w:pPr>
      <w:r w:rsidRPr="000B1842">
        <w:rPr>
          <w:rFonts w:ascii="Times New Roman" w:hAnsi="Times New Roman" w:cs="Times New Roman"/>
          <w:noProof/>
          <w:sz w:val="22"/>
        </w:rPr>
        <w:t>8 .</w:t>
      </w:r>
      <w:r w:rsidRPr="000B1842">
        <w:rPr>
          <w:rFonts w:ascii="Times New Roman" w:hAnsi="Times New Roman" w:cs="Times New Roman"/>
          <w:noProof/>
          <w:sz w:val="22"/>
        </w:rPr>
        <w:tab/>
        <w:t xml:space="preserve">Pichert JW, Smeltzer C, Snyder GM, Gregory RP, Smeltzer R, Kinzer CK. Traditional vs Anchored Instruction for Diabetes-Related Nutritional Knowledge, Skills, and Behavior. </w:t>
      </w:r>
      <w:r w:rsidRPr="000B1842">
        <w:rPr>
          <w:rFonts w:ascii="Times New Roman" w:hAnsi="Times New Roman" w:cs="Times New Roman"/>
          <w:i/>
          <w:iCs/>
          <w:noProof/>
          <w:sz w:val="22"/>
        </w:rPr>
        <w:t>Diabetes Educ.</w:t>
      </w:r>
      <w:r w:rsidRPr="000B1842">
        <w:rPr>
          <w:rFonts w:ascii="Times New Roman" w:hAnsi="Times New Roman" w:cs="Times New Roman"/>
          <w:noProof/>
          <w:sz w:val="22"/>
        </w:rPr>
        <w:t xml:space="preserve"> </w:t>
      </w:r>
      <w:r w:rsidRPr="000B1842">
        <w:rPr>
          <w:rFonts w:ascii="Times New Roman" w:hAnsi="Times New Roman" w:cs="Times New Roman"/>
          <w:b/>
          <w:bCs/>
          <w:noProof/>
          <w:sz w:val="22"/>
        </w:rPr>
        <w:t>20</w:t>
      </w:r>
      <w:r>
        <w:rPr>
          <w:rFonts w:ascii="Times New Roman" w:hAnsi="Times New Roman" w:cs="Times New Roman"/>
          <w:noProof/>
          <w:sz w:val="22"/>
        </w:rPr>
        <w:t>,</w:t>
      </w:r>
      <w:r w:rsidRPr="000B1842">
        <w:rPr>
          <w:rFonts w:ascii="Times New Roman" w:hAnsi="Times New Roman" w:cs="Times New Roman"/>
          <w:noProof/>
          <w:sz w:val="22"/>
        </w:rPr>
        <w:t xml:space="preserve"> 45–48 (1994).</w:t>
      </w:r>
    </w:p>
    <w:p w14:paraId="247744BB" w14:textId="1E9CC50E" w:rsidR="000B1842" w:rsidRPr="000B1842" w:rsidRDefault="000B1842" w:rsidP="008710ED">
      <w:pPr>
        <w:widowControl w:val="0"/>
        <w:autoSpaceDE w:val="0"/>
        <w:autoSpaceDN w:val="0"/>
        <w:adjustRightInd w:val="0"/>
        <w:spacing w:line="480" w:lineRule="auto"/>
        <w:ind w:left="640" w:hanging="640"/>
        <w:jc w:val="both"/>
        <w:rPr>
          <w:rFonts w:ascii="Times New Roman" w:hAnsi="Times New Roman" w:cs="Times New Roman"/>
          <w:noProof/>
          <w:sz w:val="22"/>
        </w:rPr>
      </w:pPr>
      <w:r w:rsidRPr="000B1842">
        <w:rPr>
          <w:rFonts w:ascii="Times New Roman" w:hAnsi="Times New Roman" w:cs="Times New Roman"/>
          <w:noProof/>
          <w:sz w:val="22"/>
        </w:rPr>
        <w:t>9 .</w:t>
      </w:r>
      <w:r w:rsidRPr="000B1842">
        <w:rPr>
          <w:rFonts w:ascii="Times New Roman" w:hAnsi="Times New Roman" w:cs="Times New Roman"/>
          <w:noProof/>
          <w:sz w:val="22"/>
        </w:rPr>
        <w:tab/>
        <w:t xml:space="preserve">Hackett AF, Court S, Matthews JNS, McCowen C, Parkin JM. Do education groups help diabetics and their parents? </w:t>
      </w:r>
      <w:r w:rsidRPr="000B1842">
        <w:rPr>
          <w:rFonts w:ascii="Times New Roman" w:hAnsi="Times New Roman" w:cs="Times New Roman"/>
          <w:i/>
          <w:iCs/>
          <w:noProof/>
          <w:sz w:val="22"/>
        </w:rPr>
        <w:t>Arch. Dis. Child.</w:t>
      </w:r>
      <w:r w:rsidRPr="000B1842">
        <w:rPr>
          <w:rFonts w:ascii="Times New Roman" w:hAnsi="Times New Roman" w:cs="Times New Roman"/>
          <w:noProof/>
          <w:sz w:val="22"/>
        </w:rPr>
        <w:t xml:space="preserve"> </w:t>
      </w:r>
      <w:r w:rsidRPr="000B1842">
        <w:rPr>
          <w:rFonts w:ascii="Times New Roman" w:hAnsi="Times New Roman" w:cs="Times New Roman"/>
          <w:b/>
          <w:bCs/>
          <w:noProof/>
          <w:sz w:val="22"/>
        </w:rPr>
        <w:t>64</w:t>
      </w:r>
      <w:r>
        <w:rPr>
          <w:rFonts w:ascii="Times New Roman" w:hAnsi="Times New Roman" w:cs="Times New Roman"/>
          <w:b/>
          <w:bCs/>
          <w:noProof/>
          <w:sz w:val="22"/>
        </w:rPr>
        <w:t>,</w:t>
      </w:r>
      <w:r w:rsidRPr="000B1842">
        <w:rPr>
          <w:rFonts w:ascii="Times New Roman" w:hAnsi="Times New Roman" w:cs="Times New Roman"/>
          <w:noProof/>
          <w:sz w:val="22"/>
        </w:rPr>
        <w:t xml:space="preserve"> 977–1003 (1989).</w:t>
      </w:r>
    </w:p>
    <w:p w14:paraId="530E4A38" w14:textId="0E946CD0" w:rsidR="000B1842" w:rsidRDefault="000B1842" w:rsidP="008710ED">
      <w:pPr>
        <w:spacing w:line="480" w:lineRule="auto"/>
        <w:jc w:val="both"/>
        <w:rPr>
          <w:rFonts w:ascii="Times New Roman" w:hAnsi="Times New Roman" w:cs="Times New Roman"/>
          <w:b/>
          <w:bCs/>
          <w:sz w:val="22"/>
          <w:szCs w:val="22"/>
          <w:lang w:val="en-US"/>
        </w:rPr>
      </w:pPr>
      <w:r>
        <w:rPr>
          <w:rFonts w:ascii="Times New Roman" w:hAnsi="Times New Roman" w:cs="Times New Roman"/>
          <w:b/>
          <w:bCs/>
          <w:sz w:val="22"/>
          <w:szCs w:val="22"/>
          <w:lang w:val="en-US"/>
        </w:rPr>
        <w:fldChar w:fldCharType="end"/>
      </w:r>
    </w:p>
    <w:p w14:paraId="7145C613" w14:textId="77777777" w:rsidR="008E39A2" w:rsidRPr="00555882" w:rsidRDefault="008E39A2" w:rsidP="00473524">
      <w:pPr>
        <w:jc w:val="both"/>
        <w:rPr>
          <w:rFonts w:ascii="Palatino Linotype" w:hAnsi="Palatino Linotype"/>
          <w:b/>
          <w:bCs/>
          <w:sz w:val="22"/>
          <w:lang w:val="en-US"/>
        </w:rPr>
      </w:pPr>
    </w:p>
    <w:sectPr w:rsidR="008E39A2" w:rsidRPr="00555882" w:rsidSect="00724112">
      <w:pgSz w:w="11900" w:h="16840"/>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B70"/>
    <w:rsid w:val="00027B24"/>
    <w:rsid w:val="000571DE"/>
    <w:rsid w:val="00074E4E"/>
    <w:rsid w:val="000848D9"/>
    <w:rsid w:val="00085966"/>
    <w:rsid w:val="000876F6"/>
    <w:rsid w:val="000A4DF3"/>
    <w:rsid w:val="000B1842"/>
    <w:rsid w:val="000C383D"/>
    <w:rsid w:val="00105578"/>
    <w:rsid w:val="00121E4B"/>
    <w:rsid w:val="001659CA"/>
    <w:rsid w:val="0017096B"/>
    <w:rsid w:val="00183DB7"/>
    <w:rsid w:val="001B100D"/>
    <w:rsid w:val="002237CD"/>
    <w:rsid w:val="00261417"/>
    <w:rsid w:val="002825CD"/>
    <w:rsid w:val="002850E1"/>
    <w:rsid w:val="00304C7E"/>
    <w:rsid w:val="00306165"/>
    <w:rsid w:val="003063E0"/>
    <w:rsid w:val="003064BB"/>
    <w:rsid w:val="00311DBD"/>
    <w:rsid w:val="003147C7"/>
    <w:rsid w:val="00316930"/>
    <w:rsid w:val="00330B7F"/>
    <w:rsid w:val="00342AFD"/>
    <w:rsid w:val="00357ABD"/>
    <w:rsid w:val="0038750A"/>
    <w:rsid w:val="003B6E71"/>
    <w:rsid w:val="003D6897"/>
    <w:rsid w:val="00407B98"/>
    <w:rsid w:val="0042342C"/>
    <w:rsid w:val="00442D65"/>
    <w:rsid w:val="00444FBD"/>
    <w:rsid w:val="00451D0F"/>
    <w:rsid w:val="004540CB"/>
    <w:rsid w:val="00473524"/>
    <w:rsid w:val="00473872"/>
    <w:rsid w:val="00482BED"/>
    <w:rsid w:val="00484FE0"/>
    <w:rsid w:val="004A374A"/>
    <w:rsid w:val="004C0C86"/>
    <w:rsid w:val="004C6B9F"/>
    <w:rsid w:val="00533940"/>
    <w:rsid w:val="00555882"/>
    <w:rsid w:val="005638D7"/>
    <w:rsid w:val="00566ACB"/>
    <w:rsid w:val="005B59DE"/>
    <w:rsid w:val="005E0F64"/>
    <w:rsid w:val="005E512E"/>
    <w:rsid w:val="00611C70"/>
    <w:rsid w:val="00623460"/>
    <w:rsid w:val="0063594E"/>
    <w:rsid w:val="006677F8"/>
    <w:rsid w:val="0069496C"/>
    <w:rsid w:val="006D2CA0"/>
    <w:rsid w:val="006D513D"/>
    <w:rsid w:val="006F2978"/>
    <w:rsid w:val="00702AD6"/>
    <w:rsid w:val="00724112"/>
    <w:rsid w:val="00746C2F"/>
    <w:rsid w:val="007B0B2C"/>
    <w:rsid w:val="007F2470"/>
    <w:rsid w:val="00826194"/>
    <w:rsid w:val="00846E2C"/>
    <w:rsid w:val="00864058"/>
    <w:rsid w:val="008710ED"/>
    <w:rsid w:val="0089468B"/>
    <w:rsid w:val="008B2DAD"/>
    <w:rsid w:val="008B754B"/>
    <w:rsid w:val="008D1B9A"/>
    <w:rsid w:val="008D6FCA"/>
    <w:rsid w:val="008E39A2"/>
    <w:rsid w:val="008E7CD8"/>
    <w:rsid w:val="008F39EF"/>
    <w:rsid w:val="009054B8"/>
    <w:rsid w:val="00935CE1"/>
    <w:rsid w:val="0093654C"/>
    <w:rsid w:val="009635F2"/>
    <w:rsid w:val="0097472E"/>
    <w:rsid w:val="009A1E91"/>
    <w:rsid w:val="009B505F"/>
    <w:rsid w:val="009C57EC"/>
    <w:rsid w:val="009D1719"/>
    <w:rsid w:val="009D38EC"/>
    <w:rsid w:val="009D43A0"/>
    <w:rsid w:val="009F438D"/>
    <w:rsid w:val="009F75F1"/>
    <w:rsid w:val="00A0698D"/>
    <w:rsid w:val="00A11343"/>
    <w:rsid w:val="00A43313"/>
    <w:rsid w:val="00A75AD4"/>
    <w:rsid w:val="00AB762C"/>
    <w:rsid w:val="00AC7271"/>
    <w:rsid w:val="00AD1F00"/>
    <w:rsid w:val="00AE52BB"/>
    <w:rsid w:val="00AF6D01"/>
    <w:rsid w:val="00B1740A"/>
    <w:rsid w:val="00B2359C"/>
    <w:rsid w:val="00B36B70"/>
    <w:rsid w:val="00B455F1"/>
    <w:rsid w:val="00B7205F"/>
    <w:rsid w:val="00BA06EE"/>
    <w:rsid w:val="00BA3A64"/>
    <w:rsid w:val="00BC5F6D"/>
    <w:rsid w:val="00C00E4D"/>
    <w:rsid w:val="00C719F6"/>
    <w:rsid w:val="00C727B8"/>
    <w:rsid w:val="00CB5944"/>
    <w:rsid w:val="00CF25AE"/>
    <w:rsid w:val="00CF6CFB"/>
    <w:rsid w:val="00D32864"/>
    <w:rsid w:val="00D61384"/>
    <w:rsid w:val="00E17EFF"/>
    <w:rsid w:val="00E27640"/>
    <w:rsid w:val="00E31D75"/>
    <w:rsid w:val="00E32034"/>
    <w:rsid w:val="00E55C37"/>
    <w:rsid w:val="00E77D98"/>
    <w:rsid w:val="00F17BEA"/>
    <w:rsid w:val="00F20F12"/>
    <w:rsid w:val="00F81783"/>
    <w:rsid w:val="00F86E8F"/>
    <w:rsid w:val="00FB1CAF"/>
    <w:rsid w:val="00FD1CDB"/>
    <w:rsid w:val="00FD3426"/>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84AB2"/>
  <w14:defaultImageDpi w14:val="32767"/>
  <w15:chartTrackingRefBased/>
  <w15:docId w15:val="{8C47760A-2096-9A44-82BC-EB664973E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36B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E512E"/>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5E512E"/>
    <w:rPr>
      <w:rFonts w:ascii="Times New Roman" w:hAnsi="Times New Roman" w:cs="Times New Roman"/>
      <w:sz w:val="18"/>
      <w:szCs w:val="18"/>
    </w:rPr>
  </w:style>
  <w:style w:type="paragraph" w:styleId="Revisin">
    <w:name w:val="Revision"/>
    <w:hidden/>
    <w:uiPriority w:val="99"/>
    <w:semiHidden/>
    <w:rsid w:val="00CB5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6809762">
      <w:bodyDiv w:val="1"/>
      <w:marLeft w:val="0"/>
      <w:marRight w:val="0"/>
      <w:marTop w:val="0"/>
      <w:marBottom w:val="0"/>
      <w:divBdr>
        <w:top w:val="none" w:sz="0" w:space="0" w:color="auto"/>
        <w:left w:val="none" w:sz="0" w:space="0" w:color="auto"/>
        <w:bottom w:val="none" w:sz="0" w:space="0" w:color="auto"/>
        <w:right w:val="none" w:sz="0" w:space="0" w:color="auto"/>
      </w:divBdr>
      <w:divsChild>
        <w:div w:id="881945545">
          <w:marLeft w:val="0"/>
          <w:marRight w:val="0"/>
          <w:marTop w:val="0"/>
          <w:marBottom w:val="0"/>
          <w:divBdr>
            <w:top w:val="none" w:sz="0" w:space="0" w:color="auto"/>
            <w:left w:val="none" w:sz="0" w:space="0" w:color="auto"/>
            <w:bottom w:val="none" w:sz="0" w:space="0" w:color="auto"/>
            <w:right w:val="none" w:sz="0" w:space="0" w:color="auto"/>
          </w:divBdr>
          <w:divsChild>
            <w:div w:id="1383091203">
              <w:marLeft w:val="0"/>
              <w:marRight w:val="0"/>
              <w:marTop w:val="0"/>
              <w:marBottom w:val="0"/>
              <w:divBdr>
                <w:top w:val="none" w:sz="0" w:space="0" w:color="auto"/>
                <w:left w:val="none" w:sz="0" w:space="0" w:color="auto"/>
                <w:bottom w:val="none" w:sz="0" w:space="0" w:color="auto"/>
                <w:right w:val="none" w:sz="0" w:space="0" w:color="auto"/>
              </w:divBdr>
              <w:divsChild>
                <w:div w:id="85677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5E3EF-64E6-489D-8A4F-BA9730D0B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5250</Words>
  <Characters>28881</Characters>
  <Application>Microsoft Office Word</Application>
  <DocSecurity>0</DocSecurity>
  <Lines>240</Lines>
  <Paragraphs>68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Minerva Granado</dc:creator>
  <cp:keywords/>
  <dc:description/>
  <cp:lastModifiedBy>Minerva Granado</cp:lastModifiedBy>
  <cp:revision>11</cp:revision>
  <dcterms:created xsi:type="dcterms:W3CDTF">2020-05-02T21:25:00Z</dcterms:created>
  <dcterms:modified xsi:type="dcterms:W3CDTF">2021-02-16T12:24:00Z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d3d218bf-aa61-3e92-9e34-ff1d2f695dbd</vt:lpwstr>
  </property>
  <property fmtid="{D5CDD505-2E9C-101B-9397-08002B2CF9AE}" pid="4" name="Mendeley Citation Style_1">
    <vt:lpwstr>http://csl.mendeley.com/styles/26619251/nutritionanddiabetes2</vt:lpwstr>
  </property>
  <property fmtid="{D5CDD505-2E9C-101B-9397-08002B2CF9AE}" pid="5" name="Mendeley Recent Style Id 0_1">
    <vt:lpwstr>http://www.zotero.org/styles/modern-language-association</vt:lpwstr>
  </property>
  <property fmtid="{D5CDD505-2E9C-101B-9397-08002B2CF9AE}" pid="6" name="Mendeley Recent Style Name 0_1">
    <vt:lpwstr>Modern Language Association 8th edition</vt:lpwstr>
  </property>
  <property fmtid="{D5CDD505-2E9C-101B-9397-08002B2CF9AE}" pid="7" name="Mendeley Recent Style Id 1_1">
    <vt:lpwstr>http://www.zotero.org/styles/nature</vt:lpwstr>
  </property>
  <property fmtid="{D5CDD505-2E9C-101B-9397-08002B2CF9AE}" pid="8" name="Mendeley Recent Style Name 1_1">
    <vt:lpwstr>Nature</vt:lpwstr>
  </property>
  <property fmtid="{D5CDD505-2E9C-101B-9397-08002B2CF9AE}" pid="9" name="Mendeley Recent Style Id 2_1">
    <vt:lpwstr>https://csl.mendeley.com/styles/26619251/nutritionanddiabetes2</vt:lpwstr>
  </property>
  <property fmtid="{D5CDD505-2E9C-101B-9397-08002B2CF9AE}" pid="10" name="Mendeley Recent Style Name 2_1">
    <vt:lpwstr>Nature Publishing Group - Vancouver - Minerva Granado</vt:lpwstr>
  </property>
  <property fmtid="{D5CDD505-2E9C-101B-9397-08002B2CF9AE}" pid="11" name="Mendeley Recent Style Id 3_1">
    <vt:lpwstr>http://csl.mendeley.com/styles/26619251/nutritionanddiabetes2</vt:lpwstr>
  </property>
  <property fmtid="{D5CDD505-2E9C-101B-9397-08002B2CF9AE}" pid="12" name="Mendeley Recent Style Name 3_1">
    <vt:lpwstr>Nature Publishing Group - Vancouver - Minerva Granado</vt:lpwstr>
  </property>
  <property fmtid="{D5CDD505-2E9C-101B-9397-08002B2CF9AE}" pid="13" name="Mendeley Recent Style Id 4_1">
    <vt:lpwstr>http://www.zotero.org/styles/nutrition-and-diabetes</vt:lpwstr>
  </property>
  <property fmtid="{D5CDD505-2E9C-101B-9397-08002B2CF9AE}" pid="14" name="Mendeley Recent Style Name 4_1">
    <vt:lpwstr>Nutrition and Diabetes</vt:lpwstr>
  </property>
  <property fmtid="{D5CDD505-2E9C-101B-9397-08002B2CF9AE}" pid="15" name="Mendeley Recent Style Id 5_1">
    <vt:lpwstr>http://csl.mendeley.com/styles/26619251/apa</vt:lpwstr>
  </property>
  <property fmtid="{D5CDD505-2E9C-101B-9397-08002B2CF9AE}" pid="16" name="Mendeley Recent Style Name 5_1">
    <vt:lpwstr>Nutrition and Diabetes_v2 - Minerva Granado</vt:lpwstr>
  </property>
  <property fmtid="{D5CDD505-2E9C-101B-9397-08002B2CF9AE}" pid="17" name="Mendeley Recent Style Id 6_1">
    <vt:lpwstr>http://www.zotero.org/styles/springer-vancouver</vt:lpwstr>
  </property>
  <property fmtid="{D5CDD505-2E9C-101B-9397-08002B2CF9AE}" pid="18" name="Mendeley Recent Style Name 6_1">
    <vt:lpwstr>Springer - Vancouver</vt:lpwstr>
  </property>
  <property fmtid="{D5CDD505-2E9C-101B-9397-08002B2CF9AE}" pid="19" name="Mendeley Recent Style Id 7_1">
    <vt:lpwstr>http://www.zotero.org/styles/springer-vancouver-author-date</vt:lpwstr>
  </property>
  <property fmtid="{D5CDD505-2E9C-101B-9397-08002B2CF9AE}" pid="20" name="Mendeley Recent Style Name 7_1">
    <vt:lpwstr>Springer - Vancouver (author-date)</vt:lpwstr>
  </property>
  <property fmtid="{D5CDD505-2E9C-101B-9397-08002B2CF9AE}" pid="21" name="Mendeley Recent Style Id 8_1">
    <vt:lpwstr>http://www.zotero.org/styles/vancouver-brackets-only-year-no-issue</vt:lpwstr>
  </property>
  <property fmtid="{D5CDD505-2E9C-101B-9397-08002B2CF9AE}" pid="22" name="Mendeley Recent Style Name 8_1">
    <vt:lpwstr>Vancouver (brackets, only year in date, no issue numbers)</vt:lpwstr>
  </property>
  <property fmtid="{D5CDD505-2E9C-101B-9397-08002B2CF9AE}" pid="23" name="Mendeley Recent Style Id 9_1">
    <vt:lpwstr>http://csl.mendeley.com/styles/26619251/vancouver-2</vt:lpwstr>
  </property>
  <property fmtid="{D5CDD505-2E9C-101B-9397-08002B2CF9AE}" pid="24" name="Mendeley Recent Style Name 9_1">
    <vt:lpwstr>Vancouver 2</vt:lpwstr>
  </property>
</Properties>
</file>