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Performance evaluation of machine learning models after parameter optimization</w:t>
      </w:r>
    </w:p>
    <w:tbl>
      <w:tblPr>
        <w:tblStyle w:val="4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82"/>
        <w:gridCol w:w="1161"/>
        <w:gridCol w:w="1105"/>
        <w:gridCol w:w="1029"/>
        <w:gridCol w:w="1523"/>
        <w:gridCol w:w="1105"/>
        <w:gridCol w:w="1029"/>
        <w:gridCol w:w="1523"/>
        <w:gridCol w:w="1105"/>
        <w:gridCol w:w="1029"/>
        <w:gridCol w:w="15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671" w:type="pct"/>
            <w:vMerge w:val="restart"/>
            <w:tcBorders>
              <w:top w:val="single" w:color="auto" w:sz="1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vMerge w:val="restart"/>
            <w:tcBorders>
              <w:top w:val="single" w:color="auto" w:sz="1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Accuracy</w:t>
            </w:r>
          </w:p>
        </w:tc>
        <w:tc>
          <w:tcPr>
            <w:tcW w:w="1304" w:type="pct"/>
            <w:gridSpan w:val="3"/>
            <w:tcBorders>
              <w:top w:val="single" w:color="auto" w:sz="18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Precision</w:t>
            </w:r>
          </w:p>
        </w:tc>
        <w:tc>
          <w:tcPr>
            <w:tcW w:w="1304" w:type="pct"/>
            <w:gridSpan w:val="3"/>
            <w:tcBorders>
              <w:top w:val="single" w:color="auto" w:sz="18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Recall</w:t>
            </w:r>
          </w:p>
        </w:tc>
        <w:tc>
          <w:tcPr>
            <w:tcW w:w="1304" w:type="pct"/>
            <w:gridSpan w:val="3"/>
            <w:tcBorders>
              <w:top w:val="single" w:color="auto" w:sz="18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F1-score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671" w:type="pct"/>
            <w:vMerge w:val="continue"/>
            <w:tcBorders>
              <w:top w:val="single" w:color="auto" w:sz="1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vMerge w:val="continue"/>
            <w:tcBorders>
              <w:top w:val="single" w:color="auto" w:sz="1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macro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</w:rPr>
              <w:sym w:font="Symbol" w:char="F078"/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micro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</w:rPr>
              <w:sym w:font="Symbol" w:char="F07A"/>
            </w:r>
          </w:p>
        </w:tc>
        <w:tc>
          <w:tcPr>
            <w:tcW w:w="15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weighted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macro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</w:rPr>
              <w:sym w:font="Symbol" w:char="F078"/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micro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</w:rPr>
              <w:sym w:font="Symbol" w:char="F07A"/>
            </w:r>
          </w:p>
        </w:tc>
        <w:tc>
          <w:tcPr>
            <w:tcW w:w="15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weighted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macro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</w:rPr>
              <w:sym w:font="Symbol" w:char="F078"/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micro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</w:rPr>
              <w:sym w:font="Symbol" w:char="F07A"/>
            </w:r>
          </w:p>
        </w:tc>
        <w:tc>
          <w:tcPr>
            <w:tcW w:w="15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weighted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</w:rPr>
              <w:t>#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54" w:hRule="atLeast"/>
          <w:jc w:val="center"/>
        </w:trPr>
        <w:tc>
          <w:tcPr>
            <w:tcW w:w="67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KNN</w:t>
            </w: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0.868</w:t>
            </w:r>
          </w:p>
        </w:tc>
        <w:tc>
          <w:tcPr>
            <w:tcW w:w="3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0.876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0.868</w:t>
            </w:r>
          </w:p>
        </w:tc>
        <w:tc>
          <w:tcPr>
            <w:tcW w:w="5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0.876</w:t>
            </w:r>
          </w:p>
        </w:tc>
        <w:tc>
          <w:tcPr>
            <w:tcW w:w="3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0.868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0.868</w:t>
            </w:r>
          </w:p>
        </w:tc>
        <w:tc>
          <w:tcPr>
            <w:tcW w:w="5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0.868</w:t>
            </w:r>
          </w:p>
        </w:tc>
        <w:tc>
          <w:tcPr>
            <w:tcW w:w="3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0.865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0.868</w:t>
            </w:r>
          </w:p>
        </w:tc>
        <w:tc>
          <w:tcPr>
            <w:tcW w:w="5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54" w:hRule="atLeast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GNB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0.898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0.921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0.898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0.921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0.898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0.898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0.898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0.898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0.898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55" w:hRule="atLeast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0.975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0.979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0.975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0.979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0.975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0.975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0.975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0.974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0.975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54" w:hRule="atLeast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DT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0.943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0.961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0.943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0.961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0.943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0.943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0.943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0.939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0.943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0.995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0.996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0.995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0.996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0.995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0.995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0.995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0.995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0.995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XGB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oost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0.967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0.974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0.967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0.974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0.967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0.967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0.967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0.966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0.967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NNs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0.986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0.988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0.986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0.988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0.986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0.995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0.986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0.986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0.986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671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SVM</w:t>
            </w:r>
          </w:p>
        </w:tc>
        <w:tc>
          <w:tcPr>
            <w:tcW w:w="414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0.903</w:t>
            </w:r>
          </w:p>
        </w:tc>
        <w:tc>
          <w:tcPr>
            <w:tcW w:w="394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0.926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0.903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0.926</w:t>
            </w:r>
          </w:p>
        </w:tc>
        <w:tc>
          <w:tcPr>
            <w:tcW w:w="394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0.903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0.903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0.903</w:t>
            </w:r>
          </w:p>
        </w:tc>
        <w:tc>
          <w:tcPr>
            <w:tcW w:w="394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0.900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0.903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0.900</w:t>
            </w:r>
          </w:p>
        </w:tc>
      </w:tr>
    </w:tbl>
    <w:p>
      <w:pPr>
        <w:snapToGrid w:val="0"/>
        <w:jc w:val="left"/>
        <w:rPr>
          <w:rFonts w:ascii="Times New Roman" w:hAnsi="Times New Roman" w:eastAsia="Times New Roman Uni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 Uni" w:cs="Times New Roman"/>
          <w:i/>
          <w:iCs/>
          <w:sz w:val="24"/>
          <w:szCs w:val="24"/>
          <w:vertAlign w:val="superscript"/>
        </w:rPr>
        <w:sym w:font="Symbol" w:char="F078"/>
      </w:r>
      <w:r>
        <w:rPr>
          <w:rFonts w:ascii="Times New Roman" w:hAnsi="Times New Roman" w:eastAsia="Times New Roman Uni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macro-average performance, means the way in which we averagingly computed the unweighted measure per-class;</w:t>
      </w:r>
    </w:p>
    <w:p>
      <w:pPr>
        <w:snapToGrid w:val="0"/>
        <w:jc w:val="left"/>
        <w:rPr>
          <w:rFonts w:ascii="Times New Roman" w:hAnsi="Times New Roman" w:eastAsia="Times New Roman Uni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 Uni" w:cs="Times New Roman"/>
          <w:i/>
          <w:iCs/>
          <w:sz w:val="24"/>
          <w:szCs w:val="24"/>
          <w:vertAlign w:val="superscript"/>
        </w:rPr>
        <w:sym w:font="Symbol" w:char="F07A"/>
      </w:r>
      <w:r>
        <w:rPr>
          <w:rFonts w:ascii="Times New Roman" w:hAnsi="Times New Roman" w:eastAsia="Times New Roman Uni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micro-average performance, represents the way in which the corresponding elements of each confusion matrix were averaged, and the measure was then calculated;</w:t>
      </w:r>
    </w:p>
    <w:p>
      <w:pPr>
        <w:snapToGrid w:val="0"/>
        <w:jc w:val="left"/>
        <w:rPr>
          <w:rFonts w:ascii="Times New Roman" w:hAnsi="Times New Roman" w:eastAsia="Times New Roman Uni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 Uni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#</w:t>
      </w:r>
      <w:r>
        <w:rPr>
          <w:rFonts w:ascii="Times New Roman" w:hAnsi="Times New Roman" w:eastAsia="Times New Roman Uni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weighted performance, represents the approach in which the corresponding elements of each confusion matrix were separately calculated first, and obtained the averaged measure weighted by the weight of each category.</w:t>
      </w:r>
    </w:p>
    <w:p>
      <w:pPr>
        <w:snapToGrid w:val="0"/>
        <w:jc w:val="lef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Model parameter settings</w:t>
      </w:r>
      <w:r>
        <w:rPr>
          <w:rFonts w:hint="eastAsia" w:ascii="Times New Roman" w:hAnsi="Times New Roman" w:cs="Times New Roman"/>
          <w:i/>
          <w:iCs/>
          <w:color w:val="000000"/>
          <w:sz w:val="24"/>
          <w:szCs w:val="24"/>
        </w:rPr>
        <w:t>:</w:t>
      </w:r>
    </w:p>
    <w:p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KNN: n_neighbors=3</w:t>
      </w:r>
      <w:r>
        <w:rPr>
          <w:rFonts w:hint="eastAsia" w:ascii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weights="distance", p=1</w:t>
      </w:r>
      <w:r>
        <w:rPr>
          <w:rFonts w:hint="eastAsia" w:ascii="Times New Roman" w:hAnsi="Times New Roman" w:cs="Times New Roman"/>
          <w:i/>
          <w:iCs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GNB: standardization</w:t>
      </w:r>
      <w:r>
        <w:rPr>
          <w:rFonts w:hint="eastAsia"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LR: First of all, the embedding method was used for feature selection (105 features are retained). penalty="l1", solver="liblinear", C=0.156, max_iter=24, random_state=420;</w:t>
      </w:r>
    </w:p>
    <w:p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DT: max_depth=2, criterion="gini", random_state=12345, min_samples_leaf=1, min_samples_split= 2;</w:t>
      </w:r>
    </w:p>
    <w:p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RF: n_estimators=166, random_state=123, max_depth=8, min_samples_leaf=1, min_samples_split=2, max_features=19;</w:t>
      </w:r>
    </w:p>
    <w:p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XGBoost: n_estimators=11, learning_rate=0.3, subsample=1, random_state=123, booster="gbtree", max_depth=4</w:t>
      </w:r>
      <w:bookmarkStart w:id="0" w:name="_Hlk57971529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NNs: standardization</w:t>
      </w:r>
      <w:r>
        <w:rPr>
          <w:rFonts w:hint="eastAsia"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hidden_layer_sizes=</w:t>
      </w:r>
      <w:r>
        <w:rPr>
          <w:rFonts w:hint="eastAsia" w:ascii="Times New Roman" w:hAnsi="Times New Roman" w:cs="Times New Roman"/>
          <w:i/>
          <w:iCs/>
          <w:color w:val="000000"/>
          <w:sz w:val="24"/>
          <w:szCs w:val="24"/>
        </w:rPr>
        <w:t>(100,30)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 activation="relu", max_iter = 2000, random_state=420</w:t>
      </w:r>
      <w:bookmarkEnd w:id="0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SVM: random_state=123, kernel="linear", C=0.01.</w:t>
      </w:r>
    </w:p>
    <w:p>
      <w:pPr>
        <w:jc w:val="center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jc w:val="center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jc w:val="left"/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Performance evaluation of decision tree (DT) model</w:t>
      </w:r>
    </w:p>
    <w:tbl>
      <w:tblPr>
        <w:tblStyle w:val="4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2433"/>
        <w:gridCol w:w="1477"/>
        <w:gridCol w:w="1004"/>
        <w:gridCol w:w="945"/>
        <w:gridCol w:w="1419"/>
        <w:gridCol w:w="1004"/>
        <w:gridCol w:w="945"/>
        <w:gridCol w:w="1419"/>
        <w:gridCol w:w="1004"/>
        <w:gridCol w:w="945"/>
        <w:gridCol w:w="14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868" w:type="pct"/>
            <w:vMerge w:val="restart"/>
            <w:tcBorders>
              <w:top w:val="single" w:color="auto" w:sz="1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Sets</w:t>
            </w:r>
          </w:p>
        </w:tc>
        <w:tc>
          <w:tcPr>
            <w:tcW w:w="527" w:type="pct"/>
            <w:vMerge w:val="restart"/>
            <w:tcBorders>
              <w:top w:val="single" w:color="auto" w:sz="1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Accuracy</w:t>
            </w:r>
          </w:p>
        </w:tc>
        <w:tc>
          <w:tcPr>
            <w:tcW w:w="1201" w:type="pct"/>
            <w:gridSpan w:val="3"/>
            <w:tcBorders>
              <w:top w:val="single" w:color="auto" w:sz="18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Precision</w:t>
            </w:r>
          </w:p>
        </w:tc>
        <w:tc>
          <w:tcPr>
            <w:tcW w:w="1201" w:type="pct"/>
            <w:gridSpan w:val="3"/>
            <w:tcBorders>
              <w:top w:val="single" w:color="auto" w:sz="18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Recall</w:t>
            </w:r>
          </w:p>
        </w:tc>
        <w:tc>
          <w:tcPr>
            <w:tcW w:w="1201" w:type="pct"/>
            <w:gridSpan w:val="3"/>
            <w:tcBorders>
              <w:top w:val="single" w:color="auto" w:sz="18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F1-score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868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macro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</w:rPr>
              <w:sym w:font="Symbol" w:char="F078"/>
            </w:r>
          </w:p>
        </w:tc>
        <w:tc>
          <w:tcPr>
            <w:tcW w:w="33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micro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</w:rPr>
              <w:sym w:font="Symbol" w:char="F07A"/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weighted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35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macro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</w:rPr>
              <w:sym w:font="Symbol" w:char="F078"/>
            </w:r>
          </w:p>
        </w:tc>
        <w:tc>
          <w:tcPr>
            <w:tcW w:w="33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micro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</w:rPr>
              <w:sym w:font="Symbol" w:char="F07A"/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weighted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35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macro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</w:rPr>
              <w:sym w:font="Symbol" w:char="F078"/>
            </w:r>
          </w:p>
        </w:tc>
        <w:tc>
          <w:tcPr>
            <w:tcW w:w="33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micro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</w:rPr>
              <w:sym w:font="Symbol" w:char="F07A"/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weighted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</w:rPr>
              <w:t>#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868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Hold-out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240" w:firstLineChars="10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Train set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0.946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0.946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0.950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0.950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0.946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0.946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0.946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0.946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0.945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240" w:firstLineChars="10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Test set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0.933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0.933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0.944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0.944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0.933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0.933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0.933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0.933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0.933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868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Cross validation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0.943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0.961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0.943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0.961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0.943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0.943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0.943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0.939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0.943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1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0.939</w:t>
            </w:r>
          </w:p>
        </w:tc>
      </w:tr>
    </w:tbl>
    <w:p>
      <w:pPr>
        <w:snapToGrid w:val="0"/>
        <w:jc w:val="left"/>
        <w:rPr>
          <w:rFonts w:ascii="Times New Roman" w:hAnsi="Times New Roman" w:eastAsia="Times New Roman Uni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 Uni" w:cs="Times New Roman"/>
          <w:i/>
          <w:iCs/>
          <w:sz w:val="24"/>
          <w:szCs w:val="24"/>
          <w:vertAlign w:val="superscript"/>
        </w:rPr>
        <w:sym w:font="Symbol" w:char="F078"/>
      </w:r>
      <w:r>
        <w:rPr>
          <w:rFonts w:ascii="Times New Roman" w:hAnsi="Times New Roman" w:eastAsia="Times New Roman Uni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macro-average performance</w:t>
      </w:r>
      <w:r>
        <w:rPr>
          <w:rFonts w:hint="default" w:ascii="Times New Roman" w:hAnsi="Times New Roman" w:eastAsia="Times New Roman Uni" w:cs="Times New Roman"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Times New Roman Uni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means the way in which we averagingly computed the unweighted measure per-class;</w:t>
      </w:r>
    </w:p>
    <w:p>
      <w:pPr>
        <w:snapToGrid w:val="0"/>
        <w:jc w:val="left"/>
        <w:rPr>
          <w:rFonts w:ascii="Times New Roman" w:hAnsi="Times New Roman" w:eastAsia="Times New Roman Uni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 Uni" w:cs="Times New Roman"/>
          <w:i/>
          <w:iCs/>
          <w:sz w:val="24"/>
          <w:szCs w:val="24"/>
          <w:vertAlign w:val="superscript"/>
        </w:rPr>
        <w:sym w:font="Symbol" w:char="F07A"/>
      </w:r>
      <w:r>
        <w:rPr>
          <w:rFonts w:ascii="Times New Roman" w:hAnsi="Times New Roman" w:eastAsia="Times New Roman Uni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micro-average performance</w:t>
      </w:r>
      <w:r>
        <w:rPr>
          <w:rFonts w:hint="default" w:ascii="Times New Roman" w:hAnsi="Times New Roman" w:eastAsia="Times New Roman Uni" w:cs="Times New Roman"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Times New Roman Uni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represents the way in which the corresponding elements of each confusion matrix were averaged, and the measure was then calculated;</w:t>
      </w:r>
    </w:p>
    <w:p>
      <w:pPr>
        <w:snapToGrid w:val="0"/>
        <w:jc w:val="left"/>
        <w:rPr>
          <w:rFonts w:hint="default" w:ascii="Times New Roman" w:hAnsi="Times New Roman" w:eastAsia="Times New Roman Uni" w:cs="Times New Roman"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 Uni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#</w:t>
      </w:r>
      <w:r>
        <w:rPr>
          <w:rFonts w:ascii="Times New Roman" w:hAnsi="Times New Roman" w:eastAsia="Times New Roman Uni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weighted performance</w:t>
      </w:r>
      <w:r>
        <w:rPr>
          <w:rFonts w:hint="default" w:ascii="Times New Roman" w:hAnsi="Times New Roman" w:eastAsia="Times New Roman Uni" w:cs="Times New Roman"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Times New Roman Uni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represents the approach in which the corresponding elements of each confusion matrix were separately calculated first, and obtained the averaged measure weighted by the weight of each category</w:t>
      </w:r>
      <w:r>
        <w:rPr>
          <w:rFonts w:hint="default" w:ascii="Times New Roman" w:hAnsi="Times New Roman" w:eastAsia="Times New Roman Uni" w:cs="Times New Roman"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Screening out risk factors for DR by conditional logistic regression in the training set</w:t>
      </w:r>
    </w:p>
    <w:tbl>
      <w:tblPr>
        <w:tblStyle w:val="3"/>
        <w:tblW w:w="5012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4"/>
        <w:gridCol w:w="426"/>
        <w:gridCol w:w="993"/>
        <w:gridCol w:w="1704"/>
        <w:gridCol w:w="855"/>
        <w:gridCol w:w="1988"/>
        <w:gridCol w:w="796"/>
        <w:gridCol w:w="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937" w:type="pct"/>
            <w:vMerge w:val="restart"/>
            <w:tcBorders>
              <w:top w:val="single" w:color="auto" w:sz="18" w:space="0"/>
              <w:left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Risk factors</w:t>
            </w:r>
          </w:p>
        </w:tc>
        <w:tc>
          <w:tcPr>
            <w:tcW w:w="255" w:type="pct"/>
            <w:vMerge w:val="restart"/>
            <w:tcBorders>
              <w:top w:val="single" w:color="auto" w:sz="18" w:space="0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95" w:type="pct"/>
            <w:vMerge w:val="restart"/>
            <w:tcBorders>
              <w:top w:val="single" w:color="auto" w:sz="18" w:space="0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DR,#(%)</w:t>
            </w:r>
          </w:p>
        </w:tc>
        <w:tc>
          <w:tcPr>
            <w:tcW w:w="1533" w:type="pct"/>
            <w:gridSpan w:val="2"/>
            <w:tcBorders>
              <w:top w:val="single" w:color="auto" w:sz="18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Univariate</w:t>
            </w:r>
          </w:p>
        </w:tc>
        <w:tc>
          <w:tcPr>
            <w:tcW w:w="1680" w:type="pct"/>
            <w:gridSpan w:val="3"/>
            <w:tcBorders>
              <w:top w:val="single" w:color="auto" w:sz="18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Multivariable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937" w:type="pct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1" w:name="IDX"/>
            <w:bookmarkEnd w:id="1"/>
          </w:p>
        </w:tc>
        <w:tc>
          <w:tcPr>
            <w:tcW w:w="255" w:type="pct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single" w:color="auto" w:sz="6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OR (95%CI)</w:t>
            </w:r>
          </w:p>
        </w:tc>
        <w:tc>
          <w:tcPr>
            <w:tcW w:w="512" w:type="pct"/>
            <w:tcBorders>
              <w:top w:val="single" w:color="auto" w:sz="6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191" w:type="pct"/>
            <w:tcBorders>
              <w:top w:val="single" w:color="auto" w:sz="6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OR (95%CI)</w:t>
            </w:r>
          </w:p>
        </w:tc>
        <w:tc>
          <w:tcPr>
            <w:tcW w:w="489" w:type="pct"/>
            <w:gridSpan w:val="2"/>
            <w:tcBorders>
              <w:top w:val="single" w:color="auto" w:sz="6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pct"/>
          <w:cantSplit/>
          <w:jc w:val="center"/>
        </w:trPr>
        <w:tc>
          <w:tcPr>
            <w:tcW w:w="498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" w:cs="Times New Roman"/>
                <w:color w:val="000000"/>
                <w:sz w:val="24"/>
                <w:szCs w:val="24"/>
              </w:rPr>
              <w:t>Thiamine triphosphate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Per 1 unit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1.00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1.00,1.00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1.00(1.00,1.00)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Per SD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0.01(0.00,0.04)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0.00(0.00,0.03)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Cut-off value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37" w:type="pct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210" w:leftChars="100" w:right="0" w:firstLine="120" w:firstLineChars="5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≥24350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95" w:type="pct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7(12.70)</w:t>
            </w:r>
          </w:p>
        </w:tc>
        <w:tc>
          <w:tcPr>
            <w:tcW w:w="102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1.00(1.00,1.00)</w:t>
            </w: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19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1.00(1.00,1.00)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Ref.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37" w:type="pct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210" w:leftChars="100" w:right="0" w:firstLine="120" w:firstLineChars="5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&lt;24350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95" w:type="pct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42(97.70)</w:t>
            </w:r>
          </w:p>
        </w:tc>
        <w:tc>
          <w:tcPr>
            <w:tcW w:w="102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288.00(34.03,2437.63)</w:t>
            </w: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19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311.32(32.75,2959.78)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pct"/>
          <w:cantSplit/>
          <w:jc w:val="center"/>
        </w:trPr>
        <w:tc>
          <w:tcPr>
            <w:tcW w:w="4988" w:type="pct"/>
            <w:gridSpan w:val="7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Systolic BP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Per 1 mmHg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1.03(1.00,1.05)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1.04(0.96,1.13)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0.349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Per SD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1.50(0.96,2.34)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1.87(0.46,7.57)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0.382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Clinical criteria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210" w:leftChars="100" w:right="0" w:firstLine="120" w:firstLineChars="5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&lt;140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33(47.10)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1.00(1.00,1.00)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1.00(1.00,1.00)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Ref.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210" w:leftChars="100" w:right="0" w:firstLine="120" w:firstLineChars="5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≥140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16(57.10)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1.50(0.62,3.62)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0.372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8.08(0.24,277.70)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0.247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Cut-off value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210" w:leftChars="100" w:right="0" w:firstLine="120" w:firstLineChars="5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&lt;130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18(35.30)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1.00(1.00,1.00)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1.00(1.00,1.00)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Ref.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210" w:leftChars="100" w:right="0" w:firstLine="120" w:firstLineChars="5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≥130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31(66.00)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3.55(1.54,8.17)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2.62(0.30,22.75)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0.382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pct"/>
          <w:cantSplit/>
          <w:jc w:val="center"/>
        </w:trPr>
        <w:tc>
          <w:tcPr>
            <w:tcW w:w="498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Duration of diabetes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Per 1 year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1.10(1.03,1.18)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1.23(1.03,1.48)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Per SD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1.77(1.14,2.75)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3.28(1.05,10.27)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Cut-off value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37" w:type="pct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210" w:leftChars="100" w:right="0" w:firstLine="120" w:firstLineChars="5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&lt;10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95" w:type="pct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16(35.60)</w:t>
            </w:r>
          </w:p>
        </w:tc>
        <w:tc>
          <w:tcPr>
            <w:tcW w:w="102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1.00(1.00,1.00)</w:t>
            </w: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119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1.00(1.00,1.00)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Ref.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37" w:type="pct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210" w:leftChars="100" w:right="0" w:firstLine="120" w:firstLineChars="5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≥10</w:t>
            </w:r>
          </w:p>
        </w:tc>
        <w:tc>
          <w:tcPr>
            <w:tcW w:w="255" w:type="pct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FFFFF"/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33(62.30)</w:t>
            </w:r>
          </w:p>
        </w:tc>
        <w:tc>
          <w:tcPr>
            <w:tcW w:w="1021" w:type="pct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2.99(1.31,6.83)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191" w:type="pct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22.95(1.73,304.65)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>
            <w:pPr>
              <w:keepNext/>
              <w:keepLines w:val="0"/>
              <w:suppressLineNumbers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0.018</w:t>
            </w:r>
          </w:p>
        </w:tc>
      </w:tr>
    </w:tbl>
    <w:p>
      <w:pPr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hint="eastAsia" w:ascii="Times New Roman" w:hAnsi="Times New Roman" w:cs="Times New Roman"/>
          <w:i/>
          <w:iCs/>
          <w:sz w:val="24"/>
          <w:szCs w:val="24"/>
        </w:rPr>
        <w:t>S</w:t>
      </w:r>
      <w:r>
        <w:rPr>
          <w:rFonts w:ascii="Times New Roman" w:hAnsi="Times New Roman" w:cs="Times New Roman"/>
          <w:i/>
          <w:iCs/>
          <w:sz w:val="24"/>
          <w:szCs w:val="24"/>
        </w:rPr>
        <w:t>D:</w:t>
      </w:r>
      <w:r>
        <w:rPr>
          <w:i/>
          <w:iCs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standard deviation.</w:t>
      </w:r>
    </w:p>
    <w:p>
      <w:pPr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Cut-off value was determined using cubic spline curve or decision tree.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3728720"/>
            <wp:effectExtent l="0" t="0" r="10160" b="5080"/>
            <wp:docPr id="1" name="图片 1" descr="Supplemental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l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Times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Times" w:cs="Times New Roman"/>
          <w:b/>
          <w:bCs/>
          <w:color w:val="000000"/>
          <w:sz w:val="24"/>
          <w:szCs w:val="24"/>
        </w:rPr>
        <w:t>Fig S1</w:t>
      </w:r>
      <w:r>
        <w:rPr>
          <w:rFonts w:hint="eastAsia" w:ascii="Times New Roman" w:hAnsi="Times New Roman" w:eastAsia="Times" w:cs="Times New Roman"/>
          <w:b/>
          <w:bCs/>
          <w:color w:val="000000"/>
          <w:sz w:val="24"/>
          <w:szCs w:val="24"/>
          <w:lang w:val="en-US" w:eastAsia="zh-CN"/>
        </w:rPr>
        <w:t>.</w:t>
      </w:r>
      <w:r>
        <w:rPr>
          <w:rFonts w:ascii="Times New Roman" w:hAnsi="Times New Roman" w:eastAsia="Times" w:cs="Times New Roman"/>
          <w:color w:val="000000"/>
          <w:sz w:val="24"/>
          <w:szCs w:val="24"/>
        </w:rPr>
        <w:t xml:space="preserve"> Study flowchart of the propensity score-matched participants</w:t>
      </w:r>
    </w:p>
    <w:p>
      <w:pPr>
        <w:rPr>
          <w:rFonts w:ascii="Times New Roman" w:hAnsi="Times New Roman" w:eastAsia="Times" w:cs="Times New Roman"/>
          <w:color w:val="000000"/>
          <w:sz w:val="24"/>
          <w:szCs w:val="24"/>
        </w:rPr>
      </w:pPr>
    </w:p>
    <w:p>
      <w:pP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Abbreviations: T2DM, Type 2 diabetes; DR, </w:t>
      </w:r>
      <w:r>
        <w:rPr>
          <w:rFonts w:ascii="Times New Roman" w:hAnsi="Times New Roman" w:eastAsia="等线" w:cs="Times New Roman"/>
          <w:i/>
          <w:iCs/>
          <w:sz w:val="24"/>
          <w:szCs w:val="24"/>
          <w:lang w:bidi="ar"/>
        </w:rPr>
        <w:t xml:space="preserve">diabetic retinopathy; DM, diabetes mellitus without DR; NPDR, </w:t>
      </w:r>
      <w:r>
        <w:rPr>
          <w:rFonts w:ascii="Times New Roman" w:hAnsi="Times New Roman" w:cs="Times New Roman"/>
          <w:i/>
          <w:iCs/>
          <w:sz w:val="24"/>
          <w:szCs w:val="24"/>
        </w:rPr>
        <w:t>non-proliferative diabetic retinopathy; PDR, proliferative diabetic retinopathy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.</w:t>
      </w:r>
    </w:p>
    <w:p>
      <w:pP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drawing>
          <wp:inline distT="0" distB="0" distL="114300" distR="114300">
            <wp:extent cx="5593080" cy="2334895"/>
            <wp:effectExtent l="0" t="0" r="7620" b="1905"/>
            <wp:docPr id="3" name="图片 3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3080" cy="233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eastAsia="Times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Times" w:cs="Times New Roman"/>
          <w:b/>
          <w:bCs/>
          <w:color w:val="000000"/>
          <w:sz w:val="24"/>
          <w:szCs w:val="24"/>
        </w:rPr>
        <w:t>Fig</w:t>
      </w:r>
      <w:r>
        <w:rPr>
          <w:rFonts w:hint="eastAsia" w:ascii="Times New Roman" w:hAnsi="Times New Roman" w:eastAsia="Times" w:cs="Times New Roman"/>
          <w:b/>
          <w:bCs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Times" w:cs="Times New Roman"/>
          <w:b/>
          <w:bCs/>
          <w:color w:val="000000"/>
          <w:sz w:val="24"/>
          <w:szCs w:val="24"/>
        </w:rPr>
        <w:t>S</w:t>
      </w:r>
      <w:r>
        <w:rPr>
          <w:rFonts w:hint="eastAsia" w:ascii="Times New Roman" w:hAnsi="Times New Roman" w:eastAsia="Times" w:cs="Times New Roman"/>
          <w:b/>
          <w:bCs/>
          <w:color w:val="000000"/>
          <w:sz w:val="24"/>
          <w:szCs w:val="24"/>
          <w:lang w:val="en-US" w:eastAsia="zh-CN"/>
        </w:rPr>
        <w:t>2.</w:t>
      </w:r>
      <w:r>
        <w:rPr>
          <w:rFonts w:ascii="Times New Roman" w:hAnsi="Times New Roman" w:eastAsia="Times" w:cs="Times New Roman"/>
          <w:color w:val="000000"/>
          <w:sz w:val="24"/>
          <w:szCs w:val="24"/>
        </w:rPr>
        <w:t xml:space="preserve"> </w:t>
      </w:r>
      <w:r>
        <w:rPr>
          <w:rFonts w:hint="eastAsia" w:ascii="Times New Roman" w:hAnsi="Times New Roman" w:eastAsia="Times" w:cs="Times New Roman"/>
          <w:color w:val="000000"/>
          <w:sz w:val="24"/>
          <w:szCs w:val="24"/>
        </w:rPr>
        <w:t xml:space="preserve">The relation of </w:t>
      </w:r>
      <w:r>
        <w:rPr>
          <w:rFonts w:hint="eastAsia" w:ascii="Times New Roman" w:hAnsi="Times New Roman" w:eastAsia="Times" w:cs="Times New Roman"/>
          <w:color w:val="000000"/>
          <w:sz w:val="24"/>
          <w:szCs w:val="24"/>
          <w:lang w:val="en-US" w:eastAsia="zh-CN"/>
        </w:rPr>
        <w:t xml:space="preserve">SBP (A) and </w:t>
      </w:r>
      <w:r>
        <w:rPr>
          <w:rFonts w:hint="eastAsia" w:ascii="Times New Roman" w:hAnsi="Times New Roman" w:eastAsia="Times" w:cs="Times New Roman"/>
          <w:color w:val="000000"/>
          <w:sz w:val="24"/>
          <w:szCs w:val="24"/>
        </w:rPr>
        <w:t xml:space="preserve">duration </w:t>
      </w:r>
      <w:r>
        <w:rPr>
          <w:rFonts w:hint="eastAsia" w:ascii="Times New Roman" w:hAnsi="Times New Roman" w:eastAsia="Times" w:cs="Times New Roman"/>
          <w:color w:val="000000"/>
          <w:sz w:val="24"/>
          <w:szCs w:val="24"/>
          <w:lang w:val="en-US" w:eastAsia="zh-CN"/>
        </w:rPr>
        <w:t xml:space="preserve">(B) </w:t>
      </w:r>
      <w:r>
        <w:rPr>
          <w:rFonts w:hint="eastAsia" w:ascii="Times New Roman" w:hAnsi="Times New Roman" w:eastAsia="Times" w:cs="Times New Roman"/>
          <w:color w:val="000000"/>
          <w:sz w:val="24"/>
          <w:szCs w:val="24"/>
        </w:rPr>
        <w:t>with the risk of DR</w:t>
      </w:r>
    </w:p>
    <w:p>
      <w:pP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drawing>
          <wp:inline distT="0" distB="0" distL="114300" distR="114300">
            <wp:extent cx="5748655" cy="1934210"/>
            <wp:effectExtent l="0" t="0" r="4445" b="8890"/>
            <wp:docPr id="4" name="图片 4" descr="FIG.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.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Times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Times" w:cs="Times New Roman"/>
          <w:b/>
          <w:bCs/>
          <w:color w:val="000000"/>
          <w:sz w:val="24"/>
          <w:szCs w:val="24"/>
        </w:rPr>
        <w:t>Fig</w:t>
      </w:r>
      <w:r>
        <w:rPr>
          <w:rFonts w:hint="eastAsia" w:ascii="Times New Roman" w:hAnsi="Times New Roman" w:eastAsia="Times" w:cs="Times New Roman"/>
          <w:b/>
          <w:bCs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Times" w:cs="Times New Roman"/>
          <w:b/>
          <w:bCs/>
          <w:color w:val="000000"/>
          <w:sz w:val="24"/>
          <w:szCs w:val="24"/>
        </w:rPr>
        <w:t>S</w:t>
      </w:r>
      <w:r>
        <w:rPr>
          <w:rFonts w:hint="eastAsia" w:ascii="Times New Roman" w:hAnsi="Times New Roman" w:eastAsia="Times" w:cs="Times New Roman"/>
          <w:b/>
          <w:bCs/>
          <w:color w:val="000000"/>
          <w:sz w:val="24"/>
          <w:szCs w:val="24"/>
          <w:lang w:val="en-US" w:eastAsia="zh-CN"/>
        </w:rPr>
        <w:t>3.</w:t>
      </w:r>
      <w:r>
        <w:rPr>
          <w:rFonts w:ascii="Times New Roman" w:hAnsi="Times New Roman" w:eastAsia="Times" w:cs="Times New Roman"/>
          <w:color w:val="000000"/>
          <w:sz w:val="24"/>
          <w:szCs w:val="24"/>
        </w:rPr>
        <w:t xml:space="preserve"> Calibration curves of the DR incidence risk nomogram prediction in the array</w:t>
      </w:r>
    </w:p>
    <w:p>
      <w:pPr>
        <w:rPr>
          <w:rFonts w:ascii="Times New Roman" w:hAnsi="Times New Roman" w:eastAsia="Times" w:cs="Times New Roman"/>
          <w:color w:val="000000"/>
          <w:sz w:val="24"/>
          <w:szCs w:val="24"/>
        </w:rPr>
      </w:pPr>
    </w:p>
    <w:p>
      <w:pPr>
        <w:rPr>
          <w:rFonts w:ascii="Times New Roman" w:hAnsi="Times New Roman" w:eastAsia="Times" w:cs="Times New Roman"/>
          <w:i/>
          <w:iCs/>
          <w:color w:val="000000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Times" w:cs="Times New Roman"/>
          <w:i/>
          <w:iCs/>
          <w:color w:val="000000"/>
          <w:sz w:val="24"/>
          <w:szCs w:val="24"/>
        </w:rPr>
        <w:t>Notes: The x-axis represents the predicted incidence risk. The y-axis represents the actual diagnosed DR. The diagonal dotted line represents a perfect prediction by an ideal model. The solid line represents the performance of the nomogram; a closer fit to the diagonal dotted line represents a better prediction.</w:t>
      </w:r>
    </w:p>
    <w:p>
      <w:pPr>
        <w:jc w:val="center"/>
        <w:rPr>
          <w:rFonts w:hint="eastAsia" w:ascii="Times New Roman" w:hAnsi="Times New Roman" w:eastAsia="Times" w:cs="Times New Roman"/>
          <w:i/>
          <w:iCs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Times" w:cs="Times New Roman"/>
          <w:i/>
          <w:iCs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4909185" cy="7662545"/>
            <wp:effectExtent l="0" t="0" r="5715" b="8255"/>
            <wp:docPr id="5" name="图片 5" descr="FIG.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.S4"/>
                    <pic:cNvPicPr>
                      <a:picLocks noChangeAspect="1"/>
                    </pic:cNvPicPr>
                  </pic:nvPicPr>
                  <pic:blipFill>
                    <a:blip r:embed="rId7"/>
                    <a:srcRect t="1144"/>
                    <a:stretch>
                      <a:fillRect/>
                    </a:stretch>
                  </pic:blipFill>
                  <pic:spPr>
                    <a:xfrm>
                      <a:off x="0" y="0"/>
                      <a:ext cx="4909185" cy="766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Times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Times" w:cs="Times New Roman"/>
          <w:b/>
          <w:bCs/>
          <w:color w:val="000000"/>
          <w:sz w:val="24"/>
          <w:szCs w:val="24"/>
        </w:rPr>
        <w:t>Fig S</w:t>
      </w:r>
      <w:r>
        <w:rPr>
          <w:rFonts w:hint="eastAsia" w:ascii="Times New Roman" w:hAnsi="Times New Roman" w:eastAsia="Times" w:cs="Times New Roman"/>
          <w:b/>
          <w:bCs/>
          <w:color w:val="000000"/>
          <w:sz w:val="24"/>
          <w:szCs w:val="24"/>
          <w:lang w:val="en-US" w:eastAsia="zh-CN"/>
        </w:rPr>
        <w:t>4.</w:t>
      </w:r>
      <w:r>
        <w:rPr>
          <w:rFonts w:ascii="Times New Roman" w:hAnsi="Times New Roman" w:eastAsia="Times" w:cs="Times New Roman"/>
          <w:color w:val="000000"/>
          <w:sz w:val="24"/>
          <w:szCs w:val="24"/>
        </w:rPr>
        <w:t xml:space="preserve"> Sensitivity analysis of patients with DM and mild/moderate/severe DR: the ROC curve of the nomogram model in the training set (A, C, E) and testing set (B, D, F)</w:t>
      </w:r>
    </w:p>
    <w:p>
      <w:pPr>
        <w:rPr>
          <w:rFonts w:ascii="Times New Roman" w:hAnsi="Times New Roman" w:eastAsia="Times" w:cs="Times New Roman"/>
          <w:color w:val="000000"/>
          <w:sz w:val="24"/>
          <w:szCs w:val="24"/>
        </w:rPr>
      </w:pPr>
    </w:p>
    <w:p>
      <w:pPr>
        <w:rPr>
          <w:rFonts w:ascii="Times New Roman" w:hAnsi="Times New Roman" w:eastAsia="Times" w:cs="Times New Roman"/>
          <w:i/>
          <w:iCs/>
          <w:color w:val="000000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Times" w:cs="Times New Roman"/>
          <w:i/>
          <w:iCs/>
          <w:color w:val="000000"/>
          <w:sz w:val="24"/>
          <w:szCs w:val="24"/>
        </w:rPr>
        <w:t>Notes: mile, A and B; moderate, C and D; severe, E and F.</w:t>
      </w:r>
    </w:p>
    <w:p>
      <w:pPr>
        <w:jc w:val="center"/>
        <w:rPr>
          <w:rFonts w:ascii="Times New Roman" w:hAnsi="Times New Roman" w:eastAsia="Times" w:cs="Times New Roman"/>
          <w:i/>
          <w:iCs/>
          <w:color w:val="000000"/>
          <w:sz w:val="24"/>
          <w:szCs w:val="24"/>
        </w:rPr>
      </w:pPr>
      <w:r>
        <w:rPr>
          <w:rFonts w:hint="eastAsia" w:ascii="Times New Roman" w:hAnsi="Times New Roman" w:eastAsia="Times" w:cs="Times New Roman"/>
          <w:i/>
          <w:iCs/>
          <w:color w:val="000000"/>
          <w:sz w:val="24"/>
          <w:szCs w:val="24"/>
        </w:rPr>
        <w:drawing>
          <wp:inline distT="0" distB="0" distL="114300" distR="114300">
            <wp:extent cx="5226050" cy="3699510"/>
            <wp:effectExtent l="0" t="0" r="6350" b="8890"/>
            <wp:docPr id="2" name="图片 2" descr="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6050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Times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Times" w:cs="Times New Roman"/>
          <w:b/>
          <w:bCs/>
          <w:color w:val="000000"/>
          <w:sz w:val="24"/>
          <w:szCs w:val="24"/>
        </w:rPr>
        <w:t xml:space="preserve">Fig </w:t>
      </w:r>
      <w:r>
        <w:rPr>
          <w:rFonts w:hint="eastAsia" w:ascii="Times New Roman" w:hAnsi="Times New Roman" w:eastAsia="Times" w:cs="Times New Roman"/>
          <w:b/>
          <w:bCs/>
          <w:color w:val="000000"/>
          <w:sz w:val="24"/>
          <w:szCs w:val="24"/>
          <w:lang w:val="en-US" w:eastAsia="zh-CN"/>
        </w:rPr>
        <w:t>S5.</w:t>
      </w:r>
      <w:bookmarkStart w:id="2" w:name="_GoBack"/>
      <w:bookmarkEnd w:id="2"/>
      <w:r>
        <w:rPr>
          <w:rFonts w:ascii="Times New Roman" w:hAnsi="Times New Roman" w:eastAsia="Times" w:cs="Times New Roman"/>
          <w:color w:val="000000"/>
          <w:sz w:val="24"/>
          <w:szCs w:val="24"/>
        </w:rPr>
        <w:t xml:space="preserve"> A schematic diagram of a proposed metabolic pathway</w:t>
      </w:r>
    </w:p>
    <w:p>
      <w:pPr>
        <w:jc w:val="left"/>
        <w:rPr>
          <w:rFonts w:ascii="Times New Roman" w:hAnsi="Times New Roman" w:eastAsia="Times" w:cs="Times New Roman"/>
          <w:color w:val="000000"/>
          <w:sz w:val="24"/>
          <w:szCs w:val="24"/>
        </w:rPr>
      </w:pPr>
    </w:p>
    <w:p>
      <w:pPr>
        <w:tabs>
          <w:tab w:val="left" w:pos="298"/>
        </w:tabs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" w:cs="Times New Roman"/>
          <w:i/>
          <w:iCs/>
          <w:color w:val="000000"/>
          <w:sz w:val="24"/>
          <w:szCs w:val="24"/>
        </w:rPr>
        <w:t>Abbreviations: ThTP, thiamine triphosphate; ThDP, thiamine diphosphate; AMP, adenosine monophosphate, ADP, adenosine diphosphate; CON, healthy control group; DR, diabetic retinopathy group; DM, diabetes mellitus without DR group; GABA, γ-aminobutyric acid; GLDH, glutamate dehydrogenase.</w:t>
      </w:r>
    </w:p>
    <w:p>
      <w:pPr>
        <w:rPr>
          <w:rFonts w:hint="eastAsia" w:ascii="Times New Roman" w:hAnsi="Times New Roman" w:eastAsia="Times" w:cs="Times New Roman"/>
          <w:i/>
          <w:iCs/>
          <w:color w:val="000000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imes New Roman Uni">
    <w:panose1 w:val="02020603050405020304"/>
    <w:charset w:val="86"/>
    <w:family w:val="roman"/>
    <w:pitch w:val="default"/>
    <w:sig w:usb0="B334AAFF" w:usb1="F9FFFFFF" w:usb2="0000003E" w:usb3="00000000" w:csb0="601F01FF" w:csb1="FFFF0000"/>
  </w:font>
  <w:font w:name="Times">
    <w:altName w:val="Times New Roman Uni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B39E7"/>
    <w:rsid w:val="01B14290"/>
    <w:rsid w:val="1E5F6911"/>
    <w:rsid w:val="2AF936BE"/>
    <w:rsid w:val="391715D6"/>
    <w:rsid w:val="3CD32A2D"/>
    <w:rsid w:val="4370464E"/>
    <w:rsid w:val="477A41D3"/>
    <w:rsid w:val="65A527F2"/>
    <w:rsid w:val="693B39E7"/>
    <w:rsid w:val="6CC251F9"/>
    <w:rsid w:val="6ED26039"/>
    <w:rsid w:val="792A172C"/>
    <w:rsid w:val="7C94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mbria" w:hAnsi="Cambria" w:eastAsia="Cambria" w:cs="Cambria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rPr>
      <w:rFonts w:ascii="宋体" w:hAnsi="宋体" w:cs="宋体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2020-07-04T00:55:00Z</dcterms:created>
  <dc:creator>L</dc:creator>
  <cp:lastModifiedBy>李举双</cp:lastModifiedBy>
  <dcterms:modified xsi:type="dcterms:W3CDTF">2022-07-17T07:40:18Z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2FBBB3DCF2054505BB151A9659B2C67E</vt:lpwstr>
  </property>
</Properties>
</file>