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440B9" w14:textId="77777777" w:rsidR="006855F2" w:rsidRPr="004E75EE" w:rsidRDefault="006855F2" w:rsidP="006855F2">
      <w:pPr>
        <w:rPr>
          <w:b/>
          <w:bCs/>
        </w:rPr>
      </w:pPr>
      <w:r w:rsidRPr="004E75EE">
        <w:rPr>
          <w:b/>
          <w:bCs/>
        </w:rPr>
        <w:t>SUPPLEMENTARY MATERIAL</w:t>
      </w:r>
    </w:p>
    <w:p w14:paraId="1B23C9D5" w14:textId="77777777" w:rsidR="006855F2" w:rsidRDefault="006855F2" w:rsidP="006855F2"/>
    <w:p w14:paraId="4702B4F0" w14:textId="77777777" w:rsidR="006855F2" w:rsidRPr="004E75EE" w:rsidRDefault="006855F2" w:rsidP="006855F2">
      <w:pPr>
        <w:rPr>
          <w:b/>
          <w:bCs/>
        </w:rPr>
      </w:pPr>
      <w:r w:rsidRPr="004E75EE">
        <w:rPr>
          <w:b/>
          <w:bCs/>
        </w:rPr>
        <w:t>Supplementary figures</w:t>
      </w:r>
    </w:p>
    <w:p w14:paraId="67C33407" w14:textId="38484E20" w:rsidR="00760BCF" w:rsidRDefault="006855F2">
      <w:r w:rsidRPr="006855F2">
        <w:rPr>
          <w:noProof/>
        </w:rPr>
        <w:drawing>
          <wp:anchor distT="0" distB="0" distL="114300" distR="114300" simplePos="0" relativeHeight="251658240" behindDoc="0" locked="0" layoutInCell="1" allowOverlap="1" wp14:anchorId="2F56C8E4" wp14:editId="0586C429">
            <wp:simplePos x="0" y="0"/>
            <wp:positionH relativeFrom="column">
              <wp:posOffset>-270510</wp:posOffset>
            </wp:positionH>
            <wp:positionV relativeFrom="paragraph">
              <wp:posOffset>314325</wp:posOffset>
            </wp:positionV>
            <wp:extent cx="6431915" cy="3298190"/>
            <wp:effectExtent l="0" t="0" r="0" b="3810"/>
            <wp:wrapSquare wrapText="bothSides"/>
            <wp:docPr id="2" name="Picture 1" descr="Chart&#10;&#10;Description automatically generated">
              <a:extLst xmlns:a="http://schemas.openxmlformats.org/drawingml/2006/main">
                <a:ext uri="{FF2B5EF4-FFF2-40B4-BE49-F238E27FC236}">
                  <a16:creationId xmlns:a16="http://schemas.microsoft.com/office/drawing/2014/main" id="{93DC7A29-F92F-D144-ADB0-448152706C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10;&#10;Description automatically generated">
                      <a:extLst>
                        <a:ext uri="{FF2B5EF4-FFF2-40B4-BE49-F238E27FC236}">
                          <a16:creationId xmlns:a16="http://schemas.microsoft.com/office/drawing/2014/main" id="{93DC7A29-F92F-D144-ADB0-448152706CFE}"/>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t="9132" b="13940"/>
                    <a:stretch/>
                  </pic:blipFill>
                  <pic:spPr>
                    <a:xfrm>
                      <a:off x="0" y="0"/>
                      <a:ext cx="6431915" cy="3298190"/>
                    </a:xfrm>
                    <a:prstGeom prst="rect">
                      <a:avLst/>
                    </a:prstGeom>
                  </pic:spPr>
                </pic:pic>
              </a:graphicData>
            </a:graphic>
            <wp14:sizeRelH relativeFrom="page">
              <wp14:pctWidth>0</wp14:pctWidth>
            </wp14:sizeRelH>
            <wp14:sizeRelV relativeFrom="page">
              <wp14:pctHeight>0</wp14:pctHeight>
            </wp14:sizeRelV>
          </wp:anchor>
        </w:drawing>
      </w:r>
    </w:p>
    <w:p w14:paraId="47FB31E5" w14:textId="4B5C8ADE" w:rsidR="006855F2" w:rsidRDefault="006855F2"/>
    <w:p w14:paraId="61BC5CE7" w14:textId="77777777" w:rsidR="006855F2" w:rsidRDefault="006855F2" w:rsidP="006855F2"/>
    <w:p w14:paraId="124505B4" w14:textId="38D68D23" w:rsidR="006855F2" w:rsidRDefault="006855F2" w:rsidP="006855F2">
      <w:pPr>
        <w:spacing w:line="480" w:lineRule="auto"/>
        <w:jc w:val="both"/>
        <w:rPr>
          <w:rFonts w:ascii="Calibri" w:eastAsia="Times New Roman" w:hAnsi="Calibri" w:cs="Calibri"/>
          <w:b/>
          <w:bCs/>
          <w:color w:val="000000"/>
          <w:kern w:val="24"/>
        </w:rPr>
      </w:pPr>
      <w:r>
        <w:rPr>
          <w:rFonts w:ascii="Calibri" w:eastAsia="Times New Roman" w:hAnsi="Calibri" w:cs="Calibri"/>
          <w:b/>
          <w:bCs/>
          <w:color w:val="000000"/>
          <w:kern w:val="24"/>
        </w:rPr>
        <w:t xml:space="preserve">Supplementary Figure 1. CpG-density plot, according to chromosome, represents the number of DMCs and CpGs within DMRs in a 1-Mb window size. </w:t>
      </w:r>
      <w:r w:rsidRPr="004E75EE">
        <w:rPr>
          <w:rFonts w:ascii="Calibri" w:eastAsia="Times New Roman" w:hAnsi="Calibri" w:cs="Calibri"/>
          <w:color w:val="000000"/>
          <w:kern w:val="24"/>
        </w:rPr>
        <w:t>The</w:t>
      </w:r>
      <w:r w:rsidRPr="00E656E8">
        <w:rPr>
          <w:rFonts w:ascii="Calibri" w:eastAsia="Times New Roman" w:hAnsi="Calibri" w:cs="Calibri"/>
          <w:color w:val="000000"/>
          <w:kern w:val="24"/>
        </w:rPr>
        <w:t xml:space="preserve"> horizontal axis shows the chromosome length (Mb); the different colors depict different CpG densities</w:t>
      </w:r>
      <w:r w:rsidR="00E656E8" w:rsidRPr="00E656E8">
        <w:rPr>
          <w:rFonts w:ascii="Calibri" w:eastAsia="Times New Roman" w:hAnsi="Calibri" w:cs="Calibri"/>
          <w:color w:val="000000"/>
          <w:kern w:val="24"/>
        </w:rPr>
        <w:t xml:space="preserve"> in a 1-Mb window size.</w:t>
      </w:r>
    </w:p>
    <w:p w14:paraId="018901A0" w14:textId="53E49A5F" w:rsidR="006855F2" w:rsidRDefault="006855F2"/>
    <w:p w14:paraId="040318D7" w14:textId="05DC99EB" w:rsidR="006855F2" w:rsidRDefault="006855F2"/>
    <w:p w14:paraId="7B098D7B" w14:textId="3885A1F8" w:rsidR="006855F2" w:rsidRDefault="006855F2"/>
    <w:p w14:paraId="79A36B5A" w14:textId="4B8435AE" w:rsidR="006855F2" w:rsidRDefault="009575F9" w:rsidP="006855F2">
      <w:pPr>
        <w:jc w:val="center"/>
      </w:pPr>
      <w:r w:rsidRPr="009575F9">
        <w:rPr>
          <w:noProof/>
        </w:rPr>
        <w:lastRenderedPageBreak/>
        <w:drawing>
          <wp:inline distT="0" distB="0" distL="0" distR="0" wp14:anchorId="2A0C3F5C" wp14:editId="237D78A9">
            <wp:extent cx="5517838" cy="4227226"/>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5637" t="9416" r="9958" b="14582"/>
                    <a:stretch/>
                  </pic:blipFill>
                  <pic:spPr bwMode="auto">
                    <a:xfrm>
                      <a:off x="0" y="0"/>
                      <a:ext cx="5555865" cy="4256359"/>
                    </a:xfrm>
                    <a:prstGeom prst="rect">
                      <a:avLst/>
                    </a:prstGeom>
                    <a:ln>
                      <a:noFill/>
                    </a:ln>
                    <a:extLst>
                      <a:ext uri="{53640926-AAD7-44D8-BBD7-CCE9431645EC}">
                        <a14:shadowObscured xmlns:a14="http://schemas.microsoft.com/office/drawing/2010/main"/>
                      </a:ext>
                    </a:extLst>
                  </pic:spPr>
                </pic:pic>
              </a:graphicData>
            </a:graphic>
          </wp:inline>
        </w:drawing>
      </w:r>
    </w:p>
    <w:p w14:paraId="26CD7E0C" w14:textId="34695D37" w:rsidR="006855F2" w:rsidRDefault="006855F2" w:rsidP="006855F2">
      <w:pPr>
        <w:jc w:val="center"/>
      </w:pPr>
    </w:p>
    <w:p w14:paraId="4929CC10" w14:textId="63866DC8" w:rsidR="006855F2" w:rsidRDefault="006855F2" w:rsidP="006855F2">
      <w:pPr>
        <w:jc w:val="center"/>
      </w:pPr>
    </w:p>
    <w:p w14:paraId="372E880B" w14:textId="0F25E78A" w:rsidR="006855F2" w:rsidRDefault="006855F2" w:rsidP="006855F2">
      <w:pPr>
        <w:jc w:val="center"/>
      </w:pPr>
    </w:p>
    <w:p w14:paraId="2450EA56" w14:textId="642082B1" w:rsidR="006855F2" w:rsidRDefault="006855F2" w:rsidP="006855F2">
      <w:pPr>
        <w:spacing w:line="480" w:lineRule="auto"/>
        <w:jc w:val="both"/>
        <w:rPr>
          <w:rFonts w:cstheme="minorHAnsi"/>
          <w:color w:val="000000" w:themeColor="text1"/>
        </w:rPr>
      </w:pPr>
      <w:r w:rsidRPr="00304E87">
        <w:rPr>
          <w:rFonts w:cstheme="minorHAnsi"/>
          <w:b/>
          <w:bCs/>
          <w:color w:val="000000" w:themeColor="text1"/>
        </w:rPr>
        <w:t xml:space="preserve">Supplementary Figure 2. Clustering and </w:t>
      </w:r>
      <w:r w:rsidRPr="002D3432">
        <w:rPr>
          <w:rFonts w:cstheme="minorHAnsi"/>
          <w:b/>
          <w:bCs/>
          <w:color w:val="000000" w:themeColor="text1"/>
        </w:rPr>
        <w:t>multi-dimensional scaling (</w:t>
      </w:r>
      <w:r w:rsidRPr="00304E87">
        <w:rPr>
          <w:rFonts w:cstheme="minorHAnsi"/>
          <w:b/>
          <w:bCs/>
          <w:color w:val="000000" w:themeColor="text1"/>
        </w:rPr>
        <w:t>MDS</w:t>
      </w:r>
      <w:r>
        <w:rPr>
          <w:rFonts w:cstheme="minorHAnsi"/>
          <w:b/>
          <w:bCs/>
          <w:color w:val="000000" w:themeColor="text1"/>
        </w:rPr>
        <w:t>)</w:t>
      </w:r>
      <w:r w:rsidRPr="00304E87">
        <w:rPr>
          <w:rFonts w:cstheme="minorHAnsi"/>
          <w:b/>
          <w:bCs/>
          <w:color w:val="000000" w:themeColor="text1"/>
        </w:rPr>
        <w:t xml:space="preserve"> of samples</w:t>
      </w:r>
      <w:r>
        <w:rPr>
          <w:rFonts w:cstheme="minorHAnsi"/>
          <w:b/>
          <w:bCs/>
          <w:color w:val="000000" w:themeColor="text1"/>
        </w:rPr>
        <w:t>,</w:t>
      </w:r>
      <w:r w:rsidRPr="00304E87">
        <w:rPr>
          <w:rFonts w:cstheme="minorHAnsi"/>
          <w:b/>
          <w:bCs/>
          <w:color w:val="000000" w:themeColor="text1"/>
        </w:rPr>
        <w:t xml:space="preserve"> based on different</w:t>
      </w:r>
      <w:r>
        <w:rPr>
          <w:rFonts w:cstheme="minorHAnsi"/>
          <w:b/>
          <w:bCs/>
          <w:color w:val="000000" w:themeColor="text1"/>
        </w:rPr>
        <w:t>ial</w:t>
      </w:r>
      <w:r w:rsidRPr="00304E87">
        <w:rPr>
          <w:rFonts w:cstheme="minorHAnsi"/>
          <w:b/>
          <w:bCs/>
          <w:color w:val="000000" w:themeColor="text1"/>
        </w:rPr>
        <w:t xml:space="preserve">ly methylated CpGs. </w:t>
      </w:r>
      <w:r w:rsidRPr="00304E87">
        <w:rPr>
          <w:rFonts w:cstheme="minorHAnsi"/>
          <w:color w:val="000000" w:themeColor="text1"/>
        </w:rPr>
        <w:t>MDS</w:t>
      </w:r>
      <w:r w:rsidRPr="00304E87">
        <w:rPr>
          <w:rFonts w:cstheme="minorHAnsi"/>
          <w:b/>
          <w:bCs/>
          <w:color w:val="000000" w:themeColor="text1"/>
        </w:rPr>
        <w:t xml:space="preserve"> </w:t>
      </w:r>
      <w:r w:rsidRPr="00304E87">
        <w:rPr>
          <w:rFonts w:cstheme="minorHAnsi"/>
          <w:color w:val="000000" w:themeColor="text1"/>
        </w:rPr>
        <w:t>of samples</w:t>
      </w:r>
      <w:r>
        <w:rPr>
          <w:rFonts w:cstheme="minorHAnsi"/>
          <w:color w:val="000000" w:themeColor="text1"/>
        </w:rPr>
        <w:t>,</w:t>
      </w:r>
      <w:r w:rsidRPr="00304E87">
        <w:rPr>
          <w:rFonts w:cstheme="minorHAnsi"/>
          <w:color w:val="000000" w:themeColor="text1"/>
        </w:rPr>
        <w:t xml:space="preserve"> based on methylation at </w:t>
      </w:r>
      <w:r>
        <w:rPr>
          <w:rFonts w:cstheme="minorHAnsi"/>
          <w:color w:val="000000" w:themeColor="text1"/>
        </w:rPr>
        <w:t>11 120</w:t>
      </w:r>
      <w:r w:rsidRPr="00304E87">
        <w:rPr>
          <w:rFonts w:cstheme="minorHAnsi"/>
          <w:color w:val="000000" w:themeColor="text1"/>
        </w:rPr>
        <w:t xml:space="preserve"> different</w:t>
      </w:r>
      <w:r>
        <w:rPr>
          <w:rFonts w:cstheme="minorHAnsi"/>
          <w:color w:val="000000" w:themeColor="text1"/>
        </w:rPr>
        <w:t>ial</w:t>
      </w:r>
      <w:r w:rsidRPr="00304E87">
        <w:rPr>
          <w:rFonts w:cstheme="minorHAnsi"/>
          <w:color w:val="000000" w:themeColor="text1"/>
        </w:rPr>
        <w:t>ly methylated CpGs (DMCs). OND,</w:t>
      </w:r>
      <w:r>
        <w:rPr>
          <w:rFonts w:cstheme="minorHAnsi"/>
          <w:color w:val="000000" w:themeColor="text1"/>
        </w:rPr>
        <w:t xml:space="preserve"> patients with</w:t>
      </w:r>
      <w:r w:rsidRPr="00304E87">
        <w:rPr>
          <w:rFonts w:cstheme="minorHAnsi"/>
          <w:color w:val="000000" w:themeColor="text1"/>
        </w:rPr>
        <w:t xml:space="preserve"> obes</w:t>
      </w:r>
      <w:r>
        <w:rPr>
          <w:rFonts w:cstheme="minorHAnsi"/>
          <w:color w:val="000000" w:themeColor="text1"/>
        </w:rPr>
        <w:t>ity, but</w:t>
      </w:r>
      <w:r w:rsidRPr="00304E87">
        <w:rPr>
          <w:rFonts w:cstheme="minorHAnsi"/>
          <w:color w:val="000000" w:themeColor="text1"/>
        </w:rPr>
        <w:t xml:space="preserve"> </w:t>
      </w:r>
      <w:r w:rsidR="00F874D4">
        <w:rPr>
          <w:rFonts w:cstheme="minorHAnsi"/>
          <w:color w:val="000000" w:themeColor="text1"/>
        </w:rPr>
        <w:t>without</w:t>
      </w:r>
      <w:r>
        <w:rPr>
          <w:rFonts w:cstheme="minorHAnsi"/>
          <w:color w:val="000000" w:themeColor="text1"/>
        </w:rPr>
        <w:t xml:space="preserve"> </w:t>
      </w:r>
      <w:r w:rsidRPr="00304E87">
        <w:rPr>
          <w:rFonts w:cstheme="minorHAnsi"/>
          <w:color w:val="000000" w:themeColor="text1"/>
        </w:rPr>
        <w:t>diabet</w:t>
      </w:r>
      <w:r>
        <w:rPr>
          <w:rFonts w:cstheme="minorHAnsi"/>
          <w:color w:val="000000" w:themeColor="text1"/>
        </w:rPr>
        <w:t>es</w:t>
      </w:r>
      <w:r w:rsidRPr="00304E87">
        <w:rPr>
          <w:rFonts w:cstheme="minorHAnsi"/>
          <w:color w:val="000000" w:themeColor="text1"/>
        </w:rPr>
        <w:t xml:space="preserve">; OD, </w:t>
      </w:r>
      <w:r>
        <w:rPr>
          <w:rFonts w:cstheme="minorHAnsi"/>
          <w:color w:val="000000" w:themeColor="text1"/>
        </w:rPr>
        <w:t xml:space="preserve">patients with </w:t>
      </w:r>
      <w:r w:rsidRPr="00304E87">
        <w:rPr>
          <w:rFonts w:cstheme="minorHAnsi"/>
          <w:color w:val="000000" w:themeColor="text1"/>
        </w:rPr>
        <w:t>obes</w:t>
      </w:r>
      <w:r>
        <w:rPr>
          <w:rFonts w:cstheme="minorHAnsi"/>
          <w:color w:val="000000" w:themeColor="text1"/>
        </w:rPr>
        <w:t>ity and</w:t>
      </w:r>
      <w:r w:rsidRPr="00304E87">
        <w:rPr>
          <w:rFonts w:cstheme="minorHAnsi"/>
          <w:color w:val="000000" w:themeColor="text1"/>
        </w:rPr>
        <w:t xml:space="preserve"> diabet</w:t>
      </w:r>
      <w:r>
        <w:rPr>
          <w:rFonts w:cstheme="minorHAnsi"/>
          <w:color w:val="000000" w:themeColor="text1"/>
        </w:rPr>
        <w:t>es</w:t>
      </w:r>
      <w:r w:rsidR="00E656E8">
        <w:rPr>
          <w:rFonts w:cstheme="minorHAnsi"/>
          <w:color w:val="000000" w:themeColor="text1"/>
        </w:rPr>
        <w:t>.</w:t>
      </w:r>
    </w:p>
    <w:p w14:paraId="3C304EEF" w14:textId="2BF77C5D" w:rsidR="006855F2" w:rsidRDefault="006855F2" w:rsidP="006855F2">
      <w:pPr>
        <w:jc w:val="center"/>
      </w:pPr>
    </w:p>
    <w:p w14:paraId="25C19596" w14:textId="5448A423" w:rsidR="006855F2" w:rsidRDefault="00BB5266" w:rsidP="006855F2">
      <w:pPr>
        <w:jc w:val="center"/>
      </w:pPr>
      <w:r>
        <w:rPr>
          <w:noProof/>
        </w:rPr>
        <w:lastRenderedPageBreak/>
        <mc:AlternateContent>
          <mc:Choice Requires="wps">
            <w:drawing>
              <wp:anchor distT="0" distB="0" distL="114300" distR="114300" simplePos="0" relativeHeight="251662336" behindDoc="0" locked="0" layoutInCell="1" allowOverlap="1" wp14:anchorId="651EA847" wp14:editId="220DCA66">
                <wp:simplePos x="0" y="0"/>
                <wp:positionH relativeFrom="column">
                  <wp:posOffset>3168650</wp:posOffset>
                </wp:positionH>
                <wp:positionV relativeFrom="paragraph">
                  <wp:posOffset>-217805</wp:posOffset>
                </wp:positionV>
                <wp:extent cx="394335" cy="24892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394335" cy="248920"/>
                        </a:xfrm>
                        <a:prstGeom prst="rect">
                          <a:avLst/>
                        </a:prstGeom>
                        <a:solidFill>
                          <a:schemeClr val="lt1"/>
                        </a:solidFill>
                        <a:ln w="6350">
                          <a:noFill/>
                        </a:ln>
                      </wps:spPr>
                      <wps:txbx>
                        <w:txbxContent>
                          <w:p w14:paraId="7703F273" w14:textId="70E3C812" w:rsidR="00DD5ABD" w:rsidRPr="00DD5ABD" w:rsidRDefault="00DD5ABD" w:rsidP="00DD5ABD">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1EA847" id="_x0000_t202" coordsize="21600,21600" o:spt="202" path="m,l,21600r21600,l21600,xe">
                <v:stroke joinstyle="miter"/>
                <v:path gradientshapeok="t" o:connecttype="rect"/>
              </v:shapetype>
              <v:shape id="Text Box 4" o:spid="_x0000_s1026" type="#_x0000_t202" style="position:absolute;left:0;text-align:left;margin-left:249.5pt;margin-top:-17.15pt;width:31.05pt;height:19.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" fillcolor="white [3201]" stroked="f" strokeweight=".5pt">
                <v:textbox>
                  <w:txbxContent>
                    <w:p w14:paraId="7703F273" w14:textId="70E3C812" w:rsidR="00DD5ABD" w:rsidRPr="00DD5ABD" w:rsidRDefault="00DD5ABD" w:rsidP="00DD5ABD">
                      <w:pPr>
                        <w:rPr>
                          <w:b/>
                          <w:bCs/>
                        </w:rPr>
                      </w:pPr>
                      <w:r>
                        <w:rPr>
                          <w:b/>
                          <w:bCs/>
                        </w:rPr>
                        <w:t>b</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7C2063B" wp14:editId="1BD05306">
                <wp:simplePos x="0" y="0"/>
                <wp:positionH relativeFrom="column">
                  <wp:posOffset>-228600</wp:posOffset>
                </wp:positionH>
                <wp:positionV relativeFrom="paragraph">
                  <wp:posOffset>-234607</wp:posOffset>
                </wp:positionV>
                <wp:extent cx="394335" cy="24892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394335" cy="248920"/>
                        </a:xfrm>
                        <a:prstGeom prst="rect">
                          <a:avLst/>
                        </a:prstGeom>
                        <a:solidFill>
                          <a:schemeClr val="lt1"/>
                        </a:solidFill>
                        <a:ln w="6350">
                          <a:noFill/>
                        </a:ln>
                      </wps:spPr>
                      <wps:txbx>
                        <w:txbxContent>
                          <w:p w14:paraId="01934B4A" w14:textId="28A6BC8F" w:rsidR="00DD5ABD" w:rsidRPr="00DD5ABD" w:rsidRDefault="00DD5ABD">
                            <w:pPr>
                              <w:rPr>
                                <w:b/>
                                <w:bCs/>
                              </w:rPr>
                            </w:pPr>
                            <w:r w:rsidRPr="00DD5ABD">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C2063B" id="Text Box 3" o:spid="_x0000_s1027" type="#_x0000_t202" style="position:absolute;left:0;text-align:left;margin-left:-18pt;margin-top:-18.45pt;width:31.05pt;height:19.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" fillcolor="white [3201]" stroked="f" strokeweight=".5pt">
                <v:textbox>
                  <w:txbxContent>
                    <w:p w14:paraId="01934B4A" w14:textId="28A6BC8F" w:rsidR="00DD5ABD" w:rsidRPr="00DD5ABD" w:rsidRDefault="00DD5ABD">
                      <w:pPr>
                        <w:rPr>
                          <w:b/>
                          <w:bCs/>
                        </w:rPr>
                      </w:pPr>
                      <w:r w:rsidRPr="00DD5ABD">
                        <w:rPr>
                          <w:b/>
                          <w:bCs/>
                        </w:rPr>
                        <w:t>a</w:t>
                      </w:r>
                    </w:p>
                  </w:txbxContent>
                </v:textbox>
              </v:shape>
            </w:pict>
          </mc:Fallback>
        </mc:AlternateContent>
      </w:r>
      <w:r w:rsidRPr="00BB5266">
        <w:rPr>
          <w:noProof/>
        </w:rPr>
        <w:drawing>
          <wp:inline distT="0" distB="0" distL="0" distR="0" wp14:anchorId="0CAFA9C4" wp14:editId="7294BABC">
            <wp:extent cx="5943600" cy="221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217420"/>
                    </a:xfrm>
                    <a:prstGeom prst="rect">
                      <a:avLst/>
                    </a:prstGeom>
                  </pic:spPr>
                </pic:pic>
              </a:graphicData>
            </a:graphic>
          </wp:inline>
        </w:drawing>
      </w:r>
    </w:p>
    <w:p w14:paraId="1953F19F" w14:textId="77777777" w:rsidR="0009601A" w:rsidRDefault="0009601A" w:rsidP="006855F2">
      <w:pPr>
        <w:jc w:val="center"/>
      </w:pPr>
    </w:p>
    <w:p w14:paraId="6FD37625" w14:textId="634DB6E1" w:rsidR="006855F2" w:rsidRDefault="006855F2" w:rsidP="006855F2">
      <w:pPr>
        <w:jc w:val="center"/>
      </w:pPr>
    </w:p>
    <w:p w14:paraId="3A7F2F23" w14:textId="54CF98B2" w:rsidR="006855F2" w:rsidRDefault="006855F2" w:rsidP="006855F2">
      <w:pPr>
        <w:spacing w:line="480" w:lineRule="auto"/>
        <w:rPr>
          <w:rFonts w:cstheme="minorHAnsi"/>
          <w:color w:val="000000" w:themeColor="text1"/>
        </w:rPr>
      </w:pPr>
      <w:r w:rsidRPr="00304E87">
        <w:rPr>
          <w:rFonts w:cstheme="minorHAnsi"/>
          <w:b/>
          <w:bCs/>
          <w:color w:val="000000" w:themeColor="text1"/>
        </w:rPr>
        <w:t xml:space="preserve">Supplementary Figure </w:t>
      </w:r>
      <w:r>
        <w:rPr>
          <w:rFonts w:cstheme="minorHAnsi"/>
          <w:b/>
          <w:bCs/>
          <w:color w:val="000000" w:themeColor="text1"/>
        </w:rPr>
        <w:t xml:space="preserve">3. </w:t>
      </w:r>
      <w:r w:rsidRPr="00304E87">
        <w:rPr>
          <w:rFonts w:cstheme="minorHAnsi"/>
          <w:b/>
          <w:bCs/>
          <w:color w:val="000000" w:themeColor="text1"/>
        </w:rPr>
        <w:t xml:space="preserve">Comparison of visceral adipose tissue </w:t>
      </w:r>
      <w:r>
        <w:rPr>
          <w:rFonts w:cstheme="minorHAnsi"/>
          <w:b/>
          <w:bCs/>
          <w:color w:val="000000" w:themeColor="text1"/>
        </w:rPr>
        <w:t>gene expression</w:t>
      </w:r>
      <w:r w:rsidRPr="00304E87">
        <w:rPr>
          <w:rFonts w:cstheme="minorHAnsi"/>
          <w:b/>
          <w:bCs/>
          <w:color w:val="000000" w:themeColor="text1"/>
        </w:rPr>
        <w:t xml:space="preserve"> profiles </w:t>
      </w:r>
      <w:r>
        <w:rPr>
          <w:rFonts w:cstheme="minorHAnsi"/>
          <w:b/>
          <w:bCs/>
          <w:color w:val="000000" w:themeColor="text1"/>
        </w:rPr>
        <w:t>between patients with</w:t>
      </w:r>
      <w:r w:rsidRPr="00304E87">
        <w:rPr>
          <w:rFonts w:cstheme="minorHAnsi"/>
          <w:b/>
          <w:bCs/>
          <w:color w:val="000000" w:themeColor="text1"/>
        </w:rPr>
        <w:t xml:space="preserve"> obes</w:t>
      </w:r>
      <w:r>
        <w:rPr>
          <w:rFonts w:cstheme="minorHAnsi"/>
          <w:b/>
          <w:bCs/>
          <w:color w:val="000000" w:themeColor="text1"/>
        </w:rPr>
        <w:t xml:space="preserve">ity, but without </w:t>
      </w:r>
      <w:r w:rsidRPr="00304E87">
        <w:rPr>
          <w:rFonts w:cstheme="minorHAnsi"/>
          <w:b/>
          <w:bCs/>
          <w:color w:val="000000" w:themeColor="text1"/>
        </w:rPr>
        <w:t>diabet</w:t>
      </w:r>
      <w:r>
        <w:rPr>
          <w:rFonts w:cstheme="minorHAnsi"/>
          <w:b/>
          <w:bCs/>
          <w:color w:val="000000" w:themeColor="text1"/>
        </w:rPr>
        <w:t>es</w:t>
      </w:r>
      <w:r w:rsidRPr="00304E87">
        <w:rPr>
          <w:rFonts w:cstheme="minorHAnsi"/>
          <w:b/>
          <w:bCs/>
          <w:color w:val="000000" w:themeColor="text1"/>
        </w:rPr>
        <w:t xml:space="preserve"> (OND) and </w:t>
      </w:r>
      <w:r>
        <w:rPr>
          <w:rFonts w:cstheme="minorHAnsi"/>
          <w:b/>
          <w:bCs/>
          <w:color w:val="000000" w:themeColor="text1"/>
        </w:rPr>
        <w:t xml:space="preserve">patients with </w:t>
      </w:r>
      <w:r w:rsidRPr="00304E87">
        <w:rPr>
          <w:rFonts w:cstheme="minorHAnsi"/>
          <w:b/>
          <w:bCs/>
          <w:color w:val="000000" w:themeColor="text1"/>
        </w:rPr>
        <w:t>obes</w:t>
      </w:r>
      <w:r>
        <w:rPr>
          <w:rFonts w:cstheme="minorHAnsi"/>
          <w:b/>
          <w:bCs/>
          <w:color w:val="000000" w:themeColor="text1"/>
        </w:rPr>
        <w:t>ity and</w:t>
      </w:r>
      <w:r w:rsidRPr="00304E87">
        <w:rPr>
          <w:rFonts w:cstheme="minorHAnsi"/>
          <w:b/>
          <w:bCs/>
          <w:color w:val="000000" w:themeColor="text1"/>
        </w:rPr>
        <w:t xml:space="preserve"> diabet</w:t>
      </w:r>
      <w:r>
        <w:rPr>
          <w:rFonts w:cstheme="minorHAnsi"/>
          <w:b/>
          <w:bCs/>
          <w:color w:val="000000" w:themeColor="text1"/>
        </w:rPr>
        <w:t>es</w:t>
      </w:r>
      <w:r w:rsidRPr="00304E87">
        <w:rPr>
          <w:rFonts w:cstheme="minorHAnsi"/>
          <w:b/>
          <w:bCs/>
          <w:color w:val="000000" w:themeColor="text1"/>
        </w:rPr>
        <w:t xml:space="preserve"> (OD). (a) </w:t>
      </w:r>
      <w:r w:rsidRPr="00304E87">
        <w:rPr>
          <w:rFonts w:cstheme="minorHAnsi"/>
          <w:color w:val="000000" w:themeColor="text1"/>
        </w:rPr>
        <w:t>Volcano plot show</w:t>
      </w:r>
      <w:r>
        <w:rPr>
          <w:rFonts w:cstheme="minorHAnsi"/>
          <w:color w:val="000000" w:themeColor="text1"/>
        </w:rPr>
        <w:t>s</w:t>
      </w:r>
      <w:r w:rsidRPr="00304E87">
        <w:rPr>
          <w:rFonts w:cstheme="minorHAnsi"/>
          <w:color w:val="000000" w:themeColor="text1"/>
        </w:rPr>
        <w:t xml:space="preserve"> differences in </w:t>
      </w:r>
      <w:r>
        <w:rPr>
          <w:rFonts w:cstheme="minorHAnsi"/>
          <w:color w:val="000000" w:themeColor="text1"/>
        </w:rPr>
        <w:t>expression</w:t>
      </w:r>
      <w:r w:rsidRPr="00304E87">
        <w:rPr>
          <w:rFonts w:cstheme="minorHAnsi"/>
          <w:color w:val="000000" w:themeColor="text1"/>
        </w:rPr>
        <w:t xml:space="preserve">. </w:t>
      </w:r>
      <w:r w:rsidR="00E656E8">
        <w:rPr>
          <w:rFonts w:cstheme="minorHAnsi"/>
          <w:color w:val="000000" w:themeColor="text1"/>
        </w:rPr>
        <w:t>P</w:t>
      </w:r>
      <w:r w:rsidRPr="00304E87">
        <w:rPr>
          <w:rFonts w:cstheme="minorHAnsi"/>
          <w:color w:val="000000" w:themeColor="text1"/>
        </w:rPr>
        <w:t xml:space="preserve">oints represent all </w:t>
      </w:r>
      <w:r w:rsidR="00E656E8">
        <w:rPr>
          <w:rFonts w:cstheme="minorHAnsi"/>
          <w:color w:val="000000" w:themeColor="text1"/>
        </w:rPr>
        <w:t>analyzed transcripts</w:t>
      </w:r>
      <w:r w:rsidRPr="00304E87">
        <w:rPr>
          <w:rFonts w:cstheme="minorHAnsi"/>
          <w:color w:val="000000" w:themeColor="text1"/>
        </w:rPr>
        <w:t xml:space="preserve">, </w:t>
      </w:r>
      <w:r>
        <w:rPr>
          <w:rFonts w:cstheme="minorHAnsi"/>
          <w:color w:val="000000" w:themeColor="text1"/>
        </w:rPr>
        <w:t>green</w:t>
      </w:r>
      <w:r w:rsidRPr="00304E87">
        <w:rPr>
          <w:rFonts w:cstheme="minorHAnsi"/>
          <w:color w:val="000000" w:themeColor="text1"/>
        </w:rPr>
        <w:t xml:space="preserve"> points indicate </w:t>
      </w:r>
      <w:r>
        <w:rPr>
          <w:rFonts w:cstheme="minorHAnsi"/>
          <w:color w:val="000000" w:themeColor="text1"/>
        </w:rPr>
        <w:t>DEG</w:t>
      </w:r>
      <w:r w:rsidRPr="00304E87">
        <w:rPr>
          <w:rFonts w:cstheme="minorHAnsi"/>
          <w:color w:val="000000" w:themeColor="text1"/>
        </w:rPr>
        <w:t xml:space="preserve"> (</w:t>
      </w:r>
      <w:r>
        <w:rPr>
          <w:rFonts w:cstheme="minorHAnsi"/>
          <w:color w:val="000000" w:themeColor="text1"/>
        </w:rPr>
        <w:t>logFC</w:t>
      </w:r>
      <w:r w:rsidRPr="00304E87">
        <w:rPr>
          <w:rFonts w:cstheme="minorHAnsi"/>
          <w:color w:val="000000" w:themeColor="text1"/>
        </w:rPr>
        <w:t xml:space="preserve"> &gt;</w:t>
      </w:r>
      <w:r>
        <w:rPr>
          <w:rFonts w:cstheme="minorHAnsi"/>
          <w:color w:val="000000" w:themeColor="text1"/>
        </w:rPr>
        <w:t>0.5</w:t>
      </w:r>
      <w:r w:rsidRPr="00304E87">
        <w:rPr>
          <w:rFonts w:cstheme="minorHAnsi"/>
          <w:color w:val="000000" w:themeColor="text1"/>
        </w:rPr>
        <w:t xml:space="preserve"> and </w:t>
      </w:r>
      <w:r w:rsidRPr="00304E87">
        <w:rPr>
          <w:rFonts w:cstheme="minorHAnsi"/>
          <w:i/>
          <w:iCs/>
          <w:color w:val="000000" w:themeColor="text1"/>
        </w:rPr>
        <w:t>p</w:t>
      </w:r>
      <w:r>
        <w:rPr>
          <w:rFonts w:cstheme="minorHAnsi"/>
          <w:i/>
          <w:iCs/>
          <w:color w:val="000000" w:themeColor="text1"/>
        </w:rPr>
        <w:t>-</w:t>
      </w:r>
      <w:r w:rsidRPr="00362B85">
        <w:rPr>
          <w:rFonts w:cstheme="minorHAnsi"/>
          <w:color w:val="000000" w:themeColor="text1"/>
        </w:rPr>
        <w:t>value</w:t>
      </w:r>
      <w:r w:rsidRPr="00304E87">
        <w:rPr>
          <w:rFonts w:cstheme="minorHAnsi"/>
          <w:i/>
          <w:iCs/>
          <w:color w:val="000000" w:themeColor="text1"/>
        </w:rPr>
        <w:t xml:space="preserve"> </w:t>
      </w:r>
      <w:r w:rsidRPr="00304E87">
        <w:rPr>
          <w:rFonts w:cstheme="minorHAnsi"/>
          <w:color w:val="000000" w:themeColor="text1"/>
        </w:rPr>
        <w:t>&lt;0.05)</w:t>
      </w:r>
      <w:r>
        <w:rPr>
          <w:rFonts w:cstheme="minorHAnsi"/>
          <w:color w:val="000000" w:themeColor="text1"/>
        </w:rPr>
        <w:t>, dark green overexpressed</w:t>
      </w:r>
      <w:r w:rsidR="000C171C">
        <w:rPr>
          <w:rFonts w:cstheme="minorHAnsi"/>
          <w:color w:val="000000" w:themeColor="text1"/>
        </w:rPr>
        <w:t xml:space="preserve"> and</w:t>
      </w:r>
      <w:r w:rsidR="00E656E8">
        <w:rPr>
          <w:rFonts w:cstheme="minorHAnsi"/>
          <w:color w:val="000000" w:themeColor="text1"/>
        </w:rPr>
        <w:t xml:space="preserve"> </w:t>
      </w:r>
      <w:r>
        <w:rPr>
          <w:rFonts w:cstheme="minorHAnsi"/>
          <w:color w:val="000000" w:themeColor="text1"/>
        </w:rPr>
        <w:t>light green underexpressed</w:t>
      </w:r>
      <w:r w:rsidR="00E656E8">
        <w:rPr>
          <w:rFonts w:cstheme="minorHAnsi"/>
          <w:color w:val="000000" w:themeColor="text1"/>
        </w:rPr>
        <w:t xml:space="preserve"> </w:t>
      </w:r>
      <w:r w:rsidR="000C171C">
        <w:rPr>
          <w:rFonts w:cstheme="minorHAnsi"/>
          <w:color w:val="000000" w:themeColor="text1"/>
        </w:rPr>
        <w:t xml:space="preserve">in OD, </w:t>
      </w:r>
      <w:r w:rsidR="00E656E8">
        <w:rPr>
          <w:rFonts w:cstheme="minorHAnsi"/>
          <w:color w:val="000000" w:themeColor="text1"/>
        </w:rPr>
        <w:t>and gray non-significant</w:t>
      </w:r>
      <w:r w:rsidR="00F874D4">
        <w:rPr>
          <w:rFonts w:cstheme="minorHAnsi"/>
          <w:color w:val="000000" w:themeColor="text1"/>
        </w:rPr>
        <w:t xml:space="preserve">. </w:t>
      </w:r>
      <w:r w:rsidRPr="00304E87">
        <w:rPr>
          <w:rFonts w:cstheme="minorHAnsi"/>
          <w:b/>
          <w:bCs/>
          <w:color w:val="000000" w:themeColor="text1"/>
        </w:rPr>
        <w:t xml:space="preserve">(b) </w:t>
      </w:r>
      <w:r w:rsidRPr="00304E87">
        <w:rPr>
          <w:rFonts w:cstheme="minorHAnsi"/>
          <w:color w:val="000000" w:themeColor="text1"/>
        </w:rPr>
        <w:t xml:space="preserve">Heat map of </w:t>
      </w:r>
      <w:r>
        <w:rPr>
          <w:rFonts w:cstheme="minorHAnsi"/>
          <w:color w:val="000000" w:themeColor="text1"/>
        </w:rPr>
        <w:t>DEGs</w:t>
      </w:r>
      <w:r w:rsidRPr="00304E87">
        <w:rPr>
          <w:rFonts w:cstheme="minorHAnsi"/>
          <w:color w:val="000000" w:themeColor="text1"/>
        </w:rPr>
        <w:t xml:space="preserve"> shows </w:t>
      </w:r>
      <w:r>
        <w:rPr>
          <w:rFonts w:cstheme="minorHAnsi"/>
          <w:color w:val="000000" w:themeColor="text1"/>
        </w:rPr>
        <w:t>expression</w:t>
      </w:r>
      <w:r w:rsidRPr="00304E87">
        <w:rPr>
          <w:rFonts w:cstheme="minorHAnsi"/>
          <w:color w:val="000000" w:themeColor="text1"/>
        </w:rPr>
        <w:t xml:space="preserve"> levels </w:t>
      </w:r>
      <w:r>
        <w:rPr>
          <w:rFonts w:cstheme="minorHAnsi"/>
          <w:color w:val="000000" w:themeColor="text1"/>
        </w:rPr>
        <w:t>for</w:t>
      </w:r>
      <w:r w:rsidRPr="00304E87">
        <w:rPr>
          <w:rFonts w:cstheme="minorHAnsi"/>
          <w:color w:val="000000" w:themeColor="text1"/>
        </w:rPr>
        <w:t xml:space="preserve"> each </w:t>
      </w:r>
      <w:r>
        <w:rPr>
          <w:rFonts w:cstheme="minorHAnsi"/>
          <w:color w:val="000000" w:themeColor="text1"/>
        </w:rPr>
        <w:t>gene</w:t>
      </w:r>
      <w:r w:rsidRPr="00304E87">
        <w:rPr>
          <w:rFonts w:cstheme="minorHAnsi"/>
          <w:color w:val="000000" w:themeColor="text1"/>
        </w:rPr>
        <w:t xml:space="preserve"> (row</w:t>
      </w:r>
      <w:r w:rsidR="00E656E8">
        <w:rPr>
          <w:rFonts w:cstheme="minorHAnsi"/>
          <w:color w:val="000000" w:themeColor="text1"/>
        </w:rPr>
        <w:t xml:space="preserve">) by patient </w:t>
      </w:r>
      <w:r w:rsidRPr="00304E87">
        <w:rPr>
          <w:rFonts w:cstheme="minorHAnsi"/>
          <w:color w:val="000000" w:themeColor="text1"/>
        </w:rPr>
        <w:t>(columns)</w:t>
      </w:r>
      <w:r>
        <w:rPr>
          <w:rFonts w:cstheme="minorHAnsi"/>
          <w:color w:val="000000" w:themeColor="text1"/>
        </w:rPr>
        <w:t>,</w:t>
      </w:r>
      <w:r w:rsidRPr="00304E87">
        <w:rPr>
          <w:rFonts w:cstheme="minorHAnsi"/>
          <w:color w:val="000000" w:themeColor="text1"/>
        </w:rPr>
        <w:t xml:space="preserve"> after</w:t>
      </w:r>
      <w:r>
        <w:rPr>
          <w:rFonts w:cstheme="minorHAnsi"/>
          <w:color w:val="000000" w:themeColor="text1"/>
        </w:rPr>
        <w:t xml:space="preserve"> applying an</w:t>
      </w:r>
      <w:r w:rsidRPr="00304E87">
        <w:rPr>
          <w:rFonts w:cstheme="minorHAnsi"/>
          <w:color w:val="000000" w:themeColor="text1"/>
        </w:rPr>
        <w:t xml:space="preserve"> unsupervised hierarchical clustering analysis. </w:t>
      </w:r>
    </w:p>
    <w:p w14:paraId="66A13492" w14:textId="516AA52C" w:rsidR="00DD5ABD" w:rsidRDefault="00DD5ABD" w:rsidP="006855F2">
      <w:pPr>
        <w:spacing w:line="480" w:lineRule="auto"/>
        <w:rPr>
          <w:rFonts w:cstheme="minorHAnsi"/>
          <w:color w:val="000000" w:themeColor="text1"/>
        </w:rPr>
      </w:pPr>
    </w:p>
    <w:p w14:paraId="034F648D" w14:textId="581539F4" w:rsidR="00DD5ABD" w:rsidRDefault="00DD5ABD" w:rsidP="006855F2">
      <w:pPr>
        <w:spacing w:line="480" w:lineRule="auto"/>
        <w:rPr>
          <w:rFonts w:cstheme="minorHAnsi"/>
          <w:b/>
          <w:bCs/>
          <w:color w:val="000000" w:themeColor="text1"/>
        </w:rPr>
      </w:pPr>
    </w:p>
    <w:p w14:paraId="415D18F6" w14:textId="547460C3" w:rsidR="00DD5ABD" w:rsidRDefault="00DD5ABD" w:rsidP="006855F2">
      <w:pPr>
        <w:spacing w:line="480" w:lineRule="auto"/>
        <w:rPr>
          <w:rFonts w:cstheme="minorHAnsi"/>
          <w:b/>
          <w:bCs/>
          <w:color w:val="000000" w:themeColor="text1"/>
        </w:rPr>
      </w:pPr>
    </w:p>
    <w:p w14:paraId="0FB0FAC6" w14:textId="139140EB" w:rsidR="001D624E" w:rsidRDefault="001D624E" w:rsidP="006855F2">
      <w:pPr>
        <w:spacing w:line="480" w:lineRule="auto"/>
        <w:rPr>
          <w:rFonts w:cstheme="minorHAnsi"/>
          <w:b/>
          <w:bCs/>
          <w:color w:val="000000" w:themeColor="text1"/>
        </w:rPr>
      </w:pPr>
    </w:p>
    <w:p w14:paraId="467439AF" w14:textId="73D5BEE5" w:rsidR="001D624E" w:rsidRDefault="001D624E" w:rsidP="006855F2">
      <w:pPr>
        <w:spacing w:line="480" w:lineRule="auto"/>
        <w:rPr>
          <w:rFonts w:cstheme="minorHAnsi"/>
          <w:b/>
          <w:bCs/>
          <w:color w:val="000000" w:themeColor="text1"/>
        </w:rPr>
      </w:pPr>
    </w:p>
    <w:p w14:paraId="6A094C9A" w14:textId="01CCA211" w:rsidR="001D624E" w:rsidRDefault="001D624E" w:rsidP="006855F2">
      <w:pPr>
        <w:spacing w:line="480" w:lineRule="auto"/>
        <w:rPr>
          <w:rFonts w:cstheme="minorHAnsi"/>
          <w:b/>
          <w:bCs/>
          <w:color w:val="000000" w:themeColor="text1"/>
        </w:rPr>
      </w:pPr>
    </w:p>
    <w:p w14:paraId="6466AEDF" w14:textId="77777777" w:rsidR="001D624E" w:rsidRDefault="001D624E" w:rsidP="006855F2">
      <w:pPr>
        <w:spacing w:line="480" w:lineRule="auto"/>
        <w:rPr>
          <w:rFonts w:cstheme="minorHAnsi"/>
          <w:b/>
          <w:bCs/>
          <w:color w:val="000000" w:themeColor="text1"/>
        </w:rPr>
      </w:pPr>
    </w:p>
    <w:p w14:paraId="00A46314" w14:textId="3D2B9D07" w:rsidR="00DD5ABD" w:rsidRDefault="00150DB1" w:rsidP="006169AB">
      <w:pPr>
        <w:spacing w:line="480" w:lineRule="auto"/>
        <w:rPr>
          <w:rFonts w:cstheme="minorHAnsi"/>
          <w:b/>
          <w:bCs/>
          <w:color w:val="000000" w:themeColor="text1"/>
        </w:rPr>
      </w:pPr>
      <w:r w:rsidRPr="00150DB1">
        <w:rPr>
          <w:rFonts w:cstheme="minorHAnsi"/>
          <w:b/>
          <w:bCs/>
          <w:noProof/>
          <w:color w:val="000000" w:themeColor="text1"/>
        </w:rPr>
        <w:lastRenderedPageBreak/>
        <w:drawing>
          <wp:inline distT="0" distB="0" distL="0" distR="0" wp14:anchorId="0FCE7689" wp14:editId="3295F02C">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457700"/>
                    </a:xfrm>
                    <a:prstGeom prst="rect">
                      <a:avLst/>
                    </a:prstGeom>
                  </pic:spPr>
                </pic:pic>
              </a:graphicData>
            </a:graphic>
          </wp:inline>
        </w:drawing>
      </w:r>
    </w:p>
    <w:p w14:paraId="4D33F59A" w14:textId="77777777" w:rsidR="00150DB1" w:rsidRDefault="00150DB1" w:rsidP="006169AB">
      <w:pPr>
        <w:spacing w:line="480" w:lineRule="auto"/>
        <w:rPr>
          <w:rFonts w:cstheme="minorHAnsi"/>
          <w:b/>
          <w:bCs/>
          <w:color w:val="000000" w:themeColor="text1"/>
        </w:rPr>
      </w:pPr>
    </w:p>
    <w:p w14:paraId="02E05627" w14:textId="646D8A10" w:rsidR="006855F2" w:rsidRDefault="00DD5ABD" w:rsidP="009575F9">
      <w:pPr>
        <w:spacing w:line="480" w:lineRule="auto"/>
        <w:jc w:val="both"/>
        <w:rPr>
          <w:rFonts w:ascii="Calibri" w:eastAsia="Times New Roman" w:hAnsi="Calibri" w:cs="Calibri"/>
          <w:color w:val="000000"/>
          <w:kern w:val="24"/>
        </w:rPr>
      </w:pPr>
      <w:r w:rsidRPr="00304E87">
        <w:rPr>
          <w:rFonts w:cstheme="minorHAnsi"/>
          <w:b/>
          <w:bCs/>
          <w:color w:val="000000" w:themeColor="text1"/>
        </w:rPr>
        <w:t xml:space="preserve">Supplementary Figure </w:t>
      </w:r>
      <w:r w:rsidR="008D0A9A">
        <w:rPr>
          <w:rFonts w:cstheme="minorHAnsi"/>
          <w:b/>
          <w:bCs/>
          <w:color w:val="000000" w:themeColor="text1"/>
        </w:rPr>
        <w:t>4</w:t>
      </w:r>
      <w:r>
        <w:rPr>
          <w:rFonts w:cstheme="minorHAnsi"/>
          <w:b/>
          <w:bCs/>
          <w:color w:val="000000" w:themeColor="text1"/>
        </w:rPr>
        <w:t>.  Extended c</w:t>
      </w:r>
      <w:r w:rsidRPr="00304E87">
        <w:rPr>
          <w:rFonts w:cstheme="minorHAnsi"/>
          <w:b/>
          <w:bCs/>
          <w:color w:val="000000" w:themeColor="text1"/>
        </w:rPr>
        <w:t xml:space="preserve">omparison </w:t>
      </w:r>
      <w:r>
        <w:rPr>
          <w:rFonts w:cstheme="minorHAnsi"/>
          <w:b/>
          <w:bCs/>
          <w:color w:val="000000" w:themeColor="text1"/>
        </w:rPr>
        <w:t xml:space="preserve">analysis </w:t>
      </w:r>
      <w:r w:rsidRPr="00304E87">
        <w:rPr>
          <w:rFonts w:cstheme="minorHAnsi"/>
          <w:b/>
          <w:bCs/>
          <w:color w:val="000000" w:themeColor="text1"/>
        </w:rPr>
        <w:t xml:space="preserve">of visceral adipose tissue </w:t>
      </w:r>
      <w:r>
        <w:rPr>
          <w:rFonts w:cstheme="minorHAnsi"/>
          <w:b/>
          <w:bCs/>
          <w:color w:val="000000" w:themeColor="text1"/>
        </w:rPr>
        <w:t xml:space="preserve">DNA methylation </w:t>
      </w:r>
      <w:r w:rsidRPr="00304E87">
        <w:rPr>
          <w:rFonts w:cstheme="minorHAnsi"/>
          <w:b/>
          <w:bCs/>
          <w:color w:val="000000" w:themeColor="text1"/>
        </w:rPr>
        <w:t xml:space="preserve">profiles </w:t>
      </w:r>
      <w:r>
        <w:rPr>
          <w:rFonts w:cstheme="minorHAnsi"/>
          <w:b/>
          <w:bCs/>
          <w:color w:val="000000" w:themeColor="text1"/>
        </w:rPr>
        <w:t>between patients with</w:t>
      </w:r>
      <w:r w:rsidRPr="00304E87">
        <w:rPr>
          <w:rFonts w:cstheme="minorHAnsi"/>
          <w:b/>
          <w:bCs/>
          <w:color w:val="000000" w:themeColor="text1"/>
        </w:rPr>
        <w:t xml:space="preserve"> obes</w:t>
      </w:r>
      <w:r>
        <w:rPr>
          <w:rFonts w:cstheme="minorHAnsi"/>
          <w:b/>
          <w:bCs/>
          <w:color w:val="000000" w:themeColor="text1"/>
        </w:rPr>
        <w:t xml:space="preserve">ity, but without </w:t>
      </w:r>
      <w:r w:rsidRPr="00304E87">
        <w:rPr>
          <w:rFonts w:cstheme="minorHAnsi"/>
          <w:b/>
          <w:bCs/>
          <w:color w:val="000000" w:themeColor="text1"/>
        </w:rPr>
        <w:t>diabet</w:t>
      </w:r>
      <w:r>
        <w:rPr>
          <w:rFonts w:cstheme="minorHAnsi"/>
          <w:b/>
          <w:bCs/>
          <w:color w:val="000000" w:themeColor="text1"/>
        </w:rPr>
        <w:t>es</w:t>
      </w:r>
      <w:r w:rsidRPr="00304E87">
        <w:rPr>
          <w:rFonts w:cstheme="minorHAnsi"/>
          <w:b/>
          <w:bCs/>
          <w:color w:val="000000" w:themeColor="text1"/>
        </w:rPr>
        <w:t xml:space="preserve"> (OND) and </w:t>
      </w:r>
      <w:r>
        <w:rPr>
          <w:rFonts w:cstheme="minorHAnsi"/>
          <w:b/>
          <w:bCs/>
          <w:color w:val="000000" w:themeColor="text1"/>
        </w:rPr>
        <w:t xml:space="preserve">patients with </w:t>
      </w:r>
      <w:r w:rsidRPr="00304E87">
        <w:rPr>
          <w:rFonts w:cstheme="minorHAnsi"/>
          <w:b/>
          <w:bCs/>
          <w:color w:val="000000" w:themeColor="text1"/>
        </w:rPr>
        <w:t>obes</w:t>
      </w:r>
      <w:r>
        <w:rPr>
          <w:rFonts w:cstheme="minorHAnsi"/>
          <w:b/>
          <w:bCs/>
          <w:color w:val="000000" w:themeColor="text1"/>
        </w:rPr>
        <w:t>ity and</w:t>
      </w:r>
      <w:r w:rsidRPr="00304E87">
        <w:rPr>
          <w:rFonts w:cstheme="minorHAnsi"/>
          <w:b/>
          <w:bCs/>
          <w:color w:val="000000" w:themeColor="text1"/>
        </w:rPr>
        <w:t xml:space="preserve"> diabet</w:t>
      </w:r>
      <w:r>
        <w:rPr>
          <w:rFonts w:cstheme="minorHAnsi"/>
          <w:b/>
          <w:bCs/>
          <w:color w:val="000000" w:themeColor="text1"/>
        </w:rPr>
        <w:t>es</w:t>
      </w:r>
      <w:r w:rsidRPr="00304E87">
        <w:rPr>
          <w:rFonts w:cstheme="minorHAnsi"/>
          <w:b/>
          <w:bCs/>
          <w:color w:val="000000" w:themeColor="text1"/>
        </w:rPr>
        <w:t xml:space="preserve"> (OD). (a) </w:t>
      </w:r>
      <w:r w:rsidRPr="00304E87">
        <w:rPr>
          <w:rFonts w:cstheme="minorHAnsi"/>
          <w:color w:val="000000" w:themeColor="text1"/>
        </w:rPr>
        <w:t>Volcano plot show</w:t>
      </w:r>
      <w:r>
        <w:rPr>
          <w:rFonts w:cstheme="minorHAnsi"/>
          <w:color w:val="000000" w:themeColor="text1"/>
        </w:rPr>
        <w:t>s</w:t>
      </w:r>
      <w:r w:rsidRPr="00304E87">
        <w:rPr>
          <w:rFonts w:cstheme="minorHAnsi"/>
          <w:color w:val="000000" w:themeColor="text1"/>
        </w:rPr>
        <w:t xml:space="preserve"> differences in </w:t>
      </w:r>
      <w:r w:rsidR="009F4B4D">
        <w:rPr>
          <w:rFonts w:cstheme="minorHAnsi"/>
          <w:color w:val="000000" w:themeColor="text1"/>
        </w:rPr>
        <w:t>methylation</w:t>
      </w:r>
      <w:r w:rsidRPr="00304E87">
        <w:rPr>
          <w:rFonts w:cstheme="minorHAnsi"/>
          <w:color w:val="000000" w:themeColor="text1"/>
        </w:rPr>
        <w:t xml:space="preserve">. </w:t>
      </w:r>
      <w:r w:rsidR="00887112">
        <w:rPr>
          <w:rFonts w:cstheme="minorHAnsi"/>
          <w:color w:val="000000" w:themeColor="text1"/>
        </w:rPr>
        <w:t>P</w:t>
      </w:r>
      <w:r w:rsidRPr="00304E87">
        <w:rPr>
          <w:rFonts w:cstheme="minorHAnsi"/>
          <w:color w:val="000000" w:themeColor="text1"/>
        </w:rPr>
        <w:t xml:space="preserve">oints represent all analyzed </w:t>
      </w:r>
      <w:r w:rsidR="009F4B4D">
        <w:rPr>
          <w:rFonts w:cstheme="minorHAnsi"/>
          <w:color w:val="000000" w:themeColor="text1"/>
        </w:rPr>
        <w:t>CpGs</w:t>
      </w:r>
      <w:r w:rsidRPr="00304E87">
        <w:rPr>
          <w:rFonts w:cstheme="minorHAnsi"/>
          <w:color w:val="000000" w:themeColor="text1"/>
        </w:rPr>
        <w:t xml:space="preserve">, </w:t>
      </w:r>
      <w:r>
        <w:rPr>
          <w:rFonts w:cstheme="minorHAnsi"/>
          <w:color w:val="000000" w:themeColor="text1"/>
        </w:rPr>
        <w:t>orange</w:t>
      </w:r>
      <w:r w:rsidRPr="00304E87">
        <w:rPr>
          <w:rFonts w:cstheme="minorHAnsi"/>
          <w:color w:val="000000" w:themeColor="text1"/>
        </w:rPr>
        <w:t xml:space="preserve"> points indicate </w:t>
      </w:r>
      <w:r>
        <w:rPr>
          <w:rFonts w:cstheme="minorHAnsi"/>
          <w:color w:val="000000" w:themeColor="text1"/>
        </w:rPr>
        <w:t>DMCs</w:t>
      </w:r>
      <w:r w:rsidRPr="00304E87">
        <w:rPr>
          <w:rFonts w:cstheme="minorHAnsi"/>
          <w:color w:val="000000" w:themeColor="text1"/>
        </w:rPr>
        <w:t xml:space="preserve"> (</w:t>
      </w:r>
      <w:r>
        <w:rPr>
          <w:rFonts w:cstheme="minorHAnsi"/>
          <w:color w:val="000000" w:themeColor="text1"/>
        </w:rPr>
        <w:t>FDR &lt; 0.05</w:t>
      </w:r>
      <w:r w:rsidRPr="00304E87">
        <w:rPr>
          <w:rFonts w:cstheme="minorHAnsi"/>
          <w:color w:val="000000" w:themeColor="text1"/>
        </w:rPr>
        <w:t>)</w:t>
      </w:r>
      <w:r w:rsidR="00887112">
        <w:rPr>
          <w:rFonts w:cstheme="minorHAnsi"/>
          <w:color w:val="000000" w:themeColor="text1"/>
        </w:rPr>
        <w:t xml:space="preserve"> and black non-significant</w:t>
      </w:r>
      <w:r>
        <w:rPr>
          <w:rFonts w:cstheme="minorHAnsi"/>
          <w:color w:val="000000" w:themeColor="text1"/>
        </w:rPr>
        <w:t xml:space="preserve"> </w:t>
      </w:r>
      <w:r w:rsidRPr="00304E87">
        <w:rPr>
          <w:rFonts w:cstheme="minorHAnsi"/>
          <w:b/>
          <w:bCs/>
          <w:color w:val="000000" w:themeColor="text1"/>
        </w:rPr>
        <w:t xml:space="preserve">(b) </w:t>
      </w:r>
      <w:r w:rsidRPr="00304E87">
        <w:rPr>
          <w:rFonts w:cstheme="minorHAnsi"/>
          <w:color w:val="000000" w:themeColor="text1"/>
        </w:rPr>
        <w:t xml:space="preserve">Heat map of </w:t>
      </w:r>
      <w:r>
        <w:rPr>
          <w:rFonts w:cstheme="minorHAnsi"/>
          <w:color w:val="000000" w:themeColor="text1"/>
        </w:rPr>
        <w:t>DMCs</w:t>
      </w:r>
      <w:r w:rsidRPr="00304E87">
        <w:rPr>
          <w:rFonts w:cstheme="minorHAnsi"/>
          <w:color w:val="000000" w:themeColor="text1"/>
        </w:rPr>
        <w:t xml:space="preserve"> shows </w:t>
      </w:r>
      <w:r>
        <w:rPr>
          <w:rFonts w:cstheme="minorHAnsi"/>
          <w:color w:val="000000" w:themeColor="text1"/>
        </w:rPr>
        <w:t>methylation</w:t>
      </w:r>
      <w:r w:rsidRPr="00304E87">
        <w:rPr>
          <w:rFonts w:cstheme="minorHAnsi"/>
          <w:color w:val="000000" w:themeColor="text1"/>
        </w:rPr>
        <w:t xml:space="preserve"> levels </w:t>
      </w:r>
      <w:r>
        <w:rPr>
          <w:rFonts w:cstheme="minorHAnsi"/>
          <w:color w:val="000000" w:themeColor="text1"/>
        </w:rPr>
        <w:t>for</w:t>
      </w:r>
      <w:r w:rsidRPr="00304E87">
        <w:rPr>
          <w:rFonts w:cstheme="minorHAnsi"/>
          <w:color w:val="000000" w:themeColor="text1"/>
        </w:rPr>
        <w:t xml:space="preserve"> each </w:t>
      </w:r>
      <w:r>
        <w:rPr>
          <w:rFonts w:cstheme="minorHAnsi"/>
          <w:color w:val="000000" w:themeColor="text1"/>
        </w:rPr>
        <w:t>CpG</w:t>
      </w:r>
      <w:r w:rsidRPr="00304E87">
        <w:rPr>
          <w:rFonts w:cstheme="minorHAnsi"/>
          <w:color w:val="000000" w:themeColor="text1"/>
        </w:rPr>
        <w:t xml:space="preserve"> (row</w:t>
      </w:r>
      <w:r w:rsidR="00887112">
        <w:rPr>
          <w:rFonts w:cstheme="minorHAnsi"/>
          <w:color w:val="000000" w:themeColor="text1"/>
        </w:rPr>
        <w:t>) by patients</w:t>
      </w:r>
      <w:r w:rsidRPr="00304E87">
        <w:rPr>
          <w:rFonts w:cstheme="minorHAnsi"/>
          <w:color w:val="000000" w:themeColor="text1"/>
        </w:rPr>
        <w:t xml:space="preserve"> (columns)</w:t>
      </w:r>
      <w:r>
        <w:rPr>
          <w:rFonts w:cstheme="minorHAnsi"/>
          <w:color w:val="000000" w:themeColor="text1"/>
        </w:rPr>
        <w:t>,</w:t>
      </w:r>
      <w:r w:rsidRPr="00304E87">
        <w:rPr>
          <w:rFonts w:cstheme="minorHAnsi"/>
          <w:color w:val="000000" w:themeColor="text1"/>
        </w:rPr>
        <w:t xml:space="preserve"> after</w:t>
      </w:r>
      <w:r>
        <w:rPr>
          <w:rFonts w:cstheme="minorHAnsi"/>
          <w:color w:val="000000" w:themeColor="text1"/>
        </w:rPr>
        <w:t xml:space="preserve"> applying an</w:t>
      </w:r>
      <w:r w:rsidRPr="00304E87">
        <w:rPr>
          <w:rFonts w:cstheme="minorHAnsi"/>
          <w:color w:val="000000" w:themeColor="text1"/>
        </w:rPr>
        <w:t xml:space="preserve"> unsupervised hierarchical clustering analysis. </w:t>
      </w:r>
      <w:r>
        <w:rPr>
          <w:rFonts w:cstheme="minorHAnsi"/>
          <w:b/>
          <w:bCs/>
          <w:color w:val="000000" w:themeColor="text1"/>
        </w:rPr>
        <w:t>(c)</w:t>
      </w:r>
      <w:r w:rsidRPr="00DD5ABD">
        <w:rPr>
          <w:rFonts w:ascii="Calibri" w:eastAsia="Times New Roman" w:hAnsi="Calibri" w:cs="Calibri"/>
          <w:b/>
          <w:bCs/>
          <w:color w:val="000000"/>
          <w:kern w:val="24"/>
        </w:rPr>
        <w:t xml:space="preserve"> </w:t>
      </w:r>
      <w:r w:rsidRPr="00DD5ABD">
        <w:rPr>
          <w:rFonts w:ascii="Calibri" w:eastAsia="Times New Roman" w:hAnsi="Calibri" w:cs="Calibri"/>
          <w:color w:val="000000"/>
          <w:kern w:val="24"/>
        </w:rPr>
        <w:t>CpG-density plot, according to chromosome, represents the number of DMCs and CpGs within DMRs in a 1-Mb window size. The horizontal axis shows the chromosome length (Mb); the different colors depict different CpG densities</w:t>
      </w:r>
      <w:r w:rsidR="00887112">
        <w:rPr>
          <w:rFonts w:ascii="Calibri" w:eastAsia="Times New Roman" w:hAnsi="Calibri" w:cs="Calibri"/>
          <w:color w:val="000000"/>
          <w:kern w:val="24"/>
        </w:rPr>
        <w:t xml:space="preserve"> </w:t>
      </w:r>
      <w:r w:rsidR="00887112" w:rsidRPr="00E656E8">
        <w:rPr>
          <w:rFonts w:ascii="Calibri" w:eastAsia="Times New Roman" w:hAnsi="Calibri" w:cs="Calibri"/>
          <w:color w:val="000000"/>
          <w:kern w:val="24"/>
        </w:rPr>
        <w:t>in a 1-Mb window size.</w:t>
      </w:r>
    </w:p>
    <w:p w14:paraId="41EAC0AB" w14:textId="149822AE" w:rsidR="00DD108B" w:rsidRDefault="00423C69" w:rsidP="00DD108B">
      <w:pPr>
        <w:rPr>
          <w:noProof/>
        </w:rPr>
      </w:pPr>
      <w:r w:rsidRPr="004E75EE">
        <w:rPr>
          <w:b/>
          <w:bCs/>
        </w:rPr>
        <w:lastRenderedPageBreak/>
        <w:t xml:space="preserve">Supplementary </w:t>
      </w:r>
      <w:r w:rsidR="007B7143">
        <w:rPr>
          <w:b/>
          <w:bCs/>
        </w:rPr>
        <w:t>Table S13.</w:t>
      </w:r>
      <w:r w:rsidR="00DD108B">
        <w:rPr>
          <w:b/>
          <w:bCs/>
        </w:rPr>
        <w:t xml:space="preserve"> Function of genes with top </w:t>
      </w:r>
      <w:r w:rsidR="00516295">
        <w:rPr>
          <w:b/>
          <w:bCs/>
        </w:rPr>
        <w:t xml:space="preserve">hits </w:t>
      </w:r>
      <w:r w:rsidR="00DD108B">
        <w:rPr>
          <w:b/>
          <w:bCs/>
        </w:rPr>
        <w:t>and its relation to T2D</w:t>
      </w:r>
      <w:r w:rsidR="00116BFE" w:rsidRPr="00116BFE">
        <w:rPr>
          <w:noProof/>
        </w:rPr>
        <w:t xml:space="preserve"> </w:t>
      </w:r>
    </w:p>
    <w:p w14:paraId="03A228C7" w14:textId="0AF92F74" w:rsidR="00347CCA" w:rsidRDefault="00347CCA" w:rsidP="00DD108B">
      <w:pPr>
        <w:rPr>
          <w:noProof/>
        </w:rPr>
      </w:pPr>
    </w:p>
    <w:p w14:paraId="149E24F3" w14:textId="49CD6521" w:rsidR="00347CCA" w:rsidRDefault="004B5B9A" w:rsidP="00DD108B">
      <w:pPr>
        <w:rPr>
          <w:b/>
          <w:bCs/>
        </w:rPr>
      </w:pPr>
      <w:r w:rsidRPr="004B5B9A">
        <w:rPr>
          <w:b/>
          <w:bCs/>
          <w:noProof/>
        </w:rPr>
        <w:drawing>
          <wp:inline distT="0" distB="0" distL="0" distR="0" wp14:anchorId="67AD9062" wp14:editId="38AC1716">
            <wp:extent cx="5943600" cy="7037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037705"/>
                    </a:xfrm>
                    <a:prstGeom prst="rect">
                      <a:avLst/>
                    </a:prstGeom>
                  </pic:spPr>
                </pic:pic>
              </a:graphicData>
            </a:graphic>
          </wp:inline>
        </w:drawing>
      </w:r>
    </w:p>
    <w:p w14:paraId="07BB925D" w14:textId="7CB15557" w:rsidR="00DD108B" w:rsidRDefault="00DD108B" w:rsidP="00347CCA">
      <w:pPr>
        <w:jc w:val="center"/>
        <w:rPr>
          <w:b/>
          <w:bCs/>
        </w:rPr>
      </w:pPr>
    </w:p>
    <w:p w14:paraId="288576A3" w14:textId="053F288D" w:rsidR="007B7143" w:rsidRDefault="007B7143" w:rsidP="00423C69">
      <w:pPr>
        <w:rPr>
          <w:b/>
          <w:bCs/>
        </w:rPr>
      </w:pPr>
    </w:p>
    <w:p w14:paraId="08805C69" w14:textId="435297C6" w:rsidR="00423C69" w:rsidRDefault="00423C69" w:rsidP="009575F9">
      <w:pPr>
        <w:spacing w:line="480" w:lineRule="auto"/>
        <w:jc w:val="both"/>
        <w:rPr>
          <w:rFonts w:ascii="Calibri" w:eastAsia="Times New Roman" w:hAnsi="Calibri" w:cs="Calibri"/>
          <w:b/>
          <w:bCs/>
          <w:color w:val="000000"/>
          <w:kern w:val="24"/>
        </w:rPr>
      </w:pPr>
    </w:p>
    <w:p w14:paraId="7052386E" w14:textId="31827878" w:rsidR="00B3409D" w:rsidRDefault="007B7143" w:rsidP="009575F9">
      <w:pPr>
        <w:spacing w:line="480" w:lineRule="auto"/>
        <w:jc w:val="both"/>
        <w:rPr>
          <w:rFonts w:ascii="Calibri" w:eastAsia="Times New Roman" w:hAnsi="Calibri" w:cs="Calibri"/>
          <w:b/>
          <w:bCs/>
          <w:color w:val="000000"/>
          <w:kern w:val="24"/>
        </w:rPr>
      </w:pPr>
      <w:r>
        <w:rPr>
          <w:rFonts w:ascii="Calibri" w:eastAsia="Times New Roman" w:hAnsi="Calibri" w:cs="Calibri"/>
          <w:b/>
          <w:bCs/>
          <w:color w:val="000000"/>
          <w:kern w:val="24"/>
        </w:rPr>
        <w:lastRenderedPageBreak/>
        <w:t>Supplementary reference</w:t>
      </w:r>
    </w:p>
    <w:p w14:paraId="4B6403B2" w14:textId="77777777" w:rsidR="00AE38FA" w:rsidRDefault="00AE38FA" w:rsidP="00AE38FA">
      <w:pPr>
        <w:spacing w:line="480" w:lineRule="auto"/>
        <w:jc w:val="both"/>
      </w:pPr>
    </w:p>
    <w:p w14:paraId="56EEA1A0" w14:textId="77777777" w:rsidR="00AE38FA" w:rsidRDefault="00AE38FA" w:rsidP="00AE38FA">
      <w:pPr>
        <w:spacing w:line="480" w:lineRule="auto"/>
        <w:jc w:val="both"/>
      </w:pPr>
      <w:r w:rsidRPr="00BC6190">
        <w:t xml:space="preserve">1. </w:t>
      </w:r>
      <w:proofErr w:type="spellStart"/>
      <w:r w:rsidRPr="00BC6190">
        <w:t>Espach</w:t>
      </w:r>
      <w:proofErr w:type="spellEnd"/>
      <w:r w:rsidRPr="00BC6190">
        <w:t xml:space="preserve"> Y, Lochner A, Strijdom H, </w:t>
      </w:r>
      <w:proofErr w:type="spellStart"/>
      <w:r w:rsidRPr="00BC6190">
        <w:t>Huisamen</w:t>
      </w:r>
      <w:proofErr w:type="spellEnd"/>
      <w:r w:rsidRPr="00BC6190">
        <w:t xml:space="preserve"> B. ATM Protein Kinase Signaling, Type 2 Diabetes and Cardiovascular Disease. Cardiovasc Drugs </w:t>
      </w:r>
      <w:proofErr w:type="spellStart"/>
      <w:r w:rsidRPr="00BC6190">
        <w:t>Ther</w:t>
      </w:r>
      <w:proofErr w:type="spellEnd"/>
      <w:r w:rsidRPr="00BC6190">
        <w:t xml:space="preserve">. 2015;29(1):51–8. </w:t>
      </w:r>
    </w:p>
    <w:p w14:paraId="1BBB486D" w14:textId="77777777" w:rsidR="00AE38FA" w:rsidRPr="00BC6190" w:rsidRDefault="00AE38FA" w:rsidP="00AE38FA">
      <w:pPr>
        <w:spacing w:line="480" w:lineRule="auto"/>
        <w:jc w:val="both"/>
      </w:pPr>
    </w:p>
    <w:p w14:paraId="7AD63424" w14:textId="77777777" w:rsidR="00AE38FA" w:rsidRDefault="00AE38FA" w:rsidP="00AE38FA">
      <w:pPr>
        <w:spacing w:line="480" w:lineRule="auto"/>
        <w:jc w:val="both"/>
      </w:pPr>
      <w:r w:rsidRPr="00BC6190">
        <w:t xml:space="preserve">2. </w:t>
      </w:r>
      <w:proofErr w:type="spellStart"/>
      <w:r w:rsidRPr="00BC6190">
        <w:t>Yechoor</w:t>
      </w:r>
      <w:proofErr w:type="spellEnd"/>
      <w:r w:rsidRPr="00BC6190">
        <w:t xml:space="preserve"> VK, Patti ME, Ueki K, </w:t>
      </w:r>
      <w:proofErr w:type="spellStart"/>
      <w:r w:rsidRPr="00BC6190">
        <w:t>Laustsen</w:t>
      </w:r>
      <w:proofErr w:type="spellEnd"/>
      <w:r w:rsidRPr="00BC6190">
        <w:t xml:space="preserve"> PG, </w:t>
      </w:r>
      <w:proofErr w:type="spellStart"/>
      <w:r w:rsidRPr="00BC6190">
        <w:t>Saccone</w:t>
      </w:r>
      <w:proofErr w:type="spellEnd"/>
      <w:r w:rsidRPr="00BC6190">
        <w:t xml:space="preserve"> R, </w:t>
      </w:r>
      <w:proofErr w:type="spellStart"/>
      <w:r w:rsidRPr="00BC6190">
        <w:t>Rauniyar</w:t>
      </w:r>
      <w:proofErr w:type="spellEnd"/>
      <w:r w:rsidRPr="00BC6190">
        <w:t xml:space="preserve"> R, et al. Distinct pathways of insulin-regulated versus diabetes-regulated gene expression: An in vivo analysis in MIRKO mice. Proc Natl </w:t>
      </w:r>
      <w:proofErr w:type="spellStart"/>
      <w:r w:rsidRPr="00BC6190">
        <w:t>Acad</w:t>
      </w:r>
      <w:proofErr w:type="spellEnd"/>
      <w:r w:rsidRPr="00BC6190">
        <w:t xml:space="preserve"> Sci U S A. 2004;101(47):16525–30. </w:t>
      </w:r>
    </w:p>
    <w:p w14:paraId="069B5247" w14:textId="77777777" w:rsidR="00AE38FA" w:rsidRPr="00BC6190" w:rsidRDefault="00AE38FA" w:rsidP="00AE38FA">
      <w:pPr>
        <w:spacing w:line="480" w:lineRule="auto"/>
        <w:jc w:val="both"/>
      </w:pPr>
    </w:p>
    <w:p w14:paraId="0FB01163" w14:textId="77777777" w:rsidR="00AE38FA" w:rsidRDefault="00AE38FA" w:rsidP="00AE38FA">
      <w:pPr>
        <w:spacing w:line="480" w:lineRule="auto"/>
        <w:jc w:val="both"/>
      </w:pPr>
      <w:r w:rsidRPr="00BC6190">
        <w:t xml:space="preserve">3. Yu T, Acharya A, </w:t>
      </w:r>
      <w:proofErr w:type="spellStart"/>
      <w:r w:rsidRPr="00BC6190">
        <w:t>Mattheos</w:t>
      </w:r>
      <w:proofErr w:type="spellEnd"/>
      <w:r w:rsidRPr="00BC6190">
        <w:t xml:space="preserve"> N, Li S, </w:t>
      </w:r>
      <w:proofErr w:type="spellStart"/>
      <w:r w:rsidRPr="00BC6190">
        <w:t>Ziebolz</w:t>
      </w:r>
      <w:proofErr w:type="spellEnd"/>
      <w:r w:rsidRPr="00BC6190">
        <w:t xml:space="preserve"> D, Schmalz G, et al. Molecular mechanisms linking peri-implantitis and type 2 diabetes mellitus revealed by transcriptomic analysis. </w:t>
      </w:r>
      <w:proofErr w:type="spellStart"/>
      <w:r w:rsidRPr="00BC6190">
        <w:t>PeerJ</w:t>
      </w:r>
      <w:proofErr w:type="spellEnd"/>
      <w:r w:rsidRPr="00BC6190">
        <w:t xml:space="preserve">. 2019;2019(6):1–19. </w:t>
      </w:r>
    </w:p>
    <w:p w14:paraId="7097C127" w14:textId="77777777" w:rsidR="00AE38FA" w:rsidRPr="00BC6190" w:rsidRDefault="00AE38FA" w:rsidP="00AE38FA">
      <w:pPr>
        <w:spacing w:line="480" w:lineRule="auto"/>
        <w:jc w:val="both"/>
      </w:pPr>
    </w:p>
    <w:p w14:paraId="08D9EC3C" w14:textId="3AD5B0A2" w:rsidR="00AE38FA" w:rsidRDefault="00AE38FA" w:rsidP="00AE38FA">
      <w:pPr>
        <w:spacing w:line="480" w:lineRule="auto"/>
        <w:jc w:val="both"/>
      </w:pPr>
      <w:r w:rsidRPr="00BC6190">
        <w:t>4. Lee S. The association of genetically controlled CpG methylation (cg158269415) of protein tyrosine phosphatase, receptor type N2 (PTPRN2) with childhood obesity. Sci Rep. 2019;9(1):1–7</w:t>
      </w:r>
    </w:p>
    <w:p w14:paraId="32E61710" w14:textId="77777777" w:rsidR="00516295" w:rsidRPr="00BC6190" w:rsidRDefault="00516295" w:rsidP="00AE38FA">
      <w:pPr>
        <w:spacing w:line="480" w:lineRule="auto"/>
        <w:jc w:val="both"/>
      </w:pPr>
    </w:p>
    <w:p w14:paraId="2B485F0A" w14:textId="77777777" w:rsidR="00AE38FA" w:rsidRDefault="00AE38FA" w:rsidP="00AE38FA">
      <w:pPr>
        <w:spacing w:line="480" w:lineRule="auto"/>
        <w:jc w:val="both"/>
      </w:pPr>
      <w:r>
        <w:t>5</w:t>
      </w:r>
      <w:r w:rsidRPr="00BC6190">
        <w:t xml:space="preserve">. Xu B, O’Donnell M, O’Donnell J, Yu J, Zhang Y, Sartor MA, et al. Adipogenic differentiation of thyroid cancer cells through the pax8-PPARγ fusion protein is regulated by thyroid transcription factor 1 (TTF-1). J Biol Chem. 2016;291(37):19274–86. </w:t>
      </w:r>
    </w:p>
    <w:p w14:paraId="1272C0AD" w14:textId="77777777" w:rsidR="00AE38FA" w:rsidRPr="00BC6190" w:rsidRDefault="00AE38FA" w:rsidP="00AE38FA">
      <w:pPr>
        <w:spacing w:line="480" w:lineRule="auto"/>
        <w:jc w:val="both"/>
      </w:pPr>
    </w:p>
    <w:p w14:paraId="57566F9C" w14:textId="2B772243" w:rsidR="00AE38FA" w:rsidRDefault="00AE38FA" w:rsidP="00AE38FA">
      <w:pPr>
        <w:spacing w:line="480" w:lineRule="auto"/>
        <w:jc w:val="both"/>
      </w:pPr>
      <w:r>
        <w:lastRenderedPageBreak/>
        <w:t>6</w:t>
      </w:r>
      <w:r w:rsidRPr="00BC6190">
        <w:t xml:space="preserve">. </w:t>
      </w:r>
      <w:proofErr w:type="spellStart"/>
      <w:r w:rsidRPr="00BC6190">
        <w:t>Skuratovskaia</w:t>
      </w:r>
      <w:proofErr w:type="spellEnd"/>
      <w:r w:rsidRPr="00BC6190">
        <w:t xml:space="preserve"> DS, </w:t>
      </w:r>
      <w:proofErr w:type="spellStart"/>
      <w:r w:rsidRPr="00BC6190">
        <w:t>Komar</w:t>
      </w:r>
      <w:proofErr w:type="spellEnd"/>
      <w:r w:rsidRPr="00BC6190">
        <w:t xml:space="preserve"> A, </w:t>
      </w:r>
      <w:proofErr w:type="spellStart"/>
      <w:r w:rsidRPr="00BC6190">
        <w:t>Vulf</w:t>
      </w:r>
      <w:proofErr w:type="spellEnd"/>
      <w:r w:rsidRPr="00BC6190">
        <w:t xml:space="preserve"> M, Quang HV, </w:t>
      </w:r>
      <w:proofErr w:type="spellStart"/>
      <w:r w:rsidRPr="00BC6190">
        <w:t>Shunkin</w:t>
      </w:r>
      <w:proofErr w:type="spellEnd"/>
      <w:r w:rsidRPr="00BC6190">
        <w:t xml:space="preserve"> E, </w:t>
      </w:r>
      <w:proofErr w:type="spellStart"/>
      <w:r w:rsidRPr="00BC6190">
        <w:t>Kirienkova</w:t>
      </w:r>
      <w:proofErr w:type="spellEnd"/>
      <w:r w:rsidRPr="00BC6190">
        <w:t xml:space="preserve"> E, et al. Tumor necrosis receptor superfamily interact with fusion and fission of mitochondria of adipose tissue in obese patients without type 2 diabetes. Biomedicines. 2021;9(9).</w:t>
      </w:r>
    </w:p>
    <w:p w14:paraId="146A2EE5" w14:textId="77777777" w:rsidR="00516295" w:rsidRPr="00BC6190" w:rsidRDefault="00516295" w:rsidP="00AE38FA">
      <w:pPr>
        <w:spacing w:line="480" w:lineRule="auto"/>
        <w:jc w:val="both"/>
      </w:pPr>
    </w:p>
    <w:p w14:paraId="2A048772" w14:textId="77777777" w:rsidR="00AE38FA" w:rsidRDefault="00AE38FA" w:rsidP="00AE38FA">
      <w:pPr>
        <w:spacing w:line="480" w:lineRule="auto"/>
        <w:jc w:val="both"/>
      </w:pPr>
      <w:r>
        <w:t>7</w:t>
      </w:r>
      <w:r w:rsidRPr="00BC6190">
        <w:t xml:space="preserve">. Wang YN, Tang Y, He Z, Ma H, Wang L, Liu Y, et al. Slit3 secreted from M2-like macrophages increases sympathetic activity and thermogenesis in adipose tissue. Nat </w:t>
      </w:r>
      <w:proofErr w:type="spellStart"/>
      <w:r w:rsidRPr="00BC6190">
        <w:t>Metab</w:t>
      </w:r>
      <w:proofErr w:type="spellEnd"/>
      <w:r w:rsidRPr="00BC6190">
        <w:t xml:space="preserve">. 2021;3(11):1536–51. </w:t>
      </w:r>
    </w:p>
    <w:p w14:paraId="0ACCD6BE" w14:textId="77777777" w:rsidR="00AE38FA" w:rsidRPr="00BC6190" w:rsidRDefault="00AE38FA" w:rsidP="00AE38FA">
      <w:pPr>
        <w:spacing w:line="480" w:lineRule="auto"/>
        <w:jc w:val="both"/>
      </w:pPr>
    </w:p>
    <w:p w14:paraId="6F56DE95" w14:textId="77777777" w:rsidR="00AE38FA" w:rsidRDefault="00AE38FA" w:rsidP="00AE38FA">
      <w:pPr>
        <w:spacing w:line="480" w:lineRule="auto"/>
        <w:jc w:val="both"/>
      </w:pPr>
      <w:r>
        <w:t>8</w:t>
      </w:r>
      <w:r w:rsidRPr="00BC6190">
        <w:t xml:space="preserve">. Li J, </w:t>
      </w:r>
      <w:proofErr w:type="spellStart"/>
      <w:r w:rsidRPr="00BC6190">
        <w:t>Romestaing</w:t>
      </w:r>
      <w:proofErr w:type="spellEnd"/>
      <w:r w:rsidRPr="00BC6190">
        <w:t xml:space="preserve"> C, Han X, Li Y, Hao X, Wu Y, et al. Cardiolipin remodeling by ALCAT1 links oxidative stress and mitochondrial dysfunction to obesity. Cell </w:t>
      </w:r>
      <w:proofErr w:type="spellStart"/>
      <w:r w:rsidRPr="00BC6190">
        <w:t>Metab</w:t>
      </w:r>
      <w:proofErr w:type="spellEnd"/>
      <w:r w:rsidRPr="00BC6190">
        <w:t xml:space="preserve"> [Internet]. 2010;12(2):154–65. </w:t>
      </w:r>
    </w:p>
    <w:p w14:paraId="72A5F6BB" w14:textId="77777777" w:rsidR="00AE38FA" w:rsidRPr="00BC6190" w:rsidRDefault="00AE38FA" w:rsidP="00AE38FA">
      <w:pPr>
        <w:spacing w:line="480" w:lineRule="auto"/>
        <w:jc w:val="both"/>
      </w:pPr>
    </w:p>
    <w:p w14:paraId="63F766D5" w14:textId="77777777" w:rsidR="00AE38FA" w:rsidRDefault="00AE38FA" w:rsidP="00AE38FA">
      <w:pPr>
        <w:spacing w:line="480" w:lineRule="auto"/>
        <w:jc w:val="both"/>
      </w:pPr>
      <w:r>
        <w:t>9</w:t>
      </w:r>
      <w:r w:rsidRPr="00BC6190">
        <w:t xml:space="preserve">. Chen Y, </w:t>
      </w:r>
      <w:proofErr w:type="spellStart"/>
      <w:r w:rsidRPr="00BC6190">
        <w:t>Umanah</w:t>
      </w:r>
      <w:proofErr w:type="spellEnd"/>
      <w:r w:rsidRPr="00BC6190">
        <w:t xml:space="preserve"> GKE, </w:t>
      </w:r>
      <w:proofErr w:type="spellStart"/>
      <w:r w:rsidRPr="00BC6190">
        <w:t>Dephoure</w:t>
      </w:r>
      <w:proofErr w:type="spellEnd"/>
      <w:r w:rsidRPr="00BC6190">
        <w:t xml:space="preserve"> N, Andrabi SA, </w:t>
      </w:r>
      <w:proofErr w:type="spellStart"/>
      <w:r w:rsidRPr="00BC6190">
        <w:t>Gygi</w:t>
      </w:r>
      <w:proofErr w:type="spellEnd"/>
      <w:r w:rsidRPr="00BC6190">
        <w:t xml:space="preserve"> SP, Dawson TM, et al.  M sp1/ ATAD 1 maintains mitochondrial function by facilitating the degradation of </w:t>
      </w:r>
      <w:proofErr w:type="spellStart"/>
      <w:r w:rsidRPr="00BC6190">
        <w:t>mislocalized</w:t>
      </w:r>
      <w:proofErr w:type="spellEnd"/>
      <w:r w:rsidRPr="00BC6190">
        <w:t xml:space="preserve"> tail‐anchored proteins. EMBO J. 2014;33(14):1548–64. </w:t>
      </w:r>
    </w:p>
    <w:p w14:paraId="2530DFCF" w14:textId="77777777" w:rsidR="00AE38FA" w:rsidRPr="00BC6190" w:rsidRDefault="00AE38FA" w:rsidP="00AE38FA">
      <w:pPr>
        <w:spacing w:line="480" w:lineRule="auto"/>
        <w:jc w:val="both"/>
      </w:pPr>
    </w:p>
    <w:p w14:paraId="5F06C74A" w14:textId="77777777" w:rsidR="00AE38FA" w:rsidRDefault="00AE38FA" w:rsidP="00AE38FA">
      <w:pPr>
        <w:spacing w:line="480" w:lineRule="auto"/>
        <w:jc w:val="both"/>
        <w:rPr>
          <w:lang w:val="es-ES"/>
        </w:rPr>
      </w:pPr>
      <w:r w:rsidRPr="00BC6190">
        <w:rPr>
          <w:lang w:val="es-ES"/>
        </w:rPr>
        <w:t>1</w:t>
      </w:r>
      <w:r>
        <w:rPr>
          <w:lang w:val="es-ES"/>
        </w:rPr>
        <w:t>0</w:t>
      </w:r>
      <w:r w:rsidRPr="00BC6190">
        <w:rPr>
          <w:lang w:val="es-ES"/>
        </w:rPr>
        <w:t xml:space="preserve">. </w:t>
      </w:r>
      <w:proofErr w:type="spellStart"/>
      <w:r w:rsidRPr="00BC6190">
        <w:rPr>
          <w:lang w:val="es-ES"/>
        </w:rPr>
        <w:t>Tang</w:t>
      </w:r>
      <w:proofErr w:type="spellEnd"/>
      <w:r w:rsidRPr="00BC6190">
        <w:rPr>
          <w:lang w:val="es-ES"/>
        </w:rPr>
        <w:t xml:space="preserve"> H, </w:t>
      </w:r>
      <w:proofErr w:type="spellStart"/>
      <w:r w:rsidRPr="00BC6190">
        <w:rPr>
          <w:lang w:val="es-ES"/>
        </w:rPr>
        <w:t>Jiang</w:t>
      </w:r>
      <w:proofErr w:type="spellEnd"/>
      <w:r w:rsidRPr="00BC6190">
        <w:rPr>
          <w:lang w:val="es-ES"/>
        </w:rPr>
        <w:t xml:space="preserve"> L, </w:t>
      </w:r>
      <w:proofErr w:type="spellStart"/>
      <w:r w:rsidRPr="00BC6190">
        <w:rPr>
          <w:lang w:val="es-ES"/>
        </w:rPr>
        <w:t>Stolzenberg</w:t>
      </w:r>
      <w:proofErr w:type="spellEnd"/>
      <w:r w:rsidRPr="00BC6190">
        <w:rPr>
          <w:lang w:val="es-ES"/>
        </w:rPr>
        <w:t xml:space="preserve">-Solomon R, </w:t>
      </w:r>
      <w:proofErr w:type="spellStart"/>
      <w:r w:rsidRPr="00BC6190">
        <w:rPr>
          <w:lang w:val="es-ES"/>
        </w:rPr>
        <w:t>Arslan</w:t>
      </w:r>
      <w:proofErr w:type="spellEnd"/>
      <w:r w:rsidRPr="00BC6190">
        <w:rPr>
          <w:lang w:val="es-ES"/>
        </w:rPr>
        <w:t xml:space="preserve"> AA, </w:t>
      </w:r>
      <w:proofErr w:type="spellStart"/>
      <w:r w:rsidRPr="00BC6190">
        <w:rPr>
          <w:lang w:val="es-ES"/>
        </w:rPr>
        <w:t>Beane</w:t>
      </w:r>
      <w:proofErr w:type="spellEnd"/>
      <w:r w:rsidRPr="00BC6190">
        <w:rPr>
          <w:lang w:val="es-ES"/>
        </w:rPr>
        <w:t xml:space="preserve"> </w:t>
      </w:r>
      <w:proofErr w:type="spellStart"/>
      <w:r w:rsidRPr="00BC6190">
        <w:rPr>
          <w:lang w:val="es-ES"/>
        </w:rPr>
        <w:t>Freeman</w:t>
      </w:r>
      <w:proofErr w:type="spellEnd"/>
      <w:r w:rsidRPr="00BC6190">
        <w:rPr>
          <w:lang w:val="es-ES"/>
        </w:rPr>
        <w:t xml:space="preserve"> LE, </w:t>
      </w:r>
      <w:proofErr w:type="spellStart"/>
      <w:r w:rsidRPr="00BC6190">
        <w:rPr>
          <w:lang w:val="es-ES"/>
        </w:rPr>
        <w:t>Bracci</w:t>
      </w:r>
      <w:proofErr w:type="spellEnd"/>
      <w:r w:rsidRPr="00BC6190">
        <w:rPr>
          <w:lang w:val="es-ES"/>
        </w:rPr>
        <w:t xml:space="preserve"> P, </w:t>
      </w:r>
      <w:proofErr w:type="spellStart"/>
      <w:r w:rsidRPr="00BC6190">
        <w:rPr>
          <w:lang w:val="es-ES"/>
        </w:rPr>
        <w:t>Brennan</w:t>
      </w:r>
      <w:proofErr w:type="spellEnd"/>
      <w:r w:rsidRPr="00BC6190">
        <w:rPr>
          <w:lang w:val="es-ES"/>
        </w:rPr>
        <w:t xml:space="preserve"> P, </w:t>
      </w:r>
      <w:proofErr w:type="spellStart"/>
      <w:r w:rsidRPr="00BC6190">
        <w:rPr>
          <w:lang w:val="es-ES"/>
        </w:rPr>
        <w:t>Canzian</w:t>
      </w:r>
      <w:proofErr w:type="spellEnd"/>
      <w:r w:rsidRPr="00BC6190">
        <w:rPr>
          <w:lang w:val="es-ES"/>
        </w:rPr>
        <w:t xml:space="preserve"> F, Du M, </w:t>
      </w:r>
      <w:proofErr w:type="spellStart"/>
      <w:r w:rsidRPr="00BC6190">
        <w:rPr>
          <w:lang w:val="es-ES"/>
        </w:rPr>
        <w:t>Gallinger</w:t>
      </w:r>
      <w:proofErr w:type="spellEnd"/>
      <w:r w:rsidRPr="00BC6190">
        <w:rPr>
          <w:lang w:val="es-ES"/>
        </w:rPr>
        <w:t xml:space="preserve"> S, Giles G, Goodman PJ, </w:t>
      </w:r>
      <w:proofErr w:type="spellStart"/>
      <w:r w:rsidRPr="00BC6190">
        <w:rPr>
          <w:lang w:val="es-ES"/>
        </w:rPr>
        <w:t>Kooperberg</w:t>
      </w:r>
      <w:proofErr w:type="spellEnd"/>
      <w:r w:rsidRPr="00BC6190">
        <w:rPr>
          <w:lang w:val="es-ES"/>
        </w:rPr>
        <w:t xml:space="preserve"> C, Le Marchand L, </w:t>
      </w:r>
      <w:proofErr w:type="spellStart"/>
      <w:r w:rsidRPr="00BC6190">
        <w:rPr>
          <w:lang w:val="es-ES"/>
        </w:rPr>
        <w:t>Neale</w:t>
      </w:r>
      <w:proofErr w:type="spellEnd"/>
      <w:r w:rsidRPr="00BC6190">
        <w:rPr>
          <w:lang w:val="es-ES"/>
        </w:rPr>
        <w:t xml:space="preserve"> RE, </w:t>
      </w:r>
      <w:proofErr w:type="spellStart"/>
      <w:r w:rsidRPr="00BC6190">
        <w:rPr>
          <w:lang w:val="es-ES"/>
        </w:rPr>
        <w:t>Shu</w:t>
      </w:r>
      <w:proofErr w:type="spellEnd"/>
      <w:r w:rsidRPr="00BC6190">
        <w:rPr>
          <w:lang w:val="es-ES"/>
        </w:rPr>
        <w:t xml:space="preserve"> XO, </w:t>
      </w:r>
      <w:proofErr w:type="spellStart"/>
      <w:r w:rsidRPr="00BC6190">
        <w:rPr>
          <w:lang w:val="es-ES"/>
        </w:rPr>
        <w:t>Visvanathan</w:t>
      </w:r>
      <w:proofErr w:type="spellEnd"/>
      <w:r w:rsidRPr="00BC6190">
        <w:rPr>
          <w:lang w:val="es-ES"/>
        </w:rPr>
        <w:t xml:space="preserve"> K, White E, </w:t>
      </w:r>
      <w:proofErr w:type="spellStart"/>
      <w:r w:rsidRPr="00BC6190">
        <w:rPr>
          <w:lang w:val="es-ES"/>
        </w:rPr>
        <w:t>Zheng</w:t>
      </w:r>
      <w:proofErr w:type="spellEnd"/>
      <w:r w:rsidRPr="00BC6190">
        <w:rPr>
          <w:lang w:val="es-ES"/>
        </w:rPr>
        <w:t xml:space="preserve"> W, Albanes D, Andreotti G, </w:t>
      </w:r>
      <w:proofErr w:type="spellStart"/>
      <w:r w:rsidRPr="00BC6190">
        <w:rPr>
          <w:lang w:val="es-ES"/>
        </w:rPr>
        <w:t>Babic</w:t>
      </w:r>
      <w:proofErr w:type="spellEnd"/>
      <w:r w:rsidRPr="00BC6190">
        <w:rPr>
          <w:lang w:val="es-ES"/>
        </w:rPr>
        <w:t xml:space="preserve"> A, B WP. </w:t>
      </w:r>
      <w:proofErr w:type="spellStart"/>
      <w:r w:rsidRPr="00BC6190">
        <w:rPr>
          <w:lang w:val="es-ES"/>
        </w:rPr>
        <w:t>Genome-wide</w:t>
      </w:r>
      <w:proofErr w:type="spellEnd"/>
      <w:r w:rsidRPr="00BC6190">
        <w:rPr>
          <w:lang w:val="es-ES"/>
        </w:rPr>
        <w:t xml:space="preserve"> gene-diabetes and gene-</w:t>
      </w:r>
      <w:proofErr w:type="spellStart"/>
      <w:r w:rsidRPr="00BC6190">
        <w:rPr>
          <w:lang w:val="es-ES"/>
        </w:rPr>
        <w:t>obesity</w:t>
      </w:r>
      <w:proofErr w:type="spellEnd"/>
      <w:r w:rsidRPr="00BC6190">
        <w:rPr>
          <w:lang w:val="es-ES"/>
        </w:rPr>
        <w:t xml:space="preserve"> </w:t>
      </w:r>
      <w:proofErr w:type="spellStart"/>
      <w:r w:rsidRPr="00BC6190">
        <w:rPr>
          <w:lang w:val="es-ES"/>
        </w:rPr>
        <w:t>interaction</w:t>
      </w:r>
      <w:proofErr w:type="spellEnd"/>
      <w:r w:rsidRPr="00BC6190">
        <w:rPr>
          <w:lang w:val="es-ES"/>
        </w:rPr>
        <w:t xml:space="preserve"> </w:t>
      </w:r>
      <w:proofErr w:type="spellStart"/>
      <w:r w:rsidRPr="00BC6190">
        <w:rPr>
          <w:lang w:val="es-ES"/>
        </w:rPr>
        <w:t>scan</w:t>
      </w:r>
      <w:proofErr w:type="spellEnd"/>
      <w:r w:rsidRPr="00BC6190">
        <w:rPr>
          <w:lang w:val="es-ES"/>
        </w:rPr>
        <w:t xml:space="preserve"> in 8,255 cases and 11,900 </w:t>
      </w:r>
      <w:proofErr w:type="spellStart"/>
      <w:r w:rsidRPr="00BC6190">
        <w:rPr>
          <w:lang w:val="es-ES"/>
        </w:rPr>
        <w:t>controls</w:t>
      </w:r>
      <w:proofErr w:type="spellEnd"/>
      <w:r w:rsidRPr="00BC6190">
        <w:rPr>
          <w:lang w:val="es-ES"/>
        </w:rPr>
        <w:t xml:space="preserve"> </w:t>
      </w:r>
      <w:proofErr w:type="spellStart"/>
      <w:r w:rsidRPr="00BC6190">
        <w:rPr>
          <w:lang w:val="es-ES"/>
        </w:rPr>
        <w:t>from</w:t>
      </w:r>
      <w:proofErr w:type="spellEnd"/>
      <w:r w:rsidRPr="00BC6190">
        <w:rPr>
          <w:lang w:val="es-ES"/>
        </w:rPr>
        <w:t xml:space="preserve"> </w:t>
      </w:r>
      <w:proofErr w:type="spellStart"/>
      <w:r w:rsidRPr="00BC6190">
        <w:rPr>
          <w:lang w:val="es-ES"/>
        </w:rPr>
        <w:t>Pancreatic</w:t>
      </w:r>
      <w:proofErr w:type="spellEnd"/>
      <w:r w:rsidRPr="00BC6190">
        <w:rPr>
          <w:lang w:val="es-ES"/>
        </w:rPr>
        <w:t xml:space="preserve"> </w:t>
      </w:r>
      <w:proofErr w:type="spellStart"/>
      <w:r w:rsidRPr="00BC6190">
        <w:rPr>
          <w:lang w:val="es-ES"/>
        </w:rPr>
        <w:t>Cancer</w:t>
      </w:r>
      <w:proofErr w:type="spellEnd"/>
      <w:r w:rsidRPr="00BC6190">
        <w:rPr>
          <w:lang w:val="es-ES"/>
        </w:rPr>
        <w:t xml:space="preserve"> </w:t>
      </w:r>
      <w:proofErr w:type="spellStart"/>
      <w:r w:rsidRPr="00BC6190">
        <w:rPr>
          <w:lang w:val="es-ES"/>
        </w:rPr>
        <w:t>Cohort</w:t>
      </w:r>
      <w:proofErr w:type="spellEnd"/>
      <w:r w:rsidRPr="00BC6190">
        <w:rPr>
          <w:lang w:val="es-ES"/>
        </w:rPr>
        <w:t xml:space="preserve"> </w:t>
      </w:r>
      <w:proofErr w:type="spellStart"/>
      <w:r w:rsidRPr="00BC6190">
        <w:rPr>
          <w:lang w:val="es-ES"/>
        </w:rPr>
        <w:t>Consortium</w:t>
      </w:r>
      <w:proofErr w:type="spellEnd"/>
      <w:r w:rsidRPr="00BC6190">
        <w:rPr>
          <w:lang w:val="es-ES"/>
        </w:rPr>
        <w:t xml:space="preserve"> and </w:t>
      </w:r>
      <w:proofErr w:type="spellStart"/>
      <w:r w:rsidRPr="00BC6190">
        <w:rPr>
          <w:lang w:val="es-ES"/>
        </w:rPr>
        <w:t>Pancreatic</w:t>
      </w:r>
      <w:proofErr w:type="spellEnd"/>
      <w:r w:rsidRPr="00BC6190">
        <w:rPr>
          <w:lang w:val="es-ES"/>
        </w:rPr>
        <w:t xml:space="preserve"> </w:t>
      </w:r>
      <w:proofErr w:type="spellStart"/>
      <w:r w:rsidRPr="00BC6190">
        <w:rPr>
          <w:lang w:val="es-ES"/>
        </w:rPr>
        <w:t>Cancer</w:t>
      </w:r>
      <w:proofErr w:type="spellEnd"/>
      <w:r w:rsidRPr="00BC6190">
        <w:rPr>
          <w:lang w:val="es-ES"/>
        </w:rPr>
        <w:t xml:space="preserve"> Case Control </w:t>
      </w:r>
      <w:proofErr w:type="spellStart"/>
      <w:r w:rsidRPr="00BC6190">
        <w:rPr>
          <w:lang w:val="es-ES"/>
        </w:rPr>
        <w:t>Consortium</w:t>
      </w:r>
      <w:proofErr w:type="spellEnd"/>
      <w:r w:rsidRPr="00BC6190">
        <w:rPr>
          <w:lang w:val="es-ES"/>
        </w:rPr>
        <w:t xml:space="preserve">. </w:t>
      </w:r>
      <w:proofErr w:type="spellStart"/>
      <w:r w:rsidRPr="00BC6190">
        <w:rPr>
          <w:lang w:val="es-ES"/>
        </w:rPr>
        <w:t>Cancer</w:t>
      </w:r>
      <w:proofErr w:type="spellEnd"/>
      <w:r w:rsidRPr="00BC6190">
        <w:rPr>
          <w:lang w:val="es-ES"/>
        </w:rPr>
        <w:t xml:space="preserve"> </w:t>
      </w:r>
      <w:proofErr w:type="spellStart"/>
      <w:r w:rsidRPr="00BC6190">
        <w:rPr>
          <w:lang w:val="es-ES"/>
        </w:rPr>
        <w:t>Epidemiol</w:t>
      </w:r>
      <w:proofErr w:type="spellEnd"/>
      <w:r w:rsidRPr="00BC6190">
        <w:rPr>
          <w:lang w:val="es-ES"/>
        </w:rPr>
        <w:t xml:space="preserve">. 2020;176(5):139–48. </w:t>
      </w:r>
    </w:p>
    <w:p w14:paraId="2218397A" w14:textId="77777777" w:rsidR="00AE38FA" w:rsidRPr="00BC6190" w:rsidRDefault="00AE38FA" w:rsidP="00AE38FA">
      <w:pPr>
        <w:spacing w:line="480" w:lineRule="auto"/>
        <w:jc w:val="both"/>
        <w:rPr>
          <w:lang w:val="es-ES"/>
        </w:rPr>
      </w:pPr>
    </w:p>
    <w:p w14:paraId="1661BDC3" w14:textId="4895D6C4" w:rsidR="00AE38FA" w:rsidRDefault="00AE38FA" w:rsidP="00AE38FA">
      <w:pPr>
        <w:spacing w:line="480" w:lineRule="auto"/>
        <w:jc w:val="both"/>
        <w:rPr>
          <w:lang w:val="es-ES"/>
        </w:rPr>
      </w:pPr>
      <w:r w:rsidRPr="00BC6190">
        <w:rPr>
          <w:lang w:val="es-ES"/>
        </w:rPr>
        <w:t>1</w:t>
      </w:r>
      <w:r>
        <w:rPr>
          <w:lang w:val="es-ES"/>
        </w:rPr>
        <w:t>1</w:t>
      </w:r>
      <w:r w:rsidRPr="00BC6190">
        <w:rPr>
          <w:lang w:val="es-ES"/>
        </w:rPr>
        <w:t xml:space="preserve">. Andrade S, </w:t>
      </w:r>
      <w:proofErr w:type="spellStart"/>
      <w:r w:rsidRPr="00BC6190">
        <w:rPr>
          <w:lang w:val="es-ES"/>
        </w:rPr>
        <w:t>Morais</w:t>
      </w:r>
      <w:proofErr w:type="spellEnd"/>
      <w:r w:rsidRPr="00BC6190">
        <w:rPr>
          <w:lang w:val="es-ES"/>
        </w:rPr>
        <w:t xml:space="preserve"> T, </w:t>
      </w:r>
      <w:proofErr w:type="spellStart"/>
      <w:r w:rsidRPr="00BC6190">
        <w:rPr>
          <w:lang w:val="es-ES"/>
        </w:rPr>
        <w:t>Sandovici</w:t>
      </w:r>
      <w:proofErr w:type="spellEnd"/>
      <w:r w:rsidRPr="00BC6190">
        <w:rPr>
          <w:lang w:val="es-ES"/>
        </w:rPr>
        <w:t xml:space="preserve"> I, </w:t>
      </w:r>
      <w:proofErr w:type="spellStart"/>
      <w:r w:rsidRPr="00BC6190">
        <w:rPr>
          <w:lang w:val="es-ES"/>
        </w:rPr>
        <w:t>Seabra</w:t>
      </w:r>
      <w:proofErr w:type="spellEnd"/>
      <w:r w:rsidRPr="00BC6190">
        <w:rPr>
          <w:lang w:val="es-ES"/>
        </w:rPr>
        <w:t xml:space="preserve"> AL, </w:t>
      </w:r>
      <w:proofErr w:type="spellStart"/>
      <w:r w:rsidRPr="00BC6190">
        <w:rPr>
          <w:lang w:val="es-ES"/>
        </w:rPr>
        <w:t>Constância</w:t>
      </w:r>
      <w:proofErr w:type="spellEnd"/>
      <w:r w:rsidRPr="00BC6190">
        <w:rPr>
          <w:lang w:val="es-ES"/>
        </w:rPr>
        <w:t xml:space="preserve"> M, </w:t>
      </w:r>
      <w:proofErr w:type="spellStart"/>
      <w:r w:rsidRPr="00BC6190">
        <w:rPr>
          <w:lang w:val="es-ES"/>
        </w:rPr>
        <w:t>Monteiro</w:t>
      </w:r>
      <w:proofErr w:type="spellEnd"/>
      <w:r w:rsidRPr="00BC6190">
        <w:rPr>
          <w:lang w:val="es-ES"/>
        </w:rPr>
        <w:t xml:space="preserve"> MP. </w:t>
      </w:r>
      <w:proofErr w:type="spellStart"/>
      <w:r w:rsidRPr="00BC6190">
        <w:rPr>
          <w:lang w:val="es-ES"/>
        </w:rPr>
        <w:t>Adipose</w:t>
      </w:r>
      <w:proofErr w:type="spellEnd"/>
      <w:r w:rsidRPr="00BC6190">
        <w:rPr>
          <w:lang w:val="es-ES"/>
        </w:rPr>
        <w:t xml:space="preserve"> </w:t>
      </w:r>
      <w:proofErr w:type="spellStart"/>
      <w:r w:rsidRPr="00BC6190">
        <w:rPr>
          <w:lang w:val="es-ES"/>
        </w:rPr>
        <w:t>Tissue</w:t>
      </w:r>
      <w:proofErr w:type="spellEnd"/>
      <w:r w:rsidRPr="00BC6190">
        <w:rPr>
          <w:lang w:val="es-ES"/>
        </w:rPr>
        <w:t xml:space="preserve"> </w:t>
      </w:r>
      <w:proofErr w:type="spellStart"/>
      <w:r w:rsidRPr="00BC6190">
        <w:rPr>
          <w:lang w:val="es-ES"/>
        </w:rPr>
        <w:t>Epigenetic</w:t>
      </w:r>
      <w:proofErr w:type="spellEnd"/>
      <w:r w:rsidRPr="00BC6190">
        <w:rPr>
          <w:lang w:val="es-ES"/>
        </w:rPr>
        <w:t xml:space="preserve"> </w:t>
      </w:r>
      <w:proofErr w:type="spellStart"/>
      <w:r w:rsidRPr="00BC6190">
        <w:rPr>
          <w:lang w:val="es-ES"/>
        </w:rPr>
        <w:t>Profile</w:t>
      </w:r>
      <w:proofErr w:type="spellEnd"/>
      <w:r w:rsidRPr="00BC6190">
        <w:rPr>
          <w:lang w:val="es-ES"/>
        </w:rPr>
        <w:t xml:space="preserve"> in </w:t>
      </w:r>
      <w:proofErr w:type="spellStart"/>
      <w:r w:rsidRPr="00BC6190">
        <w:rPr>
          <w:lang w:val="es-ES"/>
        </w:rPr>
        <w:t>Obesity-Related</w:t>
      </w:r>
      <w:proofErr w:type="spellEnd"/>
      <w:r w:rsidRPr="00BC6190">
        <w:rPr>
          <w:lang w:val="es-ES"/>
        </w:rPr>
        <w:t xml:space="preserve"> Dysglycemia - A </w:t>
      </w:r>
      <w:proofErr w:type="spellStart"/>
      <w:r w:rsidRPr="00BC6190">
        <w:rPr>
          <w:lang w:val="es-ES"/>
        </w:rPr>
        <w:t>Systematic</w:t>
      </w:r>
      <w:proofErr w:type="spellEnd"/>
      <w:r w:rsidRPr="00BC6190">
        <w:rPr>
          <w:lang w:val="es-ES"/>
        </w:rPr>
        <w:t xml:space="preserve"> </w:t>
      </w:r>
      <w:proofErr w:type="spellStart"/>
      <w:r w:rsidRPr="00BC6190">
        <w:rPr>
          <w:lang w:val="es-ES"/>
        </w:rPr>
        <w:t>Review</w:t>
      </w:r>
      <w:proofErr w:type="spellEnd"/>
      <w:r w:rsidRPr="00BC6190">
        <w:rPr>
          <w:lang w:val="es-ES"/>
        </w:rPr>
        <w:t xml:space="preserve">. Front </w:t>
      </w:r>
      <w:proofErr w:type="spellStart"/>
      <w:r w:rsidRPr="00BC6190">
        <w:rPr>
          <w:lang w:val="es-ES"/>
        </w:rPr>
        <w:t>Endocrinol</w:t>
      </w:r>
      <w:proofErr w:type="spellEnd"/>
      <w:r w:rsidRPr="00BC6190">
        <w:rPr>
          <w:lang w:val="es-ES"/>
        </w:rPr>
        <w:t xml:space="preserve"> (</w:t>
      </w:r>
      <w:proofErr w:type="spellStart"/>
      <w:r w:rsidRPr="00BC6190">
        <w:rPr>
          <w:lang w:val="es-ES"/>
        </w:rPr>
        <w:t>Lausanne</w:t>
      </w:r>
      <w:proofErr w:type="spellEnd"/>
      <w:r w:rsidRPr="00BC6190">
        <w:rPr>
          <w:lang w:val="es-ES"/>
        </w:rPr>
        <w:t xml:space="preserve">). 2021;12(June). </w:t>
      </w:r>
    </w:p>
    <w:p w14:paraId="375CF34C" w14:textId="77777777" w:rsidR="00516295" w:rsidRPr="00BC6190" w:rsidRDefault="00516295" w:rsidP="00AE38FA">
      <w:pPr>
        <w:spacing w:line="480" w:lineRule="auto"/>
        <w:jc w:val="both"/>
        <w:rPr>
          <w:lang w:val="es-ES"/>
        </w:rPr>
      </w:pPr>
    </w:p>
    <w:p w14:paraId="3EB99D69" w14:textId="77777777" w:rsidR="00AE38FA" w:rsidRDefault="00AE38FA" w:rsidP="00AE38FA">
      <w:pPr>
        <w:spacing w:line="480" w:lineRule="auto"/>
        <w:jc w:val="both"/>
        <w:rPr>
          <w:lang w:val="es-ES"/>
        </w:rPr>
      </w:pPr>
      <w:r w:rsidRPr="00BC6190">
        <w:rPr>
          <w:lang w:val="es-ES"/>
        </w:rPr>
        <w:t>1</w:t>
      </w:r>
      <w:r>
        <w:rPr>
          <w:lang w:val="es-ES"/>
        </w:rPr>
        <w:t>2</w:t>
      </w:r>
      <w:r w:rsidRPr="00BC6190">
        <w:rPr>
          <w:lang w:val="es-ES"/>
        </w:rPr>
        <w:t xml:space="preserve">. </w:t>
      </w:r>
      <w:proofErr w:type="spellStart"/>
      <w:r w:rsidRPr="00BC6190">
        <w:rPr>
          <w:lang w:val="es-ES"/>
        </w:rPr>
        <w:t>Yan</w:t>
      </w:r>
      <w:proofErr w:type="spellEnd"/>
      <w:r w:rsidRPr="00BC6190">
        <w:rPr>
          <w:lang w:val="es-ES"/>
        </w:rPr>
        <w:t xml:space="preserve"> S, Wang T, </w:t>
      </w:r>
      <w:proofErr w:type="spellStart"/>
      <w:r w:rsidRPr="00BC6190">
        <w:rPr>
          <w:lang w:val="es-ES"/>
        </w:rPr>
        <w:t>Huang</w:t>
      </w:r>
      <w:proofErr w:type="spellEnd"/>
      <w:r w:rsidRPr="00BC6190">
        <w:rPr>
          <w:lang w:val="es-ES"/>
        </w:rPr>
        <w:t xml:space="preserve"> S, Di Y, </w:t>
      </w:r>
      <w:proofErr w:type="spellStart"/>
      <w:r w:rsidRPr="00BC6190">
        <w:rPr>
          <w:lang w:val="es-ES"/>
        </w:rPr>
        <w:t>Huang</w:t>
      </w:r>
      <w:proofErr w:type="spellEnd"/>
      <w:r w:rsidRPr="00BC6190">
        <w:rPr>
          <w:lang w:val="es-ES"/>
        </w:rPr>
        <w:t xml:space="preserve"> Y, </w:t>
      </w:r>
      <w:proofErr w:type="spellStart"/>
      <w:r w:rsidRPr="00BC6190">
        <w:rPr>
          <w:lang w:val="es-ES"/>
        </w:rPr>
        <w:t>Liu</w:t>
      </w:r>
      <w:proofErr w:type="spellEnd"/>
      <w:r w:rsidRPr="00BC6190">
        <w:rPr>
          <w:lang w:val="es-ES"/>
        </w:rPr>
        <w:t xml:space="preserve"> X, et al. </w:t>
      </w:r>
      <w:proofErr w:type="spellStart"/>
      <w:r w:rsidRPr="00BC6190">
        <w:rPr>
          <w:lang w:val="es-ES"/>
        </w:rPr>
        <w:t>Differential</w:t>
      </w:r>
      <w:proofErr w:type="spellEnd"/>
      <w:r w:rsidRPr="00BC6190">
        <w:rPr>
          <w:lang w:val="es-ES"/>
        </w:rPr>
        <w:t xml:space="preserve"> </w:t>
      </w:r>
      <w:proofErr w:type="spellStart"/>
      <w:r w:rsidRPr="00BC6190">
        <w:rPr>
          <w:lang w:val="es-ES"/>
        </w:rPr>
        <w:t>expression</w:t>
      </w:r>
      <w:proofErr w:type="spellEnd"/>
      <w:r w:rsidRPr="00BC6190">
        <w:rPr>
          <w:lang w:val="es-ES"/>
        </w:rPr>
        <w:t xml:space="preserve"> of </w:t>
      </w:r>
      <w:proofErr w:type="spellStart"/>
      <w:r w:rsidRPr="00BC6190">
        <w:rPr>
          <w:lang w:val="es-ES"/>
        </w:rPr>
        <w:t>microRNAs</w:t>
      </w:r>
      <w:proofErr w:type="spellEnd"/>
      <w:r w:rsidRPr="00BC6190">
        <w:rPr>
          <w:lang w:val="es-ES"/>
        </w:rPr>
        <w:t xml:space="preserve"> in plasma of </w:t>
      </w:r>
      <w:proofErr w:type="spellStart"/>
      <w:r w:rsidRPr="00BC6190">
        <w:rPr>
          <w:lang w:val="es-ES"/>
        </w:rPr>
        <w:t>patients</w:t>
      </w:r>
      <w:proofErr w:type="spellEnd"/>
      <w:r w:rsidRPr="00BC6190">
        <w:rPr>
          <w:lang w:val="es-ES"/>
        </w:rPr>
        <w:t xml:space="preserve"> </w:t>
      </w:r>
      <w:proofErr w:type="spellStart"/>
      <w:r w:rsidRPr="00BC6190">
        <w:rPr>
          <w:lang w:val="es-ES"/>
        </w:rPr>
        <w:t>with</w:t>
      </w:r>
      <w:proofErr w:type="spellEnd"/>
      <w:r w:rsidRPr="00BC6190">
        <w:rPr>
          <w:lang w:val="es-ES"/>
        </w:rPr>
        <w:t xml:space="preserve"> prediabetes and </w:t>
      </w:r>
      <w:proofErr w:type="spellStart"/>
      <w:r w:rsidRPr="00BC6190">
        <w:rPr>
          <w:lang w:val="es-ES"/>
        </w:rPr>
        <w:t>newly</w:t>
      </w:r>
      <w:proofErr w:type="spellEnd"/>
      <w:r w:rsidRPr="00BC6190">
        <w:rPr>
          <w:lang w:val="es-ES"/>
        </w:rPr>
        <w:t xml:space="preserve"> </w:t>
      </w:r>
      <w:proofErr w:type="spellStart"/>
      <w:r w:rsidRPr="00BC6190">
        <w:rPr>
          <w:lang w:val="es-ES"/>
        </w:rPr>
        <w:t>diagnosed</w:t>
      </w:r>
      <w:proofErr w:type="spellEnd"/>
      <w:r w:rsidRPr="00BC6190">
        <w:rPr>
          <w:lang w:val="es-ES"/>
        </w:rPr>
        <w:t xml:space="preserve"> </w:t>
      </w:r>
      <w:proofErr w:type="spellStart"/>
      <w:r w:rsidRPr="00BC6190">
        <w:rPr>
          <w:lang w:val="es-ES"/>
        </w:rPr>
        <w:t>type</w:t>
      </w:r>
      <w:proofErr w:type="spellEnd"/>
      <w:r w:rsidRPr="00BC6190">
        <w:rPr>
          <w:lang w:val="es-ES"/>
        </w:rPr>
        <w:t xml:space="preserve"> 2 diabetes. Acta </w:t>
      </w:r>
      <w:proofErr w:type="spellStart"/>
      <w:r w:rsidRPr="00BC6190">
        <w:rPr>
          <w:lang w:val="es-ES"/>
        </w:rPr>
        <w:t>Diabetol</w:t>
      </w:r>
      <w:proofErr w:type="spellEnd"/>
      <w:r w:rsidRPr="00BC6190">
        <w:rPr>
          <w:lang w:val="es-ES"/>
        </w:rPr>
        <w:t xml:space="preserve">. 2016;53(5):693–702. </w:t>
      </w:r>
    </w:p>
    <w:p w14:paraId="71D88821" w14:textId="77777777" w:rsidR="00AE38FA" w:rsidRPr="00BC6190" w:rsidRDefault="00AE38FA" w:rsidP="00AE38FA">
      <w:pPr>
        <w:spacing w:line="480" w:lineRule="auto"/>
        <w:jc w:val="both"/>
        <w:rPr>
          <w:lang w:val="es-ES"/>
        </w:rPr>
      </w:pPr>
    </w:p>
    <w:p w14:paraId="1AEB42AA" w14:textId="77777777" w:rsidR="00AE38FA" w:rsidRDefault="00AE38FA" w:rsidP="00AE38FA">
      <w:pPr>
        <w:spacing w:line="480" w:lineRule="auto"/>
        <w:jc w:val="both"/>
      </w:pPr>
      <w:r w:rsidRPr="00BC6190">
        <w:t>1</w:t>
      </w:r>
      <w:r>
        <w:t>3</w:t>
      </w:r>
      <w:r w:rsidRPr="00BC6190">
        <w:t xml:space="preserve">. Liu LK, Choudhary V, </w:t>
      </w:r>
      <w:proofErr w:type="spellStart"/>
      <w:r w:rsidRPr="00BC6190">
        <w:t>Toulmay</w:t>
      </w:r>
      <w:proofErr w:type="spellEnd"/>
      <w:r w:rsidRPr="00BC6190">
        <w:t xml:space="preserve"> A, Prinz WA. An inducible ER-Golgi tether facilitates ceramide transport to alleviate </w:t>
      </w:r>
      <w:proofErr w:type="spellStart"/>
      <w:r w:rsidRPr="00BC6190">
        <w:t>lipotoxicity</w:t>
      </w:r>
      <w:proofErr w:type="spellEnd"/>
      <w:r w:rsidRPr="00BC6190">
        <w:t xml:space="preserve">. J Cell Biol. 2017;216(1):131–47. </w:t>
      </w:r>
    </w:p>
    <w:p w14:paraId="4E694428" w14:textId="77777777" w:rsidR="00AE38FA" w:rsidRPr="00BC6190" w:rsidRDefault="00AE38FA" w:rsidP="00AE38FA">
      <w:pPr>
        <w:spacing w:line="480" w:lineRule="auto"/>
        <w:jc w:val="both"/>
      </w:pPr>
    </w:p>
    <w:p w14:paraId="3768888D" w14:textId="77777777" w:rsidR="00AE38FA" w:rsidRDefault="00AE38FA" w:rsidP="00AE38FA">
      <w:pPr>
        <w:spacing w:line="480" w:lineRule="auto"/>
        <w:jc w:val="both"/>
      </w:pPr>
      <w:r w:rsidRPr="00BC6190">
        <w:t>1</w:t>
      </w:r>
      <w:r>
        <w:t>4</w:t>
      </w:r>
      <w:r w:rsidRPr="00BC6190">
        <w:t xml:space="preserve">. </w:t>
      </w:r>
      <w:proofErr w:type="spellStart"/>
      <w:r w:rsidRPr="00BC6190">
        <w:t>Devalla</w:t>
      </w:r>
      <w:proofErr w:type="spellEnd"/>
      <w:r w:rsidRPr="00BC6190">
        <w:t xml:space="preserve"> HD, </w:t>
      </w:r>
      <w:proofErr w:type="spellStart"/>
      <w:r w:rsidRPr="00BC6190">
        <w:t>Gélinas</w:t>
      </w:r>
      <w:proofErr w:type="spellEnd"/>
      <w:r w:rsidRPr="00BC6190">
        <w:t xml:space="preserve"> R, </w:t>
      </w:r>
      <w:proofErr w:type="spellStart"/>
      <w:r w:rsidRPr="00BC6190">
        <w:t>Aburawi</w:t>
      </w:r>
      <w:proofErr w:type="spellEnd"/>
      <w:r w:rsidRPr="00BC6190">
        <w:t xml:space="preserve"> EH, </w:t>
      </w:r>
      <w:proofErr w:type="spellStart"/>
      <w:r w:rsidRPr="00BC6190">
        <w:t>Beqqali</w:t>
      </w:r>
      <w:proofErr w:type="spellEnd"/>
      <w:r w:rsidRPr="00BC6190">
        <w:t xml:space="preserve"> A, Goyette P, Freund C, et al.   TECRL, a new life‐threatening inherited arrhythmia gene associated with overlapping clinical features of both LQTS and CPVT. EMBO Mol Med. 2016;8(12):1390–408. </w:t>
      </w:r>
    </w:p>
    <w:p w14:paraId="404B50C8" w14:textId="77777777" w:rsidR="00AE38FA" w:rsidRPr="00BC6190" w:rsidRDefault="00AE38FA" w:rsidP="00AE38FA">
      <w:pPr>
        <w:spacing w:line="480" w:lineRule="auto"/>
        <w:jc w:val="both"/>
      </w:pPr>
    </w:p>
    <w:p w14:paraId="2466CE0B" w14:textId="77777777" w:rsidR="00AE38FA" w:rsidRDefault="00AE38FA" w:rsidP="00AE38FA">
      <w:pPr>
        <w:spacing w:line="480" w:lineRule="auto"/>
        <w:jc w:val="both"/>
      </w:pPr>
      <w:r w:rsidRPr="00BC6190">
        <w:t>1</w:t>
      </w:r>
      <w:r>
        <w:t>5</w:t>
      </w:r>
      <w:r w:rsidRPr="00BC6190">
        <w:t xml:space="preserve">. Lai J, Jiang J, Zhang P, Xi C, Wu L, Gao X, et al. Impaired blood-brain barrier in the microbiota-gut-brain axis: Potential role of bipolar susceptibility gene TRANK1. J Cell Mol Med. 2021;25(14):6463–9. </w:t>
      </w:r>
    </w:p>
    <w:p w14:paraId="16FB371E" w14:textId="77777777" w:rsidR="00AE38FA" w:rsidRPr="00BC6190" w:rsidRDefault="00AE38FA" w:rsidP="00AE38FA">
      <w:pPr>
        <w:spacing w:line="480" w:lineRule="auto"/>
        <w:jc w:val="both"/>
      </w:pPr>
    </w:p>
    <w:p w14:paraId="3E7E3970" w14:textId="77777777" w:rsidR="00AE38FA" w:rsidRDefault="00AE38FA" w:rsidP="00AE38FA">
      <w:pPr>
        <w:spacing w:line="480" w:lineRule="auto"/>
        <w:jc w:val="both"/>
      </w:pPr>
      <w:r w:rsidRPr="00BC6190">
        <w:lastRenderedPageBreak/>
        <w:t>1</w:t>
      </w:r>
      <w:r>
        <w:t>6</w:t>
      </w:r>
      <w:r w:rsidRPr="00BC6190">
        <w:t xml:space="preserve">. </w:t>
      </w:r>
      <w:proofErr w:type="spellStart"/>
      <w:r w:rsidRPr="00BC6190">
        <w:t>Youn</w:t>
      </w:r>
      <w:proofErr w:type="spellEnd"/>
      <w:r w:rsidRPr="00BC6190">
        <w:t xml:space="preserve"> JY, Dunham WH, Hong SJ, Knight JDR, </w:t>
      </w:r>
      <w:proofErr w:type="spellStart"/>
      <w:r w:rsidRPr="00BC6190">
        <w:t>Bashkurov</w:t>
      </w:r>
      <w:proofErr w:type="spellEnd"/>
      <w:r w:rsidRPr="00BC6190">
        <w:t xml:space="preserve"> M, Chen GI, et al. High-Density Proximity Mapping Reveals the Subcellular Organization of mRNA-Associated Granules and Bodies. Mol Cell. 2018;69(3):517-532.e11.</w:t>
      </w:r>
    </w:p>
    <w:p w14:paraId="0B6E58BB" w14:textId="77777777" w:rsidR="00AE38FA" w:rsidRPr="00BC6190" w:rsidRDefault="00AE38FA" w:rsidP="00AE38FA">
      <w:pPr>
        <w:spacing w:line="480" w:lineRule="auto"/>
        <w:jc w:val="both"/>
      </w:pPr>
    </w:p>
    <w:p w14:paraId="234EA5A6" w14:textId="03EE7923" w:rsidR="00AE38FA" w:rsidRDefault="00AE38FA" w:rsidP="00AE38FA">
      <w:pPr>
        <w:spacing w:line="480" w:lineRule="auto"/>
        <w:jc w:val="both"/>
      </w:pPr>
      <w:r w:rsidRPr="00BC6190">
        <w:t>1</w:t>
      </w:r>
      <w:r>
        <w:t>7</w:t>
      </w:r>
      <w:r w:rsidRPr="00BC6190">
        <w:t xml:space="preserve">. </w:t>
      </w:r>
      <w:proofErr w:type="spellStart"/>
      <w:r w:rsidRPr="00BC6190">
        <w:t>Zegers</w:t>
      </w:r>
      <w:proofErr w:type="spellEnd"/>
      <w:r w:rsidRPr="00BC6190">
        <w:t xml:space="preserve"> D, </w:t>
      </w:r>
      <w:proofErr w:type="spellStart"/>
      <w:r w:rsidRPr="00BC6190">
        <w:t>Beckers</w:t>
      </w:r>
      <w:proofErr w:type="spellEnd"/>
      <w:r w:rsidRPr="00BC6190">
        <w:t xml:space="preserve"> S, </w:t>
      </w:r>
      <w:proofErr w:type="spellStart"/>
      <w:r w:rsidRPr="00BC6190">
        <w:t>Hendrickx</w:t>
      </w:r>
      <w:proofErr w:type="spellEnd"/>
      <w:r w:rsidRPr="00BC6190">
        <w:t xml:space="preserve"> R, Van Camp JK, De </w:t>
      </w:r>
      <w:proofErr w:type="spellStart"/>
      <w:r w:rsidRPr="00BC6190">
        <w:t>Craemer</w:t>
      </w:r>
      <w:proofErr w:type="spellEnd"/>
      <w:r w:rsidRPr="00BC6190">
        <w:t xml:space="preserve"> V, </w:t>
      </w:r>
      <w:proofErr w:type="spellStart"/>
      <w:r w:rsidRPr="00BC6190">
        <w:t>Verrijken</w:t>
      </w:r>
      <w:proofErr w:type="spellEnd"/>
      <w:r w:rsidRPr="00BC6190">
        <w:t xml:space="preserve"> A, et al. Mutation screen of the SIM1 gene in pediatric patients with early-onset obesity. Int J </w:t>
      </w:r>
      <w:proofErr w:type="spellStart"/>
      <w:r w:rsidRPr="00BC6190">
        <w:t>Obes</w:t>
      </w:r>
      <w:proofErr w:type="spellEnd"/>
      <w:r w:rsidRPr="00BC6190">
        <w:t xml:space="preserve">. 2014;38(7):1000–4. </w:t>
      </w:r>
    </w:p>
    <w:p w14:paraId="6EA9F4FA" w14:textId="77777777" w:rsidR="00516295" w:rsidRPr="00BC6190" w:rsidRDefault="00516295" w:rsidP="00AE38FA">
      <w:pPr>
        <w:spacing w:line="480" w:lineRule="auto"/>
        <w:jc w:val="both"/>
      </w:pPr>
    </w:p>
    <w:p w14:paraId="1B358F20" w14:textId="77777777" w:rsidR="00AE38FA" w:rsidRDefault="00AE38FA" w:rsidP="00AE38FA">
      <w:pPr>
        <w:spacing w:line="480" w:lineRule="auto"/>
        <w:jc w:val="both"/>
      </w:pPr>
      <w:r>
        <w:t>18</w:t>
      </w:r>
      <w:r w:rsidRPr="00BC6190">
        <w:t>. Yeh YC, Lawal B, Huang CYF, Hsiao M, Huang TH. Identification of nsp3 (Sh2d3c) as a prognostic biomarker of tumor progression and immune evasion for lung cancer and evaluation of organosulfur compounds from allium sativum l. as therapeutic candidates. Biomedicines. 2021;9(11)</w:t>
      </w:r>
      <w:r>
        <w:t>.</w:t>
      </w:r>
    </w:p>
    <w:p w14:paraId="70C06C7A" w14:textId="77777777" w:rsidR="00AE38FA" w:rsidRPr="00BC6190" w:rsidRDefault="00AE38FA" w:rsidP="00AE38FA">
      <w:pPr>
        <w:spacing w:line="480" w:lineRule="auto"/>
        <w:jc w:val="both"/>
      </w:pPr>
    </w:p>
    <w:p w14:paraId="210E8AD2" w14:textId="77777777" w:rsidR="00AE38FA" w:rsidRDefault="00AE38FA" w:rsidP="00AE38FA">
      <w:pPr>
        <w:spacing w:line="480" w:lineRule="auto"/>
        <w:jc w:val="both"/>
      </w:pPr>
      <w:r>
        <w:t>19</w:t>
      </w:r>
      <w:r w:rsidRPr="00BC6190">
        <w:t xml:space="preserve">. Daniel Harris, BA, Lynn </w:t>
      </w:r>
      <w:proofErr w:type="spellStart"/>
      <w:r w:rsidRPr="00BC6190">
        <w:t>McNicoll</w:t>
      </w:r>
      <w:proofErr w:type="spellEnd"/>
      <w:r w:rsidRPr="00BC6190">
        <w:t>, MD, Gary Epstein-</w:t>
      </w:r>
      <w:proofErr w:type="spellStart"/>
      <w:r w:rsidRPr="00BC6190">
        <w:t>Lubow</w:t>
      </w:r>
      <w:proofErr w:type="spellEnd"/>
      <w:r w:rsidRPr="00BC6190">
        <w:t xml:space="preserve">, MD, and Kali S. Thomas P, Chirag M Lakhani1, Braden T Tierney1, 2, Arjun K Manrai1, 3, Jian Yang4, 5, Peter M Visscher#4, </w:t>
      </w:r>
      <w:proofErr w:type="gramStart"/>
      <w:r w:rsidRPr="00BC6190">
        <w:t>5,*</w:t>
      </w:r>
      <w:proofErr w:type="gramEnd"/>
      <w:r w:rsidRPr="00BC6190">
        <w:t xml:space="preserve">, and Chirag J Patel#1 1Department. A SUMO-ubiquitin relay </w:t>
      </w:r>
      <w:proofErr w:type="gramStart"/>
      <w:r w:rsidRPr="00BC6190">
        <w:t>recruits</w:t>
      </w:r>
      <w:proofErr w:type="gramEnd"/>
      <w:r w:rsidRPr="00BC6190">
        <w:t xml:space="preserve"> proteasomes to chromosome axes to regulate meiotic recombination. </w:t>
      </w:r>
      <w:proofErr w:type="spellStart"/>
      <w:r w:rsidRPr="00BC6190">
        <w:t>Physiol</w:t>
      </w:r>
      <w:proofErr w:type="spellEnd"/>
      <w:r w:rsidRPr="00BC6190">
        <w:t xml:space="preserve"> </w:t>
      </w:r>
      <w:proofErr w:type="spellStart"/>
      <w:r w:rsidRPr="00BC6190">
        <w:t>Behav</w:t>
      </w:r>
      <w:proofErr w:type="spellEnd"/>
      <w:r w:rsidRPr="00BC6190">
        <w:t xml:space="preserve">. 2017;176(1):139–48. </w:t>
      </w:r>
    </w:p>
    <w:p w14:paraId="45F04F90" w14:textId="77777777" w:rsidR="00AE38FA" w:rsidRPr="00BC6190" w:rsidRDefault="00AE38FA" w:rsidP="00AE38FA">
      <w:pPr>
        <w:spacing w:line="480" w:lineRule="auto"/>
        <w:jc w:val="both"/>
      </w:pPr>
    </w:p>
    <w:p w14:paraId="2F2926C6" w14:textId="77777777" w:rsidR="00AE38FA" w:rsidRDefault="00AE38FA" w:rsidP="00AE38FA">
      <w:pPr>
        <w:spacing w:line="480" w:lineRule="auto"/>
        <w:jc w:val="both"/>
      </w:pPr>
      <w:r w:rsidRPr="00BC6190">
        <w:t>2</w:t>
      </w:r>
      <w:r>
        <w:t>0</w:t>
      </w:r>
      <w:r w:rsidRPr="00BC6190">
        <w:t xml:space="preserve">. </w:t>
      </w:r>
      <w:proofErr w:type="spellStart"/>
      <w:r w:rsidRPr="00BC6190">
        <w:t>Yeste</w:t>
      </w:r>
      <w:proofErr w:type="spellEnd"/>
      <w:r w:rsidRPr="00BC6190">
        <w:t xml:space="preserve">-Velasco M, Mao X, Grose R, </w:t>
      </w:r>
      <w:proofErr w:type="spellStart"/>
      <w:r w:rsidRPr="00BC6190">
        <w:t>Kudahetti</w:t>
      </w:r>
      <w:proofErr w:type="spellEnd"/>
      <w:r w:rsidRPr="00BC6190">
        <w:t xml:space="preserve"> SC, Lin D, </w:t>
      </w:r>
      <w:proofErr w:type="spellStart"/>
      <w:r w:rsidRPr="00BC6190">
        <w:t>Marzec</w:t>
      </w:r>
      <w:proofErr w:type="spellEnd"/>
      <w:r w:rsidRPr="00BC6190">
        <w:t xml:space="preserve"> J, et al. Identification of ZDHHC14 as a novel human </w:t>
      </w:r>
      <w:proofErr w:type="spellStart"/>
      <w:r w:rsidRPr="00BC6190">
        <w:t>tumour</w:t>
      </w:r>
      <w:proofErr w:type="spellEnd"/>
      <w:r w:rsidRPr="00BC6190">
        <w:t xml:space="preserve"> suppressor gene. J </w:t>
      </w:r>
      <w:proofErr w:type="spellStart"/>
      <w:r w:rsidRPr="00BC6190">
        <w:t>Pathol</w:t>
      </w:r>
      <w:proofErr w:type="spellEnd"/>
      <w:r w:rsidRPr="00BC6190">
        <w:t xml:space="preserve">. 2014;232(5):566–77. </w:t>
      </w:r>
    </w:p>
    <w:p w14:paraId="58C13D24" w14:textId="77777777" w:rsidR="00AE38FA" w:rsidRPr="00BC6190" w:rsidRDefault="00AE38FA" w:rsidP="00AE38FA">
      <w:pPr>
        <w:spacing w:line="480" w:lineRule="auto"/>
        <w:jc w:val="both"/>
      </w:pPr>
    </w:p>
    <w:p w14:paraId="0853654C" w14:textId="77777777" w:rsidR="00AE38FA" w:rsidRDefault="00AE38FA" w:rsidP="00AE38FA">
      <w:pPr>
        <w:spacing w:line="480" w:lineRule="auto"/>
        <w:jc w:val="both"/>
      </w:pPr>
      <w:r w:rsidRPr="00BC6190">
        <w:lastRenderedPageBreak/>
        <w:t>2</w:t>
      </w:r>
      <w:r>
        <w:t>1</w:t>
      </w:r>
      <w:r w:rsidRPr="00BC6190">
        <w:t xml:space="preserve">. Sha HH, Wang DD, Chen D, Liu SW, Wang Z, Yan DL, et al. MiR-138: A promising therapeutic target for cancer. Tumor Biol. 2017;39(4). </w:t>
      </w:r>
    </w:p>
    <w:p w14:paraId="0261D893" w14:textId="77777777" w:rsidR="00AE38FA" w:rsidRPr="00BC6190" w:rsidRDefault="00AE38FA" w:rsidP="00AE38FA">
      <w:pPr>
        <w:spacing w:line="480" w:lineRule="auto"/>
        <w:jc w:val="both"/>
      </w:pPr>
    </w:p>
    <w:p w14:paraId="7EBE2935" w14:textId="77777777" w:rsidR="00AE38FA" w:rsidRDefault="00AE38FA" w:rsidP="00AE38FA">
      <w:pPr>
        <w:spacing w:line="480" w:lineRule="auto"/>
        <w:jc w:val="both"/>
      </w:pPr>
      <w:r w:rsidRPr="00BC6190">
        <w:t>2</w:t>
      </w:r>
      <w:r>
        <w:t>2</w:t>
      </w:r>
      <w:r w:rsidRPr="00BC6190">
        <w:t xml:space="preserve">. Huang X, </w:t>
      </w:r>
      <w:proofErr w:type="spellStart"/>
      <w:r w:rsidRPr="00BC6190">
        <w:t>Geng</w:t>
      </w:r>
      <w:proofErr w:type="spellEnd"/>
      <w:r w:rsidRPr="00BC6190">
        <w:t xml:space="preserve"> S, Weng J, Lu Z, Zeng L, Li M, et al. Analysis of the expression of PHTF1 and related genes in acute lymphoblastic leukemia. Cancer Cell Int. 2015;15(1):1–11</w:t>
      </w:r>
      <w:r>
        <w:t>.</w:t>
      </w:r>
    </w:p>
    <w:p w14:paraId="603FE418" w14:textId="77777777" w:rsidR="00AE38FA" w:rsidRPr="00BC6190" w:rsidRDefault="00AE38FA" w:rsidP="00AE38FA">
      <w:pPr>
        <w:spacing w:line="480" w:lineRule="auto"/>
        <w:jc w:val="both"/>
      </w:pPr>
    </w:p>
    <w:p w14:paraId="0E1E57A5" w14:textId="745F6C9B" w:rsidR="00AE38FA" w:rsidRDefault="00AE38FA" w:rsidP="00AE38FA">
      <w:pPr>
        <w:spacing w:line="480" w:lineRule="auto"/>
        <w:jc w:val="both"/>
      </w:pPr>
      <w:r w:rsidRPr="00BC6190">
        <w:t>2</w:t>
      </w:r>
      <w:r>
        <w:t>3</w:t>
      </w:r>
      <w:r w:rsidRPr="00BC6190">
        <w:t xml:space="preserve">. Moreira JMA, Ohlsson G, </w:t>
      </w:r>
      <w:proofErr w:type="spellStart"/>
      <w:r w:rsidRPr="00BC6190">
        <w:t>Gromov</w:t>
      </w:r>
      <w:proofErr w:type="spellEnd"/>
      <w:r w:rsidRPr="00BC6190">
        <w:t xml:space="preserve"> P, Simon R, Sauter G, </w:t>
      </w:r>
      <w:proofErr w:type="spellStart"/>
      <w:r w:rsidRPr="00BC6190">
        <w:t>Celis</w:t>
      </w:r>
      <w:proofErr w:type="spellEnd"/>
      <w:r w:rsidRPr="00BC6190">
        <w:t xml:space="preserve"> JE, et al. Bladder cancer-associated protein, a potential prognostic biomarker in human bladder cancer. Mol Cell Proteomics. 2010;9(1):161–77.</w:t>
      </w:r>
    </w:p>
    <w:p w14:paraId="0BD66462" w14:textId="77777777" w:rsidR="00516295" w:rsidRDefault="00516295" w:rsidP="00AE38FA">
      <w:pPr>
        <w:spacing w:line="480" w:lineRule="auto"/>
        <w:jc w:val="both"/>
      </w:pPr>
    </w:p>
    <w:p w14:paraId="3D151023" w14:textId="77777777" w:rsidR="00AE38FA" w:rsidRDefault="00AE38FA" w:rsidP="00AE38FA">
      <w:pPr>
        <w:spacing w:line="480" w:lineRule="auto"/>
        <w:jc w:val="both"/>
      </w:pPr>
      <w:r>
        <w:t>24</w:t>
      </w:r>
      <w:r w:rsidRPr="00BC6190">
        <w:t xml:space="preserve">. </w:t>
      </w:r>
      <w:proofErr w:type="spellStart"/>
      <w:r w:rsidRPr="00BC6190">
        <w:t>Urano</w:t>
      </w:r>
      <w:proofErr w:type="spellEnd"/>
      <w:r w:rsidRPr="00BC6190">
        <w:t xml:space="preserve"> T, </w:t>
      </w:r>
      <w:proofErr w:type="spellStart"/>
      <w:r w:rsidRPr="00BC6190">
        <w:t>Shiraki</w:t>
      </w:r>
      <w:proofErr w:type="spellEnd"/>
      <w:r w:rsidRPr="00BC6190">
        <w:t xml:space="preserve"> M, Sasaki N, </w:t>
      </w:r>
      <w:proofErr w:type="spellStart"/>
      <w:r w:rsidRPr="00BC6190">
        <w:t>Ouchi</w:t>
      </w:r>
      <w:proofErr w:type="spellEnd"/>
      <w:r w:rsidRPr="00BC6190">
        <w:t xml:space="preserve"> Y, Inoue S. SLC25A24 as a novel susceptibility Gene for low fat mass in humans and mice. J Clin Endocrinol </w:t>
      </w:r>
      <w:proofErr w:type="spellStart"/>
      <w:r w:rsidRPr="00BC6190">
        <w:t>Metab</w:t>
      </w:r>
      <w:proofErr w:type="spellEnd"/>
      <w:r w:rsidRPr="00BC6190">
        <w:t>. 2015;100(4</w:t>
      </w:r>
      <w:proofErr w:type="gramStart"/>
      <w:r w:rsidRPr="00BC6190">
        <w:t>):E</w:t>
      </w:r>
      <w:proofErr w:type="gramEnd"/>
      <w:r w:rsidRPr="00BC6190">
        <w:t xml:space="preserve">655–63. </w:t>
      </w:r>
    </w:p>
    <w:p w14:paraId="6C18D538" w14:textId="77777777" w:rsidR="00AE38FA" w:rsidRDefault="00AE38FA" w:rsidP="00AE38FA">
      <w:pPr>
        <w:spacing w:line="480" w:lineRule="auto"/>
        <w:jc w:val="both"/>
      </w:pPr>
    </w:p>
    <w:p w14:paraId="0FB8C2A1" w14:textId="77777777" w:rsidR="00AE38FA" w:rsidRDefault="00AE38FA" w:rsidP="00AE38FA">
      <w:pPr>
        <w:spacing w:line="480" w:lineRule="auto"/>
        <w:jc w:val="both"/>
      </w:pPr>
      <w:r>
        <w:t>25</w:t>
      </w:r>
      <w:r w:rsidRPr="00BC6190">
        <w:t xml:space="preserve">. Benson KK, Hu W, Weller AH, Bennett AH, Chen ER, </w:t>
      </w:r>
      <w:proofErr w:type="spellStart"/>
      <w:r w:rsidRPr="00BC6190">
        <w:t>Khetarpal</w:t>
      </w:r>
      <w:proofErr w:type="spellEnd"/>
      <w:r w:rsidRPr="00BC6190">
        <w:t xml:space="preserve"> SA, et al. Natural human genetic variation determines basal and inducible expression of PM20D1, an obesity-associated gene. Proc Natl </w:t>
      </w:r>
      <w:proofErr w:type="spellStart"/>
      <w:r w:rsidRPr="00BC6190">
        <w:t>Acad</w:t>
      </w:r>
      <w:proofErr w:type="spellEnd"/>
      <w:r w:rsidRPr="00BC6190">
        <w:t xml:space="preserve"> Sci U S A. 2019;116(46):23232–42. </w:t>
      </w:r>
    </w:p>
    <w:p w14:paraId="3E0F4293" w14:textId="77777777" w:rsidR="00AE38FA" w:rsidRDefault="00AE38FA" w:rsidP="00AE38FA">
      <w:pPr>
        <w:spacing w:line="480" w:lineRule="auto"/>
        <w:jc w:val="both"/>
      </w:pPr>
    </w:p>
    <w:p w14:paraId="6A79E20F" w14:textId="77777777" w:rsidR="00AE38FA" w:rsidRDefault="00AE38FA" w:rsidP="00AE38FA">
      <w:pPr>
        <w:spacing w:line="480" w:lineRule="auto"/>
        <w:jc w:val="both"/>
        <w:rPr>
          <w:rFonts w:ascii="Calibri" w:hAnsi="Calibri" w:cs="Calibri"/>
          <w:noProof/>
        </w:rPr>
      </w:pPr>
      <w:r>
        <w:t xml:space="preserve">26. </w:t>
      </w:r>
      <w:r w:rsidRPr="003159DF">
        <w:rPr>
          <w:rFonts w:ascii="Calibri" w:hAnsi="Calibri" w:cs="Calibri"/>
          <w:noProof/>
        </w:rPr>
        <w:t>Chu Y, Zhu C, Wang Q, Liu M, Wan W, Zhou J, et al. Adipose-derived mesenchymal stem cells induced PAX8 promotes ovarian cancer cell growth by stabilizing TAZ protein. J Cell Mol Med. 2021;25(9):4434–43.</w:t>
      </w:r>
    </w:p>
    <w:p w14:paraId="60E23F6D" w14:textId="77777777" w:rsidR="00AE38FA" w:rsidRDefault="00AE38FA" w:rsidP="00AE38FA">
      <w:pPr>
        <w:spacing w:line="480" w:lineRule="auto"/>
        <w:jc w:val="both"/>
      </w:pPr>
    </w:p>
    <w:p w14:paraId="62A81A9A" w14:textId="77777777" w:rsidR="00AE38FA" w:rsidRDefault="00AE38FA" w:rsidP="00AE38FA">
      <w:pPr>
        <w:spacing w:line="480" w:lineRule="auto"/>
        <w:jc w:val="both"/>
      </w:pPr>
      <w:r>
        <w:lastRenderedPageBreak/>
        <w:t xml:space="preserve">27. </w:t>
      </w:r>
      <w:r w:rsidRPr="00C6178F">
        <w:t xml:space="preserve">Wang J, </w:t>
      </w:r>
      <w:proofErr w:type="spellStart"/>
      <w:r w:rsidRPr="00C6178F">
        <w:t>Molday</w:t>
      </w:r>
      <w:proofErr w:type="spellEnd"/>
      <w:r w:rsidRPr="00C6178F">
        <w:t xml:space="preserve"> LL, </w:t>
      </w:r>
      <w:proofErr w:type="spellStart"/>
      <w:r w:rsidRPr="00C6178F">
        <w:t>Hii</w:t>
      </w:r>
      <w:proofErr w:type="spellEnd"/>
      <w:r w:rsidRPr="00C6178F">
        <w:t xml:space="preserve"> T, Coleman JA, Wen T, Andersen JP, et al. Proteomic Analysis and Functional Characterization of P4-ATPase Phospholipid </w:t>
      </w:r>
      <w:proofErr w:type="spellStart"/>
      <w:r w:rsidRPr="00C6178F">
        <w:t>Flippases</w:t>
      </w:r>
      <w:proofErr w:type="spellEnd"/>
      <w:r w:rsidRPr="00C6178F">
        <w:t xml:space="preserve"> from Murine Tissues. Sci Rep [Internet]. 2018;8(1):2–15. </w:t>
      </w:r>
    </w:p>
    <w:p w14:paraId="66117643" w14:textId="77777777" w:rsidR="00AE38FA" w:rsidRDefault="00AE38FA" w:rsidP="00AE38FA">
      <w:pPr>
        <w:spacing w:line="480" w:lineRule="auto"/>
        <w:jc w:val="both"/>
      </w:pPr>
    </w:p>
    <w:p w14:paraId="46F2CCE5" w14:textId="77777777" w:rsidR="00AE38FA" w:rsidRDefault="00AE38FA" w:rsidP="00AE38FA">
      <w:pPr>
        <w:spacing w:line="360" w:lineRule="auto"/>
        <w:jc w:val="both"/>
        <w:rPr>
          <w:rFonts w:cstheme="minorHAnsi"/>
          <w:noProof/>
        </w:rPr>
      </w:pPr>
      <w:r>
        <w:t xml:space="preserve">28. </w:t>
      </w:r>
      <w:r w:rsidRPr="00C6178F">
        <w:t>Castellano-Castillo D, Moreno-</w:t>
      </w:r>
      <w:proofErr w:type="spellStart"/>
      <w:r w:rsidRPr="00C6178F">
        <w:t>Indias</w:t>
      </w:r>
      <w:proofErr w:type="spellEnd"/>
      <w:r w:rsidRPr="00C6178F">
        <w:t xml:space="preserve"> I, Fernandez-Garcia JC, Alcaide-Torres J, Moreno-Santos I, </w:t>
      </w:r>
      <w:proofErr w:type="spellStart"/>
      <w:r w:rsidRPr="00C6178F">
        <w:t>Ocana</w:t>
      </w:r>
      <w:proofErr w:type="spellEnd"/>
      <w:r w:rsidRPr="00C6178F">
        <w:t xml:space="preserve"> L, et al. Adipose tissue LPL methylation is associated with</w:t>
      </w:r>
      <w:r>
        <w:t xml:space="preserve"> </w:t>
      </w:r>
      <w:r w:rsidRPr="00D81A29">
        <w:rPr>
          <w:rFonts w:ascii="Calibri" w:hAnsi="Calibri" w:cs="Calibri"/>
          <w:noProof/>
        </w:rPr>
        <w:t xml:space="preserve">triglyceride concentrations in </w:t>
      </w:r>
      <w:r w:rsidRPr="006B67EC">
        <w:rPr>
          <w:rFonts w:cstheme="minorHAnsi"/>
          <w:noProof/>
        </w:rPr>
        <w:t>the metabolic syndrome. Clin Chem. 2018;64(1):210–8.</w:t>
      </w:r>
    </w:p>
    <w:p w14:paraId="6BAB3DE3" w14:textId="77777777" w:rsidR="00AE38FA" w:rsidRPr="006B67EC" w:rsidRDefault="00AE38FA" w:rsidP="00AE38FA">
      <w:pPr>
        <w:spacing w:line="360" w:lineRule="auto"/>
        <w:jc w:val="both"/>
        <w:rPr>
          <w:rFonts w:cstheme="minorHAnsi"/>
          <w:noProof/>
        </w:rPr>
      </w:pPr>
    </w:p>
    <w:p w14:paraId="23721F5C" w14:textId="77777777" w:rsidR="00AE38FA" w:rsidRPr="006B67EC" w:rsidRDefault="00AE38FA" w:rsidP="00AE38FA">
      <w:pPr>
        <w:spacing w:line="360" w:lineRule="auto"/>
        <w:rPr>
          <w:rFonts w:cstheme="minorHAnsi"/>
          <w:noProof/>
        </w:rPr>
      </w:pPr>
      <w:r w:rsidRPr="006B67EC">
        <w:rPr>
          <w:rFonts w:cstheme="minorHAnsi"/>
          <w:noProof/>
        </w:rPr>
        <w:t>29. Dankel SN, Grytten E, Bjune JI, Nielsen HJ, Dietrich A, Blüher M, et al. COL6A3 expression in adipose tissue cells is associated with levels of the homeobox transcription factor PRRX1. Sci Rep [Internet]. 2020;10(1</w:t>
      </w:r>
      <w:r>
        <w:rPr>
          <w:rFonts w:cstheme="minorHAnsi"/>
          <w:noProof/>
        </w:rPr>
        <w:t>).</w:t>
      </w:r>
    </w:p>
    <w:p w14:paraId="6C29C37E" w14:textId="77777777" w:rsidR="00AE38FA" w:rsidRPr="006B67EC" w:rsidRDefault="00AE38FA" w:rsidP="00AE38FA">
      <w:pPr>
        <w:spacing w:line="360" w:lineRule="auto"/>
        <w:rPr>
          <w:rFonts w:cstheme="minorHAnsi"/>
          <w:noProof/>
        </w:rPr>
      </w:pPr>
    </w:p>
    <w:p w14:paraId="193DA606" w14:textId="77777777" w:rsidR="00AE38FA" w:rsidRPr="006B67EC" w:rsidRDefault="00AE38FA" w:rsidP="00AE38FA">
      <w:pPr>
        <w:spacing w:line="360" w:lineRule="auto"/>
        <w:rPr>
          <w:rFonts w:cstheme="minorHAnsi"/>
          <w:noProof/>
        </w:rPr>
      </w:pPr>
      <w:r w:rsidRPr="006B67EC">
        <w:rPr>
          <w:rFonts w:cstheme="minorHAnsi"/>
          <w:noProof/>
        </w:rPr>
        <w:t xml:space="preserve">30. Guilherme A, Soriano NA, Bose S, Holik J, Bose A, Pomerleau DP, et al. EHD2 and the Novel EH Domain Binding Protein EHBP1 Couple Endocytosis to the Actin Cytoskeleton. J Biol Chem [Internet]. 2004;279(11):10593–605. </w:t>
      </w:r>
    </w:p>
    <w:p w14:paraId="6D16E15C" w14:textId="77777777" w:rsidR="00AE38FA" w:rsidRPr="006B67EC" w:rsidRDefault="00AE38FA" w:rsidP="00AE38FA">
      <w:pPr>
        <w:spacing w:line="360" w:lineRule="auto"/>
        <w:rPr>
          <w:rFonts w:cstheme="minorHAnsi"/>
          <w:noProof/>
        </w:rPr>
      </w:pPr>
    </w:p>
    <w:p w14:paraId="21D07492" w14:textId="77777777" w:rsidR="00AE38FA" w:rsidRPr="006B67EC" w:rsidRDefault="00AE38FA" w:rsidP="00AE38FA">
      <w:pPr>
        <w:spacing w:line="360" w:lineRule="auto"/>
        <w:rPr>
          <w:rFonts w:cstheme="minorHAnsi"/>
          <w:noProof/>
        </w:rPr>
      </w:pPr>
      <w:r w:rsidRPr="006B67EC">
        <w:rPr>
          <w:rFonts w:cstheme="minorHAnsi"/>
          <w:noProof/>
        </w:rPr>
        <w:t>31. Fryklund C, Morén B, Shah S, Grossi M, Degerman E, Matthaeus C, et al. EH Domain-Containing 2 Deficiency Restricts Adipose Tissue Expansion and Impairs Lipolysis in Primary Inguinal Adipocytes. Front Physiol. 2021;12(September).</w:t>
      </w:r>
    </w:p>
    <w:p w14:paraId="5514B91D" w14:textId="77777777" w:rsidR="00AE38FA" w:rsidRPr="006B67EC" w:rsidRDefault="00AE38FA" w:rsidP="00AE38FA">
      <w:pPr>
        <w:spacing w:line="360" w:lineRule="auto"/>
        <w:rPr>
          <w:rFonts w:cstheme="minorHAnsi"/>
          <w:noProof/>
        </w:rPr>
      </w:pPr>
    </w:p>
    <w:p w14:paraId="170E7098" w14:textId="77777777" w:rsidR="00AE38FA" w:rsidRPr="006B67EC" w:rsidRDefault="00AE38FA" w:rsidP="00AE38FA">
      <w:pPr>
        <w:spacing w:line="360" w:lineRule="auto"/>
        <w:rPr>
          <w:rFonts w:cstheme="minorHAnsi"/>
          <w:noProof/>
        </w:rPr>
      </w:pPr>
      <w:r w:rsidRPr="006B67EC">
        <w:rPr>
          <w:rFonts w:cstheme="minorHAnsi"/>
          <w:noProof/>
        </w:rPr>
        <w:t xml:space="preserve">32. Emdin CA, Khera A V., Aragam K, Haas M, Chaffin M, Klarin D, et al. DNA sequence variation in ACVR1C encoding the activin receptor-like kinase 7 influences body fat distribution and protects against type 2 diabetes. Diabetes. 2019;68(1):226–34. </w:t>
      </w:r>
    </w:p>
    <w:p w14:paraId="20022FA4" w14:textId="77777777" w:rsidR="00AE38FA" w:rsidRPr="006B67EC" w:rsidRDefault="00AE38FA" w:rsidP="00AE38FA">
      <w:pPr>
        <w:spacing w:line="360" w:lineRule="auto"/>
        <w:rPr>
          <w:rFonts w:cstheme="minorHAnsi"/>
          <w:noProof/>
        </w:rPr>
      </w:pPr>
    </w:p>
    <w:p w14:paraId="0EEA77CE" w14:textId="77777777" w:rsidR="00AE38FA" w:rsidRPr="006B67EC" w:rsidRDefault="00AE38FA" w:rsidP="00AE38FA">
      <w:pPr>
        <w:spacing w:line="360" w:lineRule="auto"/>
        <w:rPr>
          <w:rFonts w:cstheme="minorHAnsi"/>
          <w:noProof/>
        </w:rPr>
      </w:pPr>
      <w:r w:rsidRPr="006B67EC">
        <w:rPr>
          <w:rFonts w:cstheme="minorHAnsi"/>
          <w:noProof/>
        </w:rPr>
        <w:t>33. Li L, Zhang Q, Lei X, Huang Y, Hu J. MAP4 as a New Candidate in Cardiovascular Disease. 2020;11(August):1–9.</w:t>
      </w:r>
    </w:p>
    <w:p w14:paraId="5402C96A" w14:textId="77777777" w:rsidR="00AE38FA" w:rsidRPr="006B67EC" w:rsidRDefault="00AE38FA" w:rsidP="00AE38FA">
      <w:pPr>
        <w:spacing w:line="360" w:lineRule="auto"/>
        <w:rPr>
          <w:rFonts w:cstheme="minorHAnsi"/>
          <w:noProof/>
        </w:rPr>
      </w:pPr>
    </w:p>
    <w:p w14:paraId="09F5CE77" w14:textId="77777777" w:rsidR="00AE38FA" w:rsidRPr="006B67EC" w:rsidRDefault="00AE38FA" w:rsidP="00AE38FA">
      <w:pPr>
        <w:spacing w:line="360" w:lineRule="auto"/>
        <w:rPr>
          <w:rFonts w:cstheme="minorHAnsi"/>
          <w:noProof/>
        </w:rPr>
      </w:pPr>
      <w:r w:rsidRPr="006B67EC">
        <w:rPr>
          <w:rFonts w:cstheme="minorHAnsi"/>
          <w:noProof/>
        </w:rPr>
        <w:lastRenderedPageBreak/>
        <w:t>34. Scott CC, Vossio S, Rougemont J, Gruenberg J. TFAP2 transcription factors are regulators of lipid droplet biogenesis. Elife. 2018;7:1–24.</w:t>
      </w:r>
    </w:p>
    <w:p w14:paraId="35FE4E5F" w14:textId="77777777" w:rsidR="00AE38FA" w:rsidRPr="006B67EC" w:rsidRDefault="00AE38FA" w:rsidP="00AE38FA">
      <w:pPr>
        <w:spacing w:line="360" w:lineRule="auto"/>
        <w:rPr>
          <w:rFonts w:cstheme="minorHAnsi"/>
          <w:noProof/>
        </w:rPr>
      </w:pPr>
    </w:p>
    <w:p w14:paraId="7811739E" w14:textId="77777777" w:rsidR="00AE38FA" w:rsidRPr="006B67EC" w:rsidRDefault="00AE38FA" w:rsidP="00AE38FA">
      <w:pPr>
        <w:spacing w:line="360" w:lineRule="auto"/>
        <w:rPr>
          <w:rFonts w:cstheme="minorHAnsi"/>
          <w:noProof/>
        </w:rPr>
      </w:pPr>
      <w:r w:rsidRPr="006B67EC">
        <w:rPr>
          <w:rFonts w:cstheme="minorHAnsi"/>
          <w:noProof/>
        </w:rPr>
        <w:t>35. Klusek J, Błońska-Sikora E, Witczak B, Orlewska K, Klusek J, Głuszek S, et al. Glutathione S-transferases gene polymorphism influence on the age of diabetes type 2 onset. BMJ Open Diabetes Res Care. 2020;8(2):1–7.</w:t>
      </w:r>
    </w:p>
    <w:p w14:paraId="508D5DD2" w14:textId="77777777" w:rsidR="00AE38FA" w:rsidRPr="006B67EC" w:rsidRDefault="00AE38FA" w:rsidP="00AE38FA">
      <w:pPr>
        <w:spacing w:line="360" w:lineRule="auto"/>
        <w:rPr>
          <w:rFonts w:cstheme="minorHAnsi"/>
          <w:noProof/>
        </w:rPr>
      </w:pPr>
    </w:p>
    <w:p w14:paraId="5A553102" w14:textId="77777777" w:rsidR="00AE38FA" w:rsidRPr="006B67EC" w:rsidRDefault="00AE38FA" w:rsidP="00AE38FA">
      <w:pPr>
        <w:spacing w:line="360" w:lineRule="auto"/>
        <w:rPr>
          <w:rFonts w:cstheme="minorHAnsi"/>
          <w:noProof/>
        </w:rPr>
      </w:pPr>
      <w:r w:rsidRPr="006B67EC">
        <w:rPr>
          <w:rFonts w:cstheme="minorHAnsi"/>
          <w:noProof/>
        </w:rPr>
        <w:t xml:space="preserve">36. Kim A, Park T. Diet-induced obesity regulates the galanin-mediated signaling cascade in the adipose tissue of mice. Mol Nutr Food Res. 2010;54(9):1361–70. </w:t>
      </w:r>
    </w:p>
    <w:p w14:paraId="1145ECE6" w14:textId="77777777" w:rsidR="00AE38FA" w:rsidRPr="006B67EC" w:rsidRDefault="00AE38FA" w:rsidP="00AE38FA">
      <w:pPr>
        <w:spacing w:line="360" w:lineRule="auto"/>
        <w:rPr>
          <w:rFonts w:cstheme="minorHAnsi"/>
          <w:noProof/>
        </w:rPr>
      </w:pPr>
    </w:p>
    <w:p w14:paraId="429DFEDC" w14:textId="77777777" w:rsidR="00AE38FA" w:rsidRPr="006B67EC" w:rsidRDefault="00AE38FA" w:rsidP="00AE38FA">
      <w:pPr>
        <w:spacing w:line="360" w:lineRule="auto"/>
        <w:rPr>
          <w:rFonts w:cstheme="minorHAnsi"/>
          <w:noProof/>
        </w:rPr>
      </w:pPr>
      <w:r w:rsidRPr="006B67EC">
        <w:rPr>
          <w:rFonts w:cstheme="minorHAnsi"/>
          <w:noProof/>
        </w:rPr>
        <w:t xml:space="preserve">37. Tsai SF, Chen YW, Kuo YM. High-fat diet reduces the hippocampal content level of lactate which is correlated with the expression of glial glutamate transporters. Neurosci Lett [Internet]. 2018;662(October 2017):142–6. </w:t>
      </w:r>
    </w:p>
    <w:p w14:paraId="42470674" w14:textId="77777777" w:rsidR="00AE38FA" w:rsidRPr="006B67EC" w:rsidRDefault="00AE38FA" w:rsidP="00AE38FA">
      <w:pPr>
        <w:spacing w:line="360" w:lineRule="auto"/>
        <w:rPr>
          <w:rFonts w:cstheme="minorHAnsi"/>
          <w:noProof/>
        </w:rPr>
      </w:pPr>
    </w:p>
    <w:p w14:paraId="39CF6363" w14:textId="77777777" w:rsidR="00AE38FA" w:rsidRPr="006B67EC" w:rsidRDefault="00AE38FA" w:rsidP="00AE38FA">
      <w:pPr>
        <w:spacing w:line="360" w:lineRule="auto"/>
        <w:rPr>
          <w:rFonts w:cstheme="minorHAnsi"/>
          <w:noProof/>
        </w:rPr>
      </w:pPr>
      <w:r w:rsidRPr="006B67EC">
        <w:rPr>
          <w:rFonts w:cstheme="minorHAnsi"/>
          <w:noProof/>
        </w:rPr>
        <w:t>38. T B, Arianti R, Shaw A, Attila V. FTO Intronic SNP Strongly Influences Human Neck Adipocyte Browning Determined by Tissue and PPARγ Specific Regulation: A Transcriptome Analysis. Cells. 2020;9(987).</w:t>
      </w:r>
    </w:p>
    <w:p w14:paraId="64249F3C" w14:textId="77777777" w:rsidR="00AE38FA" w:rsidRPr="006B67EC" w:rsidRDefault="00AE38FA" w:rsidP="00AE38FA">
      <w:pPr>
        <w:spacing w:line="360" w:lineRule="auto"/>
        <w:rPr>
          <w:rFonts w:cstheme="minorHAnsi"/>
          <w:noProof/>
        </w:rPr>
      </w:pPr>
    </w:p>
    <w:p w14:paraId="6BFDAB91" w14:textId="77777777" w:rsidR="00AE38FA" w:rsidRPr="006B67EC" w:rsidRDefault="00AE38FA" w:rsidP="00AE38FA">
      <w:pPr>
        <w:spacing w:line="360" w:lineRule="auto"/>
        <w:rPr>
          <w:rFonts w:cstheme="minorHAnsi"/>
          <w:noProof/>
        </w:rPr>
      </w:pPr>
      <w:r w:rsidRPr="006B67EC">
        <w:rPr>
          <w:rFonts w:cstheme="minorHAnsi"/>
          <w:noProof/>
        </w:rPr>
        <w:t>39. Kim M, Ki BS, Hong K, Park SP, Ko JJ, Choi Y. Tudor domain containing protein TDRD12 expresses at the acrosome of spermatids in mouse testis. Asian-Australasian J Anim Sci. 2016;29(7):944–51.</w:t>
      </w:r>
    </w:p>
    <w:p w14:paraId="7DABD3A8" w14:textId="77777777" w:rsidR="00AE38FA" w:rsidRPr="006B67EC" w:rsidRDefault="00AE38FA" w:rsidP="00AE38FA">
      <w:pPr>
        <w:spacing w:line="360" w:lineRule="auto"/>
        <w:rPr>
          <w:rFonts w:cstheme="minorHAnsi"/>
          <w:noProof/>
        </w:rPr>
      </w:pPr>
    </w:p>
    <w:p w14:paraId="43E3C925" w14:textId="77777777" w:rsidR="00AE38FA" w:rsidRPr="006B67EC" w:rsidRDefault="00AE38FA" w:rsidP="00AE38FA">
      <w:pPr>
        <w:spacing w:line="360" w:lineRule="auto"/>
        <w:rPr>
          <w:rFonts w:cstheme="minorHAnsi"/>
          <w:noProof/>
        </w:rPr>
      </w:pPr>
      <w:r w:rsidRPr="006B67EC">
        <w:rPr>
          <w:rFonts w:cstheme="minorHAnsi"/>
          <w:noProof/>
        </w:rPr>
        <w:t>40. Lee K, Kunkeaw N, Jeon SH, Lee I, Johnson BH, Kang GY, et al. Precursor miR-886, a novel noncoding RNA repressed in cancer, associates with PKR and modulates its activity. Rna. 2011;17(6):1076–89.</w:t>
      </w:r>
    </w:p>
    <w:p w14:paraId="14A866B0" w14:textId="77777777" w:rsidR="00AE38FA" w:rsidRPr="006B67EC" w:rsidRDefault="00AE38FA" w:rsidP="00AE38FA">
      <w:pPr>
        <w:spacing w:line="360" w:lineRule="auto"/>
        <w:rPr>
          <w:rFonts w:cstheme="minorHAnsi"/>
          <w:noProof/>
        </w:rPr>
      </w:pPr>
    </w:p>
    <w:p w14:paraId="1B78240A" w14:textId="77777777" w:rsidR="00AE38FA" w:rsidRPr="006B67EC" w:rsidRDefault="00AE38FA" w:rsidP="00AE38FA">
      <w:pPr>
        <w:spacing w:line="360" w:lineRule="auto"/>
        <w:rPr>
          <w:rFonts w:cstheme="minorHAnsi"/>
          <w:noProof/>
        </w:rPr>
      </w:pPr>
      <w:r w:rsidRPr="006B67EC">
        <w:rPr>
          <w:rFonts w:cstheme="minorHAnsi"/>
          <w:noProof/>
        </w:rPr>
        <w:t>41. Menon D, Innes A, Oakley AJ, Dahlstrom JE, Jensen LM, Brüstle A, et al. GSTO1-1 plays a pro-inflammatory role in models of inflammation, colitis and obesity. Sci Rep. 2017;7(1):1–15.</w:t>
      </w:r>
    </w:p>
    <w:p w14:paraId="6BE36EFC" w14:textId="77777777" w:rsidR="004B5B9A" w:rsidRDefault="004B5B9A" w:rsidP="009575F9">
      <w:pPr>
        <w:spacing w:line="480" w:lineRule="auto"/>
        <w:jc w:val="both"/>
        <w:rPr>
          <w:rFonts w:ascii="Calibri" w:eastAsia="Times New Roman" w:hAnsi="Calibri" w:cs="Calibri"/>
          <w:b/>
          <w:bCs/>
          <w:color w:val="000000"/>
          <w:kern w:val="24"/>
        </w:rPr>
      </w:pPr>
    </w:p>
    <w:sectPr w:rsidR="004B5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F2"/>
    <w:rsid w:val="0009601A"/>
    <w:rsid w:val="000C171C"/>
    <w:rsid w:val="00116BFE"/>
    <w:rsid w:val="00150DB1"/>
    <w:rsid w:val="00160C27"/>
    <w:rsid w:val="001A08E3"/>
    <w:rsid w:val="001D624E"/>
    <w:rsid w:val="001E2772"/>
    <w:rsid w:val="002F5E60"/>
    <w:rsid w:val="00347CCA"/>
    <w:rsid w:val="00423C69"/>
    <w:rsid w:val="004653D2"/>
    <w:rsid w:val="004B5B9A"/>
    <w:rsid w:val="00516295"/>
    <w:rsid w:val="006169AB"/>
    <w:rsid w:val="006855F2"/>
    <w:rsid w:val="00760BCF"/>
    <w:rsid w:val="007B7143"/>
    <w:rsid w:val="00887112"/>
    <w:rsid w:val="00895A2A"/>
    <w:rsid w:val="008D0A9A"/>
    <w:rsid w:val="009575F9"/>
    <w:rsid w:val="009F4B4D"/>
    <w:rsid w:val="00AE38FA"/>
    <w:rsid w:val="00B2545C"/>
    <w:rsid w:val="00B3409D"/>
    <w:rsid w:val="00BB5266"/>
    <w:rsid w:val="00BC6190"/>
    <w:rsid w:val="00CE1E7C"/>
    <w:rsid w:val="00DD108B"/>
    <w:rsid w:val="00DD5ABD"/>
    <w:rsid w:val="00E574E6"/>
    <w:rsid w:val="00E656E8"/>
    <w:rsid w:val="00F874D4"/>
    <w:rsid w:val="00FA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756F"/>
  <w15:chartTrackingRefBased/>
  <w15:docId w15:val="{BDCA91A7-3F82-CE48-A776-37ECBE2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3505">
      <w:bodyDiv w:val="1"/>
      <w:marLeft w:val="0"/>
      <w:marRight w:val="0"/>
      <w:marTop w:val="0"/>
      <w:marBottom w:val="0"/>
      <w:divBdr>
        <w:top w:val="none" w:sz="0" w:space="0" w:color="auto"/>
        <w:left w:val="none" w:sz="0" w:space="0" w:color="auto"/>
        <w:bottom w:val="none" w:sz="0" w:space="0" w:color="auto"/>
        <w:right w:val="none" w:sz="0" w:space="0" w:color="auto"/>
      </w:divBdr>
    </w:div>
    <w:div w:id="320624838">
      <w:bodyDiv w:val="1"/>
      <w:marLeft w:val="0"/>
      <w:marRight w:val="0"/>
      <w:marTop w:val="0"/>
      <w:marBottom w:val="0"/>
      <w:divBdr>
        <w:top w:val="none" w:sz="0" w:space="0" w:color="auto"/>
        <w:left w:val="none" w:sz="0" w:space="0" w:color="auto"/>
        <w:bottom w:val="none" w:sz="0" w:space="0" w:color="auto"/>
        <w:right w:val="none" w:sz="0" w:space="0" w:color="auto"/>
      </w:divBdr>
    </w:div>
    <w:div w:id="616133446">
      <w:bodyDiv w:val="1"/>
      <w:marLeft w:val="0"/>
      <w:marRight w:val="0"/>
      <w:marTop w:val="0"/>
      <w:marBottom w:val="0"/>
      <w:divBdr>
        <w:top w:val="none" w:sz="0" w:space="0" w:color="auto"/>
        <w:left w:val="none" w:sz="0" w:space="0" w:color="auto"/>
        <w:bottom w:val="none" w:sz="0" w:space="0" w:color="auto"/>
        <w:right w:val="none" w:sz="0" w:space="0" w:color="auto"/>
      </w:divBdr>
    </w:div>
    <w:div w:id="715007912">
      <w:bodyDiv w:val="1"/>
      <w:marLeft w:val="0"/>
      <w:marRight w:val="0"/>
      <w:marTop w:val="0"/>
      <w:marBottom w:val="0"/>
      <w:divBdr>
        <w:top w:val="none" w:sz="0" w:space="0" w:color="auto"/>
        <w:left w:val="none" w:sz="0" w:space="0" w:color="auto"/>
        <w:bottom w:val="none" w:sz="0" w:space="0" w:color="auto"/>
        <w:right w:val="none" w:sz="0" w:space="0" w:color="auto"/>
      </w:divBdr>
    </w:div>
    <w:div w:id="782115973">
      <w:bodyDiv w:val="1"/>
      <w:marLeft w:val="0"/>
      <w:marRight w:val="0"/>
      <w:marTop w:val="0"/>
      <w:marBottom w:val="0"/>
      <w:divBdr>
        <w:top w:val="none" w:sz="0" w:space="0" w:color="auto"/>
        <w:left w:val="none" w:sz="0" w:space="0" w:color="auto"/>
        <w:bottom w:val="none" w:sz="0" w:space="0" w:color="auto"/>
        <w:right w:val="none" w:sz="0" w:space="0" w:color="auto"/>
      </w:divBdr>
    </w:div>
    <w:div w:id="903106653">
      <w:bodyDiv w:val="1"/>
      <w:marLeft w:val="0"/>
      <w:marRight w:val="0"/>
      <w:marTop w:val="0"/>
      <w:marBottom w:val="0"/>
      <w:divBdr>
        <w:top w:val="none" w:sz="0" w:space="0" w:color="auto"/>
        <w:left w:val="none" w:sz="0" w:space="0" w:color="auto"/>
        <w:bottom w:val="none" w:sz="0" w:space="0" w:color="auto"/>
        <w:right w:val="none" w:sz="0" w:space="0" w:color="auto"/>
      </w:divBdr>
    </w:div>
    <w:div w:id="1013188242">
      <w:bodyDiv w:val="1"/>
      <w:marLeft w:val="0"/>
      <w:marRight w:val="0"/>
      <w:marTop w:val="0"/>
      <w:marBottom w:val="0"/>
      <w:divBdr>
        <w:top w:val="none" w:sz="0" w:space="0" w:color="auto"/>
        <w:left w:val="none" w:sz="0" w:space="0" w:color="auto"/>
        <w:bottom w:val="none" w:sz="0" w:space="0" w:color="auto"/>
        <w:right w:val="none" w:sz="0" w:space="0" w:color="auto"/>
      </w:divBdr>
    </w:div>
    <w:div w:id="1229917560">
      <w:bodyDiv w:val="1"/>
      <w:marLeft w:val="0"/>
      <w:marRight w:val="0"/>
      <w:marTop w:val="0"/>
      <w:marBottom w:val="0"/>
      <w:divBdr>
        <w:top w:val="none" w:sz="0" w:space="0" w:color="auto"/>
        <w:left w:val="none" w:sz="0" w:space="0" w:color="auto"/>
        <w:bottom w:val="none" w:sz="0" w:space="0" w:color="auto"/>
        <w:right w:val="none" w:sz="0" w:space="0" w:color="auto"/>
      </w:divBdr>
    </w:div>
    <w:div w:id="1563249365">
      <w:bodyDiv w:val="1"/>
      <w:marLeft w:val="0"/>
      <w:marRight w:val="0"/>
      <w:marTop w:val="0"/>
      <w:marBottom w:val="0"/>
      <w:divBdr>
        <w:top w:val="none" w:sz="0" w:space="0" w:color="auto"/>
        <w:left w:val="none" w:sz="0" w:space="0" w:color="auto"/>
        <w:bottom w:val="none" w:sz="0" w:space="0" w:color="auto"/>
        <w:right w:val="none" w:sz="0" w:space="0" w:color="auto"/>
      </w:divBdr>
    </w:div>
    <w:div w:id="203923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BACA PEYNADO</dc:creator>
  <cp:keywords/>
  <dc:description/>
  <cp:lastModifiedBy>PAULINA BACA PEYNADO</cp:lastModifiedBy>
  <cp:revision>2</cp:revision>
  <dcterms:created xsi:type="dcterms:W3CDTF">2022-11-28T18:53:00Z</dcterms:created>
  <dcterms:modified xsi:type="dcterms:W3CDTF">2022-11-28T18:53:00Z</dcterms:modified>
</cp:coreProperties>
</file>