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CCD41" w14:textId="77777777" w:rsidR="00DB3293" w:rsidRPr="00AF6892" w:rsidRDefault="00DB3293" w:rsidP="00DB3293">
      <w:pPr>
        <w:autoSpaceDE w:val="0"/>
        <w:autoSpaceDN w:val="0"/>
        <w:adjustRightInd w:val="0"/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Appendix 1-</w:t>
      </w:r>
      <w:r w:rsidRPr="0012686E">
        <w:rPr>
          <w:rFonts w:cstheme="minorHAnsi"/>
          <w:sz w:val="24"/>
          <w:szCs w:val="24"/>
        </w:rPr>
        <w:t xml:space="preserve"> </w:t>
      </w:r>
      <w:r w:rsidRPr="00AF6892">
        <w:rPr>
          <w:rFonts w:cstheme="minorHAnsi"/>
          <w:b/>
          <w:bCs/>
          <w:sz w:val="24"/>
          <w:szCs w:val="24"/>
        </w:rPr>
        <w:t>Comparison of nutritional (Energy residual adjusted) parameters between the treatment groups.</w:t>
      </w:r>
    </w:p>
    <w:tbl>
      <w:tblPr>
        <w:tblStyle w:val="TableGrid"/>
        <w:tblW w:w="12045" w:type="dxa"/>
        <w:tblLayout w:type="fixed"/>
        <w:tblLook w:val="04A0" w:firstRow="1" w:lastRow="0" w:firstColumn="1" w:lastColumn="0" w:noHBand="0" w:noVBand="1"/>
      </w:tblPr>
      <w:tblGrid>
        <w:gridCol w:w="1760"/>
        <w:gridCol w:w="1077"/>
        <w:gridCol w:w="2108"/>
        <w:gridCol w:w="1858"/>
        <w:gridCol w:w="1792"/>
        <w:gridCol w:w="1150"/>
        <w:gridCol w:w="1150"/>
        <w:gridCol w:w="1150"/>
      </w:tblGrid>
      <w:tr w:rsidR="00DB3293" w:rsidRPr="0077239A" w14:paraId="35CEF305" w14:textId="77777777" w:rsidTr="00A46526">
        <w:trPr>
          <w:trHeight w:val="991"/>
        </w:trPr>
        <w:tc>
          <w:tcPr>
            <w:tcW w:w="1760" w:type="dxa"/>
            <w:vAlign w:val="center"/>
          </w:tcPr>
          <w:p w14:paraId="60BB388A" w14:textId="77777777" w:rsidR="00DB3293" w:rsidRPr="0077239A" w:rsidRDefault="00DB3293" w:rsidP="00A4652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077" w:type="dxa"/>
            <w:vAlign w:val="center"/>
          </w:tcPr>
          <w:p w14:paraId="0974DEC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108" w:type="dxa"/>
            <w:vAlign w:val="center"/>
          </w:tcPr>
          <w:p w14:paraId="6393273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Acupuncture + Diet</w:t>
            </w:r>
          </w:p>
          <w:p w14:paraId="1F539E2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858" w:type="dxa"/>
            <w:vAlign w:val="center"/>
          </w:tcPr>
          <w:p w14:paraId="65E6203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Diet alone</w:t>
            </w:r>
          </w:p>
          <w:p w14:paraId="486EE21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792" w:type="dxa"/>
            <w:vAlign w:val="center"/>
          </w:tcPr>
          <w:p w14:paraId="60E3FC05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Control</w:t>
            </w:r>
          </w:p>
          <w:p w14:paraId="2548351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150" w:type="dxa"/>
            <w:vAlign w:val="center"/>
          </w:tcPr>
          <w:p w14:paraId="5E29950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P ab</w:t>
            </w:r>
          </w:p>
        </w:tc>
        <w:tc>
          <w:tcPr>
            <w:tcW w:w="1150" w:type="dxa"/>
            <w:vAlign w:val="center"/>
          </w:tcPr>
          <w:p w14:paraId="7C485B4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>P ac</w:t>
            </w:r>
          </w:p>
        </w:tc>
        <w:tc>
          <w:tcPr>
            <w:tcW w:w="1150" w:type="dxa"/>
            <w:vAlign w:val="center"/>
          </w:tcPr>
          <w:p w14:paraId="7EE1C1A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7239A">
              <w:rPr>
                <w:rFonts w:cstheme="minorHAnsi"/>
                <w:b/>
                <w:bCs/>
                <w:sz w:val="20"/>
                <w:szCs w:val="20"/>
              </w:rPr>
              <w:t xml:space="preserve">P </w:t>
            </w:r>
            <w:proofErr w:type="spellStart"/>
            <w:r w:rsidRPr="0077239A">
              <w:rPr>
                <w:rFonts w:cstheme="minorHAnsi"/>
                <w:b/>
                <w:bCs/>
                <w:sz w:val="20"/>
                <w:szCs w:val="20"/>
              </w:rPr>
              <w:t>bc</w:t>
            </w:r>
            <w:proofErr w:type="spellEnd"/>
          </w:p>
        </w:tc>
      </w:tr>
      <w:tr w:rsidR="00DB3293" w:rsidRPr="0077239A" w14:paraId="2B81342D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5F4DC81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sz w:val="20"/>
                <w:szCs w:val="20"/>
              </w:rPr>
              <w:t>Total energy</w:t>
            </w:r>
            <w:r>
              <w:rPr>
                <w:rFonts w:cstheme="minorHAnsi"/>
                <w:sz w:val="20"/>
                <w:szCs w:val="20"/>
              </w:rPr>
              <w:t xml:space="preserve"> (Kcal/day)</w:t>
            </w:r>
          </w:p>
        </w:tc>
        <w:tc>
          <w:tcPr>
            <w:tcW w:w="1077" w:type="dxa"/>
            <w:vAlign w:val="center"/>
          </w:tcPr>
          <w:p w14:paraId="4601891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43F64CA5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2396.34 ± 381.16</w:t>
            </w:r>
          </w:p>
        </w:tc>
        <w:tc>
          <w:tcPr>
            <w:tcW w:w="1858" w:type="dxa"/>
            <w:vAlign w:val="center"/>
          </w:tcPr>
          <w:p w14:paraId="5AE71C5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2413.31 ± 326.29</w:t>
            </w:r>
          </w:p>
        </w:tc>
        <w:tc>
          <w:tcPr>
            <w:tcW w:w="1792" w:type="dxa"/>
            <w:vAlign w:val="center"/>
          </w:tcPr>
          <w:p w14:paraId="6F385ED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1957.75 ± 321.58</w:t>
            </w:r>
          </w:p>
        </w:tc>
        <w:tc>
          <w:tcPr>
            <w:tcW w:w="1150" w:type="dxa"/>
            <w:vMerge w:val="restart"/>
            <w:vAlign w:val="center"/>
          </w:tcPr>
          <w:p w14:paraId="609A9739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1150" w:type="dxa"/>
            <w:vMerge w:val="restart"/>
            <w:vAlign w:val="center"/>
          </w:tcPr>
          <w:p w14:paraId="25A8462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50" w:type="dxa"/>
            <w:vMerge w:val="restart"/>
            <w:vAlign w:val="center"/>
          </w:tcPr>
          <w:p w14:paraId="4397A42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</w:tr>
      <w:tr w:rsidR="00DB3293" w:rsidRPr="0077239A" w14:paraId="4D125A3F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16BB6B2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2F0B8C7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6918996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1425.07 ± 284.65</w:t>
            </w:r>
          </w:p>
        </w:tc>
        <w:tc>
          <w:tcPr>
            <w:tcW w:w="1858" w:type="dxa"/>
            <w:vAlign w:val="center"/>
          </w:tcPr>
          <w:p w14:paraId="6FC10A8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1513.47 ± 311.99</w:t>
            </w:r>
          </w:p>
        </w:tc>
        <w:tc>
          <w:tcPr>
            <w:tcW w:w="1792" w:type="dxa"/>
            <w:vAlign w:val="center"/>
          </w:tcPr>
          <w:p w14:paraId="5BBD091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1907.94 ± 314.05</w:t>
            </w:r>
          </w:p>
        </w:tc>
        <w:tc>
          <w:tcPr>
            <w:tcW w:w="1150" w:type="dxa"/>
            <w:vMerge/>
            <w:vAlign w:val="center"/>
          </w:tcPr>
          <w:p w14:paraId="7E13D9A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5A92C5D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4BBDD7F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00F1EE55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541CFBF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sz w:val="20"/>
                <w:szCs w:val="20"/>
              </w:rPr>
              <w:t>Carbohydrate</w:t>
            </w:r>
            <w:r>
              <w:rPr>
                <w:rFonts w:cstheme="minorHAnsi"/>
                <w:sz w:val="20"/>
                <w:szCs w:val="20"/>
              </w:rPr>
              <w:t xml:space="preserve"> (g/day)</w:t>
            </w:r>
          </w:p>
        </w:tc>
        <w:tc>
          <w:tcPr>
            <w:tcW w:w="1077" w:type="dxa"/>
            <w:vAlign w:val="center"/>
          </w:tcPr>
          <w:p w14:paraId="76FB7E8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29322A0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209.21 ± 44.23</w:t>
            </w:r>
          </w:p>
        </w:tc>
        <w:tc>
          <w:tcPr>
            <w:tcW w:w="1858" w:type="dxa"/>
            <w:vAlign w:val="center"/>
          </w:tcPr>
          <w:p w14:paraId="04825949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201.33 ± 41.76</w:t>
            </w:r>
          </w:p>
        </w:tc>
        <w:tc>
          <w:tcPr>
            <w:tcW w:w="1792" w:type="dxa"/>
            <w:vAlign w:val="center"/>
          </w:tcPr>
          <w:p w14:paraId="17A7EEB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247.71 ± 56.81</w:t>
            </w:r>
          </w:p>
        </w:tc>
        <w:tc>
          <w:tcPr>
            <w:tcW w:w="1150" w:type="dxa"/>
            <w:vMerge w:val="restart"/>
            <w:vAlign w:val="center"/>
          </w:tcPr>
          <w:p w14:paraId="207E520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1150" w:type="dxa"/>
            <w:vMerge w:val="restart"/>
            <w:vAlign w:val="center"/>
          </w:tcPr>
          <w:p w14:paraId="291DA51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50" w:type="dxa"/>
            <w:vMerge w:val="restart"/>
            <w:vAlign w:val="center"/>
          </w:tcPr>
          <w:p w14:paraId="715264C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</w:tr>
      <w:tr w:rsidR="00DB3293" w:rsidRPr="0077239A" w14:paraId="61B0CDB9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5C50EF0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27EF73B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2837A01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307.14 ± 73.21</w:t>
            </w:r>
          </w:p>
        </w:tc>
        <w:tc>
          <w:tcPr>
            <w:tcW w:w="1858" w:type="dxa"/>
            <w:vAlign w:val="center"/>
          </w:tcPr>
          <w:p w14:paraId="7905F71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325.78 ± 56.33</w:t>
            </w:r>
          </w:p>
        </w:tc>
        <w:tc>
          <w:tcPr>
            <w:tcW w:w="1792" w:type="dxa"/>
            <w:vAlign w:val="center"/>
          </w:tcPr>
          <w:p w14:paraId="74E5DC10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253.56 ± 60.74</w:t>
            </w:r>
          </w:p>
        </w:tc>
        <w:tc>
          <w:tcPr>
            <w:tcW w:w="1150" w:type="dxa"/>
            <w:vMerge/>
            <w:vAlign w:val="center"/>
          </w:tcPr>
          <w:p w14:paraId="31384B6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57B2409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6C645F8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515F47E8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56D127C5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sz w:val="20"/>
                <w:szCs w:val="20"/>
              </w:rPr>
              <w:t>Protein</w:t>
            </w:r>
            <w:r>
              <w:rPr>
                <w:rFonts w:cstheme="minorHAnsi"/>
                <w:sz w:val="20"/>
                <w:szCs w:val="20"/>
              </w:rPr>
              <w:t xml:space="preserve"> (g/day)</w:t>
            </w:r>
          </w:p>
        </w:tc>
        <w:tc>
          <w:tcPr>
            <w:tcW w:w="1077" w:type="dxa"/>
            <w:vAlign w:val="center"/>
          </w:tcPr>
          <w:p w14:paraId="30EF8A2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7094E9D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92.85 ± 30.23</w:t>
            </w:r>
          </w:p>
        </w:tc>
        <w:tc>
          <w:tcPr>
            <w:tcW w:w="1858" w:type="dxa"/>
            <w:vAlign w:val="center"/>
          </w:tcPr>
          <w:p w14:paraId="1BDBC2D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89.05 ± 21.02</w:t>
            </w:r>
          </w:p>
        </w:tc>
        <w:tc>
          <w:tcPr>
            <w:tcW w:w="1792" w:type="dxa"/>
            <w:vAlign w:val="center"/>
          </w:tcPr>
          <w:p w14:paraId="58CF3F2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64.09 ± 16.4</w:t>
            </w:r>
          </w:p>
        </w:tc>
        <w:tc>
          <w:tcPr>
            <w:tcW w:w="1150" w:type="dxa"/>
            <w:vMerge w:val="restart"/>
            <w:vAlign w:val="center"/>
          </w:tcPr>
          <w:p w14:paraId="21B75F3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150" w:type="dxa"/>
            <w:vMerge w:val="restart"/>
            <w:vAlign w:val="center"/>
          </w:tcPr>
          <w:p w14:paraId="12CD825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150" w:type="dxa"/>
            <w:vMerge w:val="restart"/>
            <w:vAlign w:val="center"/>
          </w:tcPr>
          <w:p w14:paraId="710E6C5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0.209</w:t>
            </w:r>
          </w:p>
        </w:tc>
      </w:tr>
      <w:tr w:rsidR="00DB3293" w:rsidRPr="0077239A" w14:paraId="71A575BA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4F56645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4053A43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63CF803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46.12 ± 21.46</w:t>
            </w:r>
          </w:p>
        </w:tc>
        <w:tc>
          <w:tcPr>
            <w:tcW w:w="1858" w:type="dxa"/>
            <w:vAlign w:val="center"/>
          </w:tcPr>
          <w:p w14:paraId="2A76743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55.89 ± 21.56</w:t>
            </w:r>
          </w:p>
        </w:tc>
        <w:tc>
          <w:tcPr>
            <w:tcW w:w="1792" w:type="dxa"/>
            <w:vAlign w:val="center"/>
          </w:tcPr>
          <w:p w14:paraId="1D55C265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62.91 ± 15.8</w:t>
            </w:r>
          </w:p>
        </w:tc>
        <w:tc>
          <w:tcPr>
            <w:tcW w:w="1150" w:type="dxa"/>
            <w:vMerge/>
            <w:vAlign w:val="center"/>
          </w:tcPr>
          <w:p w14:paraId="7E0F50B0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2C97726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490C22F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58054228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73A25C4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sz w:val="20"/>
                <w:szCs w:val="20"/>
              </w:rPr>
              <w:t>Fat</w:t>
            </w:r>
            <w:r>
              <w:rPr>
                <w:rFonts w:cstheme="minorHAnsi"/>
                <w:sz w:val="20"/>
                <w:szCs w:val="20"/>
              </w:rPr>
              <w:t xml:space="preserve"> (g/day)</w:t>
            </w:r>
          </w:p>
        </w:tc>
        <w:tc>
          <w:tcPr>
            <w:tcW w:w="1077" w:type="dxa"/>
            <w:vAlign w:val="center"/>
          </w:tcPr>
          <w:p w14:paraId="36BAE570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3B00C4D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105.78 ± 39.34</w:t>
            </w:r>
          </w:p>
        </w:tc>
        <w:tc>
          <w:tcPr>
            <w:tcW w:w="1858" w:type="dxa"/>
            <w:vAlign w:val="center"/>
          </w:tcPr>
          <w:p w14:paraId="278C4D1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95.83 ± 34.34</w:t>
            </w:r>
          </w:p>
        </w:tc>
        <w:tc>
          <w:tcPr>
            <w:tcW w:w="1792" w:type="dxa"/>
            <w:vAlign w:val="center"/>
          </w:tcPr>
          <w:p w14:paraId="4C753A4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84.21 ± 25.04</w:t>
            </w:r>
          </w:p>
        </w:tc>
        <w:tc>
          <w:tcPr>
            <w:tcW w:w="1150" w:type="dxa"/>
            <w:vMerge w:val="restart"/>
            <w:vAlign w:val="center"/>
          </w:tcPr>
          <w:p w14:paraId="484A6D7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1150" w:type="dxa"/>
            <w:vMerge w:val="restart"/>
            <w:vAlign w:val="center"/>
          </w:tcPr>
          <w:p w14:paraId="6A576C9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50" w:type="dxa"/>
            <w:vMerge w:val="restart"/>
            <w:vAlign w:val="center"/>
          </w:tcPr>
          <w:p w14:paraId="36EDB35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</w:tr>
      <w:tr w:rsidR="00DB3293" w:rsidRPr="0077239A" w14:paraId="739CB0C9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5CC7CB8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77D8C3F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51E2386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47.62 ± 18.96</w:t>
            </w:r>
          </w:p>
        </w:tc>
        <w:tc>
          <w:tcPr>
            <w:tcW w:w="1858" w:type="dxa"/>
            <w:vAlign w:val="center"/>
          </w:tcPr>
          <w:p w14:paraId="6E9B0D2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49.19 ± 18.24</w:t>
            </w:r>
          </w:p>
        </w:tc>
        <w:tc>
          <w:tcPr>
            <w:tcW w:w="1792" w:type="dxa"/>
            <w:vAlign w:val="center"/>
          </w:tcPr>
          <w:p w14:paraId="4D54786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74.81 ± 24.14</w:t>
            </w:r>
          </w:p>
        </w:tc>
        <w:tc>
          <w:tcPr>
            <w:tcW w:w="1150" w:type="dxa"/>
            <w:vMerge/>
            <w:vAlign w:val="center"/>
          </w:tcPr>
          <w:p w14:paraId="3C9C866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5BDCD59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41FBCAB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7FA8235B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5D36F4D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Polyunsaturated fatty acids (g/day)</w:t>
            </w:r>
          </w:p>
        </w:tc>
        <w:tc>
          <w:tcPr>
            <w:tcW w:w="1077" w:type="dxa"/>
            <w:vAlign w:val="center"/>
          </w:tcPr>
          <w:p w14:paraId="205BFCF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0404DBF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18.22 ± 10.2</w:t>
            </w:r>
          </w:p>
        </w:tc>
        <w:tc>
          <w:tcPr>
            <w:tcW w:w="1858" w:type="dxa"/>
            <w:vAlign w:val="center"/>
          </w:tcPr>
          <w:p w14:paraId="4978323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19.58 ± 9.36</w:t>
            </w:r>
          </w:p>
        </w:tc>
        <w:tc>
          <w:tcPr>
            <w:tcW w:w="1792" w:type="dxa"/>
            <w:vAlign w:val="center"/>
          </w:tcPr>
          <w:p w14:paraId="232BD98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28.85 ± 13.99</w:t>
            </w:r>
          </w:p>
        </w:tc>
        <w:tc>
          <w:tcPr>
            <w:tcW w:w="1150" w:type="dxa"/>
            <w:vMerge w:val="restart"/>
            <w:vAlign w:val="center"/>
          </w:tcPr>
          <w:p w14:paraId="6445C11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1150" w:type="dxa"/>
            <w:vMerge w:val="restart"/>
            <w:vAlign w:val="center"/>
          </w:tcPr>
          <w:p w14:paraId="630CE159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50" w:type="dxa"/>
            <w:vMerge w:val="restart"/>
            <w:vAlign w:val="center"/>
          </w:tcPr>
          <w:p w14:paraId="002DFF4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0.010</w:t>
            </w:r>
          </w:p>
        </w:tc>
      </w:tr>
      <w:tr w:rsidR="00DB3293" w:rsidRPr="0077239A" w14:paraId="6E2A97AE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706159F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61C51CF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61F6020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19.69 ± 23.42</w:t>
            </w:r>
          </w:p>
        </w:tc>
        <w:tc>
          <w:tcPr>
            <w:tcW w:w="1858" w:type="dxa"/>
            <w:vAlign w:val="center"/>
          </w:tcPr>
          <w:p w14:paraId="35B8CAD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16.17 ± 6.66</w:t>
            </w:r>
          </w:p>
        </w:tc>
        <w:tc>
          <w:tcPr>
            <w:tcW w:w="1792" w:type="dxa"/>
            <w:vAlign w:val="center"/>
          </w:tcPr>
          <w:p w14:paraId="0D4B77F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26.5 ± 14.13</w:t>
            </w:r>
          </w:p>
        </w:tc>
        <w:tc>
          <w:tcPr>
            <w:tcW w:w="1150" w:type="dxa"/>
            <w:vMerge/>
            <w:vAlign w:val="center"/>
          </w:tcPr>
          <w:p w14:paraId="23455BD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36E0907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6013AEED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7F5E10FD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7309E96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Monounsaturated fatty acids (g/day)</w:t>
            </w:r>
          </w:p>
        </w:tc>
        <w:tc>
          <w:tcPr>
            <w:tcW w:w="1077" w:type="dxa"/>
            <w:vAlign w:val="center"/>
          </w:tcPr>
          <w:p w14:paraId="5E4B92D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144D498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14.66 ± 6.88</w:t>
            </w:r>
          </w:p>
        </w:tc>
        <w:tc>
          <w:tcPr>
            <w:tcW w:w="1858" w:type="dxa"/>
            <w:vAlign w:val="center"/>
          </w:tcPr>
          <w:p w14:paraId="740995F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16 ± 7.51</w:t>
            </w:r>
          </w:p>
        </w:tc>
        <w:tc>
          <w:tcPr>
            <w:tcW w:w="1792" w:type="dxa"/>
            <w:vAlign w:val="center"/>
          </w:tcPr>
          <w:p w14:paraId="2ECAA56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24.72 ± 9.98</w:t>
            </w:r>
          </w:p>
        </w:tc>
        <w:tc>
          <w:tcPr>
            <w:tcW w:w="1150" w:type="dxa"/>
            <w:vMerge w:val="restart"/>
            <w:vAlign w:val="center"/>
          </w:tcPr>
          <w:p w14:paraId="2F3852A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1150" w:type="dxa"/>
            <w:vMerge w:val="restart"/>
            <w:vAlign w:val="center"/>
          </w:tcPr>
          <w:p w14:paraId="1EC8DD7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50" w:type="dxa"/>
            <w:vMerge w:val="restart"/>
            <w:vAlign w:val="center"/>
          </w:tcPr>
          <w:p w14:paraId="1AE5DD0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</w:tr>
      <w:tr w:rsidR="00DB3293" w:rsidRPr="0077239A" w14:paraId="24BC4FEA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56BEAEDF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6C478FA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105FEAE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12.05 ± 7</w:t>
            </w:r>
          </w:p>
        </w:tc>
        <w:tc>
          <w:tcPr>
            <w:tcW w:w="1858" w:type="dxa"/>
            <w:vAlign w:val="center"/>
          </w:tcPr>
          <w:p w14:paraId="4AC3F1A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12.08 ± 5.66</w:t>
            </w:r>
          </w:p>
        </w:tc>
        <w:tc>
          <w:tcPr>
            <w:tcW w:w="1792" w:type="dxa"/>
            <w:vAlign w:val="center"/>
          </w:tcPr>
          <w:p w14:paraId="5A1A0A3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23.99 ± 9.86</w:t>
            </w:r>
          </w:p>
        </w:tc>
        <w:tc>
          <w:tcPr>
            <w:tcW w:w="1150" w:type="dxa"/>
            <w:vMerge/>
            <w:vAlign w:val="center"/>
          </w:tcPr>
          <w:p w14:paraId="3407314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12F970D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0669D27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226EEC27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6752835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Saturated fatty acids (g/day)</w:t>
            </w:r>
          </w:p>
        </w:tc>
        <w:tc>
          <w:tcPr>
            <w:tcW w:w="1077" w:type="dxa"/>
            <w:vAlign w:val="center"/>
          </w:tcPr>
          <w:p w14:paraId="6384CD49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78C443F4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15.5 ± 7.65</w:t>
            </w:r>
          </w:p>
        </w:tc>
        <w:tc>
          <w:tcPr>
            <w:tcW w:w="1858" w:type="dxa"/>
            <w:vAlign w:val="center"/>
          </w:tcPr>
          <w:p w14:paraId="1C6FF110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15.96 ± 7.03</w:t>
            </w:r>
          </w:p>
        </w:tc>
        <w:tc>
          <w:tcPr>
            <w:tcW w:w="1792" w:type="dxa"/>
            <w:vAlign w:val="center"/>
          </w:tcPr>
          <w:p w14:paraId="0D7FAB6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18.99 ± 9.44</w:t>
            </w:r>
          </w:p>
        </w:tc>
        <w:tc>
          <w:tcPr>
            <w:tcW w:w="1150" w:type="dxa"/>
            <w:vMerge w:val="restart"/>
            <w:vAlign w:val="center"/>
          </w:tcPr>
          <w:p w14:paraId="75DEADC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150" w:type="dxa"/>
            <w:vMerge w:val="restart"/>
            <w:vAlign w:val="center"/>
          </w:tcPr>
          <w:p w14:paraId="7ABCDF8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50" w:type="dxa"/>
            <w:vMerge w:val="restart"/>
            <w:vAlign w:val="center"/>
          </w:tcPr>
          <w:p w14:paraId="3AD898E9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</w:tr>
      <w:tr w:rsidR="00DB3293" w:rsidRPr="0077239A" w14:paraId="2D611D96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14664EE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33EE2A1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52D0BDD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10.66 ± 5</w:t>
            </w:r>
          </w:p>
        </w:tc>
        <w:tc>
          <w:tcPr>
            <w:tcW w:w="1858" w:type="dxa"/>
            <w:vAlign w:val="center"/>
          </w:tcPr>
          <w:p w14:paraId="2D0EED7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11.38 ± 6.13</w:t>
            </w:r>
          </w:p>
        </w:tc>
        <w:tc>
          <w:tcPr>
            <w:tcW w:w="1792" w:type="dxa"/>
            <w:vAlign w:val="center"/>
          </w:tcPr>
          <w:p w14:paraId="30B9CA3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17.33 ± 5.8</w:t>
            </w:r>
          </w:p>
        </w:tc>
        <w:tc>
          <w:tcPr>
            <w:tcW w:w="1150" w:type="dxa"/>
            <w:vMerge/>
            <w:vAlign w:val="center"/>
          </w:tcPr>
          <w:p w14:paraId="628ECEA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1B9BE65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46E07E7B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B3293" w:rsidRPr="0077239A" w14:paraId="4B99C3F1" w14:textId="77777777" w:rsidTr="00A46526">
        <w:tblPrEx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1760" w:type="dxa"/>
            <w:vMerge w:val="restart"/>
            <w:vAlign w:val="center"/>
          </w:tcPr>
          <w:p w14:paraId="01B8C25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sz w:val="20"/>
                <w:szCs w:val="20"/>
              </w:rPr>
              <w:t>Dietary Fiber</w:t>
            </w:r>
            <w:r>
              <w:rPr>
                <w:rFonts w:cstheme="minorHAnsi"/>
                <w:sz w:val="20"/>
                <w:szCs w:val="20"/>
              </w:rPr>
              <w:t xml:space="preserve"> (g/day)</w:t>
            </w:r>
          </w:p>
        </w:tc>
        <w:tc>
          <w:tcPr>
            <w:tcW w:w="1077" w:type="dxa"/>
            <w:vAlign w:val="center"/>
          </w:tcPr>
          <w:p w14:paraId="2805061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108" w:type="dxa"/>
            <w:vAlign w:val="center"/>
          </w:tcPr>
          <w:p w14:paraId="63C82CF9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11.2 ± 4.97</w:t>
            </w:r>
          </w:p>
        </w:tc>
        <w:tc>
          <w:tcPr>
            <w:tcW w:w="1858" w:type="dxa"/>
            <w:vAlign w:val="center"/>
          </w:tcPr>
          <w:p w14:paraId="11724445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14.04 ± 6.62</w:t>
            </w:r>
          </w:p>
        </w:tc>
        <w:tc>
          <w:tcPr>
            <w:tcW w:w="1792" w:type="dxa"/>
            <w:vAlign w:val="center"/>
          </w:tcPr>
          <w:p w14:paraId="67B1CF8C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15.42 ± 5.07</w:t>
            </w:r>
          </w:p>
        </w:tc>
        <w:tc>
          <w:tcPr>
            <w:tcW w:w="1150" w:type="dxa"/>
            <w:vMerge w:val="restart"/>
            <w:vAlign w:val="center"/>
          </w:tcPr>
          <w:p w14:paraId="2B742ED0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150" w:type="dxa"/>
            <w:vMerge w:val="restart"/>
            <w:vAlign w:val="center"/>
          </w:tcPr>
          <w:p w14:paraId="2334AC31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50" w:type="dxa"/>
            <w:vMerge w:val="restart"/>
            <w:vAlign w:val="center"/>
          </w:tcPr>
          <w:p w14:paraId="36BEAA58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&lt;0.001</w:t>
            </w:r>
          </w:p>
        </w:tc>
      </w:tr>
      <w:tr w:rsidR="00DB3293" w:rsidRPr="0077239A" w14:paraId="6837E2D4" w14:textId="77777777" w:rsidTr="00A46526">
        <w:tblPrEx>
          <w:tblLook w:val="0000" w:firstRow="0" w:lastRow="0" w:firstColumn="0" w:lastColumn="0" w:noHBand="0" w:noVBand="0"/>
        </w:tblPrEx>
        <w:trPr>
          <w:trHeight w:val="391"/>
        </w:trPr>
        <w:tc>
          <w:tcPr>
            <w:tcW w:w="1760" w:type="dxa"/>
            <w:vMerge/>
            <w:vAlign w:val="center"/>
          </w:tcPr>
          <w:p w14:paraId="64FEC37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14:paraId="1C9CF6E2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2108" w:type="dxa"/>
            <w:vAlign w:val="center"/>
          </w:tcPr>
          <w:p w14:paraId="4CB8095A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9.94 ± 5.01</w:t>
            </w:r>
          </w:p>
        </w:tc>
        <w:tc>
          <w:tcPr>
            <w:tcW w:w="1858" w:type="dxa"/>
            <w:vAlign w:val="center"/>
          </w:tcPr>
          <w:p w14:paraId="4B4BA5F3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10.09 ± 3.24</w:t>
            </w:r>
          </w:p>
        </w:tc>
        <w:tc>
          <w:tcPr>
            <w:tcW w:w="1792" w:type="dxa"/>
            <w:vAlign w:val="center"/>
          </w:tcPr>
          <w:p w14:paraId="302A3677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77239A">
              <w:rPr>
                <w:rFonts w:cstheme="minorHAnsi"/>
                <w:color w:val="000000"/>
                <w:sz w:val="20"/>
                <w:szCs w:val="20"/>
              </w:rPr>
              <w:t>14.86 ± 5.03</w:t>
            </w:r>
          </w:p>
        </w:tc>
        <w:tc>
          <w:tcPr>
            <w:tcW w:w="1150" w:type="dxa"/>
            <w:vMerge/>
            <w:vAlign w:val="center"/>
          </w:tcPr>
          <w:p w14:paraId="5E784F3E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4884D97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</w:tcPr>
          <w:p w14:paraId="2B9758D6" w14:textId="77777777" w:rsidR="00DB3293" w:rsidRPr="0077239A" w:rsidRDefault="00DB3293" w:rsidP="00A4652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305DE18" w14:textId="77777777" w:rsidR="00DB3293" w:rsidRPr="00005E13" w:rsidRDefault="00DB3293" w:rsidP="00DB3293">
      <w:pPr>
        <w:autoSpaceDE w:val="0"/>
        <w:autoSpaceDN w:val="0"/>
        <w:adjustRightInd w:val="0"/>
        <w:spacing w:after="0" w:line="400" w:lineRule="atLeast"/>
        <w:rPr>
          <w:rFonts w:cstheme="minorHAnsi"/>
        </w:rPr>
      </w:pPr>
      <w:r w:rsidRPr="00005E13">
        <w:rPr>
          <w:rFonts w:cstheme="minorHAnsi"/>
        </w:rPr>
        <w:t>Adjusted for age, duration of diabetes</w:t>
      </w:r>
      <w:r>
        <w:rPr>
          <w:rFonts w:cstheme="minorHAnsi"/>
        </w:rPr>
        <w:t>,</w:t>
      </w:r>
      <w:r w:rsidRPr="00005E13">
        <w:rPr>
          <w:rFonts w:cstheme="minorHAnsi"/>
        </w:rPr>
        <w:t xml:space="preserve"> and the outcome baseline value.</w:t>
      </w:r>
    </w:p>
    <w:p w14:paraId="53261AF4" w14:textId="77777777" w:rsidR="00DB3293" w:rsidRPr="00F52F25" w:rsidRDefault="00DB3293" w:rsidP="00DB3293">
      <w:pPr>
        <w:rPr>
          <w:rFonts w:cstheme="minorHAnsi"/>
        </w:rPr>
      </w:pPr>
    </w:p>
    <w:p w14:paraId="4126D41E" w14:textId="77777777" w:rsidR="0097077B" w:rsidRDefault="00000000"/>
    <w:sectPr w:rsidR="0097077B" w:rsidSect="0012686E">
      <w:pgSz w:w="16838" w:h="11906" w:orient="landscape" w:code="9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93"/>
    <w:rsid w:val="00147B72"/>
    <w:rsid w:val="002E376C"/>
    <w:rsid w:val="00374BD5"/>
    <w:rsid w:val="004725D4"/>
    <w:rsid w:val="009C0B35"/>
    <w:rsid w:val="00D802CC"/>
    <w:rsid w:val="00DB3293"/>
    <w:rsid w:val="00E9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A0C62F"/>
  <w15:chartTrackingRefBased/>
  <w15:docId w15:val="{9BE27D41-483F-4FE7-A2C6-1944BA64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1144</Characters>
  <Application>Microsoft Office Word</Application>
  <DocSecurity>0</DocSecurity>
  <Lines>163</Lines>
  <Paragraphs>142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nazli</dc:creator>
  <cp:keywords/>
  <dc:description/>
  <cp:lastModifiedBy>nazli</cp:lastModifiedBy>
  <cp:revision>1</cp:revision>
  <dcterms:created xsi:type="dcterms:W3CDTF">2025-04-04T09:15:00Z</dcterms:created>
  <dcterms:modified xsi:type="dcterms:W3CDTF">2025-04-04T09:15:00Z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beeb6981-2533-4fea-8c88-bd95d4d92dd3</vt:lpwstr>
  </property>
</Properties>
</file>