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96361">
      <w:pPr>
        <w:widowControl w:val="0"/>
        <w:spacing w:after="0" w:line="480" w:lineRule="auto"/>
        <w:contextualSpacing/>
        <w:jc w:val="both"/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  <w:t xml:space="preserve">Supplementary </w:t>
      </w:r>
      <w:r>
        <w:rPr>
          <w:rFonts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  <w:t>Figure legends</w:t>
      </w:r>
    </w:p>
    <w:p w14:paraId="483A0854">
      <w:pPr>
        <w:spacing w:line="360" w:lineRule="auto"/>
        <w:rPr>
          <w:b/>
          <w:bCs/>
          <w:color w:val="000000"/>
          <w:highlight w:val="none"/>
        </w:rPr>
      </w:pPr>
      <w:r>
        <w:rPr>
          <w:rFonts w:eastAsia="黑体"/>
          <w:b/>
          <w:bCs/>
          <w:color w:val="000000"/>
          <w:kern w:val="0"/>
          <w:highlight w:val="none"/>
        </w:rPr>
        <w:t>Figure</w:t>
      </w:r>
      <w:r>
        <w:rPr>
          <w:rFonts w:hint="eastAsia" w:eastAsia="黑体"/>
          <w:b/>
          <w:bCs/>
          <w:color w:val="000000"/>
          <w:kern w:val="0"/>
          <w:highlight w:val="none"/>
          <w:lang w:val="en-US" w:eastAsia="zh-CN"/>
        </w:rPr>
        <w:t xml:space="preserve"> </w:t>
      </w:r>
      <w:r>
        <w:rPr>
          <w:rFonts w:hint="eastAsia" w:eastAsia="黑体"/>
          <w:b/>
          <w:bCs/>
          <w:color w:val="000000"/>
          <w:kern w:val="0"/>
          <w:highlight w:val="none"/>
        </w:rPr>
        <w:t>S1</w:t>
      </w:r>
      <w:r>
        <w:rPr>
          <w:rFonts w:eastAsia="黑体"/>
          <w:b/>
          <w:bCs/>
          <w:color w:val="000000"/>
          <w:kern w:val="0"/>
          <w:highlight w:val="none"/>
        </w:rPr>
        <w:t>.</w:t>
      </w:r>
      <w:r>
        <w:rPr>
          <w:rFonts w:hint="eastAsia" w:eastAsia="黑体"/>
          <w:b/>
          <w:bCs/>
          <w:color w:val="000000"/>
          <w:kern w:val="0"/>
          <w:highlight w:val="none"/>
          <w:lang w:val="en-US" w:eastAsia="zh-CN"/>
        </w:rPr>
        <w:t xml:space="preserve"> </w:t>
      </w:r>
      <w:r>
        <w:rPr>
          <w:b/>
          <w:bCs/>
          <w:color w:val="000000"/>
          <w:highlight w:val="none"/>
        </w:rPr>
        <w:t>Characterization of plasma-derived exosomes and qRT-PCR validation of differentially expressed miRNAs.</w:t>
      </w:r>
      <w:r>
        <w:rPr>
          <w:rFonts w:hint="eastAsia"/>
          <w:b/>
          <w:bCs/>
          <w:color w:val="000000"/>
          <w:highlight w:val="none"/>
        </w:rPr>
        <w:t xml:space="preserve"> </w:t>
      </w:r>
    </w:p>
    <w:p w14:paraId="796E38DF">
      <w:pPr>
        <w:spacing w:line="360" w:lineRule="auto"/>
        <w:rPr>
          <w:rFonts w:eastAsia="黑体"/>
          <w:color w:val="000000"/>
          <w:highlight w:val="none"/>
        </w:rPr>
      </w:pPr>
      <w:r>
        <w:rPr>
          <w:rFonts w:hint="eastAsia"/>
          <w:color w:val="000000"/>
          <w:kern w:val="0"/>
          <w:highlight w:val="none"/>
          <w:lang w:bidi="ar"/>
        </w:rPr>
        <w:t xml:space="preserve">(A) </w:t>
      </w:r>
      <w:r>
        <w:rPr>
          <w:highlight w:val="none"/>
        </w:rPr>
        <w:t xml:space="preserve">Representative </w:t>
      </w:r>
      <w:r>
        <w:rPr>
          <w:color w:val="auto"/>
          <w:kern w:val="2"/>
          <w:highlight w:val="none"/>
        </w:rPr>
        <w:t xml:space="preserve">TEM </w:t>
      </w:r>
      <w:r>
        <w:rPr>
          <w:highlight w:val="none"/>
        </w:rPr>
        <w:t xml:space="preserve">image </w:t>
      </w:r>
      <w:r>
        <w:rPr>
          <w:color w:val="auto"/>
          <w:kern w:val="2"/>
          <w:highlight w:val="none"/>
        </w:rPr>
        <w:t>of plasma-derived exosomes. Scale bar:</w:t>
      </w:r>
      <w:r>
        <w:rPr>
          <w:highlight w:val="none"/>
        </w:rPr>
        <w:t xml:space="preserve"> </w:t>
      </w:r>
      <w:r>
        <w:rPr>
          <w:color w:val="auto"/>
          <w:kern w:val="2"/>
          <w:highlight w:val="none"/>
        </w:rPr>
        <w:t xml:space="preserve">100 nm. (B) NTA </w:t>
      </w:r>
      <w:r>
        <w:rPr>
          <w:highlight w:val="none"/>
        </w:rPr>
        <w:t>profile showing</w:t>
      </w:r>
      <w:r>
        <w:rPr>
          <w:color w:val="auto"/>
          <w:kern w:val="2"/>
          <w:highlight w:val="none"/>
        </w:rPr>
        <w:t xml:space="preserve"> the size </w:t>
      </w:r>
      <w:r>
        <w:rPr>
          <w:highlight w:val="none"/>
        </w:rPr>
        <w:t xml:space="preserve">distribution </w:t>
      </w:r>
      <w:r>
        <w:rPr>
          <w:color w:val="auto"/>
          <w:kern w:val="2"/>
          <w:highlight w:val="none"/>
        </w:rPr>
        <w:t xml:space="preserve">and </w:t>
      </w:r>
      <w:r>
        <w:rPr>
          <w:highlight w:val="none"/>
        </w:rPr>
        <w:t>concentration</w:t>
      </w:r>
      <w:r>
        <w:rPr>
          <w:color w:val="auto"/>
          <w:kern w:val="2"/>
          <w:highlight w:val="none"/>
        </w:rPr>
        <w:t xml:space="preserve"> of plasma-derived exosomes. (C)</w:t>
      </w:r>
      <w:r>
        <w:rPr>
          <w:highlight w:val="none"/>
        </w:rPr>
        <w:t xml:space="preserve"> </w:t>
      </w:r>
      <w:r>
        <w:rPr>
          <w:color w:val="auto"/>
          <w:highlight w:val="none"/>
        </w:rPr>
        <w:t xml:space="preserve">qRT-PCR </w:t>
      </w:r>
      <w:r>
        <w:rPr>
          <w:highlight w:val="none"/>
        </w:rPr>
        <w:t>confirming significant upregulation</w:t>
      </w:r>
      <w:r>
        <w:rPr>
          <w:color w:val="auto"/>
          <w:highlight w:val="none"/>
        </w:rPr>
        <w:t xml:space="preserve"> of miR-887-5p, miR-520g-3p, miR-6750-5p, miR-6738-3p, miR-6793-5p, miR-96-5p in patient plasma exosomes </w:t>
      </w:r>
      <w:r>
        <w:rPr>
          <w:highlight w:val="none"/>
        </w:rPr>
        <w:t>relative</w:t>
      </w:r>
      <w:r>
        <w:rPr>
          <w:color w:val="auto"/>
          <w:highlight w:val="none"/>
        </w:rPr>
        <w:t xml:space="preserve"> to healthy controls. (D) qRT-PCR </w:t>
      </w:r>
      <w:r>
        <w:rPr>
          <w:highlight w:val="none"/>
        </w:rPr>
        <w:t>confirming significant downregulation</w:t>
      </w:r>
      <w:r>
        <w:rPr>
          <w:color w:val="auto"/>
          <w:highlight w:val="none"/>
        </w:rPr>
        <w:t xml:space="preserve"> of miR-494-5p, miR-4687-3p, miR-16-1-3p, miR-377-3p, miR-337-5p, and miR-410-3p. Data are presented as mean ± SD; </w:t>
      </w:r>
      <w:r>
        <w:rPr>
          <w:i/>
          <w:color w:val="auto"/>
          <w:kern w:val="2"/>
          <w:highlight w:val="none"/>
        </w:rPr>
        <w:t>n</w:t>
      </w:r>
      <w:r>
        <w:rPr>
          <w:highlight w:val="none"/>
        </w:rPr>
        <w:t xml:space="preserve"> = </w:t>
      </w:r>
      <w:r>
        <w:rPr>
          <w:color w:val="auto"/>
          <w:kern w:val="2"/>
          <w:highlight w:val="none"/>
        </w:rPr>
        <w:t>10. *</w:t>
      </w:r>
      <w:r>
        <w:rPr>
          <w:i/>
          <w:color w:val="auto"/>
          <w:highlight w:val="none"/>
        </w:rPr>
        <w:t>P</w:t>
      </w:r>
      <w:r>
        <w:rPr>
          <w:highlight w:val="none"/>
        </w:rPr>
        <w:t xml:space="preserve"> &lt; </w:t>
      </w:r>
      <w:r>
        <w:rPr>
          <w:color w:val="auto"/>
          <w:highlight w:val="none"/>
        </w:rPr>
        <w:t>0.05, **</w:t>
      </w:r>
      <w:r>
        <w:rPr>
          <w:i/>
          <w:color w:val="auto"/>
          <w:highlight w:val="none"/>
        </w:rPr>
        <w:t>P</w:t>
      </w:r>
      <w:r>
        <w:rPr>
          <w:highlight w:val="none"/>
        </w:rPr>
        <w:t xml:space="preserve"> &lt; </w:t>
      </w:r>
      <w:r>
        <w:rPr>
          <w:color w:val="auto"/>
          <w:highlight w:val="none"/>
        </w:rPr>
        <w:t xml:space="preserve">0.01 </w:t>
      </w:r>
      <w:r>
        <w:rPr>
          <w:i/>
          <w:color w:val="auto"/>
          <w:highlight w:val="none"/>
        </w:rPr>
        <w:t>vs</w:t>
      </w:r>
      <w:r>
        <w:rPr>
          <w:color w:val="auto"/>
          <w:highlight w:val="none"/>
        </w:rPr>
        <w:t xml:space="preserve">. </w:t>
      </w:r>
      <w:r>
        <w:rPr>
          <w:highlight w:val="none"/>
        </w:rPr>
        <w:t>control</w:t>
      </w:r>
      <w:r>
        <w:rPr>
          <w:color w:val="auto"/>
          <w:highlight w:val="none"/>
        </w:rPr>
        <w:t xml:space="preserve"> group</w:t>
      </w:r>
      <w:r>
        <w:rPr>
          <w:highlight w:val="none"/>
        </w:rPr>
        <w:t>; unpaired Student's</w:t>
      </w:r>
      <w:r>
        <w:rPr>
          <w:color w:val="auto"/>
          <w:highlight w:val="none"/>
        </w:rPr>
        <w:t xml:space="preserve"> </w:t>
      </w:r>
      <w:r>
        <w:rPr>
          <w:i/>
          <w:color w:val="auto"/>
          <w:highlight w:val="none"/>
        </w:rPr>
        <w:t>t</w:t>
      </w:r>
      <w:r>
        <w:rPr>
          <w:highlight w:val="none"/>
        </w:rPr>
        <w:t>-</w:t>
      </w:r>
      <w:r>
        <w:rPr>
          <w:color w:val="auto"/>
          <w:highlight w:val="none"/>
        </w:rPr>
        <w:t>test</w:t>
      </w:r>
      <w:r>
        <w:rPr>
          <w:rFonts w:hint="eastAsia" w:eastAsia="黑体"/>
          <w:color w:val="000000"/>
          <w:highlight w:val="none"/>
        </w:rPr>
        <w:t>.</w:t>
      </w:r>
    </w:p>
    <w:p w14:paraId="07E4FEA8">
      <w:pP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 w:bidi="ar"/>
        </w:rPr>
      </w:pPr>
    </w:p>
    <w:p w14:paraId="4F0C52B7">
      <w:pPr>
        <w:spacing w:line="360" w:lineRule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Figure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S2. 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miR-887-5p promote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HUVEC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tube formation</w:t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</w:t>
      </w:r>
    </w:p>
    <w:p w14:paraId="068B145D">
      <w:pPr>
        <w:pStyle w:val="4"/>
        <w:widowControl/>
        <w:shd w:val="clear" w:color="auto" w:fill="FFFFFF"/>
        <w:spacing w:line="360" w:lineRule="auto"/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(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) Representative images of tube formation. Scale bar: 100 μm. (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) Quantification of tube number per field.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Data are presented as the mean ± 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  <w:t>D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 xml:space="preserve">; </w:t>
      </w:r>
      <w:r>
        <w:rPr>
          <w:i/>
          <w:iCs/>
          <w:highlight w:val="none"/>
        </w:rPr>
        <w:t>n</w:t>
      </w:r>
      <w:r>
        <w:rPr>
          <w:highlight w:val="none"/>
        </w:rPr>
        <w:t xml:space="preserve"> = </w:t>
      </w:r>
      <w:r>
        <w:rPr>
          <w:rFonts w:hint="eastAsia"/>
          <w:highlight w:val="none"/>
          <w:lang w:val="en-US" w:eastAsia="zh-CN"/>
        </w:rPr>
        <w:t>3</w:t>
      </w:r>
      <w:r>
        <w:rPr>
          <w:highlight w:val="none"/>
        </w:rPr>
        <w:t>. *</w:t>
      </w:r>
      <w:r>
        <w:rPr>
          <w:i/>
          <w:iCs/>
          <w:highlight w:val="none"/>
        </w:rPr>
        <w:t>P</w:t>
      </w:r>
      <w:r>
        <w:rPr>
          <w:highlight w:val="none"/>
        </w:rPr>
        <w:t xml:space="preserve"> &lt; 0.05, **</w:t>
      </w:r>
      <w:r>
        <w:rPr>
          <w:i/>
          <w:iCs/>
          <w:highlight w:val="none"/>
        </w:rPr>
        <w:t>P</w:t>
      </w:r>
      <w:r>
        <w:rPr>
          <w:highlight w:val="none"/>
        </w:rPr>
        <w:t xml:space="preserve"> &lt; 0.01 </w:t>
      </w:r>
      <w:r>
        <w:rPr>
          <w:i/>
          <w:highlight w:val="none"/>
        </w:rPr>
        <w:t>vs</w:t>
      </w:r>
      <w:r>
        <w:rPr>
          <w:highlight w:val="none"/>
        </w:rPr>
        <w:t>. control or model group;</w:t>
      </w:r>
      <w:r>
        <w:rPr>
          <w:rFonts w:hint="eastAsia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sz w:val="24"/>
          <w:szCs w:val="24"/>
          <w:highlight w:val="none"/>
        </w:rPr>
        <w:t>one-way ANOVA with Tukey’s post hoc test.</w:t>
      </w:r>
    </w:p>
    <w:p w14:paraId="2445775A"/>
    <w:p w14:paraId="4CBA4E18"/>
    <w:p w14:paraId="3A348FCF">
      <w:pPr>
        <w:rPr>
          <w:rFonts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  <w:t xml:space="preserve">Supplementary </w:t>
      </w:r>
      <w:r>
        <w:rPr>
          <w:rFonts w:ascii="Times New Roman" w:hAnsi="Times New Roman"/>
          <w:b/>
          <w:sz w:val="24"/>
          <w:szCs w:val="24"/>
        </w:rPr>
        <w:t>Table</w:t>
      </w:r>
      <w:r>
        <w:rPr>
          <w:rFonts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  <w:t xml:space="preserve"> legends</w:t>
      </w:r>
    </w:p>
    <w:p w14:paraId="1F649A1B">
      <w:pPr>
        <w:rPr>
          <w:rFonts w:ascii="Times New Roman" w:hAnsi="Times New Roman" w:eastAsia="宋体" w:cs="Times New Roman"/>
          <w:b/>
          <w:bCs/>
          <w:color w:val="auto"/>
          <w:sz w:val="28"/>
          <w:szCs w:val="28"/>
          <w:highlight w:val="none"/>
        </w:rPr>
      </w:pPr>
    </w:p>
    <w:p w14:paraId="5E09C243">
      <w:pPr>
        <w:spacing w:line="360" w:lineRule="auto"/>
        <w:jc w:val="both"/>
        <w:rPr>
          <w:rFonts w:hint="eastAsia"/>
          <w:color w:val="auto"/>
          <w:kern w:val="2"/>
          <w:highlight w:val="none"/>
          <w:lang w:val="en-US" w:eastAsia="zh-CN"/>
        </w:rPr>
      </w:pPr>
      <w:r>
        <w:rPr>
          <w:rFonts w:hint="eastAsia" w:eastAsia="黑体"/>
          <w:b/>
          <w:bCs/>
          <w:color w:val="000000"/>
          <w:kern w:val="0"/>
          <w:highlight w:val="none"/>
          <w:lang w:val="en-US" w:eastAsia="zh-CN"/>
        </w:rPr>
        <w:t xml:space="preserve">Table S1. </w:t>
      </w:r>
      <w:r>
        <w:rPr>
          <w:color w:val="auto"/>
          <w:kern w:val="2"/>
          <w:highlight w:val="none"/>
        </w:rPr>
        <w:t>Notes:</w:t>
      </w:r>
      <w:r>
        <w:rPr>
          <w:rFonts w:hint="eastAsia"/>
          <w:color w:val="auto"/>
          <w:kern w:val="2"/>
          <w:highlight w:val="none"/>
        </w:rPr>
        <w:t xml:space="preserve"> BMI</w:t>
      </w:r>
      <w:r>
        <w:rPr>
          <w:rFonts w:hint="eastAsia"/>
          <w:color w:val="auto"/>
          <w:kern w:val="2"/>
          <w:highlight w:val="none"/>
          <w:lang w:val="en-US" w:eastAsia="zh-CN"/>
        </w:rPr>
        <w:t>:</w:t>
      </w:r>
      <w:r>
        <w:rPr>
          <w:rFonts w:hint="eastAsia"/>
          <w:color w:val="auto"/>
          <w:kern w:val="2"/>
          <w:highlight w:val="none"/>
        </w:rPr>
        <w:t xml:space="preserve"> Body Mass Index;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SP: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Systolic Pressure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; </w:t>
      </w:r>
      <w:r>
        <w:rPr>
          <w:rFonts w:hint="eastAsia"/>
          <w:color w:val="auto"/>
          <w:kern w:val="2"/>
          <w:highlight w:val="none"/>
        </w:rPr>
        <w:t>DP: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Diastolic Pressure;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FBG: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Fasting Blood Glucose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; </w:t>
      </w:r>
      <w:r>
        <w:rPr>
          <w:rFonts w:hint="eastAsia"/>
          <w:color w:val="auto"/>
          <w:kern w:val="2"/>
          <w:highlight w:val="none"/>
        </w:rPr>
        <w:t>GHb: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Glycosylated</w:t>
      </w:r>
      <w:r>
        <w:rPr>
          <w:color w:val="auto"/>
          <w:kern w:val="2"/>
          <w:highlight w:val="none"/>
        </w:rPr>
        <w:t xml:space="preserve"> </w:t>
      </w:r>
      <w:r>
        <w:rPr>
          <w:rFonts w:hint="eastAsia"/>
          <w:color w:val="auto"/>
          <w:kern w:val="2"/>
          <w:highlight w:val="none"/>
        </w:rPr>
        <w:t>Hemoglobin;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TC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: </w:t>
      </w:r>
      <w:r>
        <w:rPr>
          <w:rFonts w:hint="eastAsia"/>
          <w:color w:val="auto"/>
          <w:kern w:val="2"/>
          <w:highlight w:val="none"/>
        </w:rPr>
        <w:t>Total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Cholesterol</w:t>
      </w:r>
      <w:r>
        <w:rPr>
          <w:color w:val="auto"/>
          <w:kern w:val="2"/>
          <w:highlight w:val="none"/>
        </w:rPr>
        <w:t>;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TG</w:t>
      </w:r>
      <w:r>
        <w:rPr>
          <w:color w:val="auto"/>
          <w:kern w:val="2"/>
          <w:highlight w:val="none"/>
        </w:rPr>
        <w:t>: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color w:val="auto"/>
          <w:kern w:val="2"/>
          <w:highlight w:val="none"/>
        </w:rPr>
        <w:t>G</w:t>
      </w:r>
      <w:r>
        <w:rPr>
          <w:rFonts w:hint="eastAsia"/>
          <w:color w:val="auto"/>
          <w:kern w:val="2"/>
          <w:highlight w:val="none"/>
        </w:rPr>
        <w:t xml:space="preserve">lycerin </w:t>
      </w:r>
      <w:r>
        <w:rPr>
          <w:color w:val="auto"/>
          <w:kern w:val="2"/>
          <w:highlight w:val="none"/>
        </w:rPr>
        <w:t>T</w:t>
      </w:r>
      <w:r>
        <w:rPr>
          <w:rFonts w:hint="eastAsia"/>
          <w:color w:val="auto"/>
          <w:kern w:val="2"/>
          <w:highlight w:val="none"/>
        </w:rPr>
        <w:t>rilaurate</w:t>
      </w:r>
      <w:r>
        <w:rPr>
          <w:color w:val="auto"/>
          <w:kern w:val="2"/>
          <w:highlight w:val="none"/>
        </w:rPr>
        <w:t>;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color w:val="auto"/>
          <w:kern w:val="2"/>
          <w:highlight w:val="none"/>
        </w:rPr>
        <w:t>HDL-C: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color w:val="auto"/>
          <w:kern w:val="2"/>
          <w:highlight w:val="none"/>
        </w:rPr>
        <w:t>High Density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color w:val="auto"/>
          <w:kern w:val="2"/>
          <w:highlight w:val="none"/>
        </w:rPr>
        <w:t>Lipoprotein-Cholesterol;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NHDL-C</w:t>
      </w:r>
      <w:r>
        <w:rPr>
          <w:color w:val="auto"/>
          <w:kern w:val="2"/>
          <w:highlight w:val="none"/>
        </w:rPr>
        <w:t>: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color w:val="auto"/>
          <w:kern w:val="2"/>
          <w:highlight w:val="none"/>
        </w:rPr>
        <w:t>Non-High Density Lipoprotein-Cholesterol;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VLDL-C</w:t>
      </w:r>
      <w:r>
        <w:rPr>
          <w:color w:val="auto"/>
          <w:kern w:val="2"/>
          <w:highlight w:val="none"/>
        </w:rPr>
        <w:t>: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Very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Low Density Lipoprotein-Cholesterol</w:t>
      </w:r>
      <w:r>
        <w:rPr>
          <w:color w:val="auto"/>
          <w:kern w:val="2"/>
          <w:highlight w:val="none"/>
        </w:rPr>
        <w:t>;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LDL-C</w:t>
      </w:r>
      <w:r>
        <w:rPr>
          <w:color w:val="auto"/>
          <w:kern w:val="2"/>
          <w:highlight w:val="none"/>
        </w:rPr>
        <w:t>: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Low</w:t>
      </w:r>
      <w:bookmarkStart w:id="0" w:name="_GoBack"/>
      <w:bookmarkEnd w:id="0"/>
      <w:r>
        <w:rPr>
          <w:rFonts w:hint="eastAsia"/>
          <w:color w:val="auto"/>
          <w:kern w:val="2"/>
          <w:highlight w:val="none"/>
        </w:rPr>
        <w:t xml:space="preserve"> Density Lipoprotein-Cholesterol</w:t>
      </w:r>
      <w:r>
        <w:rPr>
          <w:color w:val="auto"/>
          <w:kern w:val="2"/>
          <w:highlight w:val="none"/>
        </w:rPr>
        <w:t>; ApoA: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color w:val="auto"/>
          <w:kern w:val="2"/>
          <w:highlight w:val="none"/>
        </w:rPr>
        <w:t>Apolipoprotein A;</w:t>
      </w:r>
      <w:r>
        <w:rPr>
          <w:rFonts w:hint="eastAsia"/>
          <w:color w:val="auto"/>
          <w:kern w:val="2"/>
          <w:highlight w:val="none"/>
        </w:rPr>
        <w:t xml:space="preserve"> </w:t>
      </w:r>
      <w:r>
        <w:rPr>
          <w:color w:val="auto"/>
          <w:kern w:val="2"/>
          <w:highlight w:val="none"/>
        </w:rPr>
        <w:t>ApoB: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color w:val="auto"/>
          <w:kern w:val="2"/>
          <w:highlight w:val="none"/>
        </w:rPr>
        <w:t xml:space="preserve">Apolipoprotein B; </w:t>
      </w:r>
      <w:r>
        <w:rPr>
          <w:rFonts w:hint="eastAsia"/>
          <w:color w:val="auto"/>
          <w:kern w:val="2"/>
          <w:highlight w:val="none"/>
        </w:rPr>
        <w:t>Lp(a)</w:t>
      </w:r>
      <w:r>
        <w:rPr>
          <w:color w:val="auto"/>
          <w:kern w:val="2"/>
          <w:highlight w:val="none"/>
        </w:rPr>
        <w:t>: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L</w:t>
      </w:r>
      <w:r>
        <w:rPr>
          <w:color w:val="auto"/>
          <w:kern w:val="2"/>
          <w:highlight w:val="none"/>
        </w:rPr>
        <w:t>ipoprotein</w:t>
      </w:r>
      <w:r>
        <w:rPr>
          <w:rFonts w:hint="eastAsia"/>
          <w:color w:val="auto"/>
          <w:kern w:val="2"/>
          <w:highlight w:val="none"/>
        </w:rPr>
        <w:t>(a). Score</w:t>
      </w:r>
      <w:r>
        <w:rPr>
          <w:rFonts w:hint="eastAsia"/>
          <w:color w:val="auto"/>
          <w:kern w:val="2"/>
          <w:highlight w:val="none"/>
          <w:lang w:val="en-US" w:eastAsia="zh-CN"/>
        </w:rPr>
        <w:t>s</w:t>
      </w:r>
      <w:r>
        <w:rPr>
          <w:rFonts w:hint="eastAsia"/>
          <w:color w:val="auto"/>
          <w:kern w:val="2"/>
          <w:highlight w:val="none"/>
        </w:rPr>
        <w:t xml:space="preserve"> are presented as the 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mean ± 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  <w:t>D</w:t>
      </w:r>
      <w:r>
        <w:rPr>
          <w:rFonts w:hint="eastAsia"/>
          <w:color w:val="auto"/>
          <w:kern w:val="2"/>
          <w:highlight w:val="none"/>
          <w:lang w:val="en-US" w:eastAsia="zh-CN"/>
        </w:rPr>
        <w:t>.</w:t>
      </w:r>
    </w:p>
    <w:p w14:paraId="15B07161">
      <w:pP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highlight w:val="none"/>
          <w:lang w:val="en-US" w:eastAsia="zh-CN"/>
        </w:rPr>
      </w:pPr>
    </w:p>
    <w:p w14:paraId="5CD15FC1">
      <w:pPr>
        <w:spacing w:line="360" w:lineRule="auto"/>
        <w:jc w:val="both"/>
        <w:rPr>
          <w:rFonts w:hint="eastAsia"/>
          <w:color w:val="auto"/>
          <w:kern w:val="2"/>
          <w:highlight w:val="none"/>
        </w:rPr>
      </w:pPr>
      <w:r>
        <w:rPr>
          <w:rFonts w:hint="eastAsia" w:eastAsia="黑体"/>
          <w:b/>
          <w:bCs/>
          <w:color w:val="000000"/>
          <w:kern w:val="0"/>
          <w:highlight w:val="none"/>
          <w:lang w:val="en-US" w:eastAsia="zh-CN"/>
        </w:rPr>
        <w:t>Table S2.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Notes: FC: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Fold change;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(Diabetes)_Means/(Normal controls)_Means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&gt;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 xml:space="preserve">2, </w:t>
      </w:r>
      <w:r>
        <w:rPr>
          <w:highlight w:val="none"/>
        </w:rPr>
        <w:t>log₂</w:t>
      </w:r>
      <w:r>
        <w:rPr>
          <w:rFonts w:hint="eastAsia" w:eastAsia="宋体"/>
          <w:b w:val="0"/>
          <w:bCs w:val="0"/>
          <w:sz w:val="24"/>
          <w:szCs w:val="24"/>
          <w:highlight w:val="none"/>
          <w:lang w:eastAsia="zh-CN"/>
        </w:rPr>
        <w:t>(FC)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&gt;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1.</w:t>
      </w:r>
    </w:p>
    <w:p w14:paraId="2515DA8B">
      <w:pPr>
        <w:spacing w:line="360" w:lineRule="auto"/>
        <w:jc w:val="both"/>
        <w:rPr>
          <w:rFonts w:hint="eastAsia"/>
          <w:color w:val="auto"/>
          <w:kern w:val="2"/>
          <w:highlight w:val="none"/>
        </w:rPr>
      </w:pPr>
    </w:p>
    <w:p w14:paraId="7299634C">
      <w:pPr>
        <w:spacing w:line="360" w:lineRule="auto"/>
        <w:jc w:val="both"/>
        <w:rPr>
          <w:rFonts w:hint="default"/>
          <w:color w:val="auto"/>
          <w:kern w:val="2"/>
          <w:highlight w:val="none"/>
          <w:lang w:val="en-US" w:eastAsia="zh-CN"/>
        </w:rPr>
      </w:pPr>
      <w:r>
        <w:rPr>
          <w:rFonts w:hint="eastAsia" w:eastAsia="黑体"/>
          <w:b/>
          <w:bCs/>
          <w:color w:val="000000"/>
          <w:kern w:val="0"/>
          <w:highlight w:val="none"/>
          <w:lang w:val="en-US" w:eastAsia="zh-CN"/>
        </w:rPr>
        <w:t>Table S3.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Notes: FC: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Fold change;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(Diabetes)_Means/(Normal controls)_Means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&lt;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 xml:space="preserve">1/2, </w:t>
      </w:r>
      <w:r>
        <w:rPr>
          <w:highlight w:val="none"/>
        </w:rPr>
        <w:t>log₂</w:t>
      </w:r>
      <w:r>
        <w:rPr>
          <w:rFonts w:hint="eastAsia" w:eastAsia="宋体"/>
          <w:b w:val="0"/>
          <w:bCs w:val="0"/>
          <w:sz w:val="24"/>
          <w:szCs w:val="24"/>
          <w:highlight w:val="none"/>
          <w:lang w:eastAsia="zh-CN"/>
        </w:rPr>
        <w:t>(FC)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&lt;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-</w:t>
      </w:r>
      <w:r>
        <w:rPr>
          <w:rFonts w:hint="eastAsia"/>
          <w:color w:val="auto"/>
          <w:kern w:val="2"/>
          <w:highlight w:val="none"/>
          <w:lang w:val="en-US" w:eastAsia="zh-CN"/>
        </w:rPr>
        <w:t>1.</w:t>
      </w:r>
    </w:p>
    <w:p w14:paraId="77558F0F">
      <w:pPr>
        <w:spacing w:line="360" w:lineRule="auto"/>
        <w:jc w:val="both"/>
        <w:rPr>
          <w:rFonts w:hint="default"/>
          <w:color w:val="auto"/>
          <w:kern w:val="2"/>
          <w:highlight w:val="none"/>
          <w:lang w:val="en-US"/>
        </w:rPr>
      </w:pPr>
    </w:p>
    <w:p w14:paraId="78956E01">
      <w:pPr>
        <w:spacing w:line="360" w:lineRule="auto"/>
        <w:jc w:val="both"/>
        <w:rPr>
          <w:rFonts w:hint="default"/>
          <w:color w:val="auto"/>
          <w:kern w:val="2"/>
          <w:highlight w:val="none"/>
          <w:lang w:val="en-US" w:eastAsia="zh-CN"/>
        </w:rPr>
      </w:pPr>
      <w:r>
        <w:rPr>
          <w:rFonts w:hint="eastAsia" w:eastAsia="黑体"/>
          <w:b/>
          <w:bCs/>
          <w:color w:val="000000"/>
          <w:kern w:val="0"/>
          <w:highlight w:val="none"/>
          <w:lang w:val="en-US" w:eastAsia="zh-CN"/>
        </w:rPr>
        <w:t>Table S4.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eastAsia"/>
          <w:color w:val="auto"/>
          <w:kern w:val="2"/>
          <w:highlight w:val="none"/>
        </w:rPr>
        <w:t>Notes: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 </w:t>
      </w:r>
      <w:r>
        <w:rPr>
          <w:rFonts w:hint="default"/>
          <w:color w:val="auto"/>
          <w:kern w:val="2"/>
          <w:highlight w:val="none"/>
          <w:lang w:val="en-US" w:eastAsia="zh-CN"/>
        </w:rPr>
        <w:t>miRNA upstream primer sequence list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: </w:t>
      </w:r>
      <w:r>
        <w:rPr>
          <w:rFonts w:hint="default"/>
          <w:color w:val="auto"/>
          <w:kern w:val="2"/>
          <w:highlight w:val="none"/>
          <w:lang w:val="en-US" w:eastAsia="zh-CN"/>
        </w:rPr>
        <w:t>miR-887-5p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, </w:t>
      </w:r>
      <w:r>
        <w:rPr>
          <w:rFonts w:hint="default"/>
          <w:color w:val="auto"/>
          <w:kern w:val="2"/>
          <w:highlight w:val="none"/>
          <w:lang w:val="en-US" w:eastAsia="zh-CN"/>
        </w:rPr>
        <w:t>miR-16-1-3p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, </w:t>
      </w:r>
      <w:r>
        <w:rPr>
          <w:rFonts w:hint="default"/>
          <w:color w:val="auto"/>
          <w:kern w:val="2"/>
          <w:highlight w:val="none"/>
          <w:lang w:val="en-US" w:eastAsia="zh-CN"/>
        </w:rPr>
        <w:t>miR-183-5p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, </w:t>
      </w:r>
      <w:r>
        <w:rPr>
          <w:rFonts w:hint="default"/>
          <w:color w:val="auto"/>
          <w:kern w:val="2"/>
          <w:highlight w:val="none"/>
          <w:lang w:val="en-US" w:eastAsia="zh-CN"/>
        </w:rPr>
        <w:t>miR-337-5p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, </w:t>
      </w:r>
      <w:r>
        <w:rPr>
          <w:rFonts w:hint="default"/>
          <w:color w:val="auto"/>
          <w:kern w:val="2"/>
          <w:highlight w:val="none"/>
          <w:lang w:val="en-US" w:eastAsia="zh-CN"/>
        </w:rPr>
        <w:t>miR-377-3p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, </w:t>
      </w:r>
      <w:r>
        <w:rPr>
          <w:rFonts w:hint="default"/>
          <w:color w:val="auto"/>
          <w:kern w:val="2"/>
          <w:highlight w:val="none"/>
          <w:lang w:val="en-US" w:eastAsia="zh-CN"/>
        </w:rPr>
        <w:t>miR-410-3p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, </w:t>
      </w:r>
      <w:r>
        <w:rPr>
          <w:rFonts w:hint="default"/>
          <w:color w:val="auto"/>
          <w:kern w:val="2"/>
          <w:highlight w:val="none"/>
          <w:lang w:val="en-US" w:eastAsia="zh-CN"/>
        </w:rPr>
        <w:t>miR-4687-3p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, </w:t>
      </w:r>
      <w:r>
        <w:rPr>
          <w:rFonts w:hint="default"/>
          <w:color w:val="auto"/>
          <w:kern w:val="2"/>
          <w:highlight w:val="none"/>
          <w:lang w:val="en-US" w:eastAsia="zh-CN"/>
        </w:rPr>
        <w:t>miR-494-5p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, </w:t>
      </w:r>
      <w:r>
        <w:rPr>
          <w:rFonts w:hint="default"/>
          <w:color w:val="auto"/>
          <w:kern w:val="2"/>
          <w:highlight w:val="none"/>
          <w:lang w:val="en-US" w:eastAsia="zh-CN"/>
        </w:rPr>
        <w:t>miR-520g-3p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, </w:t>
      </w:r>
      <w:r>
        <w:rPr>
          <w:rFonts w:hint="default"/>
          <w:color w:val="auto"/>
          <w:kern w:val="2"/>
          <w:highlight w:val="none"/>
          <w:lang w:val="en-US" w:eastAsia="zh-CN"/>
        </w:rPr>
        <w:t>miR-6738-3p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, </w:t>
      </w:r>
      <w:r>
        <w:rPr>
          <w:rFonts w:hint="default"/>
          <w:color w:val="auto"/>
          <w:kern w:val="2"/>
          <w:highlight w:val="none"/>
          <w:lang w:val="en-US" w:eastAsia="zh-CN"/>
        </w:rPr>
        <w:t>miR-6750-5p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, </w:t>
      </w:r>
      <w:r>
        <w:rPr>
          <w:rFonts w:hint="default"/>
          <w:color w:val="auto"/>
          <w:kern w:val="2"/>
          <w:highlight w:val="none"/>
          <w:lang w:val="en-US" w:eastAsia="zh-CN"/>
        </w:rPr>
        <w:t>miR-6793-5p</w:t>
      </w:r>
      <w:r>
        <w:rPr>
          <w:rFonts w:hint="eastAsia"/>
          <w:color w:val="auto"/>
          <w:kern w:val="2"/>
          <w:highlight w:val="none"/>
          <w:lang w:val="en-US" w:eastAsia="zh-CN"/>
        </w:rPr>
        <w:t xml:space="preserve">, </w:t>
      </w:r>
      <w:r>
        <w:rPr>
          <w:rFonts w:hint="default"/>
          <w:color w:val="auto"/>
          <w:kern w:val="2"/>
          <w:highlight w:val="none"/>
          <w:lang w:val="en-US" w:eastAsia="zh-CN"/>
        </w:rPr>
        <w:t>miR-96-5p</w:t>
      </w:r>
      <w:r>
        <w:rPr>
          <w:rFonts w:hint="eastAsia"/>
          <w:color w:val="auto"/>
          <w:kern w:val="2"/>
          <w:highlight w:val="none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lnNumType w:countBy="1" w:restart="continuous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3088B"/>
    <w:rsid w:val="02DF39F5"/>
    <w:rsid w:val="09173EE8"/>
    <w:rsid w:val="0CB67574"/>
    <w:rsid w:val="11515ABE"/>
    <w:rsid w:val="11BE54BB"/>
    <w:rsid w:val="12EA7F78"/>
    <w:rsid w:val="143F2545"/>
    <w:rsid w:val="19153875"/>
    <w:rsid w:val="1ABA0B77"/>
    <w:rsid w:val="1BE834C2"/>
    <w:rsid w:val="21FC1A76"/>
    <w:rsid w:val="24F37160"/>
    <w:rsid w:val="28506677"/>
    <w:rsid w:val="28B44E58"/>
    <w:rsid w:val="2A102562"/>
    <w:rsid w:val="2BD355F5"/>
    <w:rsid w:val="2FDB2CCA"/>
    <w:rsid w:val="312B1A2F"/>
    <w:rsid w:val="31FF0BD0"/>
    <w:rsid w:val="383E029A"/>
    <w:rsid w:val="3D826E7B"/>
    <w:rsid w:val="3E0C4997"/>
    <w:rsid w:val="40C00DC8"/>
    <w:rsid w:val="463A4797"/>
    <w:rsid w:val="466C4E12"/>
    <w:rsid w:val="48531B40"/>
    <w:rsid w:val="4B797B0F"/>
    <w:rsid w:val="509E0741"/>
    <w:rsid w:val="54AA6F8B"/>
    <w:rsid w:val="55BA31FE"/>
    <w:rsid w:val="579161E1"/>
    <w:rsid w:val="591946E0"/>
    <w:rsid w:val="62A0552A"/>
    <w:rsid w:val="6E8421A4"/>
    <w:rsid w:val="72CB305C"/>
    <w:rsid w:val="72F07E08"/>
    <w:rsid w:val="75200CC7"/>
    <w:rsid w:val="759233F8"/>
    <w:rsid w:val="7B170D0C"/>
    <w:rsid w:val="7B41128B"/>
    <w:rsid w:val="7B607AF4"/>
    <w:rsid w:val="7F0D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semiHidden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260</Words>
  <Characters>1705</Characters>
  <Lines>0</Lines>
  <Paragraphs>0</Paragraphs>
  <TotalTime>0</TotalTime>
  <ScaleCrop>false</ScaleCrop>
  <LinksUpToDate>false</LinksUpToDate>
  <CharactersWithSpaces>1929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2026-06-06T13:20:00Z</dcterms:created>
  <dc:creator>绝影</dc:creator>
  <cp:lastModifiedBy>尘影</cp:lastModifiedBy>
  <dcterms:modified xsi:type="dcterms:W3CDTF">2026-06-07T04:19:26Z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eyJoZGlkIjoiMTgyY2Y5Y2UxZjkwY2NiYzg1MTM4ZmQzOTFhYWJhY2IiLCJ1c2VySWQiOiI0NjM5OTQ0MTMifQ==</vt:lpwstr>
  </property>
  <property fmtid="{D5CDD505-2E9C-101B-9397-08002B2CF9AE}" pid="4" name="ICV">
    <vt:lpwstr>32D881CA5A0E464CB70E8B8098B4561A_12</vt:lpwstr>
  </property>
</Properties>
</file>