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C55" w:rsidRPr="00D2187D" w:rsidRDefault="00937C55" w:rsidP="00D8206C">
      <w:pPr>
        <w:autoSpaceDE w:val="0"/>
        <w:autoSpaceDN w:val="0"/>
        <w:adjustRightInd w:val="0"/>
        <w:spacing w:line="480" w:lineRule="auto"/>
        <w:jc w:val="left"/>
        <w:rPr>
          <w:rFonts w:ascii="Arial" w:hAnsi="Arial" w:cs="Arial"/>
          <w:b/>
          <w:kern w:val="0"/>
          <w:sz w:val="24"/>
          <w:szCs w:val="24"/>
        </w:rPr>
      </w:pPr>
      <w:r w:rsidRPr="00D2187D">
        <w:rPr>
          <w:rFonts w:ascii="Arial" w:hAnsi="Arial" w:cs="Arial"/>
          <w:b/>
          <w:kern w:val="0"/>
          <w:sz w:val="24"/>
          <w:szCs w:val="24"/>
        </w:rPr>
        <w:t xml:space="preserve">Supplementary Methods </w:t>
      </w:r>
    </w:p>
    <w:p w:rsidR="00D8206C" w:rsidRPr="00D2187D" w:rsidRDefault="00D8206C" w:rsidP="00D8206C">
      <w:pPr>
        <w:autoSpaceDE w:val="0"/>
        <w:autoSpaceDN w:val="0"/>
        <w:adjustRightInd w:val="0"/>
        <w:spacing w:line="480" w:lineRule="auto"/>
        <w:jc w:val="left"/>
        <w:rPr>
          <w:rFonts w:ascii="Arial" w:hAnsi="Arial" w:cs="Arial"/>
          <w:b/>
          <w:kern w:val="0"/>
          <w:sz w:val="24"/>
          <w:szCs w:val="24"/>
        </w:rPr>
      </w:pPr>
      <w:r w:rsidRPr="00D2187D">
        <w:rPr>
          <w:rFonts w:ascii="Arial" w:hAnsi="Arial" w:cs="Arial"/>
          <w:b/>
          <w:kern w:val="0"/>
          <w:sz w:val="24"/>
          <w:szCs w:val="24"/>
        </w:rPr>
        <w:t>PCR Copy Number Analysis</w:t>
      </w:r>
    </w:p>
    <w:p w:rsidR="00D8206C" w:rsidRPr="00D2187D" w:rsidRDefault="00D8206C" w:rsidP="00D8206C">
      <w:pPr>
        <w:autoSpaceDE w:val="0"/>
        <w:autoSpaceDN w:val="0"/>
        <w:adjustRightInd w:val="0"/>
        <w:spacing w:line="480" w:lineRule="auto"/>
        <w:rPr>
          <w:rFonts w:ascii="Arial" w:hAnsi="Arial" w:cs="Arial"/>
          <w:kern w:val="0"/>
          <w:sz w:val="24"/>
          <w:szCs w:val="24"/>
        </w:rPr>
      </w:pPr>
      <w:r w:rsidRPr="00D2187D">
        <w:rPr>
          <w:rFonts w:ascii="Arial" w:hAnsi="Arial" w:cs="Arial"/>
          <w:kern w:val="0"/>
          <w:sz w:val="24"/>
          <w:szCs w:val="24"/>
        </w:rPr>
        <w:t xml:space="preserve">DNA was </w:t>
      </w:r>
      <w:r w:rsidRPr="00D2187D">
        <w:rPr>
          <w:rFonts w:ascii="Arial" w:hAnsi="Arial" w:cs="Arial" w:hint="eastAsia"/>
          <w:kern w:val="0"/>
          <w:sz w:val="24"/>
          <w:szCs w:val="24"/>
        </w:rPr>
        <w:t>extracted</w:t>
      </w:r>
      <w:r w:rsidRPr="00D2187D">
        <w:rPr>
          <w:rFonts w:ascii="Arial" w:hAnsi="Arial" w:cs="Arial"/>
          <w:kern w:val="0"/>
          <w:sz w:val="24"/>
          <w:szCs w:val="24"/>
        </w:rPr>
        <w:t xml:space="preserve"> from 103 frozen </w:t>
      </w:r>
      <w:r w:rsidRPr="00D2187D">
        <w:rPr>
          <w:rFonts w:ascii="Arial" w:hAnsi="Arial" w:cs="Arial" w:hint="eastAsia"/>
          <w:kern w:val="0"/>
          <w:sz w:val="24"/>
          <w:szCs w:val="24"/>
        </w:rPr>
        <w:t xml:space="preserve">CRC </w:t>
      </w:r>
      <w:r w:rsidRPr="00D2187D">
        <w:rPr>
          <w:rFonts w:ascii="Arial" w:hAnsi="Arial" w:cs="Arial"/>
          <w:kern w:val="0"/>
          <w:sz w:val="24"/>
          <w:szCs w:val="24"/>
        </w:rPr>
        <w:t xml:space="preserve">samples (randomly selected) of Beijing Cohort </w:t>
      </w:r>
      <w:r w:rsidRPr="00D2187D">
        <w:rPr>
          <w:rFonts w:ascii="Arial" w:hAnsi="Arial" w:cs="Arial" w:hint="eastAsia"/>
          <w:kern w:val="0"/>
          <w:sz w:val="24"/>
          <w:szCs w:val="24"/>
        </w:rPr>
        <w:t>using</w:t>
      </w:r>
      <w:r w:rsidRPr="00D2187D">
        <w:rPr>
          <w:rFonts w:ascii="Arial" w:hAnsi="Arial" w:cs="Arial"/>
          <w:kern w:val="0"/>
          <w:sz w:val="24"/>
          <w:szCs w:val="24"/>
        </w:rPr>
        <w:t xml:space="preserve"> the AllPrep DNA/RNA/Protein Kit (QIAGEN, Hilden, Germany)</w:t>
      </w:r>
      <w:r w:rsidRPr="00D2187D">
        <w:rPr>
          <w:rFonts w:ascii="Arial" w:hAnsi="Arial" w:cs="Arial" w:hint="eastAsia"/>
          <w:kern w:val="0"/>
          <w:sz w:val="24"/>
          <w:szCs w:val="24"/>
        </w:rPr>
        <w:t>.</w:t>
      </w:r>
      <w:r w:rsidRPr="00D2187D">
        <w:rPr>
          <w:rFonts w:ascii="Arial" w:hAnsi="Arial" w:cs="Arial"/>
          <w:kern w:val="0"/>
          <w:sz w:val="24"/>
          <w:szCs w:val="24"/>
        </w:rPr>
        <w:t xml:space="preserve"> </w:t>
      </w:r>
      <w:r w:rsidRPr="00D2187D">
        <w:rPr>
          <w:rFonts w:ascii="Arial" w:hAnsi="Arial" w:cs="Arial" w:hint="eastAsia"/>
          <w:kern w:val="0"/>
          <w:sz w:val="24"/>
          <w:szCs w:val="24"/>
        </w:rPr>
        <w:t>The p</w:t>
      </w:r>
      <w:r w:rsidRPr="00D2187D">
        <w:rPr>
          <w:rFonts w:ascii="Arial" w:hAnsi="Arial" w:cs="Arial"/>
          <w:kern w:val="0"/>
          <w:sz w:val="24"/>
          <w:szCs w:val="24"/>
        </w:rPr>
        <w:t xml:space="preserve">urified genomic DNA </w:t>
      </w:r>
      <w:r w:rsidRPr="00D2187D">
        <w:rPr>
          <w:rFonts w:ascii="Arial" w:hAnsi="Arial" w:cs="Arial" w:hint="eastAsia"/>
          <w:kern w:val="0"/>
          <w:sz w:val="24"/>
          <w:szCs w:val="24"/>
        </w:rPr>
        <w:t>was amplified with</w:t>
      </w:r>
      <w:r w:rsidRPr="00D2187D">
        <w:rPr>
          <w:rFonts w:ascii="Arial" w:hAnsi="Arial" w:cs="Arial"/>
          <w:kern w:val="0"/>
          <w:sz w:val="24"/>
          <w:szCs w:val="24"/>
        </w:rPr>
        <w:t xml:space="preserve"> </w:t>
      </w:r>
      <w:r w:rsidRPr="00D2187D">
        <w:rPr>
          <w:rFonts w:ascii="Arial" w:hAnsi="Arial" w:cs="Arial" w:hint="eastAsia"/>
          <w:kern w:val="0"/>
          <w:sz w:val="24"/>
          <w:szCs w:val="24"/>
        </w:rPr>
        <w:t xml:space="preserve">a </w:t>
      </w:r>
      <w:r w:rsidRPr="00D2187D">
        <w:rPr>
          <w:rFonts w:ascii="Arial" w:hAnsi="Arial" w:cs="Arial"/>
          <w:kern w:val="0"/>
          <w:sz w:val="24"/>
          <w:szCs w:val="24"/>
        </w:rPr>
        <w:t>probe specific to target gene DDX27 (Hs01275908_cn)</w:t>
      </w:r>
      <w:r w:rsidRPr="00D2187D">
        <w:rPr>
          <w:rFonts w:ascii="Arial" w:hAnsi="Arial" w:cs="Arial" w:hint="eastAsia"/>
          <w:kern w:val="0"/>
          <w:sz w:val="24"/>
          <w:szCs w:val="24"/>
        </w:rPr>
        <w:t xml:space="preserve"> by </w:t>
      </w:r>
      <w:r w:rsidRPr="00D2187D">
        <w:rPr>
          <w:rFonts w:ascii="Arial" w:hAnsi="Arial" w:cs="Arial"/>
          <w:kern w:val="0"/>
          <w:sz w:val="24"/>
          <w:szCs w:val="24"/>
        </w:rPr>
        <w:t>TaqMan Copy Number Assays (Applied Biosystems, Waltham, MA) in real-time polymerase chain reaction</w:t>
      </w:r>
      <w:r w:rsidRPr="00D2187D">
        <w:rPr>
          <w:rFonts w:ascii="Arial" w:hAnsi="Arial" w:cs="Arial" w:hint="eastAsia"/>
          <w:kern w:val="0"/>
          <w:sz w:val="24"/>
          <w:szCs w:val="24"/>
        </w:rPr>
        <w:t>,</w:t>
      </w:r>
      <w:r w:rsidRPr="00D2187D">
        <w:t xml:space="preserve"> </w:t>
      </w:r>
      <w:r w:rsidRPr="00D2187D">
        <w:rPr>
          <w:rFonts w:ascii="Arial" w:hAnsi="Arial" w:cs="Arial"/>
          <w:kern w:val="0"/>
          <w:sz w:val="24"/>
          <w:szCs w:val="24"/>
        </w:rPr>
        <w:t xml:space="preserve">according to </w:t>
      </w:r>
      <w:r w:rsidRPr="00D2187D">
        <w:rPr>
          <w:rFonts w:ascii="Arial" w:hAnsi="Arial" w:cs="Arial" w:hint="eastAsia"/>
          <w:kern w:val="0"/>
          <w:sz w:val="24"/>
          <w:szCs w:val="24"/>
        </w:rPr>
        <w:t xml:space="preserve">the </w:t>
      </w:r>
      <w:r w:rsidRPr="00D2187D">
        <w:rPr>
          <w:rFonts w:ascii="Arial" w:hAnsi="Arial" w:cs="Arial"/>
          <w:kern w:val="0"/>
          <w:sz w:val="24"/>
          <w:szCs w:val="24"/>
        </w:rPr>
        <w:t>protocol provided by company</w:t>
      </w:r>
      <w:r w:rsidRPr="00D2187D">
        <w:rPr>
          <w:rFonts w:ascii="Arial" w:hAnsi="Arial" w:cs="Arial" w:hint="eastAsia"/>
          <w:kern w:val="0"/>
          <w:sz w:val="24"/>
          <w:szCs w:val="24"/>
        </w:rPr>
        <w:t>.</w:t>
      </w:r>
      <w:r w:rsidRPr="00D2187D">
        <w:rPr>
          <w:rFonts w:ascii="Arial" w:hAnsi="Arial" w:cs="Arial"/>
          <w:kern w:val="0"/>
          <w:sz w:val="24"/>
          <w:szCs w:val="24"/>
        </w:rPr>
        <w:t xml:space="preserve"> </w:t>
      </w:r>
      <w:r w:rsidRPr="00D2187D">
        <w:rPr>
          <w:rFonts w:ascii="Arial" w:hAnsi="Arial" w:cs="Arial" w:hint="eastAsia"/>
          <w:kern w:val="0"/>
          <w:sz w:val="24"/>
          <w:szCs w:val="24"/>
        </w:rPr>
        <w:t>DDX27 copy number was</w:t>
      </w:r>
      <w:r w:rsidRPr="00D2187D">
        <w:rPr>
          <w:rFonts w:ascii="Arial" w:hAnsi="Arial" w:cs="Arial"/>
          <w:kern w:val="0"/>
          <w:sz w:val="24"/>
          <w:szCs w:val="24"/>
        </w:rPr>
        <w:t xml:space="preserve"> analyzed using CopyCaller software v2.0 (Applied Biosystems).</w:t>
      </w:r>
    </w:p>
    <w:p w:rsidR="00FD7244" w:rsidRPr="00D2187D" w:rsidRDefault="00FD7244"/>
    <w:p w:rsidR="00D8206C" w:rsidRPr="00D2187D" w:rsidRDefault="00D8206C" w:rsidP="00D8206C">
      <w:pPr>
        <w:autoSpaceDE w:val="0"/>
        <w:autoSpaceDN w:val="0"/>
        <w:adjustRightInd w:val="0"/>
        <w:spacing w:line="480" w:lineRule="auto"/>
        <w:jc w:val="left"/>
        <w:rPr>
          <w:rFonts w:ascii="Arial" w:hAnsi="Arial" w:cs="Arial"/>
          <w:b/>
          <w:kern w:val="0"/>
          <w:sz w:val="24"/>
          <w:szCs w:val="24"/>
        </w:rPr>
      </w:pPr>
      <w:r w:rsidRPr="00D2187D">
        <w:rPr>
          <w:rFonts w:ascii="Arial" w:hAnsi="Arial" w:cs="Arial"/>
          <w:b/>
          <w:kern w:val="0"/>
          <w:sz w:val="24"/>
          <w:szCs w:val="24"/>
        </w:rPr>
        <w:t>Real-time Quantitative PCR</w:t>
      </w:r>
    </w:p>
    <w:p w:rsidR="00D8206C" w:rsidRPr="00D2187D" w:rsidRDefault="00D8206C" w:rsidP="00D8206C">
      <w:pPr>
        <w:autoSpaceDE w:val="0"/>
        <w:autoSpaceDN w:val="0"/>
        <w:adjustRightInd w:val="0"/>
        <w:spacing w:line="480" w:lineRule="auto"/>
        <w:rPr>
          <w:rFonts w:ascii="Arial" w:hAnsi="Arial" w:cs="Arial"/>
          <w:kern w:val="0"/>
          <w:sz w:val="24"/>
          <w:szCs w:val="24"/>
        </w:rPr>
      </w:pPr>
      <w:r w:rsidRPr="00D2187D">
        <w:rPr>
          <w:rFonts w:ascii="Arial" w:hAnsi="Arial" w:cs="Arial"/>
          <w:kern w:val="0"/>
          <w:sz w:val="24"/>
          <w:szCs w:val="24"/>
        </w:rPr>
        <w:t xml:space="preserve">RNA was extracted using Trizol reagent (Invitrogen, Carlsbad, CA, USA). Complementary DNA (cDNA) was synthesized using Transcriptor Reverse Transcriptase (Roche Applied Sciences, Indianapolis, IN, USA). Quantitative PCR was performed on a LightCycler 480 real-time PCR system (Roche Applied Science) using the LightCycler 480 SYBR Green I Master (Roche Applied Science). The primers used were listed in </w:t>
      </w:r>
      <w:r w:rsidRPr="00D2187D">
        <w:rPr>
          <w:rFonts w:ascii="Arial" w:hAnsi="Arial" w:cs="Arial" w:hint="eastAsia"/>
          <w:b/>
          <w:sz w:val="24"/>
          <w:szCs w:val="24"/>
        </w:rPr>
        <w:t>T</w:t>
      </w:r>
      <w:r w:rsidRPr="00D2187D">
        <w:rPr>
          <w:rFonts w:ascii="Arial" w:eastAsia="PMingLiU" w:hAnsi="Arial" w:cs="Arial"/>
          <w:b/>
          <w:sz w:val="24"/>
          <w:szCs w:val="24"/>
          <w:lang w:eastAsia="zh-HK"/>
        </w:rPr>
        <w:t xml:space="preserve">able </w:t>
      </w:r>
      <w:r w:rsidRPr="00D2187D">
        <w:rPr>
          <w:rFonts w:ascii="Arial" w:hAnsi="Arial" w:cs="Arial" w:hint="eastAsia"/>
          <w:b/>
          <w:sz w:val="24"/>
          <w:szCs w:val="24"/>
        </w:rPr>
        <w:t>S</w:t>
      </w:r>
      <w:r w:rsidRPr="00D2187D">
        <w:rPr>
          <w:rFonts w:ascii="Arial" w:hAnsi="Arial" w:cs="Arial"/>
          <w:b/>
          <w:sz w:val="24"/>
          <w:szCs w:val="24"/>
        </w:rPr>
        <w:t>13</w:t>
      </w:r>
      <w:r w:rsidRPr="00D2187D">
        <w:rPr>
          <w:rFonts w:ascii="Arial" w:hAnsi="Arial" w:cs="Arial"/>
          <w:kern w:val="0"/>
          <w:sz w:val="24"/>
          <w:szCs w:val="24"/>
        </w:rPr>
        <w:t>. The relative expression level was normalized to β-actin and corrected for the mean of the abundance of control group.</w:t>
      </w:r>
    </w:p>
    <w:p w:rsidR="00D8206C" w:rsidRPr="00D2187D" w:rsidRDefault="00D8206C" w:rsidP="00D8206C">
      <w:pPr>
        <w:autoSpaceDE w:val="0"/>
        <w:autoSpaceDN w:val="0"/>
        <w:adjustRightInd w:val="0"/>
        <w:spacing w:line="480" w:lineRule="auto"/>
        <w:jc w:val="left"/>
        <w:rPr>
          <w:rFonts w:ascii="Arial" w:hAnsi="Arial" w:cs="Arial"/>
          <w:b/>
          <w:kern w:val="0"/>
          <w:sz w:val="24"/>
          <w:szCs w:val="24"/>
        </w:rPr>
      </w:pPr>
    </w:p>
    <w:p w:rsidR="00D8206C" w:rsidRPr="00D2187D" w:rsidRDefault="00D8206C" w:rsidP="00D8206C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D2187D">
        <w:rPr>
          <w:rFonts w:ascii="Arial" w:hAnsi="Arial" w:cs="Arial"/>
          <w:b/>
          <w:sz w:val="24"/>
          <w:szCs w:val="24"/>
        </w:rPr>
        <w:t>Cell Lines</w:t>
      </w:r>
    </w:p>
    <w:p w:rsidR="00D8206C" w:rsidRPr="00D2187D" w:rsidRDefault="00D8206C" w:rsidP="00D8206C">
      <w:pPr>
        <w:autoSpaceDE w:val="0"/>
        <w:autoSpaceDN w:val="0"/>
        <w:adjustRightInd w:val="0"/>
        <w:spacing w:line="480" w:lineRule="auto"/>
        <w:rPr>
          <w:rFonts w:ascii="Arial" w:hAnsi="Arial" w:cs="Arial"/>
          <w:kern w:val="0"/>
          <w:sz w:val="24"/>
          <w:szCs w:val="24"/>
        </w:rPr>
      </w:pPr>
      <w:r w:rsidRPr="00D2187D">
        <w:rPr>
          <w:rFonts w:ascii="Arial" w:hAnsi="Arial" w:cs="Arial"/>
          <w:kern w:val="0"/>
          <w:sz w:val="24"/>
          <w:szCs w:val="24"/>
        </w:rPr>
        <w:t>Human CRC cell lines (DLD-1, LoVo, HT29, HCT116, SW1116, SW480, and SW620)</w:t>
      </w:r>
      <w:r w:rsidRPr="00D2187D">
        <w:rPr>
          <w:rFonts w:ascii="Arial" w:hAnsi="Arial" w:cs="Arial" w:hint="eastAsia"/>
          <w:kern w:val="0"/>
          <w:sz w:val="24"/>
          <w:szCs w:val="24"/>
        </w:rPr>
        <w:t xml:space="preserve"> and </w:t>
      </w:r>
      <w:r w:rsidRPr="00D2187D">
        <w:rPr>
          <w:rFonts w:ascii="Arial" w:hAnsi="Arial" w:cs="Arial"/>
          <w:kern w:val="0"/>
          <w:sz w:val="24"/>
          <w:szCs w:val="24"/>
        </w:rPr>
        <w:t xml:space="preserve">HEK293T were obtained from the American Type Culture Collection (ATCC, Manassas, VA, USA). The colon normal epithelial cell line NCM460 was </w:t>
      </w:r>
      <w:r w:rsidRPr="00D2187D">
        <w:rPr>
          <w:rFonts w:ascii="Arial" w:hAnsi="Arial" w:cs="Arial"/>
          <w:kern w:val="0"/>
          <w:sz w:val="24"/>
          <w:szCs w:val="24"/>
        </w:rPr>
        <w:lastRenderedPageBreak/>
        <w:t>obtained from Incell Corporation (San Antonio, Texas, USA). HT29 and</w:t>
      </w:r>
      <w:r w:rsidRPr="00D2187D">
        <w:rPr>
          <w:rFonts w:ascii="Arial" w:hAnsi="Arial" w:cs="Arial" w:hint="eastAsia"/>
          <w:kern w:val="0"/>
          <w:sz w:val="24"/>
          <w:szCs w:val="24"/>
        </w:rPr>
        <w:t xml:space="preserve"> </w:t>
      </w:r>
      <w:r w:rsidRPr="00D2187D">
        <w:rPr>
          <w:rFonts w:ascii="Arial" w:hAnsi="Arial" w:cs="Arial"/>
          <w:kern w:val="0"/>
          <w:sz w:val="24"/>
          <w:szCs w:val="24"/>
        </w:rPr>
        <w:t>HCT116</w:t>
      </w:r>
      <w:r w:rsidRPr="00D2187D">
        <w:rPr>
          <w:rFonts w:ascii="Arial" w:hAnsi="Arial" w:cs="Arial" w:hint="eastAsia"/>
          <w:kern w:val="0"/>
          <w:sz w:val="24"/>
          <w:szCs w:val="24"/>
        </w:rPr>
        <w:t xml:space="preserve"> </w:t>
      </w:r>
      <w:r w:rsidRPr="00D2187D">
        <w:rPr>
          <w:rFonts w:ascii="Arial" w:hAnsi="Arial" w:cs="Arial"/>
          <w:kern w:val="0"/>
          <w:sz w:val="24"/>
          <w:szCs w:val="24"/>
        </w:rPr>
        <w:t>were cultured in McCoy’s 5A modified medium (Invitrogen). LoVo, SW480, SW620</w:t>
      </w:r>
      <w:r w:rsidRPr="00D2187D">
        <w:rPr>
          <w:rFonts w:ascii="Arial" w:hAnsi="Arial" w:cs="Arial" w:hint="eastAsia"/>
          <w:kern w:val="0"/>
          <w:sz w:val="24"/>
          <w:szCs w:val="24"/>
        </w:rPr>
        <w:t>,</w:t>
      </w:r>
      <w:r w:rsidRPr="00D2187D">
        <w:rPr>
          <w:rFonts w:ascii="Arial" w:hAnsi="Arial" w:cs="Arial"/>
          <w:kern w:val="0"/>
          <w:sz w:val="24"/>
          <w:szCs w:val="24"/>
        </w:rPr>
        <w:t xml:space="preserve"> NCM460</w:t>
      </w:r>
      <w:r w:rsidRPr="00D2187D">
        <w:rPr>
          <w:rFonts w:ascii="Arial" w:hAnsi="Arial" w:cs="Arial" w:hint="eastAsia"/>
          <w:kern w:val="0"/>
          <w:sz w:val="24"/>
          <w:szCs w:val="24"/>
        </w:rPr>
        <w:t xml:space="preserve"> and </w:t>
      </w:r>
      <w:r w:rsidRPr="00D2187D">
        <w:rPr>
          <w:rFonts w:ascii="Arial" w:hAnsi="Arial" w:cs="Arial"/>
          <w:kern w:val="0"/>
          <w:sz w:val="24"/>
          <w:szCs w:val="24"/>
        </w:rPr>
        <w:t>HEK293T were cultured in DMEM (Invitrogen). DLD-1 and SW1116</w:t>
      </w:r>
      <w:r w:rsidRPr="00D2187D">
        <w:rPr>
          <w:rFonts w:ascii="Arial" w:hAnsi="Arial" w:cs="Arial" w:hint="eastAsia"/>
          <w:kern w:val="0"/>
          <w:sz w:val="24"/>
          <w:szCs w:val="24"/>
        </w:rPr>
        <w:t xml:space="preserve"> </w:t>
      </w:r>
      <w:r w:rsidRPr="00D2187D">
        <w:rPr>
          <w:rFonts w:ascii="Arial" w:hAnsi="Arial" w:cs="Arial"/>
          <w:kern w:val="0"/>
          <w:sz w:val="24"/>
          <w:szCs w:val="24"/>
        </w:rPr>
        <w:t>were cultured in</w:t>
      </w:r>
      <w:r w:rsidRPr="00D2187D">
        <w:rPr>
          <w:rFonts w:ascii="Arial" w:hAnsi="Arial" w:cs="Arial" w:hint="eastAsia"/>
          <w:kern w:val="0"/>
          <w:sz w:val="24"/>
          <w:szCs w:val="24"/>
        </w:rPr>
        <w:t xml:space="preserve"> </w:t>
      </w:r>
      <w:r w:rsidRPr="00D2187D">
        <w:rPr>
          <w:rFonts w:ascii="Arial" w:hAnsi="Arial" w:cs="Arial"/>
          <w:kern w:val="0"/>
          <w:sz w:val="24"/>
          <w:szCs w:val="24"/>
        </w:rPr>
        <w:t>1640 medium (Gibco, Rockville, MD, USA). All medium w</w:t>
      </w:r>
      <w:r w:rsidRPr="00D2187D">
        <w:rPr>
          <w:rFonts w:ascii="Arial" w:hAnsi="Arial" w:cs="Arial" w:hint="eastAsia"/>
          <w:kern w:val="0"/>
          <w:sz w:val="24"/>
          <w:szCs w:val="24"/>
        </w:rPr>
        <w:t>ere</w:t>
      </w:r>
      <w:r w:rsidRPr="00D2187D">
        <w:rPr>
          <w:rFonts w:ascii="Arial" w:hAnsi="Arial" w:cs="Arial"/>
          <w:kern w:val="0"/>
          <w:sz w:val="24"/>
          <w:szCs w:val="24"/>
        </w:rPr>
        <w:t xml:space="preserve"> supplemented with 10% fetal bovine serum (Gibco).</w:t>
      </w:r>
    </w:p>
    <w:p w:rsidR="00D8206C" w:rsidRPr="00D2187D" w:rsidRDefault="00D8206C"/>
    <w:p w:rsidR="00D8206C" w:rsidRPr="00D2187D" w:rsidRDefault="00D8206C" w:rsidP="00D8206C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sz w:val="24"/>
          <w:szCs w:val="24"/>
        </w:rPr>
      </w:pPr>
      <w:r w:rsidRPr="00D2187D">
        <w:rPr>
          <w:rFonts w:ascii="Arial" w:hAnsi="Arial" w:cs="Arial"/>
          <w:b/>
          <w:sz w:val="24"/>
          <w:szCs w:val="24"/>
        </w:rPr>
        <w:t>Lentivirus Packaging and Transduction</w:t>
      </w:r>
    </w:p>
    <w:p w:rsidR="00D8206C" w:rsidRPr="00D2187D" w:rsidRDefault="00D8206C" w:rsidP="00D8206C">
      <w:pPr>
        <w:autoSpaceDE w:val="0"/>
        <w:autoSpaceDN w:val="0"/>
        <w:adjustRightInd w:val="0"/>
        <w:spacing w:line="480" w:lineRule="auto"/>
        <w:rPr>
          <w:rFonts w:ascii="Arial" w:hAnsi="Arial" w:cs="Arial"/>
          <w:kern w:val="0"/>
          <w:sz w:val="24"/>
          <w:szCs w:val="24"/>
        </w:rPr>
      </w:pPr>
      <w:r w:rsidRPr="00D2187D">
        <w:rPr>
          <w:rFonts w:ascii="Arial" w:hAnsi="Arial" w:cs="Arial"/>
          <w:kern w:val="0"/>
          <w:sz w:val="24"/>
          <w:szCs w:val="24"/>
        </w:rPr>
        <w:t>Two short hairpin RNAs targeting human DDX27 (</w:t>
      </w:r>
      <w:r w:rsidRPr="00D2187D">
        <w:rPr>
          <w:rFonts w:ascii="Arial" w:hAnsi="Arial" w:cs="Arial" w:hint="eastAsia"/>
          <w:kern w:val="0"/>
          <w:sz w:val="24"/>
          <w:szCs w:val="24"/>
        </w:rPr>
        <w:t xml:space="preserve">shDDX27-1: </w:t>
      </w:r>
      <w:r w:rsidRPr="00D2187D">
        <w:rPr>
          <w:rFonts w:ascii="Arial" w:hAnsi="Arial" w:cs="Arial"/>
          <w:kern w:val="0"/>
          <w:sz w:val="24"/>
          <w:szCs w:val="24"/>
        </w:rPr>
        <w:t xml:space="preserve">5’- GCUGAUUUCAACCCUGAUUTT-3’ and </w:t>
      </w:r>
      <w:r w:rsidRPr="00D2187D">
        <w:rPr>
          <w:rFonts w:ascii="Arial" w:hAnsi="Arial" w:cs="Arial" w:hint="eastAsia"/>
          <w:kern w:val="0"/>
          <w:sz w:val="24"/>
          <w:szCs w:val="24"/>
        </w:rPr>
        <w:t xml:space="preserve">shDDX27-2: </w:t>
      </w:r>
      <w:r w:rsidRPr="00D2187D">
        <w:rPr>
          <w:rFonts w:ascii="Arial" w:hAnsi="Arial" w:cs="Arial"/>
          <w:kern w:val="0"/>
          <w:sz w:val="24"/>
          <w:szCs w:val="24"/>
        </w:rPr>
        <w:t xml:space="preserve">5’- GCCCAGAUCAAUACAGCAATT- 3’) and a non-targeting RNA sequence serving as a negative control were cloned into the pGPU6 vector (Genepharma, Shanghai, China). Virus packaging was performed in HEK293T cells. </w:t>
      </w:r>
    </w:p>
    <w:p w:rsidR="00D8206C" w:rsidRPr="00D2187D" w:rsidRDefault="00D8206C" w:rsidP="00D8206C">
      <w:pPr>
        <w:autoSpaceDE w:val="0"/>
        <w:autoSpaceDN w:val="0"/>
        <w:adjustRightInd w:val="0"/>
        <w:spacing w:line="480" w:lineRule="auto"/>
        <w:rPr>
          <w:rFonts w:ascii="Arial" w:hAnsi="Arial" w:cs="Arial"/>
          <w:kern w:val="0"/>
          <w:sz w:val="24"/>
          <w:szCs w:val="24"/>
        </w:rPr>
      </w:pPr>
      <w:r w:rsidRPr="00D2187D">
        <w:rPr>
          <w:rFonts w:ascii="Arial" w:hAnsi="Arial" w:cs="Arial"/>
          <w:kern w:val="0"/>
          <w:sz w:val="24"/>
          <w:szCs w:val="24"/>
        </w:rPr>
        <w:t>The full-length human DDX27 cDNA (NM_017895.7) was cloned into the pCMV vector (Genepharma). Virus packaging and transduction followed the same steps described above. Empty vector (EV) was served as control.</w:t>
      </w:r>
    </w:p>
    <w:p w:rsidR="00D8206C" w:rsidRPr="00D2187D" w:rsidRDefault="00D8206C" w:rsidP="00D8206C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kern w:val="0"/>
          <w:sz w:val="24"/>
          <w:szCs w:val="24"/>
        </w:rPr>
      </w:pPr>
    </w:p>
    <w:p w:rsidR="00D8206C" w:rsidRPr="00D2187D" w:rsidRDefault="00D8206C" w:rsidP="00D8206C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kern w:val="0"/>
          <w:sz w:val="24"/>
          <w:szCs w:val="24"/>
        </w:rPr>
      </w:pPr>
      <w:r w:rsidRPr="00D2187D">
        <w:rPr>
          <w:rFonts w:ascii="Arial" w:hAnsi="Arial" w:cs="Arial"/>
          <w:b/>
          <w:kern w:val="0"/>
          <w:sz w:val="24"/>
          <w:szCs w:val="24"/>
        </w:rPr>
        <w:t>Small Interfering RNA-Mediated Gene Silencing</w:t>
      </w:r>
    </w:p>
    <w:p w:rsidR="00D8206C" w:rsidRPr="00D2187D" w:rsidRDefault="00D8206C" w:rsidP="00D8206C">
      <w:pPr>
        <w:autoSpaceDE w:val="0"/>
        <w:autoSpaceDN w:val="0"/>
        <w:adjustRightInd w:val="0"/>
        <w:spacing w:line="480" w:lineRule="auto"/>
        <w:rPr>
          <w:rFonts w:ascii="Arial" w:hAnsi="Arial" w:cs="Arial"/>
          <w:kern w:val="0"/>
          <w:sz w:val="24"/>
          <w:szCs w:val="24"/>
        </w:rPr>
      </w:pPr>
      <w:r w:rsidRPr="00D2187D">
        <w:rPr>
          <w:rFonts w:ascii="Arial" w:hAnsi="Arial" w:cs="Arial"/>
          <w:kern w:val="0"/>
          <w:sz w:val="24"/>
          <w:szCs w:val="24"/>
        </w:rPr>
        <w:t xml:space="preserve">The sequences of </w:t>
      </w:r>
      <w:r w:rsidRPr="00D2187D">
        <w:rPr>
          <w:rFonts w:ascii="Arial" w:hAnsi="Arial" w:cs="Arial" w:hint="eastAsia"/>
          <w:kern w:val="0"/>
          <w:sz w:val="24"/>
          <w:szCs w:val="24"/>
        </w:rPr>
        <w:t>NPM1</w:t>
      </w:r>
      <w:r w:rsidRPr="00D2187D">
        <w:rPr>
          <w:rFonts w:ascii="Arial" w:hAnsi="Arial" w:cs="Arial"/>
          <w:kern w:val="0"/>
          <w:sz w:val="24"/>
          <w:szCs w:val="24"/>
        </w:rPr>
        <w:t>-small interfering RNAs (Genepharma) are as follows: GUGCAAAGGAUGAGUUGCATT (sense:</w:t>
      </w:r>
      <w:r w:rsidRPr="00D2187D">
        <w:rPr>
          <w:rFonts w:ascii="Arial" w:hAnsi="Arial" w:cs="Arial" w:hint="eastAsia"/>
          <w:kern w:val="0"/>
          <w:sz w:val="24"/>
          <w:szCs w:val="24"/>
        </w:rPr>
        <w:t xml:space="preserve"> 5</w:t>
      </w:r>
      <w:r w:rsidRPr="00D2187D">
        <w:rPr>
          <w:rFonts w:ascii="Arial" w:hAnsi="Arial" w:cs="Arial"/>
          <w:kern w:val="0"/>
          <w:sz w:val="24"/>
          <w:szCs w:val="24"/>
        </w:rPr>
        <w:t>’</w:t>
      </w:r>
      <w:r w:rsidRPr="00D2187D">
        <w:rPr>
          <w:rFonts w:ascii="Arial" w:hAnsi="Arial" w:cs="Arial" w:hint="eastAsia"/>
          <w:kern w:val="0"/>
          <w:sz w:val="24"/>
          <w:szCs w:val="24"/>
        </w:rPr>
        <w:t>–</w:t>
      </w:r>
      <w:r w:rsidRPr="00D2187D">
        <w:rPr>
          <w:rFonts w:ascii="Arial" w:hAnsi="Arial" w:cs="Arial" w:hint="eastAsia"/>
          <w:kern w:val="0"/>
          <w:sz w:val="24"/>
          <w:szCs w:val="24"/>
        </w:rPr>
        <w:t>3</w:t>
      </w:r>
      <w:r w:rsidRPr="00D2187D">
        <w:rPr>
          <w:rFonts w:ascii="Arial" w:hAnsi="Arial" w:cs="Arial"/>
          <w:kern w:val="0"/>
          <w:sz w:val="24"/>
          <w:szCs w:val="24"/>
        </w:rPr>
        <w:t>’</w:t>
      </w:r>
      <w:r w:rsidRPr="00D2187D">
        <w:rPr>
          <w:rFonts w:ascii="Arial" w:hAnsi="Arial" w:cs="Arial" w:hint="eastAsia"/>
          <w:kern w:val="0"/>
          <w:sz w:val="24"/>
          <w:szCs w:val="24"/>
        </w:rPr>
        <w:t xml:space="preserve">) and </w:t>
      </w:r>
      <w:r w:rsidRPr="00D2187D">
        <w:rPr>
          <w:rFonts w:ascii="Arial" w:hAnsi="Arial" w:cs="Arial"/>
          <w:kern w:val="0"/>
          <w:sz w:val="24"/>
          <w:szCs w:val="24"/>
        </w:rPr>
        <w:t>UGCAACUCAUCCUUUGCACTT</w:t>
      </w:r>
      <w:r w:rsidRPr="00D2187D">
        <w:rPr>
          <w:rFonts w:ascii="Arial" w:hAnsi="Arial" w:cs="Arial" w:hint="eastAsia"/>
          <w:kern w:val="0"/>
          <w:sz w:val="24"/>
          <w:szCs w:val="24"/>
        </w:rPr>
        <w:t xml:space="preserve"> (anti-sense: 5</w:t>
      </w:r>
      <w:r w:rsidRPr="00D2187D">
        <w:rPr>
          <w:rFonts w:ascii="Arial" w:hAnsi="Arial" w:cs="Arial"/>
          <w:kern w:val="0"/>
          <w:sz w:val="24"/>
          <w:szCs w:val="24"/>
        </w:rPr>
        <w:t>’</w:t>
      </w:r>
      <w:r w:rsidRPr="00D2187D">
        <w:rPr>
          <w:rFonts w:ascii="Arial" w:hAnsi="Arial" w:cs="Arial" w:hint="eastAsia"/>
          <w:kern w:val="0"/>
          <w:sz w:val="24"/>
          <w:szCs w:val="24"/>
        </w:rPr>
        <w:t>–</w:t>
      </w:r>
      <w:r w:rsidRPr="00D2187D">
        <w:rPr>
          <w:rFonts w:ascii="Arial" w:hAnsi="Arial" w:cs="Arial" w:hint="eastAsia"/>
          <w:kern w:val="0"/>
          <w:sz w:val="24"/>
          <w:szCs w:val="24"/>
        </w:rPr>
        <w:t>3</w:t>
      </w:r>
      <w:r w:rsidRPr="00D2187D">
        <w:rPr>
          <w:rFonts w:ascii="Arial" w:hAnsi="Arial" w:cs="Arial"/>
          <w:kern w:val="0"/>
          <w:sz w:val="24"/>
          <w:szCs w:val="24"/>
        </w:rPr>
        <w:t>’</w:t>
      </w:r>
      <w:r w:rsidRPr="00D2187D">
        <w:rPr>
          <w:rFonts w:ascii="Arial" w:hAnsi="Arial" w:cs="Arial" w:hint="eastAsia"/>
          <w:kern w:val="0"/>
          <w:sz w:val="24"/>
          <w:szCs w:val="24"/>
        </w:rPr>
        <w:t>). A</w:t>
      </w:r>
      <w:r w:rsidRPr="00D2187D">
        <w:rPr>
          <w:rFonts w:ascii="Arial" w:hAnsi="Arial" w:cs="Arial"/>
          <w:kern w:val="0"/>
          <w:sz w:val="24"/>
          <w:szCs w:val="24"/>
        </w:rPr>
        <w:t xml:space="preserve"> non-targeting RNA sequence </w:t>
      </w:r>
      <w:r w:rsidRPr="00D2187D">
        <w:rPr>
          <w:rFonts w:ascii="Arial" w:hAnsi="Arial" w:cs="Arial" w:hint="eastAsia"/>
          <w:kern w:val="0"/>
          <w:sz w:val="24"/>
          <w:szCs w:val="24"/>
        </w:rPr>
        <w:t xml:space="preserve">was </w:t>
      </w:r>
      <w:r w:rsidRPr="00D2187D">
        <w:rPr>
          <w:rFonts w:ascii="Arial" w:hAnsi="Arial" w:cs="Arial"/>
          <w:kern w:val="0"/>
          <w:sz w:val="24"/>
          <w:szCs w:val="24"/>
        </w:rPr>
        <w:t>serv</w:t>
      </w:r>
      <w:r w:rsidRPr="00D2187D">
        <w:rPr>
          <w:rFonts w:ascii="Arial" w:hAnsi="Arial" w:cs="Arial" w:hint="eastAsia"/>
          <w:kern w:val="0"/>
          <w:sz w:val="24"/>
          <w:szCs w:val="24"/>
        </w:rPr>
        <w:t>ed</w:t>
      </w:r>
      <w:r w:rsidRPr="00D2187D">
        <w:rPr>
          <w:rFonts w:ascii="Arial" w:hAnsi="Arial" w:cs="Arial"/>
          <w:kern w:val="0"/>
          <w:sz w:val="24"/>
          <w:szCs w:val="24"/>
        </w:rPr>
        <w:t xml:space="preserve"> as a negative control</w:t>
      </w:r>
      <w:r w:rsidRPr="00D2187D">
        <w:rPr>
          <w:rFonts w:ascii="Arial" w:hAnsi="Arial" w:cs="Arial" w:hint="eastAsia"/>
          <w:kern w:val="0"/>
          <w:sz w:val="24"/>
          <w:szCs w:val="24"/>
        </w:rPr>
        <w:t>.</w:t>
      </w:r>
      <w:r w:rsidRPr="00D2187D">
        <w:rPr>
          <w:rFonts w:ascii="Arial" w:hAnsi="Arial" w:cs="Arial"/>
          <w:kern w:val="0"/>
          <w:sz w:val="24"/>
          <w:szCs w:val="24"/>
        </w:rPr>
        <w:t xml:space="preserve"> </w:t>
      </w:r>
    </w:p>
    <w:p w:rsidR="00D8206C" w:rsidRPr="00D2187D" w:rsidRDefault="00D8206C" w:rsidP="00D8206C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sz w:val="24"/>
          <w:szCs w:val="24"/>
        </w:rPr>
      </w:pPr>
    </w:p>
    <w:p w:rsidR="00D8206C" w:rsidRPr="00D2187D" w:rsidRDefault="00D8206C" w:rsidP="00D8206C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sz w:val="24"/>
          <w:szCs w:val="24"/>
        </w:rPr>
      </w:pPr>
      <w:r w:rsidRPr="00D2187D">
        <w:rPr>
          <w:rFonts w:ascii="Arial" w:hAnsi="Arial" w:cs="Arial"/>
          <w:b/>
          <w:sz w:val="24"/>
          <w:szCs w:val="24"/>
        </w:rPr>
        <w:t>Cell Viability and Colony Formation Assay</w:t>
      </w:r>
    </w:p>
    <w:p w:rsidR="00D8206C" w:rsidRPr="00D2187D" w:rsidRDefault="00D8206C" w:rsidP="00D8206C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4"/>
          <w:szCs w:val="24"/>
        </w:rPr>
      </w:pPr>
      <w:r w:rsidRPr="00D2187D">
        <w:rPr>
          <w:rFonts w:ascii="Arial" w:hAnsi="Arial" w:cs="Arial"/>
          <w:kern w:val="0"/>
          <w:sz w:val="24"/>
          <w:szCs w:val="24"/>
        </w:rPr>
        <w:t>Cells (1 × 10</w:t>
      </w:r>
      <w:r w:rsidRPr="00D2187D">
        <w:rPr>
          <w:rFonts w:ascii="Arial" w:hAnsi="Arial" w:cs="Arial"/>
          <w:kern w:val="0"/>
          <w:sz w:val="24"/>
          <w:szCs w:val="24"/>
          <w:vertAlign w:val="superscript"/>
        </w:rPr>
        <w:t>3</w:t>
      </w:r>
      <w:r w:rsidRPr="00D2187D">
        <w:rPr>
          <w:rFonts w:ascii="Arial" w:hAnsi="Arial" w:cs="Arial"/>
          <w:kern w:val="0"/>
          <w:sz w:val="24"/>
          <w:szCs w:val="24"/>
        </w:rPr>
        <w:t xml:space="preserve"> per well) were seeded in a 96-well plate. MTT (5 mg/ml; Promega, </w:t>
      </w:r>
      <w:r w:rsidRPr="00D2187D">
        <w:rPr>
          <w:rFonts w:ascii="Arial" w:hAnsi="Arial" w:cs="Arial"/>
          <w:kern w:val="0"/>
          <w:sz w:val="24"/>
          <w:szCs w:val="24"/>
        </w:rPr>
        <w:lastRenderedPageBreak/>
        <w:t xml:space="preserve">Madison, WI, USA) was added to the culture to equal one-tenth the original culture volume. The reaction was stopped by 100uL/well dimethyl sulfoxide (DMSO). Absorbance (A570) was measured. For colony formation assay, cells (500 per well) were seeded in 12-well plate for 2 weeks. Colonies were fixed with methanol/acetone (1:1), stained with Gentian violet, and counted. </w:t>
      </w:r>
      <w:r w:rsidRPr="00D2187D">
        <w:rPr>
          <w:rFonts w:ascii="Arial" w:hAnsi="Arial" w:cs="Arial"/>
          <w:sz w:val="24"/>
          <w:szCs w:val="24"/>
        </w:rPr>
        <w:t xml:space="preserve">Caffeic acid phenethyl ester (CAPE) and </w:t>
      </w:r>
      <w:bookmarkStart w:id="0" w:name="OLE_LINK57"/>
      <w:bookmarkStart w:id="1" w:name="OLE_LINK58"/>
      <w:r w:rsidRPr="00D2187D">
        <w:rPr>
          <w:rFonts w:ascii="Arial" w:hAnsi="Arial" w:cs="Arial"/>
          <w:sz w:val="24"/>
          <w:szCs w:val="24"/>
        </w:rPr>
        <w:t>4-methyl-1-N- (3-phenylpropyl) benzene-1,2-diamine (JSH-23</w:t>
      </w:r>
      <w:bookmarkEnd w:id="0"/>
      <w:bookmarkEnd w:id="1"/>
      <w:r w:rsidRPr="00D2187D">
        <w:rPr>
          <w:rFonts w:ascii="Arial" w:hAnsi="Arial" w:cs="Arial"/>
          <w:sz w:val="24"/>
          <w:szCs w:val="24"/>
        </w:rPr>
        <w:t xml:space="preserve">) were purchased from </w:t>
      </w:r>
      <w:bookmarkStart w:id="2" w:name="OLE_LINK53"/>
      <w:bookmarkStart w:id="3" w:name="OLE_LINK54"/>
      <w:r w:rsidRPr="00D2187D">
        <w:rPr>
          <w:rFonts w:ascii="Arial" w:hAnsi="Arial" w:cs="Arial"/>
          <w:sz w:val="24"/>
          <w:szCs w:val="24"/>
        </w:rPr>
        <w:t>ApexBio</w:t>
      </w:r>
      <w:bookmarkEnd w:id="2"/>
      <w:bookmarkEnd w:id="3"/>
      <w:r w:rsidRPr="00D2187D">
        <w:rPr>
          <w:rFonts w:ascii="Arial" w:hAnsi="Arial" w:cs="Arial"/>
          <w:sz w:val="24"/>
          <w:szCs w:val="24"/>
        </w:rPr>
        <w:t xml:space="preserve"> company (Shanghai, China). </w:t>
      </w:r>
    </w:p>
    <w:p w:rsidR="00C26FAB" w:rsidRPr="00D2187D" w:rsidRDefault="00C26FAB" w:rsidP="00D8206C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4"/>
          <w:szCs w:val="24"/>
        </w:rPr>
      </w:pPr>
    </w:p>
    <w:p w:rsidR="00C26FAB" w:rsidRPr="00D2187D" w:rsidRDefault="00C26FAB" w:rsidP="00C26FAB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sz w:val="24"/>
          <w:szCs w:val="24"/>
        </w:rPr>
      </w:pPr>
      <w:r w:rsidRPr="00D2187D">
        <w:rPr>
          <w:rFonts w:ascii="Arial" w:hAnsi="Arial" w:cs="Arial"/>
          <w:b/>
          <w:sz w:val="24"/>
          <w:szCs w:val="24"/>
        </w:rPr>
        <w:t>BrdU cell proliferation assay</w:t>
      </w:r>
    </w:p>
    <w:p w:rsidR="00C26FAB" w:rsidRPr="00D2187D" w:rsidRDefault="00C26FAB" w:rsidP="00C26FAB">
      <w:pPr>
        <w:autoSpaceDE w:val="0"/>
        <w:autoSpaceDN w:val="0"/>
        <w:adjustRightInd w:val="0"/>
        <w:spacing w:line="480" w:lineRule="auto"/>
        <w:rPr>
          <w:rFonts w:ascii="Arial" w:hAnsi="Arial" w:cs="Arial"/>
          <w:kern w:val="0"/>
          <w:sz w:val="24"/>
          <w:szCs w:val="24"/>
        </w:rPr>
      </w:pPr>
      <w:r w:rsidRPr="00D2187D">
        <w:rPr>
          <w:rFonts w:ascii="Arial" w:hAnsi="Arial" w:cs="Arial"/>
          <w:sz w:val="24"/>
          <w:szCs w:val="24"/>
        </w:rPr>
        <w:t xml:space="preserve">The BrdU </w:t>
      </w:r>
      <w:r w:rsidR="005A2591" w:rsidRPr="00D2187D">
        <w:rPr>
          <w:rFonts w:ascii="Arial" w:hAnsi="Arial" w:cs="Arial"/>
          <w:sz w:val="24"/>
          <w:szCs w:val="24"/>
        </w:rPr>
        <w:t>c</w:t>
      </w:r>
      <w:r w:rsidRPr="00D2187D">
        <w:rPr>
          <w:rFonts w:ascii="Arial" w:hAnsi="Arial" w:cs="Arial"/>
          <w:sz w:val="24"/>
          <w:szCs w:val="24"/>
        </w:rPr>
        <w:t xml:space="preserve">ell </w:t>
      </w:r>
      <w:r w:rsidR="005A2591" w:rsidRPr="00D2187D">
        <w:rPr>
          <w:rFonts w:ascii="Arial" w:hAnsi="Arial" w:cs="Arial"/>
          <w:sz w:val="24"/>
          <w:szCs w:val="24"/>
        </w:rPr>
        <w:t>p</w:t>
      </w:r>
      <w:r w:rsidRPr="00D2187D">
        <w:rPr>
          <w:rFonts w:ascii="Arial" w:hAnsi="Arial" w:cs="Arial"/>
          <w:sz w:val="24"/>
          <w:szCs w:val="24"/>
        </w:rPr>
        <w:t xml:space="preserve">roliferation </w:t>
      </w:r>
      <w:r w:rsidR="005A2591" w:rsidRPr="00D2187D">
        <w:rPr>
          <w:rFonts w:ascii="Arial" w:hAnsi="Arial" w:cs="Arial"/>
          <w:sz w:val="24"/>
          <w:szCs w:val="24"/>
        </w:rPr>
        <w:t>a</w:t>
      </w:r>
      <w:r w:rsidRPr="00D2187D">
        <w:rPr>
          <w:rFonts w:ascii="Arial" w:hAnsi="Arial" w:cs="Arial"/>
          <w:sz w:val="24"/>
          <w:szCs w:val="24"/>
        </w:rPr>
        <w:t xml:space="preserve">ssay kit was obtained from Cell Signaling Technology (Danvers, MA, USA). </w:t>
      </w:r>
      <w:r w:rsidR="001C2AF4" w:rsidRPr="00D2187D">
        <w:rPr>
          <w:rFonts w:ascii="Arial" w:hAnsi="Arial" w:cs="Arial"/>
          <w:sz w:val="24"/>
          <w:szCs w:val="24"/>
        </w:rPr>
        <w:t>C</w:t>
      </w:r>
      <w:r w:rsidR="00F058B4" w:rsidRPr="00D2187D">
        <w:rPr>
          <w:rFonts w:ascii="Arial" w:hAnsi="Arial" w:cs="Arial"/>
          <w:sz w:val="24"/>
          <w:szCs w:val="24"/>
        </w:rPr>
        <w:t xml:space="preserve">ells </w:t>
      </w:r>
      <w:r w:rsidRPr="00D2187D">
        <w:rPr>
          <w:rFonts w:ascii="Arial" w:hAnsi="Arial" w:cs="Arial"/>
          <w:sz w:val="24"/>
          <w:szCs w:val="24"/>
        </w:rPr>
        <w:t xml:space="preserve">were plated </w:t>
      </w:r>
      <w:r w:rsidR="00F058B4" w:rsidRPr="00D2187D">
        <w:rPr>
          <w:rFonts w:ascii="Arial" w:hAnsi="Arial" w:cs="Arial"/>
          <w:sz w:val="24"/>
          <w:szCs w:val="24"/>
        </w:rPr>
        <w:t xml:space="preserve">in 96-well plates </w:t>
      </w:r>
      <w:r w:rsidRPr="00D2187D">
        <w:rPr>
          <w:rFonts w:ascii="Arial" w:hAnsi="Arial" w:cs="Arial"/>
          <w:sz w:val="24"/>
          <w:szCs w:val="24"/>
        </w:rPr>
        <w:t>at 2×10</w:t>
      </w:r>
      <w:r w:rsidRPr="00D2187D">
        <w:rPr>
          <w:rFonts w:ascii="Arial" w:hAnsi="Arial" w:cs="Arial"/>
          <w:sz w:val="24"/>
          <w:szCs w:val="24"/>
          <w:vertAlign w:val="superscript"/>
        </w:rPr>
        <w:t>3</w:t>
      </w:r>
      <w:r w:rsidRPr="00D2187D">
        <w:rPr>
          <w:rFonts w:ascii="Arial" w:hAnsi="Arial" w:cs="Arial"/>
          <w:sz w:val="24"/>
          <w:szCs w:val="24"/>
        </w:rPr>
        <w:t xml:space="preserve"> cells/well </w:t>
      </w:r>
      <w:r w:rsidR="005A2591" w:rsidRPr="00D2187D">
        <w:rPr>
          <w:rFonts w:ascii="Arial" w:hAnsi="Arial" w:cs="Arial"/>
          <w:sz w:val="24"/>
          <w:szCs w:val="24"/>
        </w:rPr>
        <w:t xml:space="preserve">and incubated </w:t>
      </w:r>
      <w:r w:rsidRPr="00D2187D">
        <w:rPr>
          <w:rFonts w:ascii="Arial" w:hAnsi="Arial" w:cs="Arial"/>
          <w:sz w:val="24"/>
          <w:szCs w:val="24"/>
        </w:rPr>
        <w:t>overnight.</w:t>
      </w:r>
      <w:r w:rsidR="00F058B4" w:rsidRPr="00D2187D">
        <w:rPr>
          <w:rFonts w:ascii="Arial" w:hAnsi="Arial" w:cs="Arial"/>
          <w:sz w:val="24"/>
          <w:szCs w:val="24"/>
        </w:rPr>
        <w:t xml:space="preserve"> </w:t>
      </w:r>
      <w:r w:rsidRPr="00D2187D">
        <w:rPr>
          <w:rFonts w:ascii="Arial" w:hAnsi="Arial" w:cs="Arial"/>
          <w:sz w:val="24"/>
          <w:szCs w:val="24"/>
        </w:rPr>
        <w:t>CAPE and JSH-23</w:t>
      </w:r>
      <w:r w:rsidRPr="00D2187D">
        <w:rPr>
          <w:rFonts w:ascii="Arial" w:hAnsi="Arial" w:cs="Arial"/>
          <w:kern w:val="0"/>
          <w:sz w:val="24"/>
          <w:szCs w:val="24"/>
        </w:rPr>
        <w:t xml:space="preserve"> </w:t>
      </w:r>
      <w:r w:rsidR="0002423C" w:rsidRPr="00D2187D">
        <w:rPr>
          <w:rFonts w:ascii="Arial" w:hAnsi="Arial" w:cs="Arial"/>
          <w:kern w:val="0"/>
          <w:sz w:val="24"/>
          <w:szCs w:val="24"/>
        </w:rPr>
        <w:t xml:space="preserve">at indicated concentration </w:t>
      </w:r>
      <w:r w:rsidRPr="00D2187D">
        <w:rPr>
          <w:rFonts w:ascii="Arial" w:hAnsi="Arial" w:cs="Arial"/>
          <w:kern w:val="0"/>
          <w:sz w:val="24"/>
          <w:szCs w:val="24"/>
        </w:rPr>
        <w:t xml:space="preserve">was added to the culture for 24h. </w:t>
      </w:r>
      <w:r w:rsidR="005A2591" w:rsidRPr="00D2187D">
        <w:rPr>
          <w:rFonts w:ascii="Arial" w:hAnsi="Arial" w:cs="Arial"/>
          <w:kern w:val="0"/>
          <w:sz w:val="24"/>
          <w:szCs w:val="24"/>
        </w:rPr>
        <w:t xml:space="preserve">Later </w:t>
      </w:r>
      <w:r w:rsidRPr="00D2187D">
        <w:rPr>
          <w:rFonts w:ascii="Arial" w:hAnsi="Arial" w:cs="Arial"/>
          <w:kern w:val="0"/>
          <w:sz w:val="24"/>
          <w:szCs w:val="24"/>
        </w:rPr>
        <w:t xml:space="preserve">BrdU was added in each well and incubated for 3h, followed by fixation and wash. The </w:t>
      </w:r>
      <w:r w:rsidR="0002423C" w:rsidRPr="00D2187D">
        <w:rPr>
          <w:rFonts w:ascii="Arial" w:hAnsi="Arial" w:cs="Arial"/>
          <w:kern w:val="0"/>
          <w:sz w:val="24"/>
          <w:szCs w:val="24"/>
        </w:rPr>
        <w:t xml:space="preserve">BrdU </w:t>
      </w:r>
      <w:r w:rsidR="00AA5D5B" w:rsidRPr="00D2187D">
        <w:rPr>
          <w:rFonts w:ascii="Arial" w:hAnsi="Arial" w:cs="Arial"/>
          <w:kern w:val="0"/>
          <w:sz w:val="24"/>
          <w:szCs w:val="24"/>
        </w:rPr>
        <w:t>d</w:t>
      </w:r>
      <w:r w:rsidR="0002423C" w:rsidRPr="00D2187D">
        <w:rPr>
          <w:rFonts w:ascii="Arial" w:hAnsi="Arial" w:cs="Arial"/>
          <w:kern w:val="0"/>
          <w:sz w:val="24"/>
          <w:szCs w:val="24"/>
        </w:rPr>
        <w:t xml:space="preserve">etection </w:t>
      </w:r>
      <w:r w:rsidR="00AA5D5B" w:rsidRPr="00D2187D">
        <w:rPr>
          <w:rFonts w:ascii="Arial" w:hAnsi="Arial" w:cs="Arial"/>
          <w:kern w:val="0"/>
          <w:sz w:val="24"/>
          <w:szCs w:val="24"/>
        </w:rPr>
        <w:t>a</w:t>
      </w:r>
      <w:r w:rsidR="0002423C" w:rsidRPr="00D2187D">
        <w:rPr>
          <w:rFonts w:ascii="Arial" w:hAnsi="Arial" w:cs="Arial"/>
          <w:kern w:val="0"/>
          <w:sz w:val="24"/>
          <w:szCs w:val="24"/>
        </w:rPr>
        <w:t xml:space="preserve">ntibody </w:t>
      </w:r>
      <w:r w:rsidRPr="00D2187D">
        <w:rPr>
          <w:rFonts w:ascii="Arial" w:hAnsi="Arial" w:cs="Arial"/>
          <w:kern w:val="0"/>
          <w:sz w:val="24"/>
          <w:szCs w:val="24"/>
        </w:rPr>
        <w:t xml:space="preserve">and </w:t>
      </w:r>
      <w:r w:rsidR="0002423C" w:rsidRPr="00D2187D">
        <w:rPr>
          <w:rFonts w:ascii="Arial" w:hAnsi="Arial" w:cs="Arial"/>
          <w:kern w:val="0"/>
          <w:sz w:val="24"/>
          <w:szCs w:val="24"/>
        </w:rPr>
        <w:t xml:space="preserve">HRP-conjugated secondary antibody </w:t>
      </w:r>
      <w:r w:rsidRPr="00D2187D">
        <w:rPr>
          <w:rFonts w:ascii="Arial" w:hAnsi="Arial" w:cs="Arial"/>
          <w:kern w:val="0"/>
          <w:sz w:val="24"/>
          <w:szCs w:val="24"/>
        </w:rPr>
        <w:t xml:space="preserve">were used successively. </w:t>
      </w:r>
      <w:r w:rsidR="0002423C" w:rsidRPr="00D2187D">
        <w:rPr>
          <w:rFonts w:ascii="Arial" w:hAnsi="Arial" w:cs="Arial"/>
          <w:kern w:val="0"/>
          <w:sz w:val="24"/>
          <w:szCs w:val="24"/>
        </w:rPr>
        <w:t xml:space="preserve">TMB </w:t>
      </w:r>
      <w:r w:rsidR="00AA5D5B" w:rsidRPr="00D2187D">
        <w:rPr>
          <w:rFonts w:ascii="Arial" w:hAnsi="Arial" w:cs="Arial"/>
          <w:kern w:val="0"/>
          <w:sz w:val="24"/>
          <w:szCs w:val="24"/>
        </w:rPr>
        <w:t>s</w:t>
      </w:r>
      <w:r w:rsidR="0002423C" w:rsidRPr="00D2187D">
        <w:rPr>
          <w:rFonts w:ascii="Arial" w:hAnsi="Arial" w:cs="Arial"/>
          <w:kern w:val="0"/>
          <w:sz w:val="24"/>
          <w:szCs w:val="24"/>
        </w:rPr>
        <w:t>ubstrate was added to the</w:t>
      </w:r>
      <w:r w:rsidRPr="00D2187D">
        <w:rPr>
          <w:rFonts w:ascii="Arial" w:hAnsi="Arial" w:cs="Arial"/>
          <w:kern w:val="0"/>
          <w:sz w:val="24"/>
          <w:szCs w:val="24"/>
        </w:rPr>
        <w:t xml:space="preserve"> plate for reaction and </w:t>
      </w:r>
      <w:r w:rsidR="0002423C" w:rsidRPr="00D2187D">
        <w:rPr>
          <w:rFonts w:ascii="Arial" w:hAnsi="Arial" w:cs="Arial"/>
          <w:kern w:val="0"/>
          <w:sz w:val="24"/>
          <w:szCs w:val="24"/>
        </w:rPr>
        <w:t>a</w:t>
      </w:r>
      <w:r w:rsidRPr="00D2187D">
        <w:rPr>
          <w:rFonts w:ascii="Arial" w:hAnsi="Arial" w:cs="Arial"/>
          <w:kern w:val="0"/>
          <w:sz w:val="24"/>
          <w:szCs w:val="24"/>
        </w:rPr>
        <w:t xml:space="preserve">bsorbance </w:t>
      </w:r>
      <w:r w:rsidR="0002423C" w:rsidRPr="00D2187D">
        <w:rPr>
          <w:rFonts w:ascii="Arial" w:hAnsi="Arial" w:cs="Arial"/>
          <w:kern w:val="0"/>
          <w:sz w:val="24"/>
          <w:szCs w:val="24"/>
        </w:rPr>
        <w:t>at 450 nm w</w:t>
      </w:r>
      <w:r w:rsidRPr="00D2187D">
        <w:rPr>
          <w:rFonts w:ascii="Arial" w:hAnsi="Arial" w:cs="Arial"/>
          <w:kern w:val="0"/>
          <w:sz w:val="24"/>
          <w:szCs w:val="24"/>
        </w:rPr>
        <w:t>as measured.</w:t>
      </w:r>
    </w:p>
    <w:p w:rsidR="00C26FAB" w:rsidRPr="00D2187D" w:rsidRDefault="00C26FAB" w:rsidP="00C26FAB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4"/>
          <w:szCs w:val="24"/>
        </w:rPr>
      </w:pPr>
    </w:p>
    <w:p w:rsidR="0028441E" w:rsidRPr="00D2187D" w:rsidRDefault="0028441E" w:rsidP="0028441E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sz w:val="24"/>
          <w:szCs w:val="24"/>
        </w:rPr>
      </w:pPr>
      <w:r w:rsidRPr="00D2187D">
        <w:rPr>
          <w:rFonts w:ascii="Arial" w:hAnsi="Arial" w:cs="Arial"/>
          <w:b/>
          <w:sz w:val="24"/>
          <w:szCs w:val="24"/>
        </w:rPr>
        <w:t>Apoptosis Assay</w:t>
      </w:r>
    </w:p>
    <w:p w:rsidR="0028441E" w:rsidRPr="00D2187D" w:rsidRDefault="0028441E" w:rsidP="0028441E">
      <w:pPr>
        <w:pStyle w:val="HTMLPreformatted"/>
        <w:spacing w:line="480" w:lineRule="auto"/>
        <w:jc w:val="both"/>
        <w:rPr>
          <w:rFonts w:ascii="Arial" w:hAnsi="Arial" w:cs="Arial"/>
        </w:rPr>
      </w:pPr>
      <w:r w:rsidRPr="00D2187D">
        <w:rPr>
          <w:rFonts w:ascii="Arial" w:eastAsiaTheme="minorEastAsia" w:hAnsi="Arial" w:cs="Arial"/>
        </w:rPr>
        <w:t xml:space="preserve">Staurosporine (STS) (Sigma, St. Louis, MO) was used to induce apoptosis. HCT116 and SW480 cells were treated with 1.0 uM STS </w:t>
      </w:r>
      <w:r w:rsidRPr="00D2187D">
        <w:rPr>
          <w:rFonts w:ascii="Arial" w:hAnsi="Arial" w:cs="Arial"/>
        </w:rPr>
        <w:t xml:space="preserve">and </w:t>
      </w:r>
      <w:r w:rsidRPr="00D2187D">
        <w:rPr>
          <w:rFonts w:ascii="Arial" w:eastAsiaTheme="minorEastAsia" w:hAnsi="Arial" w:cs="Arial"/>
        </w:rPr>
        <w:t>1.5 uM STS</w:t>
      </w:r>
      <w:r w:rsidRPr="00D2187D">
        <w:rPr>
          <w:rFonts w:ascii="Arial" w:hAnsi="Arial" w:cs="Arial"/>
        </w:rPr>
        <w:t xml:space="preserve"> for </w:t>
      </w:r>
      <w:r w:rsidRPr="00D2187D">
        <w:rPr>
          <w:rFonts w:ascii="Arial" w:hAnsi="Arial" w:cs="Arial" w:hint="eastAsia"/>
        </w:rPr>
        <w:t xml:space="preserve">three </w:t>
      </w:r>
      <w:r w:rsidRPr="00D2187D">
        <w:rPr>
          <w:rFonts w:ascii="Arial" w:hAnsi="Arial" w:cs="Arial"/>
        </w:rPr>
        <w:t>hours, respectively. Apoptosis was determined using the Annexin-phycoerythrin/7-aminoactinomycin D staining kit (BD Biosciences, San Jose, CA).</w:t>
      </w:r>
    </w:p>
    <w:p w:rsidR="0028441E" w:rsidRPr="00D2187D" w:rsidRDefault="0028441E" w:rsidP="0028441E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sz w:val="24"/>
          <w:szCs w:val="24"/>
        </w:rPr>
      </w:pPr>
    </w:p>
    <w:p w:rsidR="0028441E" w:rsidRPr="00D2187D" w:rsidRDefault="0028441E" w:rsidP="0028441E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sz w:val="24"/>
          <w:szCs w:val="24"/>
        </w:rPr>
      </w:pPr>
      <w:r w:rsidRPr="00D2187D">
        <w:rPr>
          <w:rFonts w:ascii="Arial" w:hAnsi="Arial" w:cs="Arial"/>
          <w:b/>
          <w:sz w:val="24"/>
          <w:szCs w:val="24"/>
        </w:rPr>
        <w:lastRenderedPageBreak/>
        <w:t>Wound-Healing and Invasion Assays</w:t>
      </w:r>
    </w:p>
    <w:p w:rsidR="0028441E" w:rsidRPr="00D2187D" w:rsidRDefault="0028441E" w:rsidP="0028441E">
      <w:pPr>
        <w:autoSpaceDE w:val="0"/>
        <w:autoSpaceDN w:val="0"/>
        <w:adjustRightInd w:val="0"/>
        <w:spacing w:line="480" w:lineRule="auto"/>
        <w:rPr>
          <w:rFonts w:ascii="Arial" w:hAnsi="Arial" w:cs="Arial"/>
          <w:kern w:val="0"/>
          <w:sz w:val="24"/>
          <w:szCs w:val="24"/>
        </w:rPr>
      </w:pPr>
      <w:r w:rsidRPr="00D2187D">
        <w:rPr>
          <w:rFonts w:ascii="Arial" w:hAnsi="Arial" w:cs="Arial"/>
          <w:kern w:val="0"/>
          <w:sz w:val="24"/>
          <w:szCs w:val="24"/>
        </w:rPr>
        <w:t>Confluent cultures in 6-well plates were scratched with sterile tips, washed with PBS and cultured in 1% FBS supplemented culture medium. Cells were photographed at 0, 24 and 48 hours. For invasion assays, Matrigel-coated chambers (Becton Dickinson, Waltham, MA, USA) were used. Briefly, 1×10</w:t>
      </w:r>
      <w:r w:rsidRPr="00D2187D">
        <w:rPr>
          <w:rFonts w:ascii="Arial" w:hAnsi="Arial" w:cs="Arial"/>
          <w:kern w:val="0"/>
          <w:sz w:val="24"/>
          <w:szCs w:val="24"/>
          <w:vertAlign w:val="superscript"/>
        </w:rPr>
        <w:t xml:space="preserve">4 </w:t>
      </w:r>
      <w:r w:rsidRPr="00D2187D">
        <w:rPr>
          <w:rFonts w:ascii="Arial" w:hAnsi="Arial" w:cs="Arial"/>
          <w:kern w:val="0"/>
          <w:sz w:val="24"/>
          <w:szCs w:val="24"/>
        </w:rPr>
        <w:t>cells were seeded into the upper chamber in serum-free culture medium. The lower chamber was filled with completed medium with 10% FBS. After 48h, cells that have invaded through the membrane were stained with crystal violet and counted.</w:t>
      </w:r>
    </w:p>
    <w:p w:rsidR="0028441E" w:rsidRPr="00D2187D" w:rsidRDefault="0028441E" w:rsidP="00D8206C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4"/>
          <w:szCs w:val="24"/>
        </w:rPr>
      </w:pPr>
    </w:p>
    <w:p w:rsidR="0028441E" w:rsidRPr="00D2187D" w:rsidRDefault="0028441E" w:rsidP="0028441E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sz w:val="24"/>
          <w:szCs w:val="24"/>
        </w:rPr>
      </w:pPr>
      <w:r w:rsidRPr="00D2187D">
        <w:rPr>
          <w:rFonts w:ascii="Arial" w:hAnsi="Arial" w:cs="Arial"/>
          <w:b/>
          <w:sz w:val="24"/>
          <w:szCs w:val="24"/>
        </w:rPr>
        <w:t>Subcutaneous Xenograft and Experimental Metastasis Mouse Models</w:t>
      </w:r>
    </w:p>
    <w:p w:rsidR="0028441E" w:rsidRPr="00D2187D" w:rsidRDefault="0028441E" w:rsidP="0028441E">
      <w:pPr>
        <w:autoSpaceDE w:val="0"/>
        <w:autoSpaceDN w:val="0"/>
        <w:adjustRightInd w:val="0"/>
        <w:spacing w:line="480" w:lineRule="auto"/>
        <w:rPr>
          <w:rFonts w:ascii="Arial" w:hAnsi="Arial" w:cs="Arial"/>
          <w:kern w:val="0"/>
          <w:sz w:val="24"/>
          <w:szCs w:val="24"/>
        </w:rPr>
      </w:pPr>
      <w:r w:rsidRPr="00D2187D">
        <w:rPr>
          <w:rFonts w:ascii="Arial" w:hAnsi="Arial" w:cs="Arial"/>
          <w:sz w:val="24"/>
          <w:szCs w:val="24"/>
        </w:rPr>
        <w:t xml:space="preserve">For subcutaneous xenografts, </w:t>
      </w:r>
      <w:r w:rsidRPr="00D2187D">
        <w:rPr>
          <w:rFonts w:ascii="Arial" w:hAnsi="Arial" w:cs="Arial"/>
          <w:kern w:val="0"/>
          <w:sz w:val="24"/>
          <w:szCs w:val="24"/>
        </w:rPr>
        <w:t>SW480-EV and SW480-DDX27 (or HCT116-shCTL cells and HCT116-shDDX27) cells were injected subcutaneously into the left and right dorsal flank of 4-week-old male Balb/c nude mice (2×10</w:t>
      </w:r>
      <w:r w:rsidRPr="00D2187D">
        <w:rPr>
          <w:rFonts w:ascii="Arial" w:hAnsi="Arial" w:cs="Arial"/>
          <w:kern w:val="0"/>
          <w:sz w:val="24"/>
          <w:szCs w:val="24"/>
          <w:vertAlign w:val="superscript"/>
        </w:rPr>
        <w:t>6</w:t>
      </w:r>
      <w:r w:rsidRPr="00D2187D">
        <w:rPr>
          <w:rFonts w:ascii="Arial" w:hAnsi="Arial" w:cs="Arial"/>
          <w:kern w:val="0"/>
          <w:sz w:val="24"/>
          <w:szCs w:val="24"/>
        </w:rPr>
        <w:t xml:space="preserve"> cells in 0.1 mL phosphate-buffered saline (PBS) /mice), respectively. Tumor size was measured every 2 days </w:t>
      </w:r>
      <w:r w:rsidRPr="00D2187D">
        <w:rPr>
          <w:rFonts w:ascii="Arial" w:hAnsi="Arial" w:cs="Arial"/>
          <w:sz w:val="24"/>
          <w:szCs w:val="24"/>
        </w:rPr>
        <w:t>intervals using a digital caliper</w:t>
      </w:r>
      <w:r w:rsidRPr="00D2187D">
        <w:rPr>
          <w:rFonts w:ascii="Arial" w:hAnsi="Arial" w:cs="Arial"/>
          <w:kern w:val="0"/>
          <w:sz w:val="24"/>
          <w:szCs w:val="24"/>
        </w:rPr>
        <w:t>. Tumour volume (mm</w:t>
      </w:r>
      <w:r w:rsidRPr="00D2187D">
        <w:rPr>
          <w:rFonts w:ascii="Arial" w:hAnsi="Arial" w:cs="Arial"/>
          <w:kern w:val="0"/>
          <w:sz w:val="24"/>
          <w:szCs w:val="24"/>
          <w:vertAlign w:val="superscript"/>
        </w:rPr>
        <w:t>3</w:t>
      </w:r>
      <w:r w:rsidRPr="00D2187D">
        <w:rPr>
          <w:rFonts w:ascii="Arial" w:hAnsi="Arial" w:cs="Arial"/>
          <w:kern w:val="0"/>
          <w:sz w:val="24"/>
          <w:szCs w:val="24"/>
        </w:rPr>
        <w:t>) was calculated as follows:</w:t>
      </w:r>
      <w:r w:rsidRPr="00D2187D">
        <w:rPr>
          <w:rFonts w:ascii="Arial" w:hAnsi="Arial" w:cs="Arial"/>
          <w:sz w:val="24"/>
          <w:szCs w:val="24"/>
        </w:rPr>
        <w:t xml:space="preserve"> </w:t>
      </w:r>
      <w:r w:rsidRPr="00D2187D">
        <w:rPr>
          <w:rFonts w:ascii="Arial" w:hAnsi="Arial" w:cs="Arial"/>
          <w:kern w:val="0"/>
          <w:sz w:val="24"/>
          <w:szCs w:val="24"/>
        </w:rPr>
        <w:t>volume= (shortest diameter)</w:t>
      </w:r>
      <w:r w:rsidRPr="00D2187D">
        <w:rPr>
          <w:rFonts w:ascii="Arial" w:hAnsi="Arial" w:cs="Arial"/>
          <w:kern w:val="0"/>
          <w:sz w:val="24"/>
          <w:szCs w:val="24"/>
          <w:vertAlign w:val="superscript"/>
        </w:rPr>
        <w:t xml:space="preserve"> 2</w:t>
      </w:r>
      <w:r w:rsidRPr="00D2187D">
        <w:rPr>
          <w:rFonts w:ascii="Arial" w:hAnsi="Arial" w:cs="Arial"/>
          <w:kern w:val="0"/>
          <w:sz w:val="24"/>
          <w:szCs w:val="24"/>
        </w:rPr>
        <w:t xml:space="preserve">× (longest diameter) ×0.5. At the end point, tumors were harvested and weighed. </w:t>
      </w:r>
      <w:r w:rsidRPr="00D2187D">
        <w:rPr>
          <w:rFonts w:ascii="Arial" w:hAnsi="Arial" w:cs="Arial"/>
          <w:sz w:val="24"/>
          <w:szCs w:val="24"/>
        </w:rPr>
        <w:t xml:space="preserve">For metastasis model, </w:t>
      </w:r>
      <w:r w:rsidRPr="00D2187D">
        <w:rPr>
          <w:rFonts w:ascii="Arial" w:hAnsi="Arial" w:cs="Arial"/>
          <w:kern w:val="0"/>
          <w:sz w:val="24"/>
          <w:szCs w:val="24"/>
        </w:rPr>
        <w:t>stable HCT116-shCTL cells and HCT116-shDDX27</w:t>
      </w:r>
      <w:r w:rsidRPr="00D2187D">
        <w:rPr>
          <w:rFonts w:ascii="Arial" w:hAnsi="Arial" w:cs="Arial"/>
          <w:sz w:val="24"/>
          <w:szCs w:val="24"/>
        </w:rPr>
        <w:t xml:space="preserve"> (</w:t>
      </w:r>
      <w:r w:rsidRPr="00D2187D">
        <w:rPr>
          <w:rFonts w:ascii="Arial" w:hAnsi="Arial" w:cs="Arial"/>
          <w:kern w:val="0"/>
          <w:sz w:val="24"/>
          <w:szCs w:val="24"/>
        </w:rPr>
        <w:t>3×10</w:t>
      </w:r>
      <w:r w:rsidRPr="00D2187D">
        <w:rPr>
          <w:rFonts w:ascii="Arial" w:hAnsi="Arial" w:cs="Arial"/>
          <w:kern w:val="0"/>
          <w:sz w:val="24"/>
          <w:szCs w:val="24"/>
          <w:vertAlign w:val="superscript"/>
        </w:rPr>
        <w:t>6</w:t>
      </w:r>
      <w:r w:rsidRPr="00D2187D">
        <w:rPr>
          <w:rFonts w:ascii="Arial" w:hAnsi="Arial" w:cs="Arial"/>
          <w:kern w:val="0"/>
          <w:sz w:val="24"/>
          <w:szCs w:val="24"/>
        </w:rPr>
        <w:t xml:space="preserve"> cells in 0.1 mL</w:t>
      </w:r>
      <w:r w:rsidRPr="00D2187D">
        <w:rPr>
          <w:rFonts w:ascii="Arial" w:hAnsi="Arial" w:cs="Arial"/>
          <w:sz w:val="24"/>
          <w:szCs w:val="24"/>
        </w:rPr>
        <w:t xml:space="preserve"> PBS) were injected intravenously via the tail vein. After 6 weeks, the mice were sacrificed. Lungs were harvested, sectioned and stained with H&amp;E staining. </w:t>
      </w:r>
      <w:r w:rsidRPr="00D2187D">
        <w:rPr>
          <w:rFonts w:ascii="Arial" w:hAnsi="Arial" w:cs="Arial"/>
          <w:kern w:val="0"/>
          <w:sz w:val="24"/>
          <w:szCs w:val="24"/>
        </w:rPr>
        <w:t>All animal experimental procedures were approved by the Animal Ethics Committee of the Chinese University of Hong Kong.</w:t>
      </w:r>
    </w:p>
    <w:p w:rsidR="0028441E" w:rsidRPr="00D2187D" w:rsidRDefault="0028441E" w:rsidP="0028441E">
      <w:pPr>
        <w:autoSpaceDE w:val="0"/>
        <w:autoSpaceDN w:val="0"/>
        <w:adjustRightInd w:val="0"/>
        <w:spacing w:line="480" w:lineRule="auto"/>
        <w:rPr>
          <w:rFonts w:ascii="Arial" w:hAnsi="Arial" w:cs="Arial"/>
          <w:kern w:val="0"/>
          <w:sz w:val="24"/>
          <w:szCs w:val="24"/>
        </w:rPr>
      </w:pPr>
    </w:p>
    <w:p w:rsidR="0028441E" w:rsidRPr="00D2187D" w:rsidRDefault="0028441E" w:rsidP="0028441E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sz w:val="24"/>
          <w:szCs w:val="24"/>
        </w:rPr>
      </w:pPr>
      <w:r w:rsidRPr="00D2187D">
        <w:rPr>
          <w:rFonts w:ascii="Arial" w:hAnsi="Arial" w:cs="Arial"/>
          <w:b/>
          <w:sz w:val="24"/>
          <w:szCs w:val="24"/>
        </w:rPr>
        <w:lastRenderedPageBreak/>
        <w:t>Luciferase Reporter Assay</w:t>
      </w:r>
    </w:p>
    <w:p w:rsidR="0028441E" w:rsidRPr="00D2187D" w:rsidRDefault="0028441E" w:rsidP="0028441E">
      <w:pPr>
        <w:spacing w:line="480" w:lineRule="auto"/>
        <w:rPr>
          <w:rFonts w:ascii="Arial" w:hAnsi="Arial" w:cs="Arial"/>
          <w:kern w:val="0"/>
          <w:sz w:val="24"/>
          <w:szCs w:val="24"/>
        </w:rPr>
      </w:pPr>
      <w:bookmarkStart w:id="4" w:name="OLE_LINK47"/>
      <w:bookmarkStart w:id="5" w:name="OLE_LINK48"/>
      <w:r w:rsidRPr="00D2187D">
        <w:rPr>
          <w:rFonts w:ascii="Arial" w:hAnsi="Arial" w:cs="Arial"/>
          <w:kern w:val="0"/>
          <w:sz w:val="24"/>
          <w:szCs w:val="24"/>
        </w:rPr>
        <w:t xml:space="preserve">Cancer pathway reporters including NF-кB, </w:t>
      </w:r>
      <w:r w:rsidRPr="00D2187D">
        <w:rPr>
          <w:rFonts w:ascii="Arial" w:hAnsi="Arial" w:cs="Arial"/>
          <w:sz w:val="24"/>
          <w:szCs w:val="24"/>
        </w:rPr>
        <w:t>Wnt/β-catenin (</w:t>
      </w:r>
      <w:r w:rsidRPr="00D2187D">
        <w:rPr>
          <w:rFonts w:ascii="Arial" w:hAnsi="Arial" w:cs="Arial"/>
          <w:kern w:val="0"/>
          <w:sz w:val="24"/>
          <w:szCs w:val="24"/>
        </w:rPr>
        <w:t xml:space="preserve">TOPFlash and FOPFlash), </w:t>
      </w:r>
      <w:r w:rsidRPr="00D2187D">
        <w:rPr>
          <w:rFonts w:ascii="Arial" w:hAnsi="Arial" w:cs="Arial"/>
          <w:sz w:val="24"/>
          <w:szCs w:val="24"/>
        </w:rPr>
        <w:t>STAT3 (APRE)</w:t>
      </w:r>
      <w:r w:rsidRPr="00D2187D">
        <w:rPr>
          <w:rFonts w:ascii="Arial" w:hAnsi="Arial" w:cs="Arial"/>
          <w:kern w:val="0"/>
          <w:sz w:val="24"/>
          <w:szCs w:val="24"/>
        </w:rPr>
        <w:t>, p53, p38, p21, TGF-β, and LHRE (STAT5) were included in this study.</w:t>
      </w:r>
      <w:bookmarkEnd w:id="4"/>
      <w:bookmarkEnd w:id="5"/>
      <w:r w:rsidRPr="00D2187D">
        <w:rPr>
          <w:rFonts w:ascii="Arial" w:hAnsi="Arial" w:cs="Arial"/>
          <w:kern w:val="0"/>
          <w:sz w:val="24"/>
          <w:szCs w:val="24"/>
        </w:rPr>
        <w:t xml:space="preserve"> Briefly, cells were seeded into a 24-well plate and transfected with the firefly (cancer pathway report</w:t>
      </w:r>
      <w:r w:rsidRPr="00D2187D">
        <w:rPr>
          <w:rFonts w:ascii="Arial" w:hAnsi="Arial" w:cs="Arial" w:hint="eastAsia"/>
          <w:kern w:val="0"/>
          <w:sz w:val="24"/>
          <w:szCs w:val="24"/>
        </w:rPr>
        <w:t>er</w:t>
      </w:r>
      <w:r w:rsidRPr="00D2187D">
        <w:rPr>
          <w:rFonts w:ascii="Arial" w:hAnsi="Arial" w:cs="Arial"/>
          <w:kern w:val="0"/>
          <w:sz w:val="24"/>
          <w:szCs w:val="24"/>
        </w:rPr>
        <w:t xml:space="preserve">) and renilla (internal control) luciferase reporters. Two days after transfection, cells were harvested and the firefly and renilla luminescence were measured by the dual-luciferase reporter assay system (Promega). Reporter activity was dertermined as the ratio of firefly to Renilla luciferase activity. </w:t>
      </w:r>
    </w:p>
    <w:p w:rsidR="0028441E" w:rsidRPr="00D2187D" w:rsidRDefault="0028441E" w:rsidP="00D8206C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4"/>
          <w:szCs w:val="24"/>
        </w:rPr>
      </w:pPr>
    </w:p>
    <w:p w:rsidR="0028441E" w:rsidRPr="00D2187D" w:rsidRDefault="0028441E" w:rsidP="0028441E">
      <w:pPr>
        <w:spacing w:line="480" w:lineRule="auto"/>
        <w:jc w:val="left"/>
        <w:rPr>
          <w:rFonts w:ascii="Arial" w:eastAsia="SimSun" w:hAnsi="Arial" w:cs="Arial"/>
          <w:b/>
          <w:kern w:val="0"/>
          <w:sz w:val="24"/>
          <w:szCs w:val="24"/>
        </w:rPr>
      </w:pPr>
      <w:r w:rsidRPr="00D2187D">
        <w:rPr>
          <w:rFonts w:ascii="Arial" w:eastAsia="SimSun" w:hAnsi="Arial" w:cs="Arial"/>
          <w:b/>
          <w:kern w:val="0"/>
          <w:sz w:val="24"/>
          <w:szCs w:val="24"/>
        </w:rPr>
        <w:t>Chromatin Immunoprecipitation Assay</w:t>
      </w:r>
    </w:p>
    <w:p w:rsidR="0028441E" w:rsidRPr="00D2187D" w:rsidRDefault="0028441E" w:rsidP="0028441E">
      <w:pPr>
        <w:spacing w:line="480" w:lineRule="auto"/>
        <w:rPr>
          <w:rFonts w:ascii="Arial" w:eastAsia="SimSun" w:hAnsi="Arial" w:cs="Arial"/>
          <w:kern w:val="0"/>
          <w:sz w:val="24"/>
          <w:szCs w:val="24"/>
        </w:rPr>
      </w:pPr>
      <w:r w:rsidRPr="00D2187D">
        <w:rPr>
          <w:rFonts w:ascii="Arial" w:eastAsia="SimSun" w:hAnsi="Arial" w:cs="Arial"/>
          <w:kern w:val="0"/>
          <w:sz w:val="24"/>
          <w:szCs w:val="24"/>
        </w:rPr>
        <w:t>According to the Magna ChIP™ protocol (Merck Millipore, ‎Billerica, Mass.‎, USA), cells were fixed with 1% formaldehyde for crosslinking at room temperature for 10 minutes. Glycine was added to cells to quench unreacted formaldehyde for 5 minutes. Cell pellets in SDS Lysis Buffer containing 1X Protease Inhibitor Cocktail were sonicated at 4ºC to yield fragments from 100 to 500 bps. Immunoselection was performed using anti-</w:t>
      </w:r>
      <w:r w:rsidRPr="00D2187D">
        <w:rPr>
          <w:rFonts w:ascii="Arial" w:hAnsi="Arial" w:cs="Arial"/>
          <w:kern w:val="0"/>
          <w:sz w:val="24"/>
          <w:szCs w:val="24"/>
        </w:rPr>
        <w:t xml:space="preserve">NF-κB p65 (D14E12) </w:t>
      </w:r>
      <w:r w:rsidRPr="00D2187D">
        <w:rPr>
          <w:rFonts w:ascii="Arial" w:eastAsia="SimSun" w:hAnsi="Arial" w:cs="Arial"/>
          <w:kern w:val="0"/>
          <w:sz w:val="24"/>
          <w:szCs w:val="24"/>
        </w:rPr>
        <w:t xml:space="preserve">antibody and ChIP-grade Protein A/G Magnetic Beads (Merck Millipore). Protein-DNA crosslinks were reversed at 65°C and DNA is purified for qPCR. The primers used were listed in </w:t>
      </w:r>
      <w:r w:rsidRPr="00D2187D">
        <w:rPr>
          <w:rFonts w:ascii="Arial" w:hAnsi="Arial" w:cs="Arial" w:hint="eastAsia"/>
          <w:b/>
          <w:kern w:val="0"/>
          <w:sz w:val="24"/>
          <w:szCs w:val="24"/>
        </w:rPr>
        <w:t>T</w:t>
      </w:r>
      <w:r w:rsidRPr="00D2187D">
        <w:rPr>
          <w:rFonts w:ascii="Arial" w:eastAsia="SimSun" w:hAnsi="Arial" w:cs="Arial"/>
          <w:b/>
          <w:kern w:val="0"/>
          <w:sz w:val="24"/>
          <w:szCs w:val="24"/>
        </w:rPr>
        <w:t xml:space="preserve">able </w:t>
      </w:r>
      <w:r w:rsidRPr="00D2187D">
        <w:rPr>
          <w:rFonts w:ascii="Arial" w:hAnsi="Arial" w:cs="Arial" w:hint="eastAsia"/>
          <w:b/>
          <w:kern w:val="0"/>
          <w:sz w:val="24"/>
          <w:szCs w:val="24"/>
        </w:rPr>
        <w:t>S</w:t>
      </w:r>
      <w:r w:rsidRPr="00D2187D">
        <w:rPr>
          <w:rFonts w:ascii="Arial" w:hAnsi="Arial" w:cs="Arial"/>
          <w:b/>
          <w:kern w:val="0"/>
          <w:sz w:val="24"/>
          <w:szCs w:val="24"/>
        </w:rPr>
        <w:t>13</w:t>
      </w:r>
      <w:r w:rsidRPr="00D2187D">
        <w:rPr>
          <w:rFonts w:ascii="Arial" w:eastAsia="SimSun" w:hAnsi="Arial" w:cs="Arial"/>
          <w:kern w:val="0"/>
          <w:sz w:val="24"/>
          <w:szCs w:val="24"/>
        </w:rPr>
        <w:t xml:space="preserve">. </w:t>
      </w:r>
    </w:p>
    <w:p w:rsidR="00C54F9E" w:rsidRPr="00D2187D" w:rsidRDefault="00C54F9E" w:rsidP="0028441E">
      <w:pPr>
        <w:spacing w:line="480" w:lineRule="auto"/>
        <w:rPr>
          <w:rFonts w:ascii="Arial" w:eastAsia="SimSun" w:hAnsi="Arial" w:cs="Arial"/>
          <w:kern w:val="0"/>
          <w:sz w:val="24"/>
          <w:szCs w:val="24"/>
        </w:rPr>
      </w:pPr>
    </w:p>
    <w:p w:rsidR="00C54F9E" w:rsidRPr="00D2187D" w:rsidRDefault="00C54F9E" w:rsidP="00C54F9E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sz w:val="24"/>
          <w:szCs w:val="24"/>
        </w:rPr>
      </w:pPr>
      <w:r w:rsidRPr="00D2187D">
        <w:rPr>
          <w:rFonts w:ascii="Arial" w:hAnsi="Arial" w:cs="Arial"/>
          <w:b/>
          <w:sz w:val="24"/>
          <w:szCs w:val="24"/>
        </w:rPr>
        <w:t>Immunofluorescence</w:t>
      </w:r>
    </w:p>
    <w:p w:rsidR="00C54F9E" w:rsidRPr="00D2187D" w:rsidRDefault="00C54F9E" w:rsidP="00F202B9">
      <w:pPr>
        <w:spacing w:line="480" w:lineRule="auto"/>
        <w:rPr>
          <w:rFonts w:ascii="Arial" w:hAnsi="Arial" w:cs="Arial"/>
          <w:kern w:val="0"/>
          <w:sz w:val="24"/>
          <w:szCs w:val="24"/>
        </w:rPr>
      </w:pPr>
      <w:r w:rsidRPr="00D2187D">
        <w:rPr>
          <w:rFonts w:ascii="Arial" w:hAnsi="Arial" w:cs="Arial"/>
          <w:sz w:val="24"/>
          <w:szCs w:val="24"/>
        </w:rPr>
        <w:t xml:space="preserve">Cells were grown on coverslips, fixed with 4% paraformaldehyde and </w:t>
      </w:r>
      <w:r w:rsidRPr="00D2187D">
        <w:rPr>
          <w:rFonts w:ascii="Arial" w:hAnsi="Arial" w:cs="Arial"/>
          <w:sz w:val="24"/>
          <w:szCs w:val="24"/>
        </w:rPr>
        <w:lastRenderedPageBreak/>
        <w:t>permeabilized with 0.2% Triton X-100, blocked in 5% bovine serum albumin in PBS</w:t>
      </w:r>
      <w:r w:rsidRPr="00D2187D">
        <w:rPr>
          <w:rFonts w:ascii="Arial" w:hAnsi="Arial" w:cs="Arial"/>
          <w:kern w:val="0"/>
          <w:sz w:val="24"/>
          <w:szCs w:val="24"/>
        </w:rPr>
        <w:t xml:space="preserve">. </w:t>
      </w:r>
      <w:r w:rsidR="00A52E0A" w:rsidRPr="00D2187D">
        <w:rPr>
          <w:rFonts w:ascii="Arial" w:hAnsi="Arial" w:cs="Arial"/>
          <w:kern w:val="0"/>
          <w:sz w:val="24"/>
          <w:szCs w:val="24"/>
        </w:rPr>
        <w:t>C</w:t>
      </w:r>
      <w:r w:rsidRPr="00D2187D">
        <w:rPr>
          <w:rFonts w:ascii="Arial" w:hAnsi="Arial" w:cs="Arial"/>
          <w:kern w:val="0"/>
          <w:sz w:val="24"/>
          <w:szCs w:val="24"/>
        </w:rPr>
        <w:t>ells were incubated with anti-DDX27 antibody (Sigma-Aldrich, St. Louis, MO, USA) overnight at 4°C, followed by anti-rabbit IgG secondary antibody conjugated with Alexa Fluor</w:t>
      </w:r>
      <w:r w:rsidR="00F202B9" w:rsidRPr="00D2187D">
        <w:rPr>
          <w:rFonts w:ascii="Arial" w:hAnsi="Arial" w:cs="Arial"/>
          <w:kern w:val="0"/>
          <w:sz w:val="24"/>
          <w:szCs w:val="24"/>
        </w:rPr>
        <w:t xml:space="preserve"> </w:t>
      </w:r>
      <w:r w:rsidRPr="00D2187D">
        <w:rPr>
          <w:rFonts w:ascii="Arial" w:hAnsi="Arial" w:cs="Arial"/>
          <w:kern w:val="0"/>
          <w:sz w:val="24"/>
          <w:szCs w:val="24"/>
        </w:rPr>
        <w:t>594 (Yeasen, Shanghai, China) in the dark for 1 h</w:t>
      </w:r>
      <w:r w:rsidR="0093738D" w:rsidRPr="00D2187D">
        <w:rPr>
          <w:rFonts w:ascii="Arial" w:hAnsi="Arial" w:cs="Arial"/>
          <w:kern w:val="0"/>
          <w:sz w:val="24"/>
          <w:szCs w:val="24"/>
        </w:rPr>
        <w:t>,</w:t>
      </w:r>
      <w:r w:rsidR="00A52E0A" w:rsidRPr="00D2187D">
        <w:rPr>
          <w:rFonts w:ascii="Arial" w:hAnsi="Arial" w:cs="Arial"/>
          <w:kern w:val="0"/>
          <w:sz w:val="24"/>
          <w:szCs w:val="24"/>
        </w:rPr>
        <w:t xml:space="preserve"> and Phalloidin-iFluor 647 </w:t>
      </w:r>
      <w:r w:rsidR="0093738D" w:rsidRPr="00D2187D">
        <w:rPr>
          <w:rFonts w:ascii="Arial" w:hAnsi="Arial" w:cs="Arial"/>
          <w:kern w:val="0"/>
          <w:sz w:val="24"/>
          <w:szCs w:val="24"/>
        </w:rPr>
        <w:t>r</w:t>
      </w:r>
      <w:r w:rsidR="00A52E0A" w:rsidRPr="00D2187D">
        <w:rPr>
          <w:rFonts w:ascii="Arial" w:hAnsi="Arial" w:cs="Arial"/>
          <w:kern w:val="0"/>
          <w:sz w:val="24"/>
          <w:szCs w:val="24"/>
        </w:rPr>
        <w:t xml:space="preserve">eagent (Abcam, Cambridge, UK) for 20 minutes. Nuclei were counterstained with </w:t>
      </w:r>
      <w:r w:rsidR="00555BB1" w:rsidRPr="00D2187D">
        <w:rPr>
          <w:rFonts w:ascii="Arial" w:hAnsi="Arial" w:cs="Arial"/>
          <w:kern w:val="0"/>
          <w:sz w:val="24"/>
          <w:szCs w:val="24"/>
        </w:rPr>
        <w:t>DAPI (</w:t>
      </w:r>
      <w:r w:rsidRPr="00D2187D">
        <w:rPr>
          <w:rFonts w:ascii="Arial" w:hAnsi="Arial" w:cs="Arial"/>
          <w:kern w:val="0"/>
          <w:sz w:val="24"/>
          <w:szCs w:val="24"/>
        </w:rPr>
        <w:t>Life technologies,</w:t>
      </w:r>
      <w:r w:rsidR="00F202B9" w:rsidRPr="00D2187D">
        <w:rPr>
          <w:rFonts w:ascii="Arial" w:hAnsi="Arial" w:cs="Arial"/>
          <w:kern w:val="0"/>
          <w:sz w:val="24"/>
          <w:szCs w:val="24"/>
        </w:rPr>
        <w:t xml:space="preserve"> </w:t>
      </w:r>
      <w:r w:rsidRPr="00D2187D">
        <w:rPr>
          <w:rFonts w:ascii="Arial" w:hAnsi="Arial" w:cs="Arial"/>
          <w:kern w:val="0"/>
          <w:sz w:val="24"/>
          <w:szCs w:val="24"/>
        </w:rPr>
        <w:t xml:space="preserve">Carlsbad, CA). </w:t>
      </w:r>
    </w:p>
    <w:p w:rsidR="00C54F9E" w:rsidRPr="00D2187D" w:rsidRDefault="00C54F9E" w:rsidP="00C54F9E">
      <w:pPr>
        <w:spacing w:line="480" w:lineRule="auto"/>
        <w:rPr>
          <w:rFonts w:ascii="Arial" w:hAnsi="Arial" w:cs="Arial"/>
          <w:sz w:val="24"/>
          <w:szCs w:val="24"/>
        </w:rPr>
      </w:pPr>
    </w:p>
    <w:p w:rsidR="0040765E" w:rsidRPr="00D2187D" w:rsidRDefault="0040765E" w:rsidP="0040765E">
      <w:pPr>
        <w:widowControl/>
        <w:shd w:val="clear" w:color="auto" w:fill="FFFFFF"/>
        <w:spacing w:line="480" w:lineRule="auto"/>
        <w:jc w:val="left"/>
        <w:textAlignment w:val="baseline"/>
        <w:outlineLvl w:val="3"/>
        <w:rPr>
          <w:rFonts w:ascii="Arial" w:hAnsi="Arial" w:cs="Arial"/>
          <w:b/>
          <w:kern w:val="0"/>
          <w:sz w:val="24"/>
          <w:szCs w:val="24"/>
        </w:rPr>
      </w:pPr>
      <w:r w:rsidRPr="00D2187D">
        <w:rPr>
          <w:rFonts w:ascii="Arial" w:hAnsi="Arial" w:cs="Arial"/>
          <w:b/>
          <w:i/>
          <w:kern w:val="0"/>
          <w:sz w:val="24"/>
          <w:szCs w:val="24"/>
        </w:rPr>
        <w:t>In Situ</w:t>
      </w:r>
      <w:r w:rsidRPr="00D2187D">
        <w:rPr>
          <w:rFonts w:ascii="Arial" w:hAnsi="Arial" w:cs="Arial"/>
          <w:b/>
          <w:kern w:val="0"/>
          <w:sz w:val="24"/>
          <w:szCs w:val="24"/>
        </w:rPr>
        <w:t xml:space="preserve"> Proximity Ligation Assay</w:t>
      </w:r>
    </w:p>
    <w:p w:rsidR="0040765E" w:rsidRPr="00D2187D" w:rsidRDefault="0040765E" w:rsidP="0040765E">
      <w:pPr>
        <w:widowControl/>
        <w:shd w:val="clear" w:color="auto" w:fill="FFFFFF"/>
        <w:spacing w:line="480" w:lineRule="auto"/>
        <w:textAlignment w:val="baseline"/>
        <w:rPr>
          <w:rFonts w:ascii="Arial" w:hAnsi="Arial" w:cs="Arial"/>
          <w:kern w:val="0"/>
          <w:sz w:val="24"/>
          <w:szCs w:val="24"/>
        </w:rPr>
      </w:pPr>
      <w:r w:rsidRPr="00D2187D">
        <w:rPr>
          <w:rFonts w:ascii="Arial" w:hAnsi="Arial" w:cs="Arial"/>
          <w:i/>
          <w:kern w:val="0"/>
          <w:sz w:val="24"/>
          <w:szCs w:val="24"/>
        </w:rPr>
        <w:t>In situ</w:t>
      </w:r>
      <w:r w:rsidRPr="00D2187D">
        <w:rPr>
          <w:rFonts w:ascii="Arial" w:hAnsi="Arial" w:cs="Arial"/>
          <w:kern w:val="0"/>
          <w:sz w:val="24"/>
          <w:szCs w:val="24"/>
        </w:rPr>
        <w:t xml:space="preserve"> interactions of NPM1 and p65 were detected using the Duolink </w:t>
      </w:r>
      <w:r w:rsidRPr="00D2187D">
        <w:rPr>
          <w:rFonts w:ascii="Arial" w:hAnsi="Arial" w:cs="Arial"/>
          <w:i/>
          <w:kern w:val="0"/>
          <w:sz w:val="24"/>
          <w:szCs w:val="24"/>
        </w:rPr>
        <w:t>In Situ</w:t>
      </w:r>
      <w:r w:rsidRPr="00D2187D">
        <w:rPr>
          <w:rFonts w:ascii="Arial" w:hAnsi="Arial" w:cs="Arial"/>
          <w:kern w:val="0"/>
          <w:sz w:val="24"/>
          <w:szCs w:val="24"/>
        </w:rPr>
        <w:t xml:space="preserve"> proximity ligation assays (PLA) detection kit (Sigma-Aldrich) containing the PLA probe anti-rabbit minus, PLA probe anti-mouse plus and Detection Kit Red. The assay was performed following the manufacturer's instructions. </w:t>
      </w:r>
    </w:p>
    <w:p w:rsidR="00D8206C" w:rsidRPr="00D2187D" w:rsidRDefault="00D8206C"/>
    <w:sectPr w:rsidR="00D8206C" w:rsidRPr="00D2187D" w:rsidSect="00FD724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Tahoma"/>
    <w:panose1 w:val="02010600030101010101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D8206C"/>
    <w:rsid w:val="0002423C"/>
    <w:rsid w:val="000E18EB"/>
    <w:rsid w:val="00136DEF"/>
    <w:rsid w:val="0019167E"/>
    <w:rsid w:val="001C2AF4"/>
    <w:rsid w:val="0028441E"/>
    <w:rsid w:val="0040765E"/>
    <w:rsid w:val="0046273F"/>
    <w:rsid w:val="00555BB1"/>
    <w:rsid w:val="00566B8E"/>
    <w:rsid w:val="005A2591"/>
    <w:rsid w:val="00760303"/>
    <w:rsid w:val="0076502C"/>
    <w:rsid w:val="008D4E6D"/>
    <w:rsid w:val="0093738D"/>
    <w:rsid w:val="00937C55"/>
    <w:rsid w:val="009B7B5D"/>
    <w:rsid w:val="00A52E0A"/>
    <w:rsid w:val="00AA5D5B"/>
    <w:rsid w:val="00C26FAB"/>
    <w:rsid w:val="00C54F9E"/>
    <w:rsid w:val="00D2187D"/>
    <w:rsid w:val="00D505DB"/>
    <w:rsid w:val="00D7493C"/>
    <w:rsid w:val="00D8206C"/>
    <w:rsid w:val="00DA1786"/>
    <w:rsid w:val="00F058B4"/>
    <w:rsid w:val="00F202B9"/>
    <w:rsid w:val="00FD7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06C"/>
    <w:pPr>
      <w:widowControl w:val="0"/>
      <w:spacing w:after="0" w:line="240" w:lineRule="auto"/>
      <w:jc w:val="both"/>
    </w:pPr>
    <w:rPr>
      <w:kern w:val="2"/>
      <w:sz w:val="21"/>
    </w:rPr>
  </w:style>
  <w:style w:type="paragraph" w:styleId="Heading5">
    <w:name w:val="heading 5"/>
    <w:basedOn w:val="Normal"/>
    <w:link w:val="Heading5Char"/>
    <w:uiPriority w:val="9"/>
    <w:qFormat/>
    <w:rsid w:val="00F058B4"/>
    <w:pPr>
      <w:widowControl/>
      <w:spacing w:before="100" w:beforeAutospacing="1" w:after="100" w:afterAutospacing="1"/>
      <w:jc w:val="left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28441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8441E"/>
    <w:rPr>
      <w:rFonts w:ascii="SimSun" w:eastAsia="SimSun" w:hAnsi="SimSun" w:cs="SimSu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058B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058B4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3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</Pages>
  <Words>1144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huarong chen</dc:creator>
  <cp:keywords/>
  <dc:description/>
  <cp:lastModifiedBy>huarong chen</cp:lastModifiedBy>
  <cp:revision>21</cp:revision>
  <dcterms:created xsi:type="dcterms:W3CDTF">2017-10-20T03:05:00Z</dcterms:created>
  <dcterms:modified xsi:type="dcterms:W3CDTF">2018-01-16T05:45:00Z</dcterms:modified>
</cp:coreProperties>
</file>