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F6F205" w14:textId="77777777" w:rsidR="00387C86" w:rsidRPr="008A0E10" w:rsidRDefault="00E65F55" w:rsidP="00032B53">
      <w:pPr>
        <w:spacing w:line="480" w:lineRule="auto"/>
        <w:jc w:val="both"/>
        <w:outlineLvl w:val="0"/>
        <w:rPr>
          <w:rFonts w:ascii="Arial" w:hAnsi="Arial" w:cs="Arial"/>
          <w:b/>
          <w:color w:val="000000" w:themeColor="text1"/>
        </w:rPr>
      </w:pPr>
      <w:bookmarkStart w:id="0" w:name="_GoBack"/>
      <w:bookmarkEnd w:id="0"/>
      <w:r w:rsidRPr="008A0E10">
        <w:rPr>
          <w:rFonts w:ascii="Arial" w:hAnsi="Arial" w:cs="Arial"/>
          <w:b/>
          <w:color w:val="000000" w:themeColor="text1"/>
        </w:rPr>
        <w:t xml:space="preserve">ONLINE </w:t>
      </w:r>
      <w:r w:rsidR="00387C86" w:rsidRPr="008A0E10">
        <w:rPr>
          <w:rFonts w:ascii="Arial" w:hAnsi="Arial" w:cs="Arial"/>
          <w:b/>
          <w:color w:val="000000" w:themeColor="text1"/>
        </w:rPr>
        <w:t>SUPPLEMENTAL MATERIALS</w:t>
      </w:r>
    </w:p>
    <w:p w14:paraId="77AF5F2A" w14:textId="77777777" w:rsidR="00E65F55" w:rsidRPr="008A0E10" w:rsidRDefault="00E65F55" w:rsidP="00032B53">
      <w:pPr>
        <w:jc w:val="both"/>
        <w:outlineLvl w:val="0"/>
        <w:rPr>
          <w:rFonts w:ascii="Arial" w:hAnsi="Arial" w:cs="Arial"/>
          <w:b/>
          <w:color w:val="000000" w:themeColor="text1"/>
        </w:rPr>
      </w:pPr>
    </w:p>
    <w:p w14:paraId="1DE2B4B0" w14:textId="77777777" w:rsidR="00E65F55" w:rsidRPr="008A0E10" w:rsidRDefault="00E65F55" w:rsidP="00032B53">
      <w:pPr>
        <w:jc w:val="both"/>
        <w:rPr>
          <w:rFonts w:ascii="Arial" w:hAnsi="Arial" w:cs="Arial"/>
          <w:b/>
          <w:color w:val="000000" w:themeColor="text1"/>
        </w:rPr>
      </w:pPr>
    </w:p>
    <w:p w14:paraId="1D3A831B" w14:textId="77777777" w:rsidR="00875317" w:rsidRPr="008A0E10" w:rsidRDefault="00875317" w:rsidP="00032B53">
      <w:pPr>
        <w:jc w:val="both"/>
        <w:rPr>
          <w:rFonts w:ascii="Arial" w:hAnsi="Arial" w:cs="Arial"/>
          <w:b/>
          <w:color w:val="000000" w:themeColor="text1"/>
        </w:rPr>
      </w:pPr>
    </w:p>
    <w:p w14:paraId="68C45B01" w14:textId="77777777" w:rsidR="00E65F55" w:rsidRPr="008A0E10" w:rsidRDefault="00E65F55" w:rsidP="00032B53">
      <w:pPr>
        <w:jc w:val="both"/>
        <w:rPr>
          <w:rFonts w:ascii="Arial" w:hAnsi="Arial" w:cs="Arial"/>
          <w:b/>
          <w:color w:val="000000" w:themeColor="text1"/>
        </w:rPr>
      </w:pPr>
    </w:p>
    <w:p w14:paraId="4FE4180B" w14:textId="77777777" w:rsidR="00E65F55" w:rsidRPr="008A0E10" w:rsidRDefault="00E65F55" w:rsidP="00032B53">
      <w:pPr>
        <w:spacing w:line="480" w:lineRule="auto"/>
        <w:jc w:val="both"/>
        <w:outlineLvl w:val="0"/>
        <w:rPr>
          <w:rFonts w:ascii="Arial" w:hAnsi="Arial" w:cs="Arial"/>
          <w:b/>
          <w:color w:val="000000" w:themeColor="text1"/>
        </w:rPr>
      </w:pPr>
      <w:r w:rsidRPr="008A0E10">
        <w:rPr>
          <w:rFonts w:ascii="Arial" w:hAnsi="Arial" w:cs="Arial"/>
          <w:b/>
          <w:color w:val="000000" w:themeColor="text1"/>
        </w:rPr>
        <w:t>EXPLOITING TERT DEPENDENCY AS A THERAPEUTIC</w:t>
      </w:r>
    </w:p>
    <w:p w14:paraId="7C7B404C" w14:textId="77777777" w:rsidR="00E65F55" w:rsidRPr="008A0E10" w:rsidRDefault="00E65F55" w:rsidP="00032B53">
      <w:pPr>
        <w:spacing w:line="480" w:lineRule="auto"/>
        <w:jc w:val="both"/>
        <w:rPr>
          <w:rFonts w:ascii="Arial" w:hAnsi="Arial" w:cs="Arial"/>
          <w:b/>
          <w:color w:val="000000" w:themeColor="text1"/>
        </w:rPr>
      </w:pPr>
      <w:r w:rsidRPr="008A0E10">
        <w:rPr>
          <w:rFonts w:ascii="Arial" w:hAnsi="Arial" w:cs="Arial"/>
          <w:b/>
          <w:color w:val="000000" w:themeColor="text1"/>
        </w:rPr>
        <w:t>STRATEGY FOR NRAS MUTANT MELANOMA</w:t>
      </w:r>
    </w:p>
    <w:p w14:paraId="1F5EAFCD" w14:textId="77777777" w:rsidR="00E65F55" w:rsidRPr="008A0E10" w:rsidRDefault="00E65F55" w:rsidP="00032B53">
      <w:pPr>
        <w:spacing w:line="480" w:lineRule="auto"/>
        <w:jc w:val="both"/>
        <w:rPr>
          <w:rFonts w:ascii="Arial" w:hAnsi="Arial" w:cs="Arial"/>
          <w:color w:val="000000" w:themeColor="text1"/>
        </w:rPr>
      </w:pPr>
    </w:p>
    <w:p w14:paraId="0E8B1F9F" w14:textId="77777777" w:rsidR="00E65F55" w:rsidRPr="008A0E10" w:rsidRDefault="00E65F55" w:rsidP="00032B53">
      <w:pPr>
        <w:jc w:val="both"/>
        <w:rPr>
          <w:rFonts w:ascii="Arial" w:hAnsi="Arial" w:cs="Arial"/>
          <w:color w:val="000000" w:themeColor="text1"/>
        </w:rPr>
      </w:pPr>
    </w:p>
    <w:p w14:paraId="0A48C991" w14:textId="77777777" w:rsidR="00E65F55" w:rsidRPr="008A0E10" w:rsidRDefault="00E65F55" w:rsidP="00032B53">
      <w:pPr>
        <w:spacing w:line="480" w:lineRule="auto"/>
        <w:jc w:val="both"/>
        <w:rPr>
          <w:rFonts w:ascii="Arial" w:hAnsi="Arial" w:cs="Arial"/>
          <w:color w:val="000000" w:themeColor="text1"/>
        </w:rPr>
      </w:pPr>
      <w:r w:rsidRPr="008A0E10">
        <w:rPr>
          <w:rFonts w:ascii="Arial" w:hAnsi="Arial" w:cs="Arial"/>
          <w:color w:val="000000" w:themeColor="text1"/>
        </w:rPr>
        <w:t>Patricia Reyes-Uribe</w:t>
      </w:r>
      <w:r w:rsidR="00A771D4" w:rsidRPr="008A0E10">
        <w:rPr>
          <w:rFonts w:ascii="Arial" w:hAnsi="Arial" w:cs="Arial"/>
          <w:color w:val="000000" w:themeColor="text1"/>
        </w:rPr>
        <w:t>, Maria Paz Adrianzen-Ruesta, Zhong Deng, Ileabett Echevarria-Vargas, Ilgen Mender, Steven Saheb, Qin Liu, Dario C. Altieri, Maureen E. Murphy, Jerry W. Shay, Paul M. Lieberman, and Jessie Villanueva</w:t>
      </w:r>
      <w:r w:rsidRPr="008A0E10">
        <w:rPr>
          <w:rFonts w:ascii="Arial" w:hAnsi="Arial" w:cs="Arial"/>
          <w:color w:val="000000" w:themeColor="text1"/>
        </w:rPr>
        <w:t>.</w:t>
      </w:r>
    </w:p>
    <w:p w14:paraId="256978FF" w14:textId="77777777" w:rsidR="00875317" w:rsidRPr="008A0E10" w:rsidRDefault="00875317" w:rsidP="00032B53">
      <w:pPr>
        <w:spacing w:line="480" w:lineRule="auto"/>
        <w:jc w:val="both"/>
        <w:rPr>
          <w:rFonts w:ascii="Arial" w:hAnsi="Arial" w:cs="Arial"/>
          <w:color w:val="000000" w:themeColor="text1"/>
        </w:rPr>
      </w:pPr>
    </w:p>
    <w:p w14:paraId="5A53A6C0" w14:textId="77777777" w:rsidR="00875317" w:rsidRPr="008A0E10" w:rsidRDefault="00875317" w:rsidP="00032B53">
      <w:pPr>
        <w:spacing w:line="360" w:lineRule="auto"/>
        <w:jc w:val="both"/>
        <w:rPr>
          <w:rFonts w:ascii="Arial" w:hAnsi="Arial" w:cs="Arial"/>
          <w:color w:val="000000" w:themeColor="text1"/>
        </w:rPr>
      </w:pPr>
    </w:p>
    <w:p w14:paraId="563104F7" w14:textId="77777777" w:rsidR="00875317" w:rsidRPr="008A0E10" w:rsidRDefault="00875317" w:rsidP="00032B53">
      <w:pPr>
        <w:spacing w:line="360" w:lineRule="auto"/>
        <w:jc w:val="both"/>
        <w:rPr>
          <w:rFonts w:ascii="Arial" w:hAnsi="Arial" w:cs="Arial"/>
          <w:color w:val="000000" w:themeColor="text1"/>
        </w:rPr>
      </w:pPr>
    </w:p>
    <w:p w14:paraId="3198632E" w14:textId="77777777" w:rsidR="00875317" w:rsidRPr="008A0E10" w:rsidRDefault="00875317" w:rsidP="00032B53">
      <w:pPr>
        <w:spacing w:line="360" w:lineRule="auto"/>
        <w:jc w:val="both"/>
        <w:rPr>
          <w:rFonts w:ascii="Arial" w:hAnsi="Arial" w:cs="Arial"/>
          <w:color w:val="000000" w:themeColor="text1"/>
        </w:rPr>
      </w:pPr>
    </w:p>
    <w:p w14:paraId="3E21A152" w14:textId="77777777" w:rsidR="00875317" w:rsidRPr="008A0E10" w:rsidRDefault="00875317" w:rsidP="00032B53">
      <w:pPr>
        <w:spacing w:line="480" w:lineRule="auto"/>
        <w:jc w:val="both"/>
        <w:rPr>
          <w:rFonts w:ascii="Arial" w:hAnsi="Arial" w:cs="Arial"/>
          <w:color w:val="000000" w:themeColor="text1"/>
        </w:rPr>
      </w:pPr>
    </w:p>
    <w:p w14:paraId="6844831A" w14:textId="77777777" w:rsidR="00263DB6" w:rsidRPr="008A0E10" w:rsidRDefault="00263DB6" w:rsidP="00032B53">
      <w:pPr>
        <w:spacing w:line="480" w:lineRule="auto"/>
        <w:jc w:val="both"/>
        <w:rPr>
          <w:rFonts w:ascii="Arial" w:hAnsi="Arial" w:cs="Arial"/>
          <w:color w:val="000000" w:themeColor="text1"/>
        </w:rPr>
      </w:pPr>
      <w:r w:rsidRPr="008A0E10">
        <w:rPr>
          <w:rFonts w:ascii="Arial" w:hAnsi="Arial" w:cs="Arial"/>
          <w:color w:val="000000" w:themeColor="text1"/>
        </w:rPr>
        <w:t>Supplementary Tables 1-2</w:t>
      </w:r>
    </w:p>
    <w:p w14:paraId="2766589C" w14:textId="77777777" w:rsidR="00527358" w:rsidRPr="008A0E10" w:rsidRDefault="00527358" w:rsidP="00032B53">
      <w:pPr>
        <w:jc w:val="both"/>
        <w:rPr>
          <w:rFonts w:ascii="Arial" w:hAnsi="Arial" w:cs="Arial"/>
          <w:color w:val="000000" w:themeColor="text1"/>
        </w:rPr>
      </w:pPr>
      <w:r w:rsidRPr="008A0E10">
        <w:rPr>
          <w:rFonts w:ascii="Arial" w:hAnsi="Arial" w:cs="Arial"/>
          <w:color w:val="000000" w:themeColor="text1"/>
        </w:rPr>
        <w:t>Supplementary Material and Methods</w:t>
      </w:r>
    </w:p>
    <w:p w14:paraId="1C621C2F" w14:textId="77777777" w:rsidR="00527358" w:rsidRPr="008A0E10" w:rsidRDefault="00527358" w:rsidP="00032B53">
      <w:pPr>
        <w:spacing w:line="480" w:lineRule="auto"/>
        <w:jc w:val="both"/>
        <w:rPr>
          <w:rFonts w:ascii="Arial" w:hAnsi="Arial" w:cs="Arial"/>
          <w:color w:val="000000" w:themeColor="text1"/>
        </w:rPr>
      </w:pPr>
    </w:p>
    <w:p w14:paraId="7AE003CC" w14:textId="77777777" w:rsidR="00875317" w:rsidRPr="008A0E10" w:rsidRDefault="00875317" w:rsidP="00032B53">
      <w:pPr>
        <w:spacing w:line="360" w:lineRule="auto"/>
        <w:jc w:val="both"/>
        <w:rPr>
          <w:rFonts w:ascii="Arial" w:hAnsi="Arial" w:cs="Arial"/>
          <w:color w:val="000000" w:themeColor="text1"/>
        </w:rPr>
      </w:pPr>
    </w:p>
    <w:p w14:paraId="7EFEA94F" w14:textId="77777777" w:rsidR="00875317" w:rsidRPr="008A0E10" w:rsidRDefault="00875317" w:rsidP="00032B53">
      <w:pPr>
        <w:spacing w:line="360" w:lineRule="auto"/>
        <w:jc w:val="both"/>
        <w:rPr>
          <w:rFonts w:ascii="Arial" w:hAnsi="Arial" w:cs="Arial"/>
          <w:color w:val="000000" w:themeColor="text1"/>
        </w:rPr>
      </w:pPr>
    </w:p>
    <w:p w14:paraId="0AB233D0" w14:textId="77777777" w:rsidR="00875317" w:rsidRPr="008A0E10" w:rsidRDefault="00875317" w:rsidP="00032B53">
      <w:pPr>
        <w:spacing w:line="360" w:lineRule="auto"/>
        <w:jc w:val="both"/>
        <w:rPr>
          <w:rFonts w:ascii="Arial" w:hAnsi="Arial" w:cs="Arial"/>
          <w:color w:val="000000" w:themeColor="text1"/>
        </w:rPr>
      </w:pPr>
    </w:p>
    <w:p w14:paraId="717A6CA1" w14:textId="77777777" w:rsidR="00875317" w:rsidRPr="008A0E10" w:rsidRDefault="00875317" w:rsidP="00032B53">
      <w:pPr>
        <w:spacing w:line="360" w:lineRule="auto"/>
        <w:jc w:val="both"/>
        <w:rPr>
          <w:rFonts w:ascii="Arial" w:hAnsi="Arial" w:cs="Arial"/>
          <w:color w:val="000000" w:themeColor="text1"/>
        </w:rPr>
      </w:pPr>
    </w:p>
    <w:p w14:paraId="00A653EE" w14:textId="77777777" w:rsidR="00875317" w:rsidRPr="008A0E10" w:rsidRDefault="00875317" w:rsidP="00032B53">
      <w:pPr>
        <w:spacing w:line="360" w:lineRule="auto"/>
        <w:jc w:val="both"/>
        <w:rPr>
          <w:rFonts w:ascii="Arial" w:hAnsi="Arial" w:cs="Arial"/>
          <w:color w:val="000000" w:themeColor="text1"/>
        </w:rPr>
      </w:pPr>
    </w:p>
    <w:p w14:paraId="07EE7342" w14:textId="77777777" w:rsidR="00875317" w:rsidRPr="008A0E10" w:rsidRDefault="00875317" w:rsidP="00032B53">
      <w:pPr>
        <w:spacing w:line="360" w:lineRule="auto"/>
        <w:jc w:val="both"/>
        <w:rPr>
          <w:rFonts w:ascii="Arial" w:hAnsi="Arial" w:cs="Arial"/>
          <w:color w:val="000000" w:themeColor="text1"/>
        </w:rPr>
      </w:pPr>
    </w:p>
    <w:p w14:paraId="61C85B61" w14:textId="77777777" w:rsidR="00E65F55" w:rsidRPr="008A0E10" w:rsidRDefault="00E65F55" w:rsidP="00032B53">
      <w:pPr>
        <w:jc w:val="both"/>
        <w:rPr>
          <w:rFonts w:ascii="Arial" w:hAnsi="Arial" w:cs="Arial"/>
          <w:b/>
          <w:color w:val="000000" w:themeColor="text1"/>
        </w:rPr>
      </w:pPr>
    </w:p>
    <w:p w14:paraId="5E668A9D" w14:textId="77777777" w:rsidR="00E65F55" w:rsidRPr="008A0E10" w:rsidRDefault="00E65F55" w:rsidP="00032B53">
      <w:pPr>
        <w:jc w:val="both"/>
        <w:rPr>
          <w:rFonts w:ascii="Arial" w:hAnsi="Arial" w:cs="Arial"/>
          <w:b/>
          <w:color w:val="000000" w:themeColor="text1"/>
        </w:rPr>
      </w:pPr>
    </w:p>
    <w:p w14:paraId="1E1C0FE5" w14:textId="77777777" w:rsidR="008E4F04" w:rsidRPr="008A0E10" w:rsidRDefault="008E4F04" w:rsidP="00032B53">
      <w:pPr>
        <w:jc w:val="both"/>
        <w:outlineLvl w:val="0"/>
        <w:rPr>
          <w:rFonts w:ascii="Arial" w:hAnsi="Arial" w:cs="Arial"/>
          <w:b/>
          <w:color w:val="000000" w:themeColor="text1"/>
        </w:rPr>
      </w:pPr>
    </w:p>
    <w:p w14:paraId="359A8AC6" w14:textId="77777777" w:rsidR="008E4F04" w:rsidRPr="008A0E10" w:rsidRDefault="008E4F04" w:rsidP="00032B53">
      <w:pPr>
        <w:jc w:val="both"/>
        <w:outlineLvl w:val="0"/>
        <w:rPr>
          <w:rFonts w:ascii="Arial" w:hAnsi="Arial" w:cs="Arial"/>
          <w:b/>
          <w:color w:val="000000" w:themeColor="text1"/>
        </w:rPr>
      </w:pPr>
    </w:p>
    <w:p w14:paraId="6E2E3B41" w14:textId="77777777" w:rsidR="008E4F04" w:rsidRPr="008A0E10" w:rsidRDefault="008E4F04" w:rsidP="00032B53">
      <w:pPr>
        <w:jc w:val="both"/>
        <w:outlineLvl w:val="0"/>
        <w:rPr>
          <w:rFonts w:ascii="Arial" w:hAnsi="Arial" w:cs="Arial"/>
          <w:b/>
          <w:color w:val="000000" w:themeColor="text1"/>
        </w:rPr>
      </w:pPr>
    </w:p>
    <w:p w14:paraId="469FE14C" w14:textId="77777777" w:rsidR="00D96A3B" w:rsidRDefault="00D96A3B" w:rsidP="00032B53">
      <w:pPr>
        <w:jc w:val="both"/>
        <w:outlineLvl w:val="0"/>
        <w:rPr>
          <w:rFonts w:ascii="Arial" w:hAnsi="Arial" w:cs="Arial"/>
          <w:b/>
          <w:color w:val="000000" w:themeColor="text1"/>
        </w:rPr>
      </w:pPr>
    </w:p>
    <w:p w14:paraId="7E92F3ED" w14:textId="77777777" w:rsidR="00D96A3B" w:rsidRDefault="00D96A3B" w:rsidP="00032B53">
      <w:pPr>
        <w:jc w:val="both"/>
        <w:outlineLvl w:val="0"/>
        <w:rPr>
          <w:rFonts w:ascii="Arial" w:hAnsi="Arial" w:cs="Arial"/>
          <w:b/>
          <w:color w:val="000000" w:themeColor="text1"/>
        </w:rPr>
      </w:pPr>
    </w:p>
    <w:p w14:paraId="7EA40DA4" w14:textId="77777777" w:rsidR="00616AE8" w:rsidRPr="008A0E10" w:rsidRDefault="00527358" w:rsidP="00032B53">
      <w:pPr>
        <w:jc w:val="both"/>
        <w:outlineLvl w:val="0"/>
        <w:rPr>
          <w:rFonts w:ascii="Arial" w:hAnsi="Arial" w:cs="Arial"/>
          <w:b/>
          <w:color w:val="000000" w:themeColor="text1"/>
        </w:rPr>
      </w:pPr>
      <w:r w:rsidRPr="008A0E10">
        <w:rPr>
          <w:rFonts w:ascii="Arial" w:hAnsi="Arial" w:cs="Arial"/>
          <w:b/>
          <w:color w:val="000000" w:themeColor="text1"/>
        </w:rPr>
        <w:lastRenderedPageBreak/>
        <w:t>Supplementary</w:t>
      </w:r>
      <w:r w:rsidR="00616AE8" w:rsidRPr="008A0E10">
        <w:rPr>
          <w:rFonts w:ascii="Arial" w:hAnsi="Arial" w:cs="Arial"/>
          <w:b/>
          <w:color w:val="000000" w:themeColor="text1"/>
        </w:rPr>
        <w:t xml:space="preserve"> </w:t>
      </w:r>
      <w:r w:rsidR="00653959" w:rsidRPr="008A0E10">
        <w:rPr>
          <w:rFonts w:ascii="Arial" w:hAnsi="Arial" w:cs="Arial"/>
          <w:b/>
          <w:color w:val="000000" w:themeColor="text1"/>
        </w:rPr>
        <w:t>T</w:t>
      </w:r>
      <w:r w:rsidR="00616AE8" w:rsidRPr="008A0E10">
        <w:rPr>
          <w:rFonts w:ascii="Arial" w:hAnsi="Arial" w:cs="Arial"/>
          <w:b/>
          <w:color w:val="000000" w:themeColor="text1"/>
        </w:rPr>
        <w:t>ables</w:t>
      </w:r>
    </w:p>
    <w:p w14:paraId="76AC5578" w14:textId="77777777" w:rsidR="007E4CEB" w:rsidRPr="008A0E10" w:rsidRDefault="007E4CEB" w:rsidP="00032B53">
      <w:pPr>
        <w:jc w:val="both"/>
        <w:outlineLvl w:val="0"/>
        <w:rPr>
          <w:rFonts w:ascii="Arial" w:hAnsi="Arial" w:cs="Arial"/>
          <w:b/>
          <w:color w:val="000000" w:themeColor="text1"/>
        </w:rPr>
      </w:pPr>
    </w:p>
    <w:p w14:paraId="4C57D767" w14:textId="77777777" w:rsidR="00616AE8" w:rsidRPr="008A0E10" w:rsidRDefault="00616AE8" w:rsidP="00032B53">
      <w:pPr>
        <w:jc w:val="both"/>
        <w:rPr>
          <w:rFonts w:ascii="Arial" w:hAnsi="Arial" w:cs="Arial"/>
          <w:b/>
          <w:color w:val="000000" w:themeColor="text1"/>
        </w:rPr>
      </w:pPr>
    </w:p>
    <w:p w14:paraId="60EF592A" w14:textId="51BC831D" w:rsidR="003A5F25" w:rsidRDefault="008E4F04" w:rsidP="003A5F25">
      <w:pPr>
        <w:jc w:val="both"/>
        <w:outlineLvl w:val="0"/>
        <w:rPr>
          <w:rFonts w:ascii="Arial" w:hAnsi="Arial" w:cs="Arial"/>
          <w:b/>
          <w:color w:val="000000" w:themeColor="text1"/>
        </w:rPr>
      </w:pPr>
      <w:r w:rsidRPr="008A0E10">
        <w:rPr>
          <w:rFonts w:ascii="Arial" w:hAnsi="Arial" w:cs="Arial"/>
          <w:b/>
          <w:color w:val="000000" w:themeColor="text1"/>
        </w:rPr>
        <w:t xml:space="preserve">Supplementary </w:t>
      </w:r>
      <w:r w:rsidR="00C00FED" w:rsidRPr="008A0E10">
        <w:rPr>
          <w:rFonts w:ascii="Arial" w:hAnsi="Arial" w:cs="Arial"/>
          <w:b/>
          <w:color w:val="000000" w:themeColor="text1"/>
        </w:rPr>
        <w:t>Table 1</w:t>
      </w:r>
      <w:r w:rsidR="00C00FED" w:rsidRPr="008A0E10">
        <w:rPr>
          <w:rFonts w:ascii="Arial" w:hAnsi="Arial" w:cs="Arial"/>
          <w:b/>
          <w:i/>
          <w:color w:val="000000" w:themeColor="text1"/>
        </w:rPr>
        <w:t>.</w:t>
      </w:r>
      <w:r w:rsidRPr="008A0E10">
        <w:rPr>
          <w:rFonts w:ascii="Arial" w:hAnsi="Arial" w:cs="Arial"/>
          <w:b/>
          <w:i/>
          <w:color w:val="000000" w:themeColor="text1"/>
        </w:rPr>
        <w:t xml:space="preserve"> </w:t>
      </w:r>
      <w:r w:rsidR="003A5F25">
        <w:rPr>
          <w:rFonts w:ascii="Arial" w:hAnsi="Arial" w:cs="Arial"/>
          <w:b/>
          <w:color w:val="000000" w:themeColor="text1"/>
        </w:rPr>
        <w:t xml:space="preserve">Genotype </w:t>
      </w:r>
      <w:r w:rsidR="000A4E62" w:rsidRPr="00236B65">
        <w:rPr>
          <w:rFonts w:ascii="Arial" w:hAnsi="Arial" w:cs="Arial"/>
          <w:b/>
          <w:color w:val="000000" w:themeColor="text1"/>
        </w:rPr>
        <w:t xml:space="preserve">of </w:t>
      </w:r>
      <w:r w:rsidR="003A5F25">
        <w:rPr>
          <w:rFonts w:ascii="Arial" w:hAnsi="Arial" w:cs="Arial"/>
          <w:b/>
          <w:color w:val="000000" w:themeColor="text1"/>
        </w:rPr>
        <w:t xml:space="preserve">NRAS mutant </w:t>
      </w:r>
      <w:r w:rsidR="000A4E62" w:rsidRPr="00236B65">
        <w:rPr>
          <w:rFonts w:ascii="Arial" w:hAnsi="Arial" w:cs="Arial"/>
          <w:b/>
          <w:color w:val="000000" w:themeColor="text1"/>
        </w:rPr>
        <w:t xml:space="preserve">melanoma cell lines used in </w:t>
      </w:r>
    </w:p>
    <w:p w14:paraId="593C9CCA" w14:textId="77777777" w:rsidR="000A4E62" w:rsidRPr="008A0E10" w:rsidRDefault="003A5F25" w:rsidP="00A7198B">
      <w:pPr>
        <w:ind w:left="2160"/>
        <w:jc w:val="both"/>
        <w:outlineLvl w:val="0"/>
        <w:rPr>
          <w:rFonts w:ascii="Arial" w:hAnsi="Arial" w:cs="Arial"/>
          <w:b/>
          <w:color w:val="000000" w:themeColor="text1"/>
        </w:rPr>
      </w:pPr>
      <w:r>
        <w:rPr>
          <w:rFonts w:ascii="Arial" w:hAnsi="Arial" w:cs="Arial"/>
          <w:b/>
          <w:color w:val="000000" w:themeColor="text1"/>
        </w:rPr>
        <w:t xml:space="preserve">         </w:t>
      </w:r>
      <w:r w:rsidR="000A4E62" w:rsidRPr="00236B65">
        <w:rPr>
          <w:rFonts w:ascii="Arial" w:hAnsi="Arial" w:cs="Arial"/>
          <w:b/>
          <w:color w:val="000000" w:themeColor="text1"/>
        </w:rPr>
        <w:t>the study</w:t>
      </w:r>
      <w:r w:rsidR="000A4E62" w:rsidRPr="008A0E10">
        <w:rPr>
          <w:rFonts w:ascii="Arial" w:hAnsi="Arial" w:cs="Arial"/>
          <w:b/>
          <w:color w:val="000000" w:themeColor="text1"/>
        </w:rPr>
        <w:t xml:space="preserve"> </w:t>
      </w:r>
    </w:p>
    <w:p w14:paraId="0557C6E1" w14:textId="77777777" w:rsidR="000A4E62" w:rsidRPr="008A0E10" w:rsidRDefault="000A4E62" w:rsidP="00032B53">
      <w:pPr>
        <w:jc w:val="both"/>
        <w:rPr>
          <w:rFonts w:ascii="Arial" w:hAnsi="Arial" w:cs="Arial"/>
          <w:color w:val="000000" w:themeColor="text1"/>
        </w:rPr>
      </w:pPr>
    </w:p>
    <w:tbl>
      <w:tblPr>
        <w:tblW w:w="9600" w:type="dxa"/>
        <w:tblCellMar>
          <w:left w:w="0" w:type="dxa"/>
          <w:right w:w="0" w:type="dxa"/>
        </w:tblCellMar>
        <w:tblLook w:val="0600" w:firstRow="0" w:lastRow="0" w:firstColumn="0" w:lastColumn="0" w:noHBand="1" w:noVBand="1"/>
      </w:tblPr>
      <w:tblGrid>
        <w:gridCol w:w="3240"/>
        <w:gridCol w:w="3340"/>
        <w:gridCol w:w="3020"/>
      </w:tblGrid>
      <w:tr w:rsidR="008A0E10" w:rsidRPr="008A0E10" w14:paraId="7B73CC46" w14:textId="77777777" w:rsidTr="000A4E62">
        <w:trPr>
          <w:trHeight w:val="900"/>
        </w:trPr>
        <w:tc>
          <w:tcPr>
            <w:tcW w:w="3240" w:type="dxa"/>
            <w:tcBorders>
              <w:top w:val="single" w:sz="12" w:space="0" w:color="auto"/>
              <w:left w:val="single" w:sz="12" w:space="0" w:color="auto"/>
              <w:bottom w:val="single" w:sz="12" w:space="0" w:color="auto"/>
              <w:right w:val="single" w:sz="8" w:space="0" w:color="000000"/>
            </w:tcBorders>
            <w:shd w:val="clear" w:color="auto" w:fill="D9D9D9" w:themeFill="background1" w:themeFillShade="D9"/>
            <w:tcMar>
              <w:top w:w="34" w:type="dxa"/>
              <w:left w:w="34" w:type="dxa"/>
              <w:bottom w:w="0" w:type="dxa"/>
              <w:right w:w="34" w:type="dxa"/>
            </w:tcMar>
            <w:vAlign w:val="center"/>
            <w:hideMark/>
          </w:tcPr>
          <w:p w14:paraId="137562E2" w14:textId="77777777" w:rsidR="000A4E62" w:rsidRPr="008A0E10" w:rsidRDefault="000A4E62" w:rsidP="00032B53">
            <w:pPr>
              <w:jc w:val="both"/>
              <w:rPr>
                <w:rFonts w:ascii="Arial" w:hAnsi="Arial" w:cs="Arial"/>
                <w:color w:val="000000" w:themeColor="text1"/>
              </w:rPr>
            </w:pPr>
            <w:r w:rsidRPr="008A0E10">
              <w:rPr>
                <w:rFonts w:ascii="Arial" w:hAnsi="Arial" w:cs="Arial"/>
                <w:bCs/>
                <w:color w:val="000000" w:themeColor="text1"/>
              </w:rPr>
              <w:t>Cell line</w:t>
            </w:r>
          </w:p>
        </w:tc>
        <w:tc>
          <w:tcPr>
            <w:tcW w:w="3340" w:type="dxa"/>
            <w:tcBorders>
              <w:top w:val="single" w:sz="12" w:space="0" w:color="auto"/>
              <w:left w:val="single" w:sz="8" w:space="0" w:color="000000"/>
              <w:bottom w:val="single" w:sz="12" w:space="0" w:color="auto"/>
              <w:right w:val="single" w:sz="8" w:space="0" w:color="000000"/>
            </w:tcBorders>
            <w:shd w:val="clear" w:color="auto" w:fill="D9D9D9" w:themeFill="background1" w:themeFillShade="D9"/>
            <w:tcMar>
              <w:top w:w="34" w:type="dxa"/>
              <w:left w:w="34" w:type="dxa"/>
              <w:bottom w:w="0" w:type="dxa"/>
              <w:right w:w="34" w:type="dxa"/>
            </w:tcMar>
            <w:vAlign w:val="center"/>
            <w:hideMark/>
          </w:tcPr>
          <w:p w14:paraId="195F33F9" w14:textId="77777777" w:rsidR="000A4E62" w:rsidRPr="008A0E10" w:rsidRDefault="000A4E62" w:rsidP="00032B53">
            <w:pPr>
              <w:jc w:val="both"/>
              <w:rPr>
                <w:rFonts w:ascii="Arial" w:hAnsi="Arial" w:cs="Arial"/>
                <w:color w:val="000000" w:themeColor="text1"/>
              </w:rPr>
            </w:pPr>
            <w:r w:rsidRPr="008A0E10">
              <w:rPr>
                <w:rFonts w:ascii="Arial" w:hAnsi="Arial" w:cs="Arial"/>
                <w:bCs/>
                <w:color w:val="000000" w:themeColor="text1"/>
              </w:rPr>
              <w:t>NRAS mutation</w:t>
            </w:r>
          </w:p>
        </w:tc>
        <w:tc>
          <w:tcPr>
            <w:tcW w:w="3020" w:type="dxa"/>
            <w:tcBorders>
              <w:top w:val="single" w:sz="12" w:space="0" w:color="auto"/>
              <w:left w:val="single" w:sz="8" w:space="0" w:color="000000"/>
              <w:bottom w:val="single" w:sz="12" w:space="0" w:color="auto"/>
              <w:right w:val="single" w:sz="12" w:space="0" w:color="auto"/>
            </w:tcBorders>
            <w:shd w:val="clear" w:color="auto" w:fill="D9D9D9" w:themeFill="background1" w:themeFillShade="D9"/>
            <w:tcMar>
              <w:top w:w="34" w:type="dxa"/>
              <w:left w:w="34" w:type="dxa"/>
              <w:bottom w:w="0" w:type="dxa"/>
              <w:right w:w="34" w:type="dxa"/>
            </w:tcMar>
            <w:vAlign w:val="center"/>
            <w:hideMark/>
          </w:tcPr>
          <w:p w14:paraId="74598FF3" w14:textId="77777777" w:rsidR="000A4E62" w:rsidRPr="008A0E10" w:rsidRDefault="000A4E62" w:rsidP="00032B53">
            <w:pPr>
              <w:jc w:val="both"/>
              <w:rPr>
                <w:rFonts w:ascii="Arial" w:hAnsi="Arial" w:cs="Arial"/>
                <w:color w:val="000000" w:themeColor="text1"/>
              </w:rPr>
            </w:pPr>
            <w:r w:rsidRPr="008A0E10">
              <w:rPr>
                <w:rFonts w:ascii="Arial" w:hAnsi="Arial" w:cs="Arial"/>
                <w:bCs/>
                <w:color w:val="000000" w:themeColor="text1"/>
              </w:rPr>
              <w:t>TERT promoter</w:t>
            </w:r>
          </w:p>
          <w:p w14:paraId="2AF45BD5" w14:textId="77777777" w:rsidR="000A4E62" w:rsidRPr="008A0E10" w:rsidRDefault="000A4E62" w:rsidP="00032B53">
            <w:pPr>
              <w:jc w:val="both"/>
              <w:rPr>
                <w:rFonts w:ascii="Arial" w:hAnsi="Arial" w:cs="Arial"/>
                <w:color w:val="000000" w:themeColor="text1"/>
              </w:rPr>
            </w:pPr>
            <w:r w:rsidRPr="008A0E10">
              <w:rPr>
                <w:rFonts w:ascii="Arial" w:hAnsi="Arial" w:cs="Arial"/>
                <w:bCs/>
                <w:color w:val="000000" w:themeColor="text1"/>
              </w:rPr>
              <w:t>mutation</w:t>
            </w:r>
          </w:p>
        </w:tc>
      </w:tr>
      <w:tr w:rsidR="008A0E10" w:rsidRPr="008A0E10" w14:paraId="28ADEB4E" w14:textId="77777777" w:rsidTr="000A4E62">
        <w:trPr>
          <w:trHeight w:val="605"/>
        </w:trPr>
        <w:tc>
          <w:tcPr>
            <w:tcW w:w="3240" w:type="dxa"/>
            <w:tcBorders>
              <w:top w:val="single" w:sz="12" w:space="0" w:color="auto"/>
              <w:left w:val="single" w:sz="12" w:space="0" w:color="auto"/>
              <w:bottom w:val="single" w:sz="6" w:space="0" w:color="AD8F67"/>
              <w:right w:val="single" w:sz="8" w:space="0" w:color="000000"/>
            </w:tcBorders>
            <w:shd w:val="clear" w:color="auto" w:fill="auto"/>
            <w:tcMar>
              <w:top w:w="34" w:type="dxa"/>
              <w:left w:w="34" w:type="dxa"/>
              <w:bottom w:w="0" w:type="dxa"/>
              <w:right w:w="34" w:type="dxa"/>
            </w:tcMar>
            <w:vAlign w:val="center"/>
            <w:hideMark/>
          </w:tcPr>
          <w:p w14:paraId="247087BA"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WM3000</w:t>
            </w:r>
          </w:p>
        </w:tc>
        <w:tc>
          <w:tcPr>
            <w:tcW w:w="3340" w:type="dxa"/>
            <w:tcBorders>
              <w:top w:val="single" w:sz="12" w:space="0" w:color="auto"/>
              <w:left w:val="single" w:sz="8" w:space="0" w:color="000000"/>
              <w:bottom w:val="single" w:sz="6" w:space="0" w:color="AD8F67"/>
              <w:right w:val="single" w:sz="8" w:space="0" w:color="000000"/>
            </w:tcBorders>
            <w:shd w:val="clear" w:color="auto" w:fill="auto"/>
            <w:tcMar>
              <w:top w:w="34" w:type="dxa"/>
              <w:left w:w="34" w:type="dxa"/>
              <w:bottom w:w="0" w:type="dxa"/>
              <w:right w:w="34" w:type="dxa"/>
            </w:tcMar>
            <w:vAlign w:val="center"/>
            <w:hideMark/>
          </w:tcPr>
          <w:p w14:paraId="0C13AC70"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Q61R</w:t>
            </w:r>
          </w:p>
        </w:tc>
        <w:tc>
          <w:tcPr>
            <w:tcW w:w="3020" w:type="dxa"/>
            <w:tcBorders>
              <w:top w:val="single" w:sz="12" w:space="0" w:color="auto"/>
              <w:left w:val="single" w:sz="8" w:space="0" w:color="000000"/>
              <w:bottom w:val="single" w:sz="6" w:space="0" w:color="AD8F67"/>
              <w:right w:val="single" w:sz="12" w:space="0" w:color="auto"/>
            </w:tcBorders>
            <w:shd w:val="clear" w:color="auto" w:fill="auto"/>
            <w:tcMar>
              <w:top w:w="34" w:type="dxa"/>
              <w:left w:w="34" w:type="dxa"/>
              <w:bottom w:w="0" w:type="dxa"/>
              <w:right w:w="34" w:type="dxa"/>
            </w:tcMar>
            <w:vAlign w:val="center"/>
            <w:hideMark/>
          </w:tcPr>
          <w:p w14:paraId="69CAEB33"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C/T (-124, -138, -139)</w:t>
            </w:r>
          </w:p>
        </w:tc>
      </w:tr>
      <w:tr w:rsidR="008A0E10" w:rsidRPr="008A0E10" w14:paraId="45F35513" w14:textId="77777777" w:rsidTr="000A4E62">
        <w:trPr>
          <w:trHeight w:val="536"/>
        </w:trPr>
        <w:tc>
          <w:tcPr>
            <w:tcW w:w="3240" w:type="dxa"/>
            <w:tcBorders>
              <w:top w:val="single" w:sz="6" w:space="0" w:color="AD8F67"/>
              <w:left w:val="single" w:sz="12" w:space="0" w:color="auto"/>
              <w:bottom w:val="single" w:sz="6" w:space="0" w:color="AD8F67"/>
              <w:right w:val="single" w:sz="8" w:space="0" w:color="000000"/>
            </w:tcBorders>
            <w:shd w:val="clear" w:color="auto" w:fill="auto"/>
            <w:tcMar>
              <w:top w:w="34" w:type="dxa"/>
              <w:left w:w="34" w:type="dxa"/>
              <w:bottom w:w="0" w:type="dxa"/>
              <w:right w:w="34" w:type="dxa"/>
            </w:tcMar>
            <w:vAlign w:val="center"/>
            <w:hideMark/>
          </w:tcPr>
          <w:p w14:paraId="3328D8C4"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WM3451</w:t>
            </w:r>
          </w:p>
        </w:tc>
        <w:tc>
          <w:tcPr>
            <w:tcW w:w="3340" w:type="dxa"/>
            <w:tcBorders>
              <w:top w:val="single" w:sz="6" w:space="0" w:color="AD8F67"/>
              <w:left w:val="single" w:sz="8" w:space="0" w:color="000000"/>
              <w:bottom w:val="single" w:sz="6" w:space="0" w:color="AD8F67"/>
              <w:right w:val="single" w:sz="8" w:space="0" w:color="000000"/>
            </w:tcBorders>
            <w:shd w:val="clear" w:color="auto" w:fill="auto"/>
            <w:tcMar>
              <w:top w:w="34" w:type="dxa"/>
              <w:left w:w="34" w:type="dxa"/>
              <w:bottom w:w="0" w:type="dxa"/>
              <w:right w:w="34" w:type="dxa"/>
            </w:tcMar>
            <w:vAlign w:val="center"/>
            <w:hideMark/>
          </w:tcPr>
          <w:p w14:paraId="4110B158"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Q61K</w:t>
            </w:r>
          </w:p>
        </w:tc>
        <w:tc>
          <w:tcPr>
            <w:tcW w:w="3020" w:type="dxa"/>
            <w:tcBorders>
              <w:top w:val="single" w:sz="6" w:space="0" w:color="AD8F67"/>
              <w:left w:val="single" w:sz="8" w:space="0" w:color="000000"/>
              <w:bottom w:val="single" w:sz="6" w:space="0" w:color="AD8F67"/>
              <w:right w:val="single" w:sz="12" w:space="0" w:color="auto"/>
            </w:tcBorders>
            <w:shd w:val="clear" w:color="auto" w:fill="auto"/>
            <w:tcMar>
              <w:top w:w="34" w:type="dxa"/>
              <w:left w:w="34" w:type="dxa"/>
              <w:bottom w:w="0" w:type="dxa"/>
              <w:right w:w="34" w:type="dxa"/>
            </w:tcMar>
            <w:vAlign w:val="center"/>
            <w:hideMark/>
          </w:tcPr>
          <w:p w14:paraId="38704427"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T/C, C/T (-246, -139, -138)</w:t>
            </w:r>
          </w:p>
        </w:tc>
      </w:tr>
      <w:tr w:rsidR="008A0E10" w:rsidRPr="008A0E10" w14:paraId="415742F0" w14:textId="77777777" w:rsidTr="000A4E62">
        <w:trPr>
          <w:trHeight w:val="486"/>
        </w:trPr>
        <w:tc>
          <w:tcPr>
            <w:tcW w:w="3240" w:type="dxa"/>
            <w:tcBorders>
              <w:top w:val="single" w:sz="8" w:space="0" w:color="000000"/>
              <w:left w:val="single" w:sz="12" w:space="0" w:color="auto"/>
              <w:bottom w:val="single" w:sz="6" w:space="0" w:color="AD8F67"/>
              <w:right w:val="single" w:sz="8" w:space="0" w:color="000000"/>
            </w:tcBorders>
            <w:shd w:val="clear" w:color="auto" w:fill="auto"/>
            <w:tcMar>
              <w:top w:w="34" w:type="dxa"/>
              <w:left w:w="34" w:type="dxa"/>
              <w:bottom w:w="0" w:type="dxa"/>
              <w:right w:w="34" w:type="dxa"/>
            </w:tcMar>
            <w:vAlign w:val="center"/>
            <w:hideMark/>
          </w:tcPr>
          <w:p w14:paraId="231389A1"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M93-047</w:t>
            </w:r>
          </w:p>
        </w:tc>
        <w:tc>
          <w:tcPr>
            <w:tcW w:w="3340" w:type="dxa"/>
            <w:tcBorders>
              <w:top w:val="single" w:sz="8" w:space="0" w:color="000000"/>
              <w:left w:val="single" w:sz="8" w:space="0" w:color="000000"/>
              <w:bottom w:val="single" w:sz="6" w:space="0" w:color="AD8F67"/>
              <w:right w:val="single" w:sz="8" w:space="0" w:color="000000"/>
            </w:tcBorders>
            <w:shd w:val="clear" w:color="auto" w:fill="auto"/>
            <w:tcMar>
              <w:top w:w="34" w:type="dxa"/>
              <w:left w:w="34" w:type="dxa"/>
              <w:bottom w:w="0" w:type="dxa"/>
              <w:right w:w="34" w:type="dxa"/>
            </w:tcMar>
            <w:vAlign w:val="center"/>
            <w:hideMark/>
          </w:tcPr>
          <w:p w14:paraId="3F93A328"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Q61K</w:t>
            </w:r>
          </w:p>
        </w:tc>
        <w:tc>
          <w:tcPr>
            <w:tcW w:w="3020" w:type="dxa"/>
            <w:tcBorders>
              <w:top w:val="single" w:sz="8" w:space="0" w:color="000000"/>
              <w:left w:val="single" w:sz="8" w:space="0" w:color="000000"/>
              <w:bottom w:val="single" w:sz="6" w:space="0" w:color="AD8F67"/>
              <w:right w:val="single" w:sz="12" w:space="0" w:color="auto"/>
            </w:tcBorders>
            <w:shd w:val="clear" w:color="auto" w:fill="auto"/>
            <w:tcMar>
              <w:top w:w="34" w:type="dxa"/>
              <w:left w:w="34" w:type="dxa"/>
              <w:bottom w:w="0" w:type="dxa"/>
              <w:right w:w="34" w:type="dxa"/>
            </w:tcMar>
            <w:vAlign w:val="center"/>
            <w:hideMark/>
          </w:tcPr>
          <w:p w14:paraId="1DE6FBD1"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w:t>
            </w:r>
          </w:p>
        </w:tc>
      </w:tr>
      <w:tr w:rsidR="008A0E10" w:rsidRPr="008A0E10" w14:paraId="7CDEBD5F" w14:textId="77777777" w:rsidTr="000A4E62">
        <w:trPr>
          <w:trHeight w:val="491"/>
        </w:trPr>
        <w:tc>
          <w:tcPr>
            <w:tcW w:w="3240" w:type="dxa"/>
            <w:tcBorders>
              <w:top w:val="single" w:sz="6" w:space="0" w:color="AD8F67"/>
              <w:left w:val="single" w:sz="12" w:space="0" w:color="auto"/>
              <w:bottom w:val="single" w:sz="6" w:space="0" w:color="AD8F67"/>
              <w:right w:val="single" w:sz="8" w:space="0" w:color="000000"/>
            </w:tcBorders>
            <w:shd w:val="clear" w:color="auto" w:fill="auto"/>
            <w:tcMar>
              <w:top w:w="34" w:type="dxa"/>
              <w:left w:w="34" w:type="dxa"/>
              <w:bottom w:w="0" w:type="dxa"/>
              <w:right w:w="34" w:type="dxa"/>
            </w:tcMar>
            <w:vAlign w:val="center"/>
            <w:hideMark/>
          </w:tcPr>
          <w:p w14:paraId="4BAFCC00"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WM852</w:t>
            </w:r>
          </w:p>
        </w:tc>
        <w:tc>
          <w:tcPr>
            <w:tcW w:w="3340" w:type="dxa"/>
            <w:tcBorders>
              <w:top w:val="single" w:sz="6" w:space="0" w:color="AD8F67"/>
              <w:left w:val="single" w:sz="8" w:space="0" w:color="000000"/>
              <w:bottom w:val="single" w:sz="6" w:space="0" w:color="AD8F67"/>
              <w:right w:val="single" w:sz="8" w:space="0" w:color="000000"/>
            </w:tcBorders>
            <w:shd w:val="clear" w:color="auto" w:fill="auto"/>
            <w:tcMar>
              <w:top w:w="34" w:type="dxa"/>
              <w:left w:w="34" w:type="dxa"/>
              <w:bottom w:w="0" w:type="dxa"/>
              <w:right w:w="34" w:type="dxa"/>
            </w:tcMar>
            <w:vAlign w:val="center"/>
            <w:hideMark/>
          </w:tcPr>
          <w:p w14:paraId="3231FB89"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Q61R</w:t>
            </w:r>
          </w:p>
        </w:tc>
        <w:tc>
          <w:tcPr>
            <w:tcW w:w="3020" w:type="dxa"/>
            <w:tcBorders>
              <w:top w:val="single" w:sz="6" w:space="0" w:color="AD8F67"/>
              <w:left w:val="single" w:sz="8" w:space="0" w:color="000000"/>
              <w:bottom w:val="single" w:sz="6" w:space="0" w:color="AD8F67"/>
              <w:right w:val="single" w:sz="12" w:space="0" w:color="auto"/>
            </w:tcBorders>
            <w:shd w:val="clear" w:color="auto" w:fill="auto"/>
            <w:tcMar>
              <w:top w:w="34" w:type="dxa"/>
              <w:left w:w="34" w:type="dxa"/>
              <w:bottom w:w="0" w:type="dxa"/>
              <w:right w:w="34" w:type="dxa"/>
            </w:tcMar>
            <w:vAlign w:val="center"/>
            <w:hideMark/>
          </w:tcPr>
          <w:p w14:paraId="428B80F3"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C/C, C/T (-246, -139, -138)</w:t>
            </w:r>
          </w:p>
        </w:tc>
      </w:tr>
      <w:tr w:rsidR="008A0E10" w:rsidRPr="008A0E10" w14:paraId="414EC621" w14:textId="77777777" w:rsidTr="000A4E62">
        <w:trPr>
          <w:trHeight w:val="491"/>
        </w:trPr>
        <w:tc>
          <w:tcPr>
            <w:tcW w:w="3240" w:type="dxa"/>
            <w:tcBorders>
              <w:top w:val="single" w:sz="6" w:space="0" w:color="AD8F67"/>
              <w:left w:val="single" w:sz="12" w:space="0" w:color="auto"/>
              <w:bottom w:val="single" w:sz="6" w:space="0" w:color="AD8F67"/>
              <w:right w:val="single" w:sz="8" w:space="0" w:color="000000"/>
            </w:tcBorders>
            <w:shd w:val="clear" w:color="auto" w:fill="auto"/>
            <w:tcMar>
              <w:top w:w="34" w:type="dxa"/>
              <w:left w:w="34" w:type="dxa"/>
              <w:bottom w:w="0" w:type="dxa"/>
              <w:right w:w="34" w:type="dxa"/>
            </w:tcMar>
            <w:vAlign w:val="center"/>
            <w:hideMark/>
          </w:tcPr>
          <w:p w14:paraId="0813D037"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WM1366</w:t>
            </w:r>
          </w:p>
        </w:tc>
        <w:tc>
          <w:tcPr>
            <w:tcW w:w="3340" w:type="dxa"/>
            <w:tcBorders>
              <w:top w:val="single" w:sz="6" w:space="0" w:color="AD8F67"/>
              <w:left w:val="single" w:sz="8" w:space="0" w:color="000000"/>
              <w:bottom w:val="single" w:sz="6" w:space="0" w:color="AD8F67"/>
              <w:right w:val="single" w:sz="8" w:space="0" w:color="000000"/>
            </w:tcBorders>
            <w:shd w:val="clear" w:color="auto" w:fill="auto"/>
            <w:tcMar>
              <w:top w:w="34" w:type="dxa"/>
              <w:left w:w="34" w:type="dxa"/>
              <w:bottom w:w="0" w:type="dxa"/>
              <w:right w:w="34" w:type="dxa"/>
            </w:tcMar>
            <w:vAlign w:val="center"/>
            <w:hideMark/>
          </w:tcPr>
          <w:p w14:paraId="7B277444"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Q61L</w:t>
            </w:r>
          </w:p>
        </w:tc>
        <w:tc>
          <w:tcPr>
            <w:tcW w:w="3020" w:type="dxa"/>
            <w:tcBorders>
              <w:top w:val="single" w:sz="6" w:space="0" w:color="AD8F67"/>
              <w:left w:val="single" w:sz="8" w:space="0" w:color="000000"/>
              <w:bottom w:val="single" w:sz="6" w:space="0" w:color="AD8F67"/>
              <w:right w:val="single" w:sz="12" w:space="0" w:color="auto"/>
            </w:tcBorders>
            <w:shd w:val="clear" w:color="auto" w:fill="auto"/>
            <w:tcMar>
              <w:top w:w="34" w:type="dxa"/>
              <w:left w:w="34" w:type="dxa"/>
              <w:bottom w:w="0" w:type="dxa"/>
              <w:right w:w="34" w:type="dxa"/>
            </w:tcMar>
            <w:vAlign w:val="center"/>
            <w:hideMark/>
          </w:tcPr>
          <w:p w14:paraId="33A44DF0"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T/C, C/T (-138, -139)</w:t>
            </w:r>
          </w:p>
        </w:tc>
      </w:tr>
      <w:tr w:rsidR="008A0E10" w:rsidRPr="008A0E10" w14:paraId="38A4503A" w14:textId="77777777" w:rsidTr="000A4E62">
        <w:trPr>
          <w:trHeight w:val="491"/>
        </w:trPr>
        <w:tc>
          <w:tcPr>
            <w:tcW w:w="3240" w:type="dxa"/>
            <w:tcBorders>
              <w:top w:val="single" w:sz="6" w:space="0" w:color="AD8F67"/>
              <w:left w:val="single" w:sz="12" w:space="0" w:color="auto"/>
              <w:bottom w:val="single" w:sz="6" w:space="0" w:color="AD8F67"/>
              <w:right w:val="single" w:sz="8" w:space="0" w:color="000000"/>
            </w:tcBorders>
            <w:shd w:val="clear" w:color="auto" w:fill="auto"/>
            <w:tcMar>
              <w:top w:w="34" w:type="dxa"/>
              <w:left w:w="34" w:type="dxa"/>
              <w:bottom w:w="0" w:type="dxa"/>
              <w:right w:w="34" w:type="dxa"/>
            </w:tcMar>
            <w:vAlign w:val="center"/>
            <w:hideMark/>
          </w:tcPr>
          <w:p w14:paraId="0613C6F2"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WM3629</w:t>
            </w:r>
          </w:p>
        </w:tc>
        <w:tc>
          <w:tcPr>
            <w:tcW w:w="3340" w:type="dxa"/>
            <w:tcBorders>
              <w:top w:val="single" w:sz="6" w:space="0" w:color="AD8F67"/>
              <w:left w:val="single" w:sz="8" w:space="0" w:color="000000"/>
              <w:bottom w:val="single" w:sz="6" w:space="0" w:color="AD8F67"/>
              <w:right w:val="single" w:sz="8" w:space="0" w:color="000000"/>
            </w:tcBorders>
            <w:shd w:val="clear" w:color="auto" w:fill="auto"/>
            <w:tcMar>
              <w:top w:w="34" w:type="dxa"/>
              <w:left w:w="34" w:type="dxa"/>
              <w:bottom w:w="0" w:type="dxa"/>
              <w:right w:w="34" w:type="dxa"/>
            </w:tcMar>
            <w:vAlign w:val="center"/>
            <w:hideMark/>
          </w:tcPr>
          <w:p w14:paraId="3FC3D50E"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G12D</w:t>
            </w:r>
          </w:p>
        </w:tc>
        <w:tc>
          <w:tcPr>
            <w:tcW w:w="3020" w:type="dxa"/>
            <w:tcBorders>
              <w:top w:val="single" w:sz="6" w:space="0" w:color="AD8F67"/>
              <w:left w:val="single" w:sz="8" w:space="0" w:color="000000"/>
              <w:bottom w:val="single" w:sz="6" w:space="0" w:color="AD8F67"/>
              <w:right w:val="single" w:sz="12" w:space="0" w:color="auto"/>
            </w:tcBorders>
            <w:shd w:val="clear" w:color="auto" w:fill="auto"/>
            <w:tcMar>
              <w:top w:w="34" w:type="dxa"/>
              <w:left w:w="34" w:type="dxa"/>
              <w:bottom w:w="0" w:type="dxa"/>
              <w:right w:w="34" w:type="dxa"/>
            </w:tcMar>
            <w:vAlign w:val="center"/>
            <w:hideMark/>
          </w:tcPr>
          <w:p w14:paraId="56D15B31"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T/C (-124)</w:t>
            </w:r>
          </w:p>
        </w:tc>
      </w:tr>
      <w:tr w:rsidR="008A0E10" w:rsidRPr="008A0E10" w14:paraId="1D9E0D58" w14:textId="77777777" w:rsidTr="000A4E62">
        <w:trPr>
          <w:trHeight w:val="491"/>
        </w:trPr>
        <w:tc>
          <w:tcPr>
            <w:tcW w:w="3240" w:type="dxa"/>
            <w:tcBorders>
              <w:top w:val="single" w:sz="6" w:space="0" w:color="AD8F67"/>
              <w:left w:val="single" w:sz="12" w:space="0" w:color="auto"/>
              <w:bottom w:val="single" w:sz="12" w:space="0" w:color="auto"/>
              <w:right w:val="single" w:sz="8" w:space="0" w:color="000000"/>
            </w:tcBorders>
            <w:shd w:val="clear" w:color="auto" w:fill="auto"/>
            <w:tcMar>
              <w:top w:w="34" w:type="dxa"/>
              <w:left w:w="34" w:type="dxa"/>
              <w:bottom w:w="0" w:type="dxa"/>
              <w:right w:w="34" w:type="dxa"/>
            </w:tcMar>
            <w:vAlign w:val="center"/>
            <w:hideMark/>
          </w:tcPr>
          <w:p w14:paraId="12A68A5A"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WM4113</w:t>
            </w:r>
          </w:p>
        </w:tc>
        <w:tc>
          <w:tcPr>
            <w:tcW w:w="3340" w:type="dxa"/>
            <w:tcBorders>
              <w:top w:val="single" w:sz="6" w:space="0" w:color="AD8F67"/>
              <w:left w:val="single" w:sz="8" w:space="0" w:color="000000"/>
              <w:bottom w:val="single" w:sz="12" w:space="0" w:color="auto"/>
              <w:right w:val="single" w:sz="8" w:space="0" w:color="000000"/>
            </w:tcBorders>
            <w:shd w:val="clear" w:color="auto" w:fill="auto"/>
            <w:tcMar>
              <w:top w:w="34" w:type="dxa"/>
              <w:left w:w="34" w:type="dxa"/>
              <w:bottom w:w="0" w:type="dxa"/>
              <w:right w:w="34" w:type="dxa"/>
            </w:tcMar>
            <w:vAlign w:val="center"/>
            <w:hideMark/>
          </w:tcPr>
          <w:p w14:paraId="1A166AE6"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Q61R</w:t>
            </w:r>
          </w:p>
        </w:tc>
        <w:tc>
          <w:tcPr>
            <w:tcW w:w="3020" w:type="dxa"/>
            <w:tcBorders>
              <w:top w:val="single" w:sz="6" w:space="0" w:color="AD8F67"/>
              <w:left w:val="single" w:sz="8" w:space="0" w:color="000000"/>
              <w:bottom w:val="single" w:sz="12" w:space="0" w:color="auto"/>
              <w:right w:val="single" w:sz="12" w:space="0" w:color="auto"/>
            </w:tcBorders>
            <w:shd w:val="clear" w:color="auto" w:fill="auto"/>
            <w:tcMar>
              <w:top w:w="34" w:type="dxa"/>
              <w:left w:w="34" w:type="dxa"/>
              <w:bottom w:w="0" w:type="dxa"/>
              <w:right w:w="34" w:type="dxa"/>
            </w:tcMar>
            <w:vAlign w:val="center"/>
            <w:hideMark/>
          </w:tcPr>
          <w:p w14:paraId="690FC8FA"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A/C (-57)</w:t>
            </w:r>
          </w:p>
        </w:tc>
      </w:tr>
    </w:tbl>
    <w:p w14:paraId="5372995F" w14:textId="77777777" w:rsidR="000A4E62" w:rsidRPr="008A0E10" w:rsidRDefault="000A4E62" w:rsidP="00032B53">
      <w:pPr>
        <w:jc w:val="both"/>
        <w:rPr>
          <w:rFonts w:ascii="Arial" w:hAnsi="Arial" w:cs="Arial"/>
          <w:color w:val="000000" w:themeColor="text1"/>
        </w:rPr>
      </w:pPr>
    </w:p>
    <w:p w14:paraId="6E72B863" w14:textId="77777777" w:rsidR="000A4E62" w:rsidRPr="008A0E10" w:rsidRDefault="000A4E62" w:rsidP="00032B53">
      <w:pPr>
        <w:jc w:val="both"/>
        <w:rPr>
          <w:rFonts w:ascii="Arial" w:hAnsi="Arial" w:cs="Arial"/>
          <w:b/>
          <w:color w:val="000000" w:themeColor="text1"/>
        </w:rPr>
      </w:pPr>
    </w:p>
    <w:p w14:paraId="421896DD" w14:textId="77777777" w:rsidR="00A771D4" w:rsidRPr="008A0E10" w:rsidRDefault="00A771D4" w:rsidP="00032B53">
      <w:pPr>
        <w:jc w:val="both"/>
        <w:rPr>
          <w:rFonts w:ascii="Arial" w:hAnsi="Arial" w:cs="Arial"/>
          <w:b/>
          <w:color w:val="000000" w:themeColor="text1"/>
        </w:rPr>
      </w:pPr>
    </w:p>
    <w:p w14:paraId="44608183" w14:textId="77777777" w:rsidR="00A771D4" w:rsidRPr="008A0E10" w:rsidRDefault="00A771D4" w:rsidP="00032B53">
      <w:pPr>
        <w:jc w:val="both"/>
        <w:rPr>
          <w:rFonts w:ascii="Arial" w:hAnsi="Arial" w:cs="Arial"/>
          <w:b/>
          <w:color w:val="000000" w:themeColor="text1"/>
        </w:rPr>
      </w:pPr>
    </w:p>
    <w:p w14:paraId="455567A4" w14:textId="77777777" w:rsidR="007E4CEB" w:rsidRPr="008A0E10" w:rsidRDefault="007E4CEB" w:rsidP="00032B53">
      <w:pPr>
        <w:jc w:val="both"/>
        <w:rPr>
          <w:rFonts w:ascii="Arial" w:hAnsi="Arial" w:cs="Arial"/>
          <w:b/>
          <w:color w:val="000000" w:themeColor="text1"/>
        </w:rPr>
      </w:pPr>
    </w:p>
    <w:p w14:paraId="7875CB60" w14:textId="77777777" w:rsidR="000A4E62" w:rsidRPr="008A0E10" w:rsidRDefault="000A4E62" w:rsidP="00032B53">
      <w:pPr>
        <w:jc w:val="both"/>
        <w:rPr>
          <w:rFonts w:ascii="Arial" w:hAnsi="Arial" w:cs="Arial"/>
          <w:bCs/>
          <w:color w:val="000000" w:themeColor="text1"/>
        </w:rPr>
      </w:pPr>
    </w:p>
    <w:tbl>
      <w:tblPr>
        <w:tblStyle w:val="TableGrid"/>
        <w:tblW w:w="9630" w:type="dxa"/>
        <w:tblInd w:w="108" w:type="dxa"/>
        <w:tblLayout w:type="fixed"/>
        <w:tblLook w:val="04A0" w:firstRow="1" w:lastRow="0" w:firstColumn="1" w:lastColumn="0" w:noHBand="0" w:noVBand="1"/>
      </w:tblPr>
      <w:tblGrid>
        <w:gridCol w:w="1530"/>
        <w:gridCol w:w="4140"/>
        <w:gridCol w:w="3960"/>
      </w:tblGrid>
      <w:tr w:rsidR="008A0E10" w:rsidRPr="008A0E10" w14:paraId="67E08A68" w14:textId="77777777" w:rsidTr="000A4E62">
        <w:tc>
          <w:tcPr>
            <w:tcW w:w="9630" w:type="dxa"/>
            <w:gridSpan w:val="3"/>
            <w:tcBorders>
              <w:top w:val="nil"/>
              <w:left w:val="nil"/>
              <w:bottom w:val="single" w:sz="12" w:space="0" w:color="auto"/>
              <w:right w:val="nil"/>
            </w:tcBorders>
          </w:tcPr>
          <w:p w14:paraId="5A08290B" w14:textId="77777777" w:rsidR="000A4E62" w:rsidRPr="008A0E10" w:rsidRDefault="008E4F04" w:rsidP="00032B53">
            <w:pPr>
              <w:jc w:val="both"/>
              <w:rPr>
                <w:rFonts w:ascii="Arial" w:hAnsi="Arial" w:cs="Arial"/>
                <w:b/>
                <w:color w:val="000000" w:themeColor="text1"/>
              </w:rPr>
            </w:pPr>
            <w:r w:rsidRPr="008A0E10">
              <w:rPr>
                <w:rFonts w:ascii="Arial" w:hAnsi="Arial" w:cs="Arial"/>
                <w:b/>
                <w:color w:val="000000" w:themeColor="text1"/>
              </w:rPr>
              <w:t xml:space="preserve">Supplementary </w:t>
            </w:r>
            <w:r w:rsidR="00C00FED" w:rsidRPr="008A0E10">
              <w:rPr>
                <w:rFonts w:ascii="Arial" w:hAnsi="Arial" w:cs="Arial"/>
                <w:b/>
                <w:color w:val="000000" w:themeColor="text1"/>
              </w:rPr>
              <w:t xml:space="preserve">Table 2. </w:t>
            </w:r>
            <w:r w:rsidR="000A4E62" w:rsidRPr="008A0E10">
              <w:rPr>
                <w:rFonts w:ascii="Arial" w:hAnsi="Arial" w:cs="Arial"/>
                <w:b/>
                <w:color w:val="000000" w:themeColor="text1"/>
              </w:rPr>
              <w:t>Primers sequences</w:t>
            </w:r>
          </w:p>
          <w:p w14:paraId="061B7EEA" w14:textId="77777777" w:rsidR="00616AE8" w:rsidRPr="008A0E10" w:rsidRDefault="00616AE8" w:rsidP="00032B53">
            <w:pPr>
              <w:jc w:val="both"/>
              <w:rPr>
                <w:rFonts w:ascii="Arial" w:hAnsi="Arial" w:cs="Arial"/>
                <w:b/>
                <w:color w:val="000000" w:themeColor="text1"/>
              </w:rPr>
            </w:pPr>
          </w:p>
        </w:tc>
      </w:tr>
      <w:tr w:rsidR="008A0E10" w:rsidRPr="008A0E10" w14:paraId="6D3C6AA3" w14:textId="77777777" w:rsidTr="000A4E62">
        <w:tc>
          <w:tcPr>
            <w:tcW w:w="1530" w:type="dxa"/>
            <w:tcBorders>
              <w:top w:val="single" w:sz="12" w:space="0" w:color="auto"/>
              <w:left w:val="single" w:sz="12" w:space="0" w:color="auto"/>
              <w:bottom w:val="single" w:sz="12" w:space="0" w:color="auto"/>
            </w:tcBorders>
            <w:vAlign w:val="center"/>
          </w:tcPr>
          <w:p w14:paraId="2C2AA8D9"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Gene</w:t>
            </w:r>
          </w:p>
        </w:tc>
        <w:tc>
          <w:tcPr>
            <w:tcW w:w="4140" w:type="dxa"/>
            <w:tcBorders>
              <w:top w:val="single" w:sz="12" w:space="0" w:color="auto"/>
              <w:bottom w:val="single" w:sz="12" w:space="0" w:color="auto"/>
            </w:tcBorders>
            <w:vAlign w:val="center"/>
          </w:tcPr>
          <w:p w14:paraId="7B9C6A57"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Forward Seq. 5’-3’</w:t>
            </w:r>
          </w:p>
        </w:tc>
        <w:tc>
          <w:tcPr>
            <w:tcW w:w="3960" w:type="dxa"/>
            <w:tcBorders>
              <w:top w:val="single" w:sz="12" w:space="0" w:color="auto"/>
              <w:bottom w:val="single" w:sz="12" w:space="0" w:color="auto"/>
              <w:right w:val="single" w:sz="12" w:space="0" w:color="auto"/>
            </w:tcBorders>
            <w:vAlign w:val="center"/>
          </w:tcPr>
          <w:p w14:paraId="3AA87FD2"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Reverse Seq.5’-3’</w:t>
            </w:r>
          </w:p>
        </w:tc>
      </w:tr>
      <w:tr w:rsidR="008A0E10" w:rsidRPr="008A0E10" w14:paraId="2B0741EA" w14:textId="77777777" w:rsidTr="000A4E62">
        <w:tc>
          <w:tcPr>
            <w:tcW w:w="1530" w:type="dxa"/>
            <w:tcBorders>
              <w:top w:val="single" w:sz="12" w:space="0" w:color="auto"/>
              <w:left w:val="single" w:sz="12" w:space="0" w:color="auto"/>
            </w:tcBorders>
          </w:tcPr>
          <w:p w14:paraId="41D3D6C4"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GAPDH</w:t>
            </w:r>
          </w:p>
        </w:tc>
        <w:tc>
          <w:tcPr>
            <w:tcW w:w="4140" w:type="dxa"/>
            <w:tcBorders>
              <w:top w:val="single" w:sz="12" w:space="0" w:color="auto"/>
            </w:tcBorders>
          </w:tcPr>
          <w:p w14:paraId="76E2F83D"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TGCCAATGATGACATCAAGAA</w:t>
            </w:r>
          </w:p>
        </w:tc>
        <w:tc>
          <w:tcPr>
            <w:tcW w:w="3960" w:type="dxa"/>
            <w:tcBorders>
              <w:top w:val="single" w:sz="12" w:space="0" w:color="auto"/>
              <w:right w:val="single" w:sz="12" w:space="0" w:color="auto"/>
            </w:tcBorders>
          </w:tcPr>
          <w:p w14:paraId="7C5A3098"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GGAGTGGGTGTCGCTGTTG</w:t>
            </w:r>
          </w:p>
        </w:tc>
      </w:tr>
      <w:tr w:rsidR="008A0E10" w:rsidRPr="008A0E10" w14:paraId="0F4719BC" w14:textId="77777777" w:rsidTr="000A4E62">
        <w:tc>
          <w:tcPr>
            <w:tcW w:w="1530" w:type="dxa"/>
            <w:tcBorders>
              <w:left w:val="single" w:sz="12" w:space="0" w:color="auto"/>
            </w:tcBorders>
          </w:tcPr>
          <w:p w14:paraId="507869E0"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TERT</w:t>
            </w:r>
          </w:p>
        </w:tc>
        <w:tc>
          <w:tcPr>
            <w:tcW w:w="4140" w:type="dxa"/>
          </w:tcPr>
          <w:p w14:paraId="3682953C"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GCCGATTGTGAACATGGACTACG</w:t>
            </w:r>
          </w:p>
        </w:tc>
        <w:tc>
          <w:tcPr>
            <w:tcW w:w="3960" w:type="dxa"/>
            <w:tcBorders>
              <w:right w:val="single" w:sz="12" w:space="0" w:color="auto"/>
            </w:tcBorders>
          </w:tcPr>
          <w:p w14:paraId="4AA3F6FD"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GCTCGTAGTTGAGCACGCTGAA</w:t>
            </w:r>
          </w:p>
        </w:tc>
      </w:tr>
      <w:tr w:rsidR="008A0E10" w:rsidRPr="008A0E10" w14:paraId="0AC117F8" w14:textId="77777777" w:rsidTr="000A4E62">
        <w:tc>
          <w:tcPr>
            <w:tcW w:w="1530" w:type="dxa"/>
            <w:tcBorders>
              <w:left w:val="single" w:sz="12" w:space="0" w:color="auto"/>
            </w:tcBorders>
          </w:tcPr>
          <w:p w14:paraId="35B30243"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PGC1 alpha</w:t>
            </w:r>
          </w:p>
        </w:tc>
        <w:tc>
          <w:tcPr>
            <w:tcW w:w="4140" w:type="dxa"/>
          </w:tcPr>
          <w:p w14:paraId="2F6A8A53"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CTGCTAGCAAGTTTGCCTCA</w:t>
            </w:r>
          </w:p>
        </w:tc>
        <w:tc>
          <w:tcPr>
            <w:tcW w:w="3960" w:type="dxa"/>
            <w:tcBorders>
              <w:right w:val="single" w:sz="12" w:space="0" w:color="auto"/>
            </w:tcBorders>
          </w:tcPr>
          <w:p w14:paraId="25495EA8"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AGTGGTGCAGTGACCAATCA</w:t>
            </w:r>
          </w:p>
        </w:tc>
      </w:tr>
      <w:tr w:rsidR="008A0E10" w:rsidRPr="008A0E10" w14:paraId="5B2CF1CE" w14:textId="77777777" w:rsidTr="000A4E62">
        <w:tc>
          <w:tcPr>
            <w:tcW w:w="1530" w:type="dxa"/>
            <w:tcBorders>
              <w:left w:val="single" w:sz="12" w:space="0" w:color="auto"/>
            </w:tcBorders>
          </w:tcPr>
          <w:p w14:paraId="2CC13CC4"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PGC1 beta</w:t>
            </w:r>
          </w:p>
        </w:tc>
        <w:tc>
          <w:tcPr>
            <w:tcW w:w="4140" w:type="dxa"/>
          </w:tcPr>
          <w:p w14:paraId="0C450379"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CAGACAGAACGCCAAGCATC</w:t>
            </w:r>
          </w:p>
        </w:tc>
        <w:tc>
          <w:tcPr>
            <w:tcW w:w="3960" w:type="dxa"/>
            <w:tcBorders>
              <w:right w:val="single" w:sz="12" w:space="0" w:color="auto"/>
            </w:tcBorders>
          </w:tcPr>
          <w:p w14:paraId="4EA2EB62"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TCGCACTCCTCAATCTCACC</w:t>
            </w:r>
          </w:p>
        </w:tc>
      </w:tr>
      <w:tr w:rsidR="008A0E10" w:rsidRPr="008A0E10" w14:paraId="3CACB314" w14:textId="77777777" w:rsidTr="000A4E62">
        <w:tc>
          <w:tcPr>
            <w:tcW w:w="1530" w:type="dxa"/>
            <w:tcBorders>
              <w:left w:val="single" w:sz="12" w:space="0" w:color="auto"/>
            </w:tcBorders>
          </w:tcPr>
          <w:p w14:paraId="6645588E"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SOD2</w:t>
            </w:r>
          </w:p>
        </w:tc>
        <w:tc>
          <w:tcPr>
            <w:tcW w:w="4140" w:type="dxa"/>
          </w:tcPr>
          <w:p w14:paraId="0D632EEF"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GGCCTACGTGAACAACCTGA</w:t>
            </w:r>
          </w:p>
        </w:tc>
        <w:tc>
          <w:tcPr>
            <w:tcW w:w="3960" w:type="dxa"/>
            <w:tcBorders>
              <w:right w:val="single" w:sz="12" w:space="0" w:color="auto"/>
            </w:tcBorders>
          </w:tcPr>
          <w:p w14:paraId="310C3727"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CCGTTAGGGCTGAGGTTTGT</w:t>
            </w:r>
          </w:p>
        </w:tc>
      </w:tr>
      <w:tr w:rsidR="008A0E10" w:rsidRPr="008A0E10" w14:paraId="0D0D804C" w14:textId="77777777" w:rsidTr="000A4E62">
        <w:tc>
          <w:tcPr>
            <w:tcW w:w="1530" w:type="dxa"/>
            <w:tcBorders>
              <w:left w:val="single" w:sz="12" w:space="0" w:color="auto"/>
            </w:tcBorders>
          </w:tcPr>
          <w:p w14:paraId="485ECCEC"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GPX1</w:t>
            </w:r>
          </w:p>
        </w:tc>
        <w:tc>
          <w:tcPr>
            <w:tcW w:w="4140" w:type="dxa"/>
          </w:tcPr>
          <w:p w14:paraId="77E85E96"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TATCGAGAATGTGGCGTCCC</w:t>
            </w:r>
          </w:p>
        </w:tc>
        <w:tc>
          <w:tcPr>
            <w:tcW w:w="3960" w:type="dxa"/>
            <w:tcBorders>
              <w:right w:val="single" w:sz="12" w:space="0" w:color="auto"/>
            </w:tcBorders>
          </w:tcPr>
          <w:p w14:paraId="28818D11"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CAAACTGGTTGCACGGGAAG</w:t>
            </w:r>
          </w:p>
        </w:tc>
      </w:tr>
      <w:tr w:rsidR="000A4E62" w:rsidRPr="008A0E10" w14:paraId="6854CFAC" w14:textId="77777777" w:rsidTr="000A4E62">
        <w:tc>
          <w:tcPr>
            <w:tcW w:w="1530" w:type="dxa"/>
            <w:tcBorders>
              <w:left w:val="single" w:sz="12" w:space="0" w:color="auto"/>
              <w:bottom w:val="single" w:sz="12" w:space="0" w:color="auto"/>
            </w:tcBorders>
          </w:tcPr>
          <w:p w14:paraId="59FFA326"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UCP2</w:t>
            </w:r>
          </w:p>
        </w:tc>
        <w:tc>
          <w:tcPr>
            <w:tcW w:w="4140" w:type="dxa"/>
            <w:tcBorders>
              <w:bottom w:val="single" w:sz="12" w:space="0" w:color="auto"/>
            </w:tcBorders>
          </w:tcPr>
          <w:p w14:paraId="3F22C3D8"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CCTCTCCCAATGTTGCTCGT</w:t>
            </w:r>
          </w:p>
        </w:tc>
        <w:tc>
          <w:tcPr>
            <w:tcW w:w="3960" w:type="dxa"/>
            <w:tcBorders>
              <w:bottom w:val="single" w:sz="12" w:space="0" w:color="auto"/>
              <w:right w:val="single" w:sz="12" w:space="0" w:color="auto"/>
            </w:tcBorders>
          </w:tcPr>
          <w:p w14:paraId="33C0038C" w14:textId="77777777" w:rsidR="000A4E62" w:rsidRPr="008A0E10" w:rsidRDefault="000A4E62" w:rsidP="00032B53">
            <w:pPr>
              <w:jc w:val="both"/>
              <w:rPr>
                <w:rFonts w:ascii="Arial" w:hAnsi="Arial" w:cs="Arial"/>
                <w:color w:val="000000" w:themeColor="text1"/>
              </w:rPr>
            </w:pPr>
            <w:r w:rsidRPr="008A0E10">
              <w:rPr>
                <w:rFonts w:ascii="Arial" w:hAnsi="Arial" w:cs="Arial"/>
                <w:color w:val="000000" w:themeColor="text1"/>
              </w:rPr>
              <w:t>GGCAAGGGAGGTCATCTGTC</w:t>
            </w:r>
          </w:p>
        </w:tc>
      </w:tr>
    </w:tbl>
    <w:p w14:paraId="18AFF412" w14:textId="77777777" w:rsidR="000A4E62" w:rsidRPr="008A0E10" w:rsidRDefault="000A4E62" w:rsidP="00032B53">
      <w:pPr>
        <w:jc w:val="both"/>
        <w:rPr>
          <w:rFonts w:ascii="Arial" w:hAnsi="Arial" w:cs="Arial"/>
          <w:b/>
          <w:color w:val="000000" w:themeColor="text1"/>
        </w:rPr>
      </w:pPr>
    </w:p>
    <w:p w14:paraId="3133104F" w14:textId="77777777" w:rsidR="000A4E62" w:rsidRPr="008A0E10" w:rsidRDefault="000A4E62" w:rsidP="00032B53">
      <w:pPr>
        <w:jc w:val="both"/>
        <w:rPr>
          <w:rFonts w:ascii="Arial" w:hAnsi="Arial" w:cs="Arial"/>
          <w:color w:val="000000" w:themeColor="text1"/>
        </w:rPr>
      </w:pPr>
    </w:p>
    <w:p w14:paraId="0F058244" w14:textId="77777777" w:rsidR="00177AC2" w:rsidRPr="008A0E10" w:rsidRDefault="00177AC2" w:rsidP="00032B53">
      <w:pPr>
        <w:jc w:val="both"/>
        <w:rPr>
          <w:rFonts w:ascii="Arial" w:hAnsi="Arial" w:cs="Arial"/>
          <w:color w:val="000000" w:themeColor="text1"/>
        </w:rPr>
      </w:pPr>
    </w:p>
    <w:p w14:paraId="61631CD4" w14:textId="77777777" w:rsidR="00527358" w:rsidRPr="008A0E10" w:rsidRDefault="00527358" w:rsidP="00032B53">
      <w:pPr>
        <w:jc w:val="both"/>
        <w:rPr>
          <w:rFonts w:ascii="Arial" w:hAnsi="Arial" w:cs="Arial"/>
          <w:color w:val="000000" w:themeColor="text1"/>
        </w:rPr>
      </w:pPr>
    </w:p>
    <w:p w14:paraId="3255DEB6" w14:textId="77777777" w:rsidR="00527358" w:rsidRPr="008A0E10" w:rsidRDefault="00527358" w:rsidP="00032B53">
      <w:pPr>
        <w:jc w:val="both"/>
        <w:rPr>
          <w:rFonts w:ascii="Arial" w:hAnsi="Arial" w:cs="Arial"/>
          <w:color w:val="000000" w:themeColor="text1"/>
        </w:rPr>
      </w:pPr>
    </w:p>
    <w:p w14:paraId="793D1ED8" w14:textId="77777777" w:rsidR="008E4F04" w:rsidRPr="008A0E10" w:rsidRDefault="008E4F04" w:rsidP="00032B53">
      <w:pPr>
        <w:jc w:val="both"/>
        <w:rPr>
          <w:rFonts w:ascii="Arial" w:hAnsi="Arial" w:cs="Arial"/>
          <w:b/>
          <w:color w:val="000000" w:themeColor="text1"/>
        </w:rPr>
      </w:pPr>
    </w:p>
    <w:p w14:paraId="66A4CAB3" w14:textId="77777777" w:rsidR="00D96A3B" w:rsidRDefault="00D96A3B" w:rsidP="00032B53">
      <w:pPr>
        <w:jc w:val="both"/>
        <w:rPr>
          <w:rFonts w:ascii="Arial" w:hAnsi="Arial" w:cs="Arial"/>
          <w:b/>
          <w:color w:val="000000" w:themeColor="text1"/>
        </w:rPr>
      </w:pPr>
    </w:p>
    <w:p w14:paraId="5B011BC1" w14:textId="77777777" w:rsidR="00D96A3B" w:rsidRDefault="00D96A3B" w:rsidP="00032B53">
      <w:pPr>
        <w:jc w:val="both"/>
        <w:rPr>
          <w:rFonts w:ascii="Arial" w:hAnsi="Arial" w:cs="Arial"/>
          <w:b/>
          <w:color w:val="000000" w:themeColor="text1"/>
        </w:rPr>
      </w:pPr>
    </w:p>
    <w:p w14:paraId="38D54F9D" w14:textId="77777777" w:rsidR="00527358" w:rsidRPr="008A0E10" w:rsidRDefault="00527358" w:rsidP="00032B53">
      <w:pPr>
        <w:jc w:val="both"/>
        <w:rPr>
          <w:rFonts w:ascii="Arial" w:hAnsi="Arial" w:cs="Arial"/>
          <w:b/>
          <w:color w:val="000000" w:themeColor="text1"/>
        </w:rPr>
      </w:pPr>
      <w:r w:rsidRPr="008A0E10">
        <w:rPr>
          <w:rFonts w:ascii="Arial" w:hAnsi="Arial" w:cs="Arial"/>
          <w:b/>
          <w:color w:val="000000" w:themeColor="text1"/>
        </w:rPr>
        <w:lastRenderedPageBreak/>
        <w:t>Supplementary Material and Methods</w:t>
      </w:r>
    </w:p>
    <w:p w14:paraId="6A5BF959" w14:textId="77777777" w:rsidR="00527358" w:rsidRPr="008A0E10" w:rsidRDefault="00527358" w:rsidP="00032B53">
      <w:pPr>
        <w:jc w:val="both"/>
        <w:rPr>
          <w:rFonts w:ascii="Arial" w:hAnsi="Arial" w:cs="Arial"/>
          <w:color w:val="000000" w:themeColor="text1"/>
        </w:rPr>
      </w:pPr>
    </w:p>
    <w:p w14:paraId="6579B7D4" w14:textId="77777777" w:rsidR="00527358" w:rsidRPr="008A0E10" w:rsidRDefault="00527358" w:rsidP="00032B53">
      <w:pPr>
        <w:jc w:val="both"/>
        <w:rPr>
          <w:rFonts w:ascii="Arial" w:hAnsi="Arial" w:cs="Arial"/>
          <w:color w:val="000000" w:themeColor="text1"/>
        </w:rPr>
      </w:pPr>
    </w:p>
    <w:p w14:paraId="098E1A75" w14:textId="77777777" w:rsidR="00527358" w:rsidRPr="008A0E10" w:rsidRDefault="00527358" w:rsidP="00032B53">
      <w:pPr>
        <w:jc w:val="both"/>
        <w:rPr>
          <w:rFonts w:ascii="Arial" w:hAnsi="Arial" w:cs="Arial"/>
          <w:b/>
          <w:color w:val="000000" w:themeColor="text1"/>
        </w:rPr>
      </w:pPr>
      <w:r w:rsidRPr="008A0E10">
        <w:rPr>
          <w:rFonts w:ascii="Arial" w:hAnsi="Arial" w:cs="Arial"/>
          <w:b/>
          <w:color w:val="000000" w:themeColor="text1"/>
        </w:rPr>
        <w:t xml:space="preserve">Cell lines </w:t>
      </w:r>
    </w:p>
    <w:p w14:paraId="2B99B733" w14:textId="77777777" w:rsidR="00527358" w:rsidRPr="008A0E10" w:rsidRDefault="00527358" w:rsidP="00032B53">
      <w:pPr>
        <w:jc w:val="both"/>
        <w:rPr>
          <w:rFonts w:ascii="Arial" w:hAnsi="Arial" w:cs="Arial"/>
          <w:color w:val="000000" w:themeColor="text1"/>
        </w:rPr>
      </w:pPr>
    </w:p>
    <w:p w14:paraId="4315D7F3" w14:textId="67FD7768"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Human patient-derived melanoma cell lines were established in Dr. Meenhard Herlyn’s lab at The Wistar Institute following strict SOPs and quality controlled</w:t>
      </w:r>
      <w:r w:rsidR="00421F04">
        <w:rPr>
          <w:rFonts w:ascii="Arial" w:hAnsi="Arial" w:cs="Arial"/>
          <w:color w:val="000000" w:themeColor="text1"/>
        </w:rPr>
        <w:t xml:space="preserve"> </w:t>
      </w:r>
      <w:hyperlink r:id="rId6" w:history="1">
        <w:r w:rsidR="00421F04" w:rsidRPr="00751A6F">
          <w:rPr>
            <w:rStyle w:val="Hyperlink"/>
            <w:rFonts w:ascii="Arial" w:hAnsi="Arial"/>
          </w:rPr>
          <w:t>https://www.wistar.org/sites/default/files/2017-11/Herlyn%20Lab%20-%20Cell%20Lines.xlsx</w:t>
        </w:r>
      </w:hyperlink>
      <w:r w:rsidR="00421F04">
        <w:rPr>
          <w:rFonts w:ascii="Arial" w:hAnsi="Arial"/>
          <w:color w:val="000000" w:themeColor="text1"/>
        </w:rPr>
        <w:t xml:space="preserve">), </w:t>
      </w:r>
      <w:r w:rsidRPr="008A0E10">
        <w:rPr>
          <w:rFonts w:ascii="Arial" w:hAnsi="Arial" w:cs="Arial"/>
          <w:color w:val="000000" w:themeColor="text1"/>
        </w:rPr>
        <w:t xml:space="preserve">except M93-047. NRAS mutant M93-047 (RRID:CVCL_G298) was derived from a metastatic axillary lymph node and was a generous gift of Dr. A. Weeraratna (The Wistar Institute). HCT116 and A549 cells were provided by M. Herlyn and S-K-NAS by C. Dang (The Wistar Institute). </w:t>
      </w:r>
      <w:r w:rsidR="00A11000">
        <w:rPr>
          <w:rFonts w:ascii="Arial" w:hAnsi="Arial" w:cs="Arial"/>
          <w:color w:val="000000" w:themeColor="text1"/>
        </w:rPr>
        <w:t>Primary h</w:t>
      </w:r>
      <w:r w:rsidR="00421F04">
        <w:rPr>
          <w:rFonts w:ascii="Arial" w:hAnsi="Arial" w:cs="Arial"/>
          <w:color w:val="000000" w:themeColor="text1"/>
        </w:rPr>
        <w:t>uman fibroblasts (FF2511)</w:t>
      </w:r>
      <w:r w:rsidR="00421F04" w:rsidRPr="00421F04">
        <w:rPr>
          <w:rFonts w:ascii="Arial" w:hAnsi="Arial" w:cs="Arial"/>
          <w:color w:val="000000" w:themeColor="text1"/>
        </w:rPr>
        <w:t xml:space="preserve"> were obtained from </w:t>
      </w:r>
      <w:r w:rsidR="00A11000">
        <w:rPr>
          <w:rFonts w:ascii="Arial" w:hAnsi="Arial" w:cs="Arial"/>
          <w:color w:val="000000" w:themeColor="text1"/>
        </w:rPr>
        <w:t xml:space="preserve">neonatal foreskin samples from Lankenau Institute for Medical Research </w:t>
      </w:r>
      <w:r w:rsidR="00D96A3B">
        <w:rPr>
          <w:rFonts w:ascii="Arial" w:hAnsi="Arial" w:cs="Arial"/>
          <w:color w:val="000000" w:themeColor="text1"/>
        </w:rPr>
        <w:t xml:space="preserve">under approved </w:t>
      </w:r>
      <w:r w:rsidR="00A11000">
        <w:rPr>
          <w:rFonts w:ascii="Arial" w:hAnsi="Arial" w:cs="Arial"/>
          <w:color w:val="000000" w:themeColor="text1"/>
        </w:rPr>
        <w:t>IRB protocol # 21212264.</w:t>
      </w:r>
      <w:r w:rsidRPr="008A0E10">
        <w:rPr>
          <w:rFonts w:ascii="Arial" w:hAnsi="Arial" w:cs="Arial"/>
          <w:color w:val="000000" w:themeColor="text1"/>
        </w:rPr>
        <w:t xml:space="preserve"> </w:t>
      </w:r>
      <w:r w:rsidR="00421F04" w:rsidRPr="00421F04">
        <w:rPr>
          <w:rFonts w:ascii="Arial" w:hAnsi="Arial" w:cs="Arial"/>
          <w:color w:val="000000" w:themeColor="text1"/>
        </w:rPr>
        <w:t>Human skin sample</w:t>
      </w:r>
      <w:r w:rsidR="00A11000">
        <w:rPr>
          <w:rFonts w:ascii="Arial" w:hAnsi="Arial" w:cs="Arial"/>
          <w:color w:val="000000" w:themeColor="text1"/>
        </w:rPr>
        <w:t>s were mechanically dissociated</w:t>
      </w:r>
      <w:r w:rsidR="00421F04" w:rsidRPr="00421F04">
        <w:rPr>
          <w:rFonts w:ascii="Arial" w:hAnsi="Arial" w:cs="Arial"/>
          <w:color w:val="000000" w:themeColor="text1"/>
        </w:rPr>
        <w:t xml:space="preserve"> and</w:t>
      </w:r>
      <w:r w:rsidR="00421F04">
        <w:rPr>
          <w:rFonts w:ascii="Arial" w:hAnsi="Arial" w:cs="Arial"/>
          <w:color w:val="000000" w:themeColor="text1"/>
        </w:rPr>
        <w:t xml:space="preserve"> fibroblasts cultivated in RPMI-1640 supplemented with 10%FBS.</w:t>
      </w:r>
      <w:r w:rsidR="00421F04" w:rsidRPr="00421F04">
        <w:rPr>
          <w:rFonts w:ascii="Arial" w:hAnsi="Arial" w:cs="Arial"/>
          <w:color w:val="000000" w:themeColor="text1"/>
        </w:rPr>
        <w:t xml:space="preserve"> </w:t>
      </w:r>
      <w:r w:rsidR="00D96A3B">
        <w:rPr>
          <w:rFonts w:ascii="Arial" w:hAnsi="Arial" w:cs="Arial"/>
          <w:color w:val="000000" w:themeColor="text1"/>
        </w:rPr>
        <w:t xml:space="preserve"> </w:t>
      </w:r>
      <w:r w:rsidRPr="008A0E10">
        <w:rPr>
          <w:rFonts w:ascii="Arial" w:hAnsi="Arial" w:cs="Arial"/>
          <w:color w:val="000000" w:themeColor="text1"/>
        </w:rPr>
        <w:t>All cell lines were periodically authenticated by DNA finger printing using Life Technologies AmpFISTR Identifier microsatellite kit (Carlsbad, CA) and tested for mycoplasma by Lonza Mycoalert Assay (Basel, Switzerland).  NRAS and BRAF-V600E mutation status was verified by direct Sanger sequencing.</w:t>
      </w:r>
    </w:p>
    <w:p w14:paraId="380A5680" w14:textId="77777777" w:rsidR="00527358" w:rsidRPr="008A0E10" w:rsidRDefault="00527358" w:rsidP="00032B53">
      <w:pPr>
        <w:spacing w:line="480" w:lineRule="auto"/>
        <w:jc w:val="both"/>
        <w:rPr>
          <w:rFonts w:ascii="Arial" w:hAnsi="Arial" w:cs="Arial"/>
          <w:color w:val="000000" w:themeColor="text1"/>
        </w:rPr>
      </w:pPr>
    </w:p>
    <w:p w14:paraId="7FA54270" w14:textId="77777777" w:rsidR="00527358" w:rsidRPr="008A0E10" w:rsidRDefault="00527358" w:rsidP="00032B53">
      <w:pPr>
        <w:spacing w:line="480" w:lineRule="auto"/>
        <w:jc w:val="both"/>
        <w:rPr>
          <w:rFonts w:ascii="Arial" w:hAnsi="Arial" w:cs="Arial"/>
          <w:b/>
          <w:color w:val="000000" w:themeColor="text1"/>
        </w:rPr>
      </w:pPr>
      <w:r w:rsidRPr="008A0E10">
        <w:rPr>
          <w:rFonts w:ascii="Arial" w:hAnsi="Arial" w:cs="Arial"/>
          <w:b/>
          <w:color w:val="000000" w:themeColor="text1"/>
        </w:rPr>
        <w:t xml:space="preserve">Reagents </w:t>
      </w:r>
    </w:p>
    <w:p w14:paraId="01F2D002" w14:textId="77777777" w:rsidR="00527358" w:rsidRPr="008A0E10" w:rsidRDefault="00527358" w:rsidP="00032B53">
      <w:pPr>
        <w:spacing w:line="480" w:lineRule="auto"/>
        <w:jc w:val="both"/>
        <w:rPr>
          <w:rFonts w:ascii="Arial" w:hAnsi="Arial" w:cs="Arial"/>
          <w:color w:val="000000" w:themeColor="text1"/>
          <w:u w:val="single"/>
        </w:rPr>
      </w:pPr>
      <w:r w:rsidRPr="008A0E10">
        <w:rPr>
          <w:rFonts w:ascii="Arial" w:hAnsi="Arial" w:cs="Arial"/>
          <w:color w:val="000000" w:themeColor="text1"/>
          <w:u w:val="single"/>
        </w:rPr>
        <w:t>Small Molecule Inhibitors:</w:t>
      </w:r>
    </w:p>
    <w:p w14:paraId="5B228004" w14:textId="47FED8E2" w:rsidR="00527358" w:rsidRPr="008A0E10" w:rsidRDefault="00527358" w:rsidP="00032B53">
      <w:pPr>
        <w:spacing w:line="480" w:lineRule="auto"/>
        <w:ind w:right="-90"/>
        <w:jc w:val="both"/>
        <w:rPr>
          <w:rFonts w:ascii="Arial" w:hAnsi="Arial" w:cs="Arial"/>
          <w:color w:val="000000" w:themeColor="text1"/>
        </w:rPr>
      </w:pPr>
      <w:r w:rsidRPr="008A0E10">
        <w:rPr>
          <w:rFonts w:ascii="Arial" w:hAnsi="Arial" w:cs="Arial"/>
          <w:color w:val="000000" w:themeColor="text1"/>
        </w:rPr>
        <w:t xml:space="preserve">Trametinib </w:t>
      </w:r>
      <w:r w:rsidR="00C22947">
        <w:rPr>
          <w:rFonts w:ascii="Arial" w:hAnsi="Arial" w:cs="Arial"/>
          <w:color w:val="000000" w:themeColor="text1"/>
        </w:rPr>
        <w:t>(GSK1120212;</w:t>
      </w:r>
      <w:r w:rsidR="00C22947" w:rsidRPr="00C22947">
        <w:rPr>
          <w:rFonts w:ascii="Arial" w:hAnsi="Arial" w:cs="Arial"/>
          <w:color w:val="000000" w:themeColor="text1"/>
        </w:rPr>
        <w:t xml:space="preserve"> S2673</w:t>
      </w:r>
      <w:r w:rsidR="00C22947">
        <w:rPr>
          <w:rFonts w:ascii="Arial" w:hAnsi="Arial" w:cs="Arial"/>
          <w:color w:val="000000" w:themeColor="text1"/>
        </w:rPr>
        <w:t xml:space="preserve">) </w:t>
      </w:r>
      <w:r w:rsidRPr="008A0E10">
        <w:rPr>
          <w:rFonts w:ascii="Arial" w:hAnsi="Arial" w:cs="Arial"/>
          <w:color w:val="000000" w:themeColor="text1"/>
        </w:rPr>
        <w:t xml:space="preserve">and palbociclib (PD-0332991; S1116) were purchased from Selleckchem (Houston, TX). </w:t>
      </w:r>
    </w:p>
    <w:p w14:paraId="55960880" w14:textId="77777777" w:rsidR="00765AE3" w:rsidRPr="008A0E10" w:rsidRDefault="00765AE3" w:rsidP="00032B53">
      <w:pPr>
        <w:spacing w:line="480" w:lineRule="auto"/>
        <w:ind w:right="-90"/>
        <w:jc w:val="both"/>
        <w:rPr>
          <w:rFonts w:ascii="Arial" w:hAnsi="Arial" w:cs="Arial"/>
          <w:color w:val="000000" w:themeColor="text1"/>
          <w:u w:val="single"/>
        </w:rPr>
      </w:pPr>
    </w:p>
    <w:p w14:paraId="77D0E852" w14:textId="77777777" w:rsidR="00527358" w:rsidRPr="008A0E10" w:rsidRDefault="00527358" w:rsidP="00032B53">
      <w:pPr>
        <w:spacing w:line="480" w:lineRule="auto"/>
        <w:ind w:right="-90"/>
        <w:jc w:val="both"/>
        <w:rPr>
          <w:rFonts w:ascii="Arial" w:hAnsi="Arial" w:cs="Arial"/>
          <w:color w:val="000000" w:themeColor="text1"/>
          <w:u w:val="single"/>
        </w:rPr>
      </w:pPr>
      <w:r w:rsidRPr="008A0E10">
        <w:rPr>
          <w:rFonts w:ascii="Arial" w:hAnsi="Arial" w:cs="Arial"/>
          <w:color w:val="000000" w:themeColor="text1"/>
          <w:u w:val="single"/>
        </w:rPr>
        <w:t>Antibodies:</w:t>
      </w:r>
    </w:p>
    <w:p w14:paraId="246D791E"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NRAS (SC-519l; Santa Cruz Biotechnology, Dallas, TX)</w:t>
      </w:r>
    </w:p>
    <w:p w14:paraId="16CC39F6"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lastRenderedPageBreak/>
        <w:t>TERT (600-401-252; Rockland, Limerick, PA)</w:t>
      </w:r>
    </w:p>
    <w:p w14:paraId="33D83F7A"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Cyclin A (NCL-Cyclin A; Leica Biosystems, Newcastle, UK)</w:t>
      </w:r>
    </w:p>
    <w:p w14:paraId="0A07EC23"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53BP1 (IHC-00001; Bethyl Laboratories, Montgomery, TX)</w:t>
      </w:r>
    </w:p>
    <w:p w14:paraId="6CFAB2C2"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gH2AX (05-636; Millipore, Billerica, Massachusetts, United States)</w:t>
      </w:r>
    </w:p>
    <w:p w14:paraId="68A8B795" w14:textId="77777777" w:rsidR="00527358" w:rsidRPr="008A0E10" w:rsidRDefault="00527358" w:rsidP="00032B53">
      <w:pPr>
        <w:spacing w:line="480" w:lineRule="auto"/>
        <w:jc w:val="both"/>
        <w:rPr>
          <w:rFonts w:ascii="Arial" w:hAnsi="Arial" w:cs="Arial"/>
          <w:b/>
          <w:color w:val="000000" w:themeColor="text1"/>
        </w:rPr>
      </w:pPr>
      <w:r w:rsidRPr="008A0E10">
        <w:rPr>
          <w:rFonts w:ascii="Arial" w:hAnsi="Arial" w:cs="Arial"/>
          <w:color w:val="000000" w:themeColor="text1"/>
        </w:rPr>
        <w:t>SOD2 (13141</w:t>
      </w:r>
      <w:r w:rsidRPr="008A0E10">
        <w:rPr>
          <w:rFonts w:ascii="Arial" w:hAnsi="Arial" w:cs="Arial"/>
          <w:b/>
          <w:color w:val="000000" w:themeColor="text1"/>
        </w:rPr>
        <w:t xml:space="preserve"> </w:t>
      </w:r>
      <w:r w:rsidRPr="008A0E10">
        <w:rPr>
          <w:rFonts w:ascii="Arial" w:hAnsi="Arial" w:cs="Arial"/>
          <w:color w:val="000000" w:themeColor="text1"/>
        </w:rPr>
        <w:t xml:space="preserve">Cell Signaling Technology [CST], </w:t>
      </w:r>
      <w:r w:rsidRPr="00A7198B">
        <w:rPr>
          <w:rFonts w:ascii="Arial" w:hAnsi="Arial" w:cs="Arial"/>
          <w:color w:val="000000" w:themeColor="text1"/>
        </w:rPr>
        <w:t>Danvers, MA</w:t>
      </w:r>
      <w:r w:rsidRPr="008A0E10">
        <w:rPr>
          <w:rFonts w:ascii="Arial" w:hAnsi="Arial" w:cs="Arial"/>
          <w:b/>
          <w:color w:val="000000" w:themeColor="text1"/>
        </w:rPr>
        <w:t>)</w:t>
      </w:r>
      <w:r w:rsidRPr="008A0E10">
        <w:rPr>
          <w:rFonts w:ascii="Arial" w:hAnsi="Arial" w:cs="Arial"/>
          <w:color w:val="000000" w:themeColor="text1"/>
        </w:rPr>
        <w:t xml:space="preserve"> </w:t>
      </w:r>
    </w:p>
    <w:p w14:paraId="2B97B9C1"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 xml:space="preserve">ERK (9107; CST) </w:t>
      </w:r>
    </w:p>
    <w:p w14:paraId="76BDE6CB"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 xml:space="preserve">pERK (4370; CST) </w:t>
      </w:r>
    </w:p>
    <w:p w14:paraId="6E4BF719"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pRb-Ser807/811 (9308; CST)</w:t>
      </w:r>
    </w:p>
    <w:p w14:paraId="735375F0"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 xml:space="preserve">Cleaved caspase-3 (9661; CST) </w:t>
      </w:r>
    </w:p>
    <w:p w14:paraId="63E05BC4"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gH2AX [FACS] (9718; CST)</w:t>
      </w:r>
    </w:p>
    <w:p w14:paraId="312D577B"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 xml:space="preserve">Vinculin (SAB4200080) and Actin antibodies (Sigma-Aldrich, St. Louis, MO) were used as loading controls. </w:t>
      </w:r>
    </w:p>
    <w:p w14:paraId="3381C507" w14:textId="77777777" w:rsidR="008E4F04" w:rsidRPr="008A0E10" w:rsidRDefault="008E4F04" w:rsidP="00032B53">
      <w:pPr>
        <w:spacing w:line="480" w:lineRule="auto"/>
        <w:jc w:val="both"/>
        <w:rPr>
          <w:rFonts w:ascii="Arial" w:hAnsi="Arial" w:cs="Arial"/>
          <w:b/>
          <w:color w:val="000000" w:themeColor="text1"/>
        </w:rPr>
      </w:pPr>
    </w:p>
    <w:p w14:paraId="147071FD" w14:textId="77777777" w:rsidR="00527358" w:rsidRPr="008A0E10" w:rsidRDefault="00527358" w:rsidP="00032B53">
      <w:pPr>
        <w:spacing w:line="480" w:lineRule="auto"/>
        <w:jc w:val="both"/>
        <w:rPr>
          <w:rFonts w:ascii="Arial" w:hAnsi="Arial" w:cs="Arial"/>
          <w:b/>
          <w:color w:val="000000" w:themeColor="text1"/>
        </w:rPr>
      </w:pPr>
      <w:r w:rsidRPr="008A0E10">
        <w:rPr>
          <w:rFonts w:ascii="Arial" w:hAnsi="Arial" w:cs="Arial"/>
          <w:b/>
          <w:color w:val="000000" w:themeColor="text1"/>
        </w:rPr>
        <w:t xml:space="preserve">Immunoblotting </w:t>
      </w:r>
    </w:p>
    <w:p w14:paraId="38D1C596"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For western blot analysis, cells were washed with cold PBS containing 100 µM Na</w:t>
      </w:r>
      <w:r w:rsidRPr="008A0E10">
        <w:rPr>
          <w:rFonts w:ascii="Arial" w:hAnsi="Arial" w:cs="Arial"/>
          <w:color w:val="000000" w:themeColor="text1"/>
          <w:vertAlign w:val="subscript"/>
        </w:rPr>
        <w:t>3</w:t>
      </w:r>
      <w:r w:rsidRPr="008A0E10">
        <w:rPr>
          <w:rFonts w:ascii="Arial" w:hAnsi="Arial" w:cs="Arial"/>
          <w:color w:val="000000" w:themeColor="text1"/>
        </w:rPr>
        <w:t>VO</w:t>
      </w:r>
      <w:r w:rsidRPr="008A0E10">
        <w:rPr>
          <w:rFonts w:ascii="Arial" w:hAnsi="Arial" w:cs="Arial"/>
          <w:color w:val="000000" w:themeColor="text1"/>
          <w:vertAlign w:val="subscript"/>
        </w:rPr>
        <w:t>4</w:t>
      </w:r>
      <w:r w:rsidRPr="008A0E10">
        <w:rPr>
          <w:rFonts w:ascii="Arial" w:hAnsi="Arial" w:cs="Arial"/>
          <w:color w:val="000000" w:themeColor="text1"/>
        </w:rPr>
        <w:t xml:space="preserve">, scraped, collected by centrifugation, and quick-frozen in dry ice before lysis. Cells were lysed with TNE buffer (50 mM Tris-HCl, 2 mM EDTA, 25 mM NaCl, 1% NP40 and protease inhibitors) and equal amounts of protein (30-50 µg) were subjected to SDS-PAGE and proteins transferred onto nitrocellulose membranes (Bio-Rad).  </w:t>
      </w:r>
    </w:p>
    <w:p w14:paraId="6295DAB1" w14:textId="77777777" w:rsidR="00527358" w:rsidRPr="008A0E10" w:rsidRDefault="00527358" w:rsidP="00032B53">
      <w:pPr>
        <w:pStyle w:val="Heading2"/>
        <w:jc w:val="both"/>
        <w:rPr>
          <w:rFonts w:ascii="Arial" w:hAnsi="Arial" w:cs="Arial"/>
          <w:color w:val="000000" w:themeColor="text1"/>
          <w:sz w:val="24"/>
          <w:szCs w:val="24"/>
        </w:rPr>
      </w:pPr>
    </w:p>
    <w:p w14:paraId="43580A74" w14:textId="77777777" w:rsidR="00D96A3B" w:rsidRDefault="00D96A3B" w:rsidP="00032B53">
      <w:pPr>
        <w:pStyle w:val="Heading2"/>
        <w:jc w:val="both"/>
        <w:rPr>
          <w:rFonts w:ascii="Arial" w:hAnsi="Arial" w:cs="Arial"/>
          <w:b/>
          <w:color w:val="000000" w:themeColor="text1"/>
          <w:sz w:val="24"/>
          <w:szCs w:val="24"/>
        </w:rPr>
      </w:pPr>
    </w:p>
    <w:p w14:paraId="29F391EB" w14:textId="77777777" w:rsidR="00527358" w:rsidRPr="008A0E10" w:rsidRDefault="00527358" w:rsidP="00032B53">
      <w:pPr>
        <w:pStyle w:val="Heading2"/>
        <w:jc w:val="both"/>
        <w:rPr>
          <w:rFonts w:ascii="Arial" w:hAnsi="Arial" w:cs="Arial"/>
          <w:b/>
          <w:color w:val="000000" w:themeColor="text1"/>
          <w:sz w:val="24"/>
          <w:szCs w:val="24"/>
        </w:rPr>
      </w:pPr>
      <w:r w:rsidRPr="008A0E10">
        <w:rPr>
          <w:rFonts w:ascii="Arial" w:hAnsi="Arial" w:cs="Arial"/>
          <w:b/>
          <w:color w:val="000000" w:themeColor="text1"/>
          <w:sz w:val="24"/>
          <w:szCs w:val="24"/>
        </w:rPr>
        <w:t xml:space="preserve">PCR Array </w:t>
      </w:r>
    </w:p>
    <w:p w14:paraId="20F95246" w14:textId="77777777" w:rsidR="00D96A3B" w:rsidRDefault="00D96A3B" w:rsidP="00032B53">
      <w:pPr>
        <w:spacing w:line="480" w:lineRule="auto"/>
        <w:jc w:val="both"/>
        <w:rPr>
          <w:rFonts w:ascii="Arial" w:hAnsi="Arial" w:cs="Arial"/>
          <w:color w:val="000000" w:themeColor="text1"/>
        </w:rPr>
      </w:pPr>
    </w:p>
    <w:p w14:paraId="0AFFA179"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 xml:space="preserve">For gene expression profiling using the human cellular senescence RT2 Profiler PCR array, 1µg of mRNA was used for cDNA synthesis with RT2 First Strand Kit (Applied </w:t>
      </w:r>
      <w:r w:rsidRPr="008A0E10">
        <w:rPr>
          <w:rFonts w:ascii="Arial" w:hAnsi="Arial" w:cs="Arial"/>
          <w:color w:val="000000" w:themeColor="text1"/>
        </w:rPr>
        <w:lastRenderedPageBreak/>
        <w:t>Biosystems, Waltham, MA). cDNA and SYBR Green mastermix dispensed into PCR array plate and placed in the 7500 real-timer cycler (Applied Biosystems).</w:t>
      </w:r>
    </w:p>
    <w:p w14:paraId="0298A25D" w14:textId="77777777" w:rsidR="00765AE3" w:rsidRPr="008A0E10" w:rsidRDefault="00765AE3" w:rsidP="00032B53">
      <w:pPr>
        <w:spacing w:line="480" w:lineRule="auto"/>
        <w:jc w:val="both"/>
        <w:rPr>
          <w:rFonts w:ascii="Arial" w:hAnsi="Arial" w:cs="Arial"/>
          <w:b/>
          <w:color w:val="000000" w:themeColor="text1"/>
        </w:rPr>
      </w:pPr>
    </w:p>
    <w:p w14:paraId="349972CD" w14:textId="77777777" w:rsidR="00527358" w:rsidRPr="008A0E10" w:rsidRDefault="00527358" w:rsidP="00032B53">
      <w:pPr>
        <w:spacing w:line="480" w:lineRule="auto"/>
        <w:jc w:val="both"/>
        <w:rPr>
          <w:rFonts w:ascii="Arial" w:hAnsi="Arial" w:cs="Arial"/>
          <w:b/>
          <w:color w:val="000000" w:themeColor="text1"/>
        </w:rPr>
      </w:pPr>
      <w:r w:rsidRPr="008A0E10">
        <w:rPr>
          <w:rFonts w:ascii="Arial" w:hAnsi="Arial" w:cs="Arial"/>
          <w:b/>
          <w:color w:val="000000" w:themeColor="text1"/>
        </w:rPr>
        <w:t>Quantitative real time PCR (qRT-PCR)</w:t>
      </w:r>
    </w:p>
    <w:p w14:paraId="7DD5EB11"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 xml:space="preserve">Total RNA (1 µg) was reverse transcribed using Maxima First-Strand cDNA synthesis kit (ThermoFisher Scientific). Fast SYBR Green Master Mix (Applied Biosystems) was used with 100 ng cDNA template and 250 nM primers for the evaluation of target gene expression. Primers sequences are listed in Table S2. Amplification was performed in triplicate using ABI PRISM 7500 Fast RT PCR System (Applied Biosystems) and expression of mRNA was assessed using the ∂Ct method. </w:t>
      </w:r>
    </w:p>
    <w:p w14:paraId="12A7F383" w14:textId="77777777" w:rsidR="00527358" w:rsidRPr="008A0E10" w:rsidRDefault="00527358" w:rsidP="00032B53">
      <w:pPr>
        <w:spacing w:line="480" w:lineRule="auto"/>
        <w:jc w:val="both"/>
        <w:rPr>
          <w:rFonts w:ascii="Arial" w:hAnsi="Arial" w:cs="Arial"/>
          <w:b/>
          <w:color w:val="000000" w:themeColor="text1"/>
        </w:rPr>
      </w:pPr>
    </w:p>
    <w:p w14:paraId="50359BEA" w14:textId="77777777" w:rsidR="00527358" w:rsidRPr="008A0E10" w:rsidRDefault="00527358" w:rsidP="00032B53">
      <w:pPr>
        <w:spacing w:line="480" w:lineRule="auto"/>
        <w:jc w:val="both"/>
        <w:rPr>
          <w:rFonts w:ascii="Arial" w:hAnsi="Arial" w:cs="Arial"/>
          <w:b/>
          <w:color w:val="000000" w:themeColor="text1"/>
        </w:rPr>
      </w:pPr>
      <w:r w:rsidRPr="008A0E10">
        <w:rPr>
          <w:rFonts w:ascii="Arial" w:hAnsi="Arial" w:cs="Arial"/>
          <w:b/>
          <w:color w:val="000000" w:themeColor="text1"/>
        </w:rPr>
        <w:t xml:space="preserve">TIF analysis </w:t>
      </w:r>
    </w:p>
    <w:p w14:paraId="33AB4A1B" w14:textId="77777777" w:rsidR="00527358" w:rsidRPr="008A0E10" w:rsidRDefault="00527358" w:rsidP="00032B53">
      <w:pPr>
        <w:spacing w:line="480" w:lineRule="auto"/>
        <w:jc w:val="both"/>
        <w:rPr>
          <w:rFonts w:ascii="Arial" w:hAnsi="Arial" w:cs="Arial"/>
          <w:color w:val="000000" w:themeColor="text1"/>
        </w:rPr>
      </w:pPr>
      <w:r w:rsidRPr="008A0E10">
        <w:rPr>
          <w:rFonts w:ascii="Arial" w:hAnsi="Arial" w:cs="Arial"/>
          <w:color w:val="000000" w:themeColor="text1"/>
        </w:rPr>
        <w:t xml:space="preserve">For TIF analysis, indirect immunofluorescence (IF) combined with fluorescence in situ hybridization (FISH) was performed as previously described with some modifications </w:t>
      </w:r>
      <w:r w:rsidRPr="00A7198B">
        <w:rPr>
          <w:rFonts w:ascii="Arial" w:hAnsi="Arial" w:cs="Arial"/>
          <w:color w:val="000000" w:themeColor="text1"/>
          <w:vertAlign w:val="superscript"/>
        </w:rPr>
        <w:t>(56)</w:t>
      </w:r>
      <w:r w:rsidRPr="008A0E10">
        <w:rPr>
          <w:rFonts w:ascii="Arial" w:hAnsi="Arial" w:cs="Arial"/>
          <w:color w:val="000000" w:themeColor="text1"/>
        </w:rPr>
        <w:t>. Briefly, 1 x 10</w:t>
      </w:r>
      <w:r w:rsidRPr="00A7198B">
        <w:rPr>
          <w:rFonts w:ascii="Arial" w:hAnsi="Arial" w:cs="Arial"/>
          <w:color w:val="000000" w:themeColor="text1"/>
          <w:vertAlign w:val="superscript"/>
        </w:rPr>
        <w:t>5</w:t>
      </w:r>
      <w:r w:rsidRPr="008A0E10">
        <w:rPr>
          <w:rFonts w:ascii="Arial" w:hAnsi="Arial" w:cs="Arial"/>
          <w:color w:val="000000" w:themeColor="text1"/>
        </w:rPr>
        <w:t xml:space="preserve"> cells grown on coverslips were fixed for 15 min in 1% paraformaldehyde in PBS at room temperature, followed by permeabilization for 15 min in 1x PBS/0.3% Triton X-100 at RT. After, cells were incubated for 60 min in PBG blocking solution (0.5% BSA, 0.2% fish gelatin in 1x PBS) before immuno-staining. Primary antibodies were</w:t>
      </w:r>
      <w:r w:rsidR="00C22947">
        <w:rPr>
          <w:rFonts w:ascii="Arial" w:hAnsi="Arial" w:cs="Arial"/>
          <w:color w:val="000000" w:themeColor="text1"/>
        </w:rPr>
        <w:t xml:space="preserve"> prepared in blocking solution </w:t>
      </w:r>
      <w:r w:rsidRPr="008A0E10">
        <w:rPr>
          <w:rFonts w:ascii="Arial" w:hAnsi="Arial" w:cs="Arial"/>
          <w:color w:val="000000" w:themeColor="text1"/>
        </w:rPr>
        <w:t xml:space="preserve">at the following dilutions: anti-53BP1 (1:500; Bethyl Laboratories), and anti- γH2AX (1:500; Millipore). After IF, cells were fixed in 4% paraformaldehyde in 1X PBS for 10 min and dehydrated in ethanol series (70%, 95%, 100%). Coverslips were incubated 3 min at 80-85°C in hybridization mix [70% formamide, 10mM Tris-HCl, pH 7.2, and 0.5% blocking solution (Roche)] containing telomeric PNA-Tamra-(CCCTAA)3 probe, followed by hybridization at room temperature for 2 hrs. Coverslips were washed twice for 15 min each with 70% </w:t>
      </w:r>
      <w:r w:rsidRPr="008A0E10">
        <w:rPr>
          <w:rFonts w:ascii="Arial" w:hAnsi="Arial" w:cs="Arial"/>
          <w:color w:val="000000" w:themeColor="text1"/>
        </w:rPr>
        <w:lastRenderedPageBreak/>
        <w:t>formamide, 10 mM Tris-HCl (pH 7.2), and 0.1% BSA, followed by three 5 min washes with 0.15 M NaCl, 0.1 M Tris-HCl (pH 7.2), and 0.08% Tween-20. Nuclei were counterstained with 0.1 [µg/ml] DAPI in blocking solution and slides were mounted with Fluoromount-G (0100-01, SouthernBiotech). Images were captured with a 100x objective on a Nikon E600 Upright microscope (Nikon Instruments, Inc., Melville, NY) using ImagePro Plus software (Media Cybernetics, Silver Spring, MD) for image processing. Cells with &gt; 4 53BP1 or γH2AX foci co</w:t>
      </w:r>
      <w:r w:rsidR="00765AE3" w:rsidRPr="008A0E10">
        <w:rPr>
          <w:rFonts w:ascii="Arial" w:hAnsi="Arial" w:cs="Arial"/>
          <w:color w:val="000000" w:themeColor="text1"/>
        </w:rPr>
        <w:t>-</w:t>
      </w:r>
      <w:r w:rsidRPr="008A0E10">
        <w:rPr>
          <w:rFonts w:ascii="Arial" w:hAnsi="Arial" w:cs="Arial"/>
          <w:color w:val="000000" w:themeColor="text1"/>
        </w:rPr>
        <w:t xml:space="preserve">localizing with telomere DNA foci were scored as TIF positive.  </w:t>
      </w:r>
    </w:p>
    <w:p w14:paraId="4D46CF71" w14:textId="77777777" w:rsidR="00527358" w:rsidRPr="008A0E10" w:rsidRDefault="00527358" w:rsidP="00032B53">
      <w:pPr>
        <w:spacing w:line="480" w:lineRule="auto"/>
        <w:jc w:val="both"/>
        <w:rPr>
          <w:rFonts w:ascii="Arial" w:hAnsi="Arial" w:cs="Arial"/>
          <w:color w:val="000000" w:themeColor="text1"/>
        </w:rPr>
      </w:pPr>
    </w:p>
    <w:p w14:paraId="3090EF87" w14:textId="77777777" w:rsidR="00527358" w:rsidRPr="008A0E10" w:rsidRDefault="00527358" w:rsidP="00032B53">
      <w:pPr>
        <w:jc w:val="both"/>
        <w:rPr>
          <w:rFonts w:ascii="Arial" w:hAnsi="Arial" w:cs="Arial"/>
          <w:color w:val="000000" w:themeColor="text1"/>
        </w:rPr>
      </w:pPr>
    </w:p>
    <w:sectPr w:rsidR="00527358" w:rsidRPr="008A0E10" w:rsidSect="00D96A3B">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FE64E8"/>
    <w:multiLevelType w:val="hybridMultilevel"/>
    <w:tmpl w:val="3F224DA0"/>
    <w:lvl w:ilvl="0" w:tplc="49B63F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642CF3"/>
    <w:multiLevelType w:val="hybridMultilevel"/>
    <w:tmpl w:val="8CC04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4E62"/>
    <w:rsid w:val="00032B53"/>
    <w:rsid w:val="000418F4"/>
    <w:rsid w:val="00083269"/>
    <w:rsid w:val="000A4E62"/>
    <w:rsid w:val="000A6A51"/>
    <w:rsid w:val="000C0ACC"/>
    <w:rsid w:val="000E73CC"/>
    <w:rsid w:val="001215D0"/>
    <w:rsid w:val="00177AC2"/>
    <w:rsid w:val="001B115B"/>
    <w:rsid w:val="00236B65"/>
    <w:rsid w:val="00263DB6"/>
    <w:rsid w:val="002A149E"/>
    <w:rsid w:val="002F64C8"/>
    <w:rsid w:val="00377F4D"/>
    <w:rsid w:val="0038467B"/>
    <w:rsid w:val="00387C86"/>
    <w:rsid w:val="00392FCA"/>
    <w:rsid w:val="003A5F25"/>
    <w:rsid w:val="00410761"/>
    <w:rsid w:val="00421F04"/>
    <w:rsid w:val="00460407"/>
    <w:rsid w:val="004676E1"/>
    <w:rsid w:val="00474D9E"/>
    <w:rsid w:val="004D07A3"/>
    <w:rsid w:val="004F45B8"/>
    <w:rsid w:val="00512C3D"/>
    <w:rsid w:val="00527358"/>
    <w:rsid w:val="00550A97"/>
    <w:rsid w:val="005771B6"/>
    <w:rsid w:val="005B3AE1"/>
    <w:rsid w:val="005C00DB"/>
    <w:rsid w:val="00616AE8"/>
    <w:rsid w:val="00653959"/>
    <w:rsid w:val="00672C92"/>
    <w:rsid w:val="00695CF3"/>
    <w:rsid w:val="006C466B"/>
    <w:rsid w:val="0070301A"/>
    <w:rsid w:val="007072F8"/>
    <w:rsid w:val="0071041F"/>
    <w:rsid w:val="00724F8E"/>
    <w:rsid w:val="00757C89"/>
    <w:rsid w:val="00765AE3"/>
    <w:rsid w:val="00766F13"/>
    <w:rsid w:val="007767A1"/>
    <w:rsid w:val="007B6085"/>
    <w:rsid w:val="007E4CEB"/>
    <w:rsid w:val="008003E1"/>
    <w:rsid w:val="00807496"/>
    <w:rsid w:val="00837CC9"/>
    <w:rsid w:val="00875317"/>
    <w:rsid w:val="008843D7"/>
    <w:rsid w:val="00890071"/>
    <w:rsid w:val="00892DAD"/>
    <w:rsid w:val="008A0E10"/>
    <w:rsid w:val="008E32A9"/>
    <w:rsid w:val="008E4F04"/>
    <w:rsid w:val="00907521"/>
    <w:rsid w:val="00961735"/>
    <w:rsid w:val="009A2A32"/>
    <w:rsid w:val="009B492A"/>
    <w:rsid w:val="00A11000"/>
    <w:rsid w:val="00A1110C"/>
    <w:rsid w:val="00A5798B"/>
    <w:rsid w:val="00A7198B"/>
    <w:rsid w:val="00A771D4"/>
    <w:rsid w:val="00AC505B"/>
    <w:rsid w:val="00BA0A3C"/>
    <w:rsid w:val="00BD480B"/>
    <w:rsid w:val="00C00FED"/>
    <w:rsid w:val="00C0418D"/>
    <w:rsid w:val="00C12DDB"/>
    <w:rsid w:val="00C22947"/>
    <w:rsid w:val="00C46DE2"/>
    <w:rsid w:val="00C52325"/>
    <w:rsid w:val="00C63C0E"/>
    <w:rsid w:val="00C81D59"/>
    <w:rsid w:val="00CA4B29"/>
    <w:rsid w:val="00CB444F"/>
    <w:rsid w:val="00CC09D4"/>
    <w:rsid w:val="00CE132A"/>
    <w:rsid w:val="00CE6C13"/>
    <w:rsid w:val="00D04012"/>
    <w:rsid w:val="00D63391"/>
    <w:rsid w:val="00D96A3B"/>
    <w:rsid w:val="00D96E37"/>
    <w:rsid w:val="00DB7634"/>
    <w:rsid w:val="00E65F55"/>
    <w:rsid w:val="00E83E8F"/>
    <w:rsid w:val="00F2750E"/>
    <w:rsid w:val="00F86900"/>
    <w:rsid w:val="00FB45A1"/>
    <w:rsid w:val="00FB4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C213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E62"/>
    <w:rPr>
      <w:rFonts w:eastAsiaTheme="minorHAnsi"/>
    </w:rPr>
  </w:style>
  <w:style w:type="paragraph" w:styleId="Heading1">
    <w:name w:val="heading 1"/>
    <w:basedOn w:val="Normal"/>
    <w:next w:val="Normal"/>
    <w:link w:val="Heading1Char"/>
    <w:uiPriority w:val="9"/>
    <w:qFormat/>
    <w:rsid w:val="000A4E62"/>
    <w:pPr>
      <w:spacing w:line="480" w:lineRule="auto"/>
      <w:jc w:val="both"/>
      <w:outlineLvl w:val="0"/>
    </w:pPr>
    <w:rPr>
      <w:rFonts w:asciiTheme="majorHAnsi" w:hAnsiTheme="majorHAnsi" w:cs="Arial"/>
      <w:b/>
    </w:rPr>
  </w:style>
  <w:style w:type="paragraph" w:styleId="Heading2">
    <w:name w:val="heading 2"/>
    <w:basedOn w:val="Normal"/>
    <w:next w:val="Normal"/>
    <w:link w:val="Heading2Char"/>
    <w:uiPriority w:val="9"/>
    <w:unhideWhenUsed/>
    <w:qFormat/>
    <w:rsid w:val="0052735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E62"/>
    <w:rPr>
      <w:rFonts w:asciiTheme="majorHAnsi" w:eastAsiaTheme="minorHAnsi" w:hAnsiTheme="majorHAnsi" w:cs="Arial"/>
      <w:b/>
    </w:rPr>
  </w:style>
  <w:style w:type="table" w:styleId="TableGrid">
    <w:name w:val="Table Grid"/>
    <w:basedOn w:val="TableNormal"/>
    <w:uiPriority w:val="59"/>
    <w:rsid w:val="000A4E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0A97"/>
    <w:pPr>
      <w:ind w:left="720"/>
      <w:contextualSpacing/>
    </w:pPr>
  </w:style>
  <w:style w:type="character" w:customStyle="1" w:styleId="Heading2Char">
    <w:name w:val="Heading 2 Char"/>
    <w:basedOn w:val="DefaultParagraphFont"/>
    <w:link w:val="Heading2"/>
    <w:uiPriority w:val="9"/>
    <w:rsid w:val="00527358"/>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236B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6B65"/>
    <w:rPr>
      <w:rFonts w:ascii="Lucida Grande" w:eastAsiaTheme="minorHAnsi" w:hAnsi="Lucida Grande" w:cs="Lucida Grande"/>
      <w:sz w:val="18"/>
      <w:szCs w:val="18"/>
    </w:rPr>
  </w:style>
  <w:style w:type="character" w:styleId="CommentReference">
    <w:name w:val="annotation reference"/>
    <w:basedOn w:val="DefaultParagraphFont"/>
    <w:uiPriority w:val="99"/>
    <w:semiHidden/>
    <w:unhideWhenUsed/>
    <w:rsid w:val="00236B65"/>
    <w:rPr>
      <w:sz w:val="18"/>
      <w:szCs w:val="18"/>
    </w:rPr>
  </w:style>
  <w:style w:type="paragraph" w:styleId="CommentText">
    <w:name w:val="annotation text"/>
    <w:basedOn w:val="Normal"/>
    <w:link w:val="CommentTextChar"/>
    <w:uiPriority w:val="99"/>
    <w:semiHidden/>
    <w:unhideWhenUsed/>
    <w:rsid w:val="00236B65"/>
  </w:style>
  <w:style w:type="character" w:customStyle="1" w:styleId="CommentTextChar">
    <w:name w:val="Comment Text Char"/>
    <w:basedOn w:val="DefaultParagraphFont"/>
    <w:link w:val="CommentText"/>
    <w:uiPriority w:val="99"/>
    <w:semiHidden/>
    <w:rsid w:val="00236B65"/>
    <w:rPr>
      <w:rFonts w:eastAsiaTheme="minorHAnsi"/>
    </w:rPr>
  </w:style>
  <w:style w:type="paragraph" w:styleId="CommentSubject">
    <w:name w:val="annotation subject"/>
    <w:basedOn w:val="CommentText"/>
    <w:next w:val="CommentText"/>
    <w:link w:val="CommentSubjectChar"/>
    <w:uiPriority w:val="99"/>
    <w:semiHidden/>
    <w:unhideWhenUsed/>
    <w:rsid w:val="00236B65"/>
    <w:rPr>
      <w:b/>
      <w:bCs/>
      <w:sz w:val="20"/>
      <w:szCs w:val="20"/>
    </w:rPr>
  </w:style>
  <w:style w:type="character" w:customStyle="1" w:styleId="CommentSubjectChar">
    <w:name w:val="Comment Subject Char"/>
    <w:basedOn w:val="CommentTextChar"/>
    <w:link w:val="CommentSubject"/>
    <w:uiPriority w:val="99"/>
    <w:semiHidden/>
    <w:rsid w:val="00236B65"/>
    <w:rPr>
      <w:rFonts w:eastAsiaTheme="minorHAnsi"/>
      <w:b/>
      <w:bCs/>
      <w:sz w:val="20"/>
      <w:szCs w:val="20"/>
    </w:rPr>
  </w:style>
  <w:style w:type="character" w:styleId="Hyperlink">
    <w:name w:val="Hyperlink"/>
    <w:basedOn w:val="DefaultParagraphFont"/>
    <w:uiPriority w:val="99"/>
    <w:unhideWhenUsed/>
    <w:rsid w:val="00421F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E62"/>
    <w:rPr>
      <w:rFonts w:eastAsiaTheme="minorHAnsi"/>
    </w:rPr>
  </w:style>
  <w:style w:type="paragraph" w:styleId="Heading1">
    <w:name w:val="heading 1"/>
    <w:basedOn w:val="Normal"/>
    <w:next w:val="Normal"/>
    <w:link w:val="Heading1Char"/>
    <w:uiPriority w:val="9"/>
    <w:qFormat/>
    <w:rsid w:val="000A4E62"/>
    <w:pPr>
      <w:spacing w:line="480" w:lineRule="auto"/>
      <w:jc w:val="both"/>
      <w:outlineLvl w:val="0"/>
    </w:pPr>
    <w:rPr>
      <w:rFonts w:asciiTheme="majorHAnsi" w:hAnsiTheme="majorHAnsi" w:cs="Arial"/>
      <w:b/>
    </w:rPr>
  </w:style>
  <w:style w:type="paragraph" w:styleId="Heading2">
    <w:name w:val="heading 2"/>
    <w:basedOn w:val="Normal"/>
    <w:next w:val="Normal"/>
    <w:link w:val="Heading2Char"/>
    <w:uiPriority w:val="9"/>
    <w:unhideWhenUsed/>
    <w:qFormat/>
    <w:rsid w:val="0052735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4E62"/>
    <w:rPr>
      <w:rFonts w:asciiTheme="majorHAnsi" w:eastAsiaTheme="minorHAnsi" w:hAnsiTheme="majorHAnsi" w:cs="Arial"/>
      <w:b/>
    </w:rPr>
  </w:style>
  <w:style w:type="table" w:styleId="TableGrid">
    <w:name w:val="Table Grid"/>
    <w:basedOn w:val="TableNormal"/>
    <w:uiPriority w:val="59"/>
    <w:rsid w:val="000A4E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50A97"/>
    <w:pPr>
      <w:ind w:left="720"/>
      <w:contextualSpacing/>
    </w:pPr>
  </w:style>
  <w:style w:type="character" w:customStyle="1" w:styleId="Heading2Char">
    <w:name w:val="Heading 2 Char"/>
    <w:basedOn w:val="DefaultParagraphFont"/>
    <w:link w:val="Heading2"/>
    <w:uiPriority w:val="9"/>
    <w:rsid w:val="00527358"/>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236B6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36B65"/>
    <w:rPr>
      <w:rFonts w:ascii="Lucida Grande" w:eastAsiaTheme="minorHAnsi" w:hAnsi="Lucida Grande" w:cs="Lucida Grande"/>
      <w:sz w:val="18"/>
      <w:szCs w:val="18"/>
    </w:rPr>
  </w:style>
  <w:style w:type="character" w:styleId="CommentReference">
    <w:name w:val="annotation reference"/>
    <w:basedOn w:val="DefaultParagraphFont"/>
    <w:uiPriority w:val="99"/>
    <w:semiHidden/>
    <w:unhideWhenUsed/>
    <w:rsid w:val="00236B65"/>
    <w:rPr>
      <w:sz w:val="18"/>
      <w:szCs w:val="18"/>
    </w:rPr>
  </w:style>
  <w:style w:type="paragraph" w:styleId="CommentText">
    <w:name w:val="annotation text"/>
    <w:basedOn w:val="Normal"/>
    <w:link w:val="CommentTextChar"/>
    <w:uiPriority w:val="99"/>
    <w:semiHidden/>
    <w:unhideWhenUsed/>
    <w:rsid w:val="00236B65"/>
  </w:style>
  <w:style w:type="character" w:customStyle="1" w:styleId="CommentTextChar">
    <w:name w:val="Comment Text Char"/>
    <w:basedOn w:val="DefaultParagraphFont"/>
    <w:link w:val="CommentText"/>
    <w:uiPriority w:val="99"/>
    <w:semiHidden/>
    <w:rsid w:val="00236B65"/>
    <w:rPr>
      <w:rFonts w:eastAsiaTheme="minorHAnsi"/>
    </w:rPr>
  </w:style>
  <w:style w:type="paragraph" w:styleId="CommentSubject">
    <w:name w:val="annotation subject"/>
    <w:basedOn w:val="CommentText"/>
    <w:next w:val="CommentText"/>
    <w:link w:val="CommentSubjectChar"/>
    <w:uiPriority w:val="99"/>
    <w:semiHidden/>
    <w:unhideWhenUsed/>
    <w:rsid w:val="00236B65"/>
    <w:rPr>
      <w:b/>
      <w:bCs/>
      <w:sz w:val="20"/>
      <w:szCs w:val="20"/>
    </w:rPr>
  </w:style>
  <w:style w:type="character" w:customStyle="1" w:styleId="CommentSubjectChar">
    <w:name w:val="Comment Subject Char"/>
    <w:basedOn w:val="CommentTextChar"/>
    <w:link w:val="CommentSubject"/>
    <w:uiPriority w:val="99"/>
    <w:semiHidden/>
    <w:rsid w:val="00236B65"/>
    <w:rPr>
      <w:rFonts w:eastAsiaTheme="minorHAnsi"/>
      <w:b/>
      <w:bCs/>
      <w:sz w:val="20"/>
      <w:szCs w:val="20"/>
    </w:rPr>
  </w:style>
  <w:style w:type="character" w:styleId="Hyperlink">
    <w:name w:val="Hyperlink"/>
    <w:basedOn w:val="DefaultParagraphFont"/>
    <w:uiPriority w:val="99"/>
    <w:unhideWhenUsed/>
    <w:rsid w:val="00421F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istar.org/sites/default/files/2017-11/Herlyn%20Lab%20-%20Cell%20Lines.xlsx"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 Reyes Uribe</dc:creator>
  <cp:lastModifiedBy>MC_DD3</cp:lastModifiedBy>
  <cp:revision>2</cp:revision>
  <cp:lastPrinted>2018-01-25T18:43:00Z</cp:lastPrinted>
  <dcterms:created xsi:type="dcterms:W3CDTF">2018-04-11T11:11:00Z</dcterms:created>
  <dcterms:modified xsi:type="dcterms:W3CDTF">2018-04-11T11:11:00Z</dcterms:modified>
</cp:coreProperties>
</file>