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A9D7F" w14:textId="5C70AA04" w:rsidR="00651923" w:rsidRPr="00A87116" w:rsidRDefault="00651923" w:rsidP="00157A61">
      <w:pPr>
        <w:pStyle w:val="Heading1"/>
        <w:spacing w:before="0" w:line="480" w:lineRule="auto"/>
        <w:jc w:val="center"/>
        <w:rPr>
          <w:b w:val="0"/>
          <w:i/>
          <w:color w:val="auto"/>
          <w:szCs w:val="28"/>
        </w:rPr>
      </w:pPr>
      <w:bookmarkStart w:id="0" w:name="_Hlk481594565"/>
      <w:r w:rsidRPr="0026458E">
        <w:rPr>
          <w:color w:val="auto"/>
          <w:szCs w:val="28"/>
        </w:rPr>
        <w:t>GPR55</w:t>
      </w:r>
      <w:r w:rsidRPr="0026458E">
        <w:rPr>
          <w:b w:val="0"/>
          <w:i/>
          <w:color w:val="auto"/>
          <w:szCs w:val="28"/>
        </w:rPr>
        <w:t xml:space="preserve"> </w:t>
      </w:r>
      <w:r w:rsidRPr="0026458E">
        <w:rPr>
          <w:rStyle w:val="Heading2Char"/>
          <w:rFonts w:cs="Arial"/>
          <w:b/>
          <w:i w:val="0"/>
          <w:color w:val="auto"/>
          <w:sz w:val="28"/>
          <w:szCs w:val="28"/>
        </w:rPr>
        <w:t>Signa</w:t>
      </w:r>
      <w:r w:rsidR="00092DC5" w:rsidRPr="0026458E">
        <w:rPr>
          <w:rStyle w:val="Heading2Char"/>
          <w:rFonts w:cs="Arial"/>
          <w:b/>
          <w:i w:val="0"/>
          <w:color w:val="auto"/>
          <w:sz w:val="28"/>
          <w:szCs w:val="28"/>
        </w:rPr>
        <w:t>l</w:t>
      </w:r>
      <w:r w:rsidRPr="0026458E">
        <w:rPr>
          <w:rStyle w:val="Heading2Char"/>
          <w:rFonts w:cs="Arial"/>
          <w:b/>
          <w:i w:val="0"/>
          <w:color w:val="auto"/>
          <w:sz w:val="28"/>
          <w:szCs w:val="28"/>
        </w:rPr>
        <w:t>ling Promotes Proliferation of Pancreatic Cancer Cells and Tumo</w:t>
      </w:r>
      <w:r w:rsidR="00092DC5" w:rsidRPr="0026458E">
        <w:rPr>
          <w:rStyle w:val="Heading2Char"/>
          <w:rFonts w:cs="Arial"/>
          <w:b/>
          <w:i w:val="0"/>
          <w:color w:val="auto"/>
          <w:sz w:val="28"/>
          <w:szCs w:val="28"/>
        </w:rPr>
        <w:t>u</w:t>
      </w:r>
      <w:r w:rsidRPr="0026458E">
        <w:rPr>
          <w:rStyle w:val="Heading2Char"/>
          <w:rFonts w:cs="Arial"/>
          <w:b/>
          <w:i w:val="0"/>
          <w:color w:val="auto"/>
          <w:sz w:val="28"/>
          <w:szCs w:val="28"/>
        </w:rPr>
        <w:t>r Growth in Mice, and its Inhibition Increases Effects of Gemcitabine</w:t>
      </w:r>
    </w:p>
    <w:p w14:paraId="64347E85" w14:textId="00B5B6BC" w:rsidR="003C23DE" w:rsidRPr="00A87116" w:rsidRDefault="003C23DE" w:rsidP="00157A61">
      <w:pPr>
        <w:pStyle w:val="Heading1"/>
        <w:spacing w:before="0" w:line="480" w:lineRule="auto"/>
        <w:jc w:val="center"/>
        <w:rPr>
          <w:b w:val="0"/>
          <w:i/>
          <w:color w:val="auto"/>
          <w:sz w:val="32"/>
        </w:rPr>
      </w:pPr>
    </w:p>
    <w:bookmarkEnd w:id="0"/>
    <w:p w14:paraId="30454651" w14:textId="77777777" w:rsidR="00510F2C" w:rsidRPr="00A87116" w:rsidRDefault="00510F2C" w:rsidP="00157A61">
      <w:pPr>
        <w:spacing w:after="0" w:line="480" w:lineRule="auto"/>
      </w:pPr>
    </w:p>
    <w:p w14:paraId="6CA75070" w14:textId="751546AD" w:rsidR="00510F2C" w:rsidRPr="00A87116" w:rsidRDefault="005017DD" w:rsidP="00157A61">
      <w:pPr>
        <w:pStyle w:val="Teaser"/>
        <w:spacing w:before="0" w:line="480" w:lineRule="auto"/>
        <w:rPr>
          <w:rFonts w:ascii="Arial" w:hAnsi="Arial" w:cs="Arial"/>
          <w:sz w:val="22"/>
          <w:szCs w:val="22"/>
          <w:lang w:val="en-GB"/>
        </w:rPr>
      </w:pPr>
      <w:r w:rsidRPr="00A87116">
        <w:rPr>
          <w:rFonts w:ascii="Arial" w:hAnsi="Arial" w:cs="Arial"/>
          <w:sz w:val="22"/>
          <w:szCs w:val="22"/>
          <w:lang w:val="en-GB"/>
        </w:rPr>
        <w:t>R</w:t>
      </w:r>
      <w:r w:rsidR="00510F2C" w:rsidRPr="00A87116">
        <w:rPr>
          <w:rFonts w:ascii="Arial" w:hAnsi="Arial" w:cs="Arial"/>
          <w:sz w:val="22"/>
          <w:szCs w:val="22"/>
          <w:lang w:val="en-GB"/>
        </w:rPr>
        <w:t xml:space="preserve"> Ferro,</w:t>
      </w:r>
      <w:r w:rsidR="008F2FB7" w:rsidRPr="00A87116">
        <w:rPr>
          <w:rFonts w:ascii="Arial" w:hAnsi="Arial" w:cs="Arial"/>
          <w:sz w:val="22"/>
          <w:szCs w:val="22"/>
          <w:vertAlign w:val="superscript"/>
          <w:lang w:val="en-GB"/>
        </w:rPr>
        <w:t>1</w:t>
      </w:r>
      <w:r w:rsidRPr="00A87116">
        <w:rPr>
          <w:rFonts w:ascii="Arial" w:hAnsi="Arial" w:cs="Arial"/>
          <w:sz w:val="22"/>
          <w:szCs w:val="22"/>
          <w:lang w:val="en-GB"/>
        </w:rPr>
        <w:t xml:space="preserve"> A</w:t>
      </w:r>
      <w:r w:rsidR="00510F2C" w:rsidRPr="00A87116">
        <w:rPr>
          <w:rFonts w:ascii="Arial" w:hAnsi="Arial" w:cs="Arial"/>
          <w:sz w:val="22"/>
          <w:szCs w:val="22"/>
          <w:lang w:val="en-GB"/>
        </w:rPr>
        <w:t xml:space="preserve"> Adamska</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2</w:t>
      </w:r>
      <w:r w:rsidRPr="00A87116">
        <w:rPr>
          <w:rFonts w:ascii="Arial" w:hAnsi="Arial" w:cs="Arial"/>
          <w:sz w:val="22"/>
          <w:szCs w:val="22"/>
          <w:lang w:val="en-GB"/>
        </w:rPr>
        <w:t xml:space="preserve"> R</w:t>
      </w:r>
      <w:r w:rsidR="00510F2C" w:rsidRPr="00A87116">
        <w:rPr>
          <w:rFonts w:ascii="Arial" w:hAnsi="Arial" w:cs="Arial"/>
          <w:sz w:val="22"/>
          <w:szCs w:val="22"/>
          <w:lang w:val="en-GB"/>
        </w:rPr>
        <w:t xml:space="preserve"> Lattanzio</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3</w:t>
      </w:r>
      <w:r w:rsidRPr="00A87116">
        <w:rPr>
          <w:rFonts w:ascii="Arial" w:hAnsi="Arial" w:cs="Arial"/>
          <w:sz w:val="22"/>
          <w:szCs w:val="22"/>
          <w:lang w:val="en-GB"/>
        </w:rPr>
        <w:t xml:space="preserve"> I</w:t>
      </w:r>
      <w:r w:rsidR="00510F2C" w:rsidRPr="00A87116">
        <w:rPr>
          <w:rFonts w:ascii="Arial" w:hAnsi="Arial" w:cs="Arial"/>
          <w:sz w:val="22"/>
          <w:szCs w:val="22"/>
          <w:lang w:val="en-GB"/>
        </w:rPr>
        <w:t xml:space="preserve"> Mavrommati</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1</w:t>
      </w:r>
      <w:r w:rsidRPr="00A87116">
        <w:rPr>
          <w:rFonts w:ascii="Arial" w:hAnsi="Arial" w:cs="Arial"/>
          <w:sz w:val="22"/>
          <w:szCs w:val="22"/>
          <w:lang w:val="en-GB"/>
        </w:rPr>
        <w:t xml:space="preserve"> C E</w:t>
      </w:r>
      <w:r w:rsidR="00510F2C" w:rsidRPr="00A87116">
        <w:rPr>
          <w:rFonts w:ascii="Arial" w:hAnsi="Arial" w:cs="Arial"/>
          <w:sz w:val="22"/>
          <w:szCs w:val="22"/>
          <w:lang w:val="en-GB"/>
        </w:rPr>
        <w:t xml:space="preserve"> Edling</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1</w:t>
      </w:r>
      <w:r w:rsidRPr="00A87116">
        <w:rPr>
          <w:rFonts w:ascii="Arial" w:hAnsi="Arial" w:cs="Arial"/>
          <w:sz w:val="22"/>
          <w:szCs w:val="22"/>
          <w:lang w:val="en-GB"/>
        </w:rPr>
        <w:t xml:space="preserve"> S A</w:t>
      </w:r>
      <w:r w:rsidR="00510F2C" w:rsidRPr="00A87116">
        <w:rPr>
          <w:rFonts w:ascii="Arial" w:hAnsi="Arial" w:cs="Arial"/>
          <w:sz w:val="22"/>
          <w:szCs w:val="22"/>
          <w:lang w:val="en-GB"/>
        </w:rPr>
        <w:t xml:space="preserve"> Arifin</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1</w:t>
      </w:r>
      <w:r w:rsidRPr="00A87116">
        <w:rPr>
          <w:rFonts w:ascii="Arial" w:hAnsi="Arial" w:cs="Arial"/>
          <w:sz w:val="22"/>
          <w:szCs w:val="22"/>
          <w:lang w:val="en-GB"/>
        </w:rPr>
        <w:t xml:space="preserve"> C A</w:t>
      </w:r>
      <w:r w:rsidR="00510F2C" w:rsidRPr="00A87116">
        <w:rPr>
          <w:rFonts w:ascii="Arial" w:hAnsi="Arial" w:cs="Arial"/>
          <w:sz w:val="22"/>
          <w:szCs w:val="22"/>
          <w:lang w:val="en-GB"/>
        </w:rPr>
        <w:t xml:space="preserve"> Fyffe</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1</w:t>
      </w:r>
      <w:r w:rsidRPr="00A87116">
        <w:rPr>
          <w:rFonts w:ascii="Arial" w:hAnsi="Arial" w:cs="Arial"/>
          <w:sz w:val="22"/>
          <w:szCs w:val="22"/>
          <w:lang w:val="en-GB"/>
        </w:rPr>
        <w:t xml:space="preserve"> G</w:t>
      </w:r>
      <w:r w:rsidR="00510F2C" w:rsidRPr="00A87116">
        <w:rPr>
          <w:rFonts w:ascii="Arial" w:hAnsi="Arial" w:cs="Arial"/>
          <w:sz w:val="22"/>
          <w:szCs w:val="22"/>
          <w:lang w:val="en-GB"/>
        </w:rPr>
        <w:t xml:space="preserve"> Sala</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3</w:t>
      </w:r>
      <w:r w:rsidRPr="00A87116">
        <w:rPr>
          <w:rFonts w:ascii="Arial" w:hAnsi="Arial" w:cs="Arial"/>
          <w:sz w:val="22"/>
          <w:szCs w:val="22"/>
          <w:lang w:val="en-GB"/>
        </w:rPr>
        <w:t xml:space="preserve"> L</w:t>
      </w:r>
      <w:r w:rsidR="00510F2C" w:rsidRPr="00A87116">
        <w:rPr>
          <w:rFonts w:ascii="Arial" w:hAnsi="Arial" w:cs="Arial"/>
          <w:sz w:val="22"/>
          <w:szCs w:val="22"/>
          <w:lang w:val="en-GB"/>
        </w:rPr>
        <w:t xml:space="preserve"> Sacchetto</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4</w:t>
      </w:r>
      <w:r w:rsidRPr="00A87116">
        <w:rPr>
          <w:rFonts w:ascii="Arial" w:hAnsi="Arial" w:cs="Arial"/>
          <w:sz w:val="22"/>
          <w:szCs w:val="22"/>
          <w:lang w:val="en-GB"/>
        </w:rPr>
        <w:t xml:space="preserve"> G</w:t>
      </w:r>
      <w:r w:rsidR="00510F2C" w:rsidRPr="00A87116">
        <w:rPr>
          <w:rFonts w:ascii="Arial" w:hAnsi="Arial" w:cs="Arial"/>
          <w:sz w:val="22"/>
          <w:szCs w:val="22"/>
          <w:lang w:val="en-GB"/>
        </w:rPr>
        <w:t xml:space="preserve"> Chiorino</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4</w:t>
      </w:r>
      <w:r w:rsidRPr="00A87116">
        <w:rPr>
          <w:rFonts w:ascii="Arial" w:hAnsi="Arial" w:cs="Arial"/>
          <w:sz w:val="22"/>
          <w:szCs w:val="22"/>
          <w:lang w:val="en-GB"/>
        </w:rPr>
        <w:t xml:space="preserve"> V</w:t>
      </w:r>
      <w:r w:rsidR="00510F2C" w:rsidRPr="00A87116">
        <w:rPr>
          <w:rFonts w:ascii="Arial" w:hAnsi="Arial" w:cs="Arial"/>
          <w:sz w:val="22"/>
          <w:szCs w:val="22"/>
          <w:lang w:val="en-GB"/>
        </w:rPr>
        <w:t xml:space="preserve"> De Laurenzi</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2,3</w:t>
      </w:r>
      <w:r w:rsidRPr="00A87116">
        <w:rPr>
          <w:rFonts w:ascii="Arial" w:hAnsi="Arial" w:cs="Arial"/>
          <w:sz w:val="22"/>
          <w:szCs w:val="22"/>
          <w:lang w:val="en-GB"/>
        </w:rPr>
        <w:t xml:space="preserve"> M</w:t>
      </w:r>
      <w:r w:rsidR="00510F2C" w:rsidRPr="00A87116">
        <w:rPr>
          <w:rFonts w:ascii="Arial" w:hAnsi="Arial" w:cs="Arial"/>
          <w:sz w:val="22"/>
          <w:szCs w:val="22"/>
          <w:lang w:val="en-GB"/>
        </w:rPr>
        <w:t xml:space="preserve"> Piantelli</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3</w:t>
      </w:r>
      <w:r w:rsidRPr="00A87116">
        <w:rPr>
          <w:rFonts w:ascii="Arial" w:hAnsi="Arial" w:cs="Arial"/>
          <w:sz w:val="22"/>
          <w:szCs w:val="22"/>
          <w:lang w:val="en-GB"/>
        </w:rPr>
        <w:t xml:space="preserve"> O J</w:t>
      </w:r>
      <w:r w:rsidR="00510F2C" w:rsidRPr="00A87116">
        <w:rPr>
          <w:rFonts w:ascii="Arial" w:hAnsi="Arial" w:cs="Arial"/>
          <w:sz w:val="22"/>
          <w:szCs w:val="22"/>
          <w:lang w:val="en-GB"/>
        </w:rPr>
        <w:t xml:space="preserve"> Sansom</w:t>
      </w:r>
      <w:r w:rsidR="008F2FB7" w:rsidRPr="00A87116">
        <w:rPr>
          <w:rFonts w:ascii="Arial" w:hAnsi="Arial" w:cs="Arial"/>
          <w:sz w:val="22"/>
          <w:szCs w:val="22"/>
          <w:lang w:val="en-GB"/>
        </w:rPr>
        <w:t>,</w:t>
      </w:r>
      <w:r w:rsidR="00510F2C" w:rsidRPr="00A87116">
        <w:rPr>
          <w:rFonts w:ascii="Arial" w:hAnsi="Arial" w:cs="Arial"/>
          <w:sz w:val="22"/>
          <w:szCs w:val="22"/>
          <w:vertAlign w:val="superscript"/>
          <w:lang w:val="en-GB"/>
        </w:rPr>
        <w:t>5</w:t>
      </w:r>
      <w:r w:rsidRPr="00A87116">
        <w:rPr>
          <w:rFonts w:ascii="Arial" w:hAnsi="Arial" w:cs="Arial"/>
          <w:sz w:val="22"/>
          <w:szCs w:val="22"/>
          <w:lang w:val="en-GB"/>
        </w:rPr>
        <w:t xml:space="preserve"> T</w:t>
      </w:r>
      <w:r w:rsidR="00510F2C" w:rsidRPr="00A87116">
        <w:rPr>
          <w:rFonts w:ascii="Arial" w:hAnsi="Arial" w:cs="Arial"/>
          <w:sz w:val="22"/>
          <w:szCs w:val="22"/>
          <w:lang w:val="en-GB"/>
        </w:rPr>
        <w:t xml:space="preserve"> Maffucci</w:t>
      </w:r>
      <w:r w:rsidR="00510F2C" w:rsidRPr="00A87116">
        <w:rPr>
          <w:rFonts w:ascii="Arial" w:hAnsi="Arial" w:cs="Arial"/>
          <w:sz w:val="22"/>
          <w:szCs w:val="22"/>
          <w:vertAlign w:val="superscript"/>
          <w:lang w:val="en-GB"/>
        </w:rPr>
        <w:t>1</w:t>
      </w:r>
      <w:r w:rsidRPr="00A87116">
        <w:rPr>
          <w:rFonts w:ascii="Arial" w:hAnsi="Arial" w:cs="Arial"/>
          <w:sz w:val="22"/>
          <w:szCs w:val="22"/>
          <w:lang w:val="en-GB"/>
        </w:rPr>
        <w:t xml:space="preserve"> and M</w:t>
      </w:r>
      <w:r w:rsidR="00510F2C" w:rsidRPr="00A87116">
        <w:rPr>
          <w:rFonts w:ascii="Arial" w:hAnsi="Arial" w:cs="Arial"/>
          <w:sz w:val="22"/>
          <w:szCs w:val="22"/>
          <w:lang w:val="en-GB"/>
        </w:rPr>
        <w:t xml:space="preserve"> Falasca</w:t>
      </w:r>
      <w:r w:rsidR="00510F2C" w:rsidRPr="00A87116">
        <w:rPr>
          <w:rFonts w:ascii="Arial" w:hAnsi="Arial" w:cs="Arial"/>
          <w:sz w:val="22"/>
          <w:szCs w:val="22"/>
          <w:vertAlign w:val="superscript"/>
          <w:lang w:val="en-GB"/>
        </w:rPr>
        <w:t xml:space="preserve">1,2 </w:t>
      </w:r>
      <w:r w:rsidR="00510F2C" w:rsidRPr="00A87116">
        <w:rPr>
          <w:rFonts w:ascii="Arial" w:hAnsi="Arial" w:cs="Arial"/>
          <w:sz w:val="22"/>
          <w:szCs w:val="22"/>
          <w:lang w:val="en-GB"/>
        </w:rPr>
        <w:t>.</w:t>
      </w:r>
    </w:p>
    <w:p w14:paraId="69C5CFAC" w14:textId="77777777" w:rsidR="00510F2C" w:rsidRPr="00A87116" w:rsidRDefault="00510F2C" w:rsidP="00157A61">
      <w:pPr>
        <w:pStyle w:val="Teaser"/>
        <w:spacing w:before="0" w:line="480" w:lineRule="auto"/>
        <w:rPr>
          <w:rFonts w:ascii="Arial" w:hAnsi="Arial" w:cs="Arial"/>
          <w:sz w:val="22"/>
          <w:szCs w:val="22"/>
          <w:lang w:val="en-GB"/>
        </w:rPr>
      </w:pPr>
    </w:p>
    <w:p w14:paraId="64BCE468" w14:textId="794802F5" w:rsidR="00510F2C" w:rsidRPr="00A26545" w:rsidRDefault="00510F2C" w:rsidP="00157A61">
      <w:pPr>
        <w:pStyle w:val="Teaser"/>
        <w:spacing w:before="0" w:line="480" w:lineRule="auto"/>
        <w:jc w:val="center"/>
        <w:rPr>
          <w:rFonts w:ascii="Arial" w:hAnsi="Arial" w:cs="Arial"/>
          <w:b/>
          <w:lang w:val="en-GB"/>
        </w:rPr>
      </w:pPr>
      <w:r w:rsidRPr="00A26545">
        <w:rPr>
          <w:rFonts w:ascii="Arial" w:hAnsi="Arial" w:cs="Arial"/>
          <w:b/>
          <w:lang w:val="en-GB"/>
        </w:rPr>
        <w:t xml:space="preserve">Supplementary </w:t>
      </w:r>
      <w:r w:rsidR="005017DD" w:rsidRPr="00A26545">
        <w:rPr>
          <w:rFonts w:ascii="Arial" w:hAnsi="Arial" w:cs="Arial"/>
          <w:b/>
          <w:lang w:val="en-GB"/>
        </w:rPr>
        <w:t>Information</w:t>
      </w:r>
    </w:p>
    <w:p w14:paraId="56BE0F1D" w14:textId="77777777" w:rsidR="00510F2C" w:rsidRPr="00A87116" w:rsidRDefault="00510F2C" w:rsidP="00157A61">
      <w:pPr>
        <w:spacing w:after="0" w:line="480" w:lineRule="auto"/>
        <w:jc w:val="left"/>
        <w:rPr>
          <w:rFonts w:eastAsiaTheme="majorEastAsia" w:cs="Arial"/>
          <w:b/>
        </w:rPr>
      </w:pPr>
      <w:r w:rsidRPr="00A87116">
        <w:rPr>
          <w:rFonts w:cs="Arial"/>
        </w:rPr>
        <w:br w:type="page"/>
      </w:r>
    </w:p>
    <w:p w14:paraId="73FC333B" w14:textId="7B29085F" w:rsidR="00A56E2D" w:rsidRPr="007B388C" w:rsidRDefault="00E97DCD" w:rsidP="00157A61">
      <w:pPr>
        <w:pStyle w:val="Heading1"/>
        <w:spacing w:before="0" w:line="480" w:lineRule="auto"/>
        <w:rPr>
          <w:rFonts w:cs="Arial"/>
          <w:color w:val="auto"/>
          <w:sz w:val="22"/>
          <w:szCs w:val="22"/>
        </w:rPr>
      </w:pPr>
      <w:r w:rsidRPr="007B388C">
        <w:rPr>
          <w:rFonts w:cs="Arial"/>
          <w:color w:val="auto"/>
          <w:sz w:val="22"/>
          <w:szCs w:val="22"/>
        </w:rPr>
        <w:lastRenderedPageBreak/>
        <w:t xml:space="preserve">Supplementary </w:t>
      </w:r>
      <w:r w:rsidR="00A56E2D" w:rsidRPr="007B388C">
        <w:rPr>
          <w:rFonts w:cs="Arial"/>
          <w:color w:val="auto"/>
          <w:sz w:val="22"/>
          <w:szCs w:val="22"/>
        </w:rPr>
        <w:t>Materials and Methods</w:t>
      </w:r>
    </w:p>
    <w:p w14:paraId="043DF174" w14:textId="77777777" w:rsidR="00E242F1" w:rsidRPr="007B388C" w:rsidRDefault="00E242F1" w:rsidP="00157A61">
      <w:pPr>
        <w:spacing w:after="0" w:line="480" w:lineRule="auto"/>
      </w:pPr>
    </w:p>
    <w:p w14:paraId="18FB9319" w14:textId="7D5014E1" w:rsidR="003F13A5" w:rsidRPr="007B388C" w:rsidRDefault="003F13A5" w:rsidP="00157A61">
      <w:pPr>
        <w:spacing w:after="0" w:line="480" w:lineRule="auto"/>
        <w:rPr>
          <w:rFonts w:cs="Arial"/>
        </w:rPr>
      </w:pPr>
      <w:r w:rsidRPr="007B388C">
        <w:rPr>
          <w:rFonts w:cs="Arial"/>
        </w:rPr>
        <w:t>Cell culture and transfection</w:t>
      </w:r>
    </w:p>
    <w:p w14:paraId="0646F5F6" w14:textId="63E6F3B0" w:rsidR="003F13A5" w:rsidRPr="007B388C" w:rsidRDefault="003F13A5" w:rsidP="00157A61">
      <w:pPr>
        <w:spacing w:after="0" w:line="480" w:lineRule="auto"/>
        <w:rPr>
          <w:rFonts w:cs="Arial"/>
          <w:lang w:eastAsia="it-IT"/>
        </w:rPr>
      </w:pPr>
      <w:r w:rsidRPr="007B388C">
        <w:rPr>
          <w:rFonts w:cs="Arial"/>
        </w:rPr>
        <w:t xml:space="preserve">All cell lines were obtained from American Type Culture Collection (ATCC) apart from the immortalised normal pancreatic cell line HPDE, kindly provided by Prof Hemant Kocher (Queen Mary University of London). </w:t>
      </w:r>
      <w:r w:rsidR="00F576CC" w:rsidRPr="007B388C">
        <w:rPr>
          <w:rFonts w:cs="Arial"/>
        </w:rPr>
        <w:t xml:space="preserve">Cell lines were authenticated and routinely tested for mycoplasma contamination. </w:t>
      </w:r>
      <w:r w:rsidRPr="007B388C">
        <w:rPr>
          <w:rFonts w:cs="Arial"/>
        </w:rPr>
        <w:t>All cell lines (apart from HPDE) were cultured in DMEM supplemented with 10% (v/v) fetal bovine serum (FBS), 1X penicillin/streptomycin and glutamine, and 1% (v/v) sodium pyruvate. HPDE cells were cultured in keratinocyte serum-free medium supplemented with epidermal growth factor and bovine pituitary extract. Cells were maintained under standard cell culture conditions (37°C, 20% O</w:t>
      </w:r>
      <w:r w:rsidRPr="007B388C">
        <w:rPr>
          <w:rFonts w:cs="Arial"/>
          <w:vertAlign w:val="subscript"/>
        </w:rPr>
        <w:t>2</w:t>
      </w:r>
      <w:r w:rsidRPr="007B388C">
        <w:rPr>
          <w:rFonts w:cs="Arial"/>
        </w:rPr>
        <w:t>, 5% CO</w:t>
      </w:r>
      <w:r w:rsidRPr="007B388C">
        <w:rPr>
          <w:rFonts w:cs="Arial"/>
          <w:vertAlign w:val="subscript"/>
        </w:rPr>
        <w:t>2</w:t>
      </w:r>
      <w:r w:rsidRPr="007B388C">
        <w:rPr>
          <w:rFonts w:cs="Arial"/>
        </w:rPr>
        <w:t>). siRNAs were transfected using Oligofectamine™ or Lipofectamine® RNAiMAX, according to the manufacturer’s instructions</w:t>
      </w:r>
      <w:r w:rsidRPr="007B388C">
        <w:rPr>
          <w:rFonts w:cs="Arial"/>
          <w:lang w:eastAsia="it-IT"/>
        </w:rPr>
        <w:t>.</w:t>
      </w:r>
    </w:p>
    <w:p w14:paraId="53621112" w14:textId="77777777" w:rsidR="005017DD" w:rsidRPr="007B388C" w:rsidRDefault="005017DD" w:rsidP="005017DD">
      <w:pPr>
        <w:spacing w:after="0" w:line="480" w:lineRule="auto"/>
        <w:rPr>
          <w:rFonts w:cs="Arial"/>
        </w:rPr>
      </w:pPr>
    </w:p>
    <w:p w14:paraId="41EE4368" w14:textId="5CDE3347" w:rsidR="005017DD" w:rsidRPr="007B388C" w:rsidRDefault="005017DD" w:rsidP="005017DD">
      <w:pPr>
        <w:spacing w:after="0" w:line="480" w:lineRule="auto"/>
        <w:rPr>
          <w:rFonts w:cs="Arial"/>
        </w:rPr>
      </w:pPr>
      <w:r w:rsidRPr="007B388C">
        <w:rPr>
          <w:rFonts w:cs="Arial"/>
        </w:rPr>
        <w:t xml:space="preserve">Cell growth assays </w:t>
      </w:r>
    </w:p>
    <w:p w14:paraId="6C9CB918" w14:textId="77777777" w:rsidR="005017DD" w:rsidRPr="007B388C" w:rsidRDefault="005017DD" w:rsidP="005017DD">
      <w:pPr>
        <w:spacing w:after="0" w:line="480" w:lineRule="auto"/>
        <w:rPr>
          <w:rFonts w:cs="Arial"/>
          <w:shd w:val="clear" w:color="auto" w:fill="FFFFFF"/>
        </w:rPr>
      </w:pPr>
      <w:r w:rsidRPr="007B388C">
        <w:rPr>
          <w:rFonts w:cs="Arial"/>
        </w:rPr>
        <w:t>For cell counting, cells were seeded in 12 well plates and grown in cell culture medium supplemented with 10% FBS for the indicated times. When necessary, cells were treated with the GPR55 antagonists CBD or CID16020046 (Tocris Bioscience). The number of cells was assessed after 72 h by cell counting. For anchorage-independent growth, 1.2% agarose gel was melted and then placed in a water bath at 55°C. DMEM medium was supplemented with 20% (v/v) FBS, 2X penicillin/streptomycin and glutamine and 2% (v/v) sodium pyruvate (2X DMEM), and kept at 37°C. A mix of 1.2% melted agarose gel and 2X DMEM was used to generate 2ml 0.6% agarose thick base layer. The mix was poured into one well of a 6-well plate and left to solidify. Where indicated, cells were transfected for 24 h. Cells were washed, detached, counted and a suspension of 20,000 cells was prepared in 1.5ml of 2X DMEM. Then 0.75ml of 1.2% agarose gel and 0.75ml of 2X DMEM was mixed to form a 0.3% agarose gel. The mix was poured on top of the solidified 0.6% agarose gel. 2ml of DMEM was added on top and cells were left to grow at 37°C in a 5% CO</w:t>
      </w:r>
      <w:r w:rsidRPr="007B388C">
        <w:rPr>
          <w:rFonts w:cs="Arial"/>
          <w:vertAlign w:val="subscript"/>
        </w:rPr>
        <w:t>2</w:t>
      </w:r>
      <w:r w:rsidRPr="007B388C">
        <w:rPr>
          <w:rFonts w:cs="Arial"/>
        </w:rPr>
        <w:t xml:space="preserve"> atmosphere. </w:t>
      </w:r>
      <w:r w:rsidRPr="007B388C">
        <w:rPr>
          <w:rFonts w:cs="Arial"/>
          <w:shd w:val="clear" w:color="auto" w:fill="FFFFFF"/>
        </w:rPr>
        <w:t xml:space="preserve">Colonies were fixed with </w:t>
      </w:r>
      <w:r w:rsidRPr="007B388C">
        <w:rPr>
          <w:rFonts w:cs="Arial"/>
          <w:shd w:val="clear" w:color="auto" w:fill="FFFFFF"/>
        </w:rPr>
        <w:lastRenderedPageBreak/>
        <w:t xml:space="preserve">4% paraformaldehyde or methanol/acetic acid in PBS 3-4 weeks after plating, stained with Crystal Violet (0.05%) and counted under the microscope or using the ChemiDoc XRS+ System (Bio-Rad). </w:t>
      </w:r>
    </w:p>
    <w:p w14:paraId="5375BAD0" w14:textId="77777777" w:rsidR="005017DD" w:rsidRPr="007B388C" w:rsidRDefault="005017DD" w:rsidP="005017DD">
      <w:pPr>
        <w:spacing w:after="0" w:line="480" w:lineRule="auto"/>
        <w:rPr>
          <w:rStyle w:val="Heading2Char"/>
          <w:rFonts w:cs="Arial"/>
          <w:b w:val="0"/>
          <w:i w:val="0"/>
          <w:color w:val="auto"/>
        </w:rPr>
      </w:pPr>
    </w:p>
    <w:p w14:paraId="668CA962" w14:textId="77777777" w:rsidR="005017DD" w:rsidRPr="007B388C" w:rsidRDefault="005017DD" w:rsidP="005017DD">
      <w:pPr>
        <w:spacing w:after="0" w:line="480" w:lineRule="auto"/>
        <w:rPr>
          <w:rStyle w:val="Heading2Char"/>
          <w:rFonts w:cs="Arial"/>
          <w:b w:val="0"/>
          <w:i w:val="0"/>
          <w:color w:val="auto"/>
          <w:sz w:val="22"/>
          <w:szCs w:val="22"/>
        </w:rPr>
      </w:pPr>
      <w:r w:rsidRPr="007B388C">
        <w:rPr>
          <w:rStyle w:val="Heading2Char"/>
          <w:rFonts w:cs="Arial"/>
          <w:b w:val="0"/>
          <w:i w:val="0"/>
          <w:color w:val="auto"/>
          <w:sz w:val="22"/>
          <w:szCs w:val="22"/>
        </w:rPr>
        <w:t xml:space="preserve">Cell cycle analysis </w:t>
      </w:r>
    </w:p>
    <w:p w14:paraId="3D4AFD0D" w14:textId="4AC19DBF" w:rsidR="005017DD" w:rsidRPr="007B388C" w:rsidRDefault="005017DD" w:rsidP="005017DD">
      <w:pPr>
        <w:spacing w:after="0" w:line="480" w:lineRule="auto"/>
        <w:rPr>
          <w:rFonts w:cs="Arial"/>
          <w:shd w:val="clear" w:color="auto" w:fill="FFFFFF"/>
        </w:rPr>
      </w:pPr>
      <w:r w:rsidRPr="007B388C">
        <w:rPr>
          <w:rFonts w:cs="Arial"/>
          <w:shd w:val="clear" w:color="auto" w:fill="FFFFFF"/>
        </w:rPr>
        <w:t xml:space="preserve">Cells were seeded in a 6 well plate (200,000 cells/well) and transfected with the indicated siRNAs or treated with </w:t>
      </w:r>
      <w:r w:rsidRPr="007B388C">
        <w:rPr>
          <w:rFonts w:cs="Arial"/>
        </w:rPr>
        <w:t>CBD</w:t>
      </w:r>
      <w:r w:rsidRPr="007B388C">
        <w:rPr>
          <w:rFonts w:cs="Arial"/>
          <w:shd w:val="clear" w:color="auto" w:fill="FFFFFF"/>
        </w:rPr>
        <w:t>. At indicated times, cells were washed once with PBS, detached and collected in 1.5ml microfuge tubes and centrifuged at 1,200 rpm for 5 min. Pelleted cells were then fixed in ice-cold 70% ethanol by adding one drop at a time on a vortex and left at 4°C from 60 min to a week. Cells were then washed and centrifuged at 1,200 rpm for 5 min and re-suspended in 200μl Vindellövs Propidium Iodide (PI) solution (50μg/ml PI, Ribonuclease</w:t>
      </w:r>
      <w:r w:rsidR="002C628B" w:rsidRPr="007B388C">
        <w:rPr>
          <w:rFonts w:cs="Arial"/>
          <w:shd w:val="clear" w:color="auto" w:fill="FFFFFF"/>
        </w:rPr>
        <w:t xml:space="preserve"> I 100μg/ml) before being analys</w:t>
      </w:r>
      <w:r w:rsidRPr="007B388C">
        <w:rPr>
          <w:rFonts w:cs="Arial"/>
          <w:shd w:val="clear" w:color="auto" w:fill="FFFFFF"/>
        </w:rPr>
        <w:t>ed by FACS, collecting 50,000 events per sample.</w:t>
      </w:r>
    </w:p>
    <w:p w14:paraId="00DABD82" w14:textId="1C923782" w:rsidR="005017DD" w:rsidRPr="007B388C" w:rsidRDefault="005017DD" w:rsidP="005017DD">
      <w:pPr>
        <w:spacing w:after="0" w:line="480" w:lineRule="auto"/>
        <w:rPr>
          <w:rFonts w:cs="Arial"/>
          <w:shd w:val="clear" w:color="auto" w:fill="FFFFFF"/>
        </w:rPr>
      </w:pPr>
      <w:r w:rsidRPr="007B388C">
        <w:rPr>
          <w:rFonts w:cs="Arial"/>
          <w:shd w:val="clear" w:color="auto" w:fill="FFFFFF"/>
        </w:rPr>
        <w:t xml:space="preserve">EdU assay. To assess EdU incorporation, cells were treated with </w:t>
      </w:r>
      <w:r w:rsidRPr="007B388C">
        <w:rPr>
          <w:rFonts w:cs="Arial"/>
        </w:rPr>
        <w:t>5μM or 10μM of</w:t>
      </w:r>
      <w:r w:rsidRPr="007B388C">
        <w:rPr>
          <w:rFonts w:cs="Arial"/>
          <w:shd w:val="clear" w:color="auto" w:fill="FFFFFF"/>
        </w:rPr>
        <w:t xml:space="preserve"> CBD for 70 h and then treated with 10µM EdU for 2 h. Cells were fixed in 70% ethanol for 1 h and then treated according to the manufacturer’s instructions (Thermo Fisher Scientific). Cells were washed and centrifuged at 1,200 rpm for 5 min and resuspended in 500μl Vindellövs</w:t>
      </w:r>
      <w:r w:rsidR="002C628B" w:rsidRPr="007B388C">
        <w:rPr>
          <w:rFonts w:cs="Arial"/>
          <w:shd w:val="clear" w:color="auto" w:fill="FFFFFF"/>
        </w:rPr>
        <w:t xml:space="preserve"> PI solution before being analys</w:t>
      </w:r>
      <w:r w:rsidRPr="007B388C">
        <w:rPr>
          <w:rFonts w:cs="Arial"/>
          <w:shd w:val="clear" w:color="auto" w:fill="FFFFFF"/>
        </w:rPr>
        <w:t>ed by flow cytometry, collecting 50,000 events per sample using FACS Diva software.</w:t>
      </w:r>
    </w:p>
    <w:p w14:paraId="62A4D946" w14:textId="77777777" w:rsidR="005017DD" w:rsidRPr="007B388C" w:rsidRDefault="005017DD" w:rsidP="005017DD">
      <w:pPr>
        <w:spacing w:after="0" w:line="480" w:lineRule="auto"/>
        <w:rPr>
          <w:rFonts w:cs="Arial"/>
        </w:rPr>
      </w:pPr>
    </w:p>
    <w:p w14:paraId="69304358" w14:textId="77777777" w:rsidR="005017DD" w:rsidRPr="007B388C" w:rsidRDefault="005017DD" w:rsidP="005017DD">
      <w:pPr>
        <w:spacing w:after="0" w:line="480" w:lineRule="auto"/>
        <w:rPr>
          <w:rFonts w:cs="Arial"/>
        </w:rPr>
      </w:pPr>
      <w:r w:rsidRPr="007B388C">
        <w:rPr>
          <w:rFonts w:cs="Arial"/>
        </w:rPr>
        <w:t xml:space="preserve">Apoptosis assays </w:t>
      </w:r>
    </w:p>
    <w:p w14:paraId="7B94885E" w14:textId="77777777" w:rsidR="005017DD" w:rsidRPr="007B388C" w:rsidRDefault="005017DD" w:rsidP="005017DD">
      <w:pPr>
        <w:spacing w:after="0" w:line="480" w:lineRule="auto"/>
        <w:rPr>
          <w:rFonts w:cs="Arial"/>
          <w:spacing w:val="3"/>
          <w:shd w:val="clear" w:color="auto" w:fill="FFFFFF"/>
        </w:rPr>
      </w:pPr>
      <w:r w:rsidRPr="007B388C">
        <w:rPr>
          <w:rFonts w:cs="Arial"/>
          <w:shd w:val="clear" w:color="auto" w:fill="FFFFFF"/>
        </w:rPr>
        <w:t xml:space="preserve">For the Annexin V assay, cells were plated in 6 well plates (200,000 cells/well) and transfected with the indicated siRNAs. At 48 h post transfection, cells were collected (including the supernatant) and pelleted. The pellet was resuspended in 400µl 1X Annexin V Binding Buffer and 2µl of Annexin V-FITC and incubated in the dark for 15 min at room temperature. Then, 4µl PI was added and the samples were analysed using FACS Diva software, collecting 20,000 events per sample. A control of unstained cells was incubated with 1X Annexin V </w:t>
      </w:r>
      <w:r w:rsidRPr="007B388C">
        <w:rPr>
          <w:rFonts w:cs="Arial"/>
          <w:shd w:val="clear" w:color="auto" w:fill="FFFFFF"/>
        </w:rPr>
        <w:lastRenderedPageBreak/>
        <w:t xml:space="preserve">Binding Buffer alone and Annexin V-FITC or PI in order to set the quadrants. </w:t>
      </w:r>
      <w:r w:rsidRPr="007B388C">
        <w:rPr>
          <w:rFonts w:cs="Arial"/>
          <w:spacing w:val="3"/>
          <w:shd w:val="clear" w:color="auto" w:fill="FFFFFF"/>
        </w:rPr>
        <w:t>Caspase 3 activity was measured by using an EnzCheck® Caspase 3 Assay Kit #2 (Cat. No E-13184, Molecular Probes®, Life Technologies) according to manufacturer’s instructions. Cells were plated in 6 well plates (200,000 cells/well) and transfected with indicated siRNAs. At 48 h post transfection, cells were washed once with PBS and pelleted. The pellets were then resuspended in 100µl 1X cell lysis buffer solution and kept on ice for 30 min. Cell lysates were then centrifuged at 5,000 rpm for 5 min and the supernatant was transferred to a new 1.5ml microfuge tube. 1X cell lysis buffer was used as a control to determine background fluorescence of the substrate. 50µl of 2X substrate working solution was added in each sample and control and 100µl were transferred in a 96 well plate and incubated for 75 min at room temperature. Fluorescence was then measured using a spectrophotometer (Synergy HT) at excitation/emission 496/520nm. The protein concentration of each sample was determined using the Bradford or BCA protein assay. Fluorescence results were then normalised according to the protein concentration of each sample.</w:t>
      </w:r>
    </w:p>
    <w:p w14:paraId="6B56839B" w14:textId="77777777" w:rsidR="003F13A5" w:rsidRPr="007B388C" w:rsidRDefault="003F13A5" w:rsidP="00157A61">
      <w:pPr>
        <w:spacing w:after="0" w:line="480" w:lineRule="auto"/>
        <w:rPr>
          <w:rFonts w:cs="Arial"/>
        </w:rPr>
      </w:pPr>
    </w:p>
    <w:p w14:paraId="3B98D698" w14:textId="77777777" w:rsidR="00A56E2D" w:rsidRPr="007B388C" w:rsidRDefault="00A56E2D" w:rsidP="00157A61">
      <w:pPr>
        <w:spacing w:after="0" w:line="480" w:lineRule="auto"/>
        <w:rPr>
          <w:rFonts w:cs="Arial"/>
          <w:shd w:val="clear" w:color="auto" w:fill="FFFFFF"/>
        </w:rPr>
      </w:pPr>
      <w:r w:rsidRPr="007B388C">
        <w:rPr>
          <w:rFonts w:cs="Arial"/>
          <w:shd w:val="clear" w:color="auto" w:fill="FFFFFF"/>
        </w:rPr>
        <w:t xml:space="preserve">RT-qPCR analysis </w:t>
      </w:r>
    </w:p>
    <w:p w14:paraId="716D4CD9" w14:textId="32775502" w:rsidR="00A56E2D" w:rsidRPr="007B388C" w:rsidRDefault="00A56E2D" w:rsidP="00157A61">
      <w:pPr>
        <w:spacing w:after="0" w:line="480" w:lineRule="auto"/>
        <w:rPr>
          <w:rFonts w:cs="Arial"/>
          <w:shd w:val="clear" w:color="auto" w:fill="FFFFFF"/>
        </w:rPr>
      </w:pPr>
      <w:r w:rsidRPr="007B388C">
        <w:rPr>
          <w:rFonts w:cs="Arial"/>
          <w:shd w:val="clear" w:color="auto" w:fill="FFFFFF"/>
        </w:rPr>
        <w:t xml:space="preserve">RNA was extracted from cells </w:t>
      </w:r>
      <w:r w:rsidR="00216CA7" w:rsidRPr="007B388C">
        <w:rPr>
          <w:rFonts w:cs="Arial"/>
          <w:shd w:val="clear" w:color="auto" w:fill="FFFFFF"/>
        </w:rPr>
        <w:t xml:space="preserve">or murine tissues </w:t>
      </w:r>
      <w:r w:rsidRPr="007B388C">
        <w:rPr>
          <w:rFonts w:cs="Arial"/>
          <w:shd w:val="clear" w:color="auto" w:fill="FFFFFF"/>
        </w:rPr>
        <w:t>using the GeneJET RNA Purification Kit (Thermo Fisher Scientific) according to the manufacturer’s instructions. The complementary DNA (cDNA) synthesis was performed on ice using Maxima Reverse Transcriptase (Thermo Fisher Scientific) according to the manufacturer’s instructions. RT-qPCR was performed using 2X Maxima SYBR green/Fluorescein (Fermentas) qPCR mix</w:t>
      </w:r>
      <w:r w:rsidR="00E242F1" w:rsidRPr="007B388C">
        <w:rPr>
          <w:rFonts w:cs="Arial"/>
          <w:shd w:val="clear" w:color="auto" w:fill="FFFFFF"/>
        </w:rPr>
        <w:t xml:space="preserve"> and the ABI 7500 RT-QPCR. QARS, </w:t>
      </w:r>
      <w:r w:rsidRPr="007B388C">
        <w:rPr>
          <w:rFonts w:cs="Arial"/>
          <w:shd w:val="clear" w:color="auto" w:fill="FFFFFF"/>
        </w:rPr>
        <w:t xml:space="preserve">GAPDH </w:t>
      </w:r>
      <w:r w:rsidR="00E242F1" w:rsidRPr="007B388C">
        <w:rPr>
          <w:rFonts w:cs="Arial"/>
          <w:shd w:val="clear" w:color="auto" w:fill="FFFFFF"/>
        </w:rPr>
        <w:t xml:space="preserve">or RPS14 </w:t>
      </w:r>
      <w:r w:rsidRPr="007B388C">
        <w:rPr>
          <w:rFonts w:cs="Arial"/>
          <w:shd w:val="clear" w:color="auto" w:fill="FFFFFF"/>
        </w:rPr>
        <w:t>cDNA were also amplified as housekeeping gene controls. All experiments were performed in triplicate. Quantification of the relative changes in gene expression was calculated using the relative ddCT analysis mode of the ABI 7500 Real-Time PCR system software. GAPDH forward and reverse primers 5’-AGGGCTGCTTTTAACTCTGGT-3’, 5’-CCCCACTTGATTTTGGAGGGA-3’; GPR55 forward and reverse primers 5’-GTTTCCATGGGAAAGTGGAA-3’, 5’-GGAAGGAGACCACGAAGACA-3’; QARS forward and reverse primers 5’-</w:t>
      </w:r>
      <w:r w:rsidRPr="007B388C">
        <w:rPr>
          <w:rFonts w:cs="Arial"/>
          <w:shd w:val="clear" w:color="auto" w:fill="FFFFFF"/>
        </w:rPr>
        <w:lastRenderedPageBreak/>
        <w:t>CAGGGGTCTGGCTTATGTGT-3’ 5’-CTCTGAAAACTTGCCCTTGC-3’.</w:t>
      </w:r>
      <w:r w:rsidR="00A04534" w:rsidRPr="007B388C">
        <w:rPr>
          <w:rFonts w:cs="Arial"/>
          <w:shd w:val="clear" w:color="auto" w:fill="FFFFFF"/>
        </w:rPr>
        <w:t xml:space="preserve"> </w:t>
      </w:r>
      <w:r w:rsidR="00D94843" w:rsidRPr="007B388C">
        <w:rPr>
          <w:rFonts w:cs="Arial"/>
          <w:shd w:val="clear" w:color="auto" w:fill="FFFFFF"/>
        </w:rPr>
        <w:t xml:space="preserve">RRM1 forward and reverse primers </w:t>
      </w:r>
      <w:r w:rsidR="00FB0EB6" w:rsidRPr="007B388C">
        <w:rPr>
          <w:rFonts w:cs="Arial"/>
          <w:shd w:val="clear" w:color="auto" w:fill="FFFFFF"/>
        </w:rPr>
        <w:t xml:space="preserve">5’-ACTAAGCACCCTGACTATGCTATCC-3’ </w:t>
      </w:r>
      <w:r w:rsidR="00F14FC9" w:rsidRPr="007B388C">
        <w:rPr>
          <w:rFonts w:cs="Arial"/>
          <w:shd w:val="clear" w:color="auto" w:fill="FFFFFF"/>
        </w:rPr>
        <w:t xml:space="preserve">5’-CTTCCTCACATCACTGAACACTTT-3’ </w:t>
      </w:r>
      <w:r w:rsidR="00A04534" w:rsidRPr="007B388C">
        <w:t>R</w:t>
      </w:r>
      <w:r w:rsidR="00041846" w:rsidRPr="007B388C">
        <w:t>PS</w:t>
      </w:r>
      <w:r w:rsidR="00A04534" w:rsidRPr="007B388C">
        <w:t xml:space="preserve">14 </w:t>
      </w:r>
      <w:r w:rsidR="00D94843" w:rsidRPr="007B388C">
        <w:rPr>
          <w:rFonts w:cs="Arial"/>
          <w:shd w:val="clear" w:color="auto" w:fill="FFFFFF"/>
        </w:rPr>
        <w:t>forward and reverse primers</w:t>
      </w:r>
      <w:r w:rsidR="00D94843" w:rsidRPr="007B388C">
        <w:t xml:space="preserve"> 5’-</w:t>
      </w:r>
      <w:r w:rsidR="00A04534" w:rsidRPr="007B388C">
        <w:t>GACCAAGACCCCTGGACCT</w:t>
      </w:r>
      <w:r w:rsidR="00D94843" w:rsidRPr="007B388C">
        <w:t>-3’</w:t>
      </w:r>
      <w:r w:rsidR="00A04534" w:rsidRPr="007B388C">
        <w:t xml:space="preserve"> </w:t>
      </w:r>
      <w:r w:rsidR="00D94843" w:rsidRPr="007B388C">
        <w:t>5’-</w:t>
      </w:r>
      <w:r w:rsidR="00A04534" w:rsidRPr="007B388C">
        <w:t>CCCCTTTTCTTCGAGTGCTA</w:t>
      </w:r>
      <w:r w:rsidR="00D94843" w:rsidRPr="007B388C">
        <w:t>-3’</w:t>
      </w:r>
    </w:p>
    <w:p w14:paraId="47FC9469" w14:textId="77777777" w:rsidR="00F14FC9" w:rsidRPr="007B388C" w:rsidRDefault="00F14FC9" w:rsidP="00157A61">
      <w:pPr>
        <w:spacing w:after="0" w:line="480" w:lineRule="auto"/>
        <w:rPr>
          <w:rFonts w:cs="Arial"/>
        </w:rPr>
      </w:pPr>
    </w:p>
    <w:p w14:paraId="16B3F10C" w14:textId="1FA9966D" w:rsidR="00A56E2D" w:rsidRPr="007B388C" w:rsidRDefault="00A56E2D" w:rsidP="00157A61">
      <w:pPr>
        <w:spacing w:after="0" w:line="480" w:lineRule="auto"/>
        <w:rPr>
          <w:rFonts w:cs="Arial"/>
          <w:shd w:val="clear" w:color="auto" w:fill="FFFFFF"/>
        </w:rPr>
      </w:pPr>
      <w:r w:rsidRPr="007B388C">
        <w:rPr>
          <w:rFonts w:cs="Arial"/>
        </w:rPr>
        <w:t>Immunoblotting</w:t>
      </w:r>
      <w:r w:rsidRPr="007B388C">
        <w:rPr>
          <w:rFonts w:cs="Arial"/>
          <w:shd w:val="clear" w:color="auto" w:fill="FFFFFF"/>
        </w:rPr>
        <w:t xml:space="preserve"> </w:t>
      </w:r>
    </w:p>
    <w:p w14:paraId="10332617" w14:textId="1369DE24" w:rsidR="00A56E2D" w:rsidRPr="007B388C" w:rsidRDefault="00A56E2D" w:rsidP="00157A61">
      <w:pPr>
        <w:spacing w:after="0" w:line="480" w:lineRule="auto"/>
        <w:rPr>
          <w:rFonts w:cs="Arial"/>
          <w:shd w:val="clear" w:color="auto" w:fill="FFFFFF"/>
        </w:rPr>
      </w:pPr>
      <w:r w:rsidRPr="007B388C">
        <w:rPr>
          <w:rFonts w:cs="Arial"/>
          <w:shd w:val="clear" w:color="auto" w:fill="FFFFFF"/>
        </w:rPr>
        <w:t>Cells were washed and lysed either in 2% SDS or in ice-cold lysis buffer [50 mM Tris, pH 7.5, 150mM NaCl, 1% Triton X-100, 2mM EDTA, 2mM EGTA, 1μl/ml Protease inhibitor cocktail (Sigma Aldrich), 1μl/ml Phosphatase inhibitor cocktail A (Sigma Aldrich) and 1μl/ml Phosphatase inhibitor cocktail B (Sigma Aldrich)]. Samples were separated by SDS-PAGE and transferred to nitrocellulose membranes. Membranes were then incubated in PBS supplemented with 0.05% (v/v) Tween 20 (PBS-T) containing 5% skim milk powder for 1 h at room temperature, followed by overnight incubation with primary antibodies at 4°C. After washing with PBS-T, membranes were incubated with secondary antibodies for 1 h at room temperature, washed with PBS-T and exposed to ECL reagent. Anti-p53 (1:1000, Cell Signaling Technology, product code 2527); anti-Tubulin (1:10000, Sigma-Aldrich, product code T9026); anti-pERK</w:t>
      </w:r>
      <w:r w:rsidRPr="007B388C">
        <w:rPr>
          <w:rFonts w:cs="Arial"/>
          <w:shd w:val="clear" w:color="auto" w:fill="FFFFFF"/>
          <w:vertAlign w:val="superscript"/>
        </w:rPr>
        <w:t xml:space="preserve">T202/Y204 </w:t>
      </w:r>
      <w:r w:rsidRPr="007B388C">
        <w:rPr>
          <w:rFonts w:cs="Arial"/>
          <w:shd w:val="clear" w:color="auto" w:fill="FFFFFF"/>
        </w:rPr>
        <w:t>(1:2000, Cell Signaling Technology, product code 4370); anti-pS6</w:t>
      </w:r>
      <w:r w:rsidRPr="007B388C">
        <w:rPr>
          <w:rFonts w:cs="Arial"/>
          <w:shd w:val="clear" w:color="auto" w:fill="FFFFFF"/>
          <w:vertAlign w:val="superscript"/>
        </w:rPr>
        <w:t>S235/236</w:t>
      </w:r>
      <w:r w:rsidRPr="007B388C">
        <w:rPr>
          <w:rFonts w:cs="Arial"/>
          <w:shd w:val="clear" w:color="auto" w:fill="FFFFFF"/>
        </w:rPr>
        <w:t xml:space="preserve"> (1:1000, Cell Signaling Technology, product code 4858); anti-pMEK</w:t>
      </w:r>
      <w:r w:rsidRPr="007B388C">
        <w:rPr>
          <w:rFonts w:cs="Arial"/>
          <w:shd w:val="clear" w:color="auto" w:fill="FFFFFF"/>
          <w:vertAlign w:val="superscript"/>
        </w:rPr>
        <w:t>S217/221</w:t>
      </w:r>
      <w:r w:rsidRPr="007B388C">
        <w:rPr>
          <w:rFonts w:cs="Arial"/>
          <w:shd w:val="clear" w:color="auto" w:fill="FFFFFF"/>
        </w:rPr>
        <w:t xml:space="preserve"> (1:1000, Cell Signaling Technology, product code 9154); anti-p90RSK</w:t>
      </w:r>
      <w:r w:rsidRPr="007B388C">
        <w:rPr>
          <w:rFonts w:cs="Arial"/>
          <w:shd w:val="clear" w:color="auto" w:fill="FFFFFF"/>
          <w:vertAlign w:val="superscript"/>
        </w:rPr>
        <w:t>S380</w:t>
      </w:r>
      <w:r w:rsidRPr="007B388C">
        <w:rPr>
          <w:rFonts w:cs="Arial"/>
          <w:shd w:val="clear" w:color="auto" w:fill="FFFFFF"/>
        </w:rPr>
        <w:t xml:space="preserve"> (1:1000, Cell Signaling Technology, product code 11989);  anti-RRM1 (1:1000, Santa Cruz Biotechnology, product code sc-11733); anti-RRM2 (1:1000, Santa Cruz Biotechnology, product code sc-10846); anti-Vinculin (1:1000, Cell Signaling Technology, product code 4650); anti cyclin D1 (1:1000, Cell Signaling Technology, product code 2978); anti ERK2 (1:1000, Santa Cruz Biotechnology, product code sc-154); anti RSK1/RSK2/RSK3 (1:1000, Cell Signaling Technology, product code 9355); anti MEK1/2 (1:1000, Cell Signaling Technology, product code 4694); anti S6 (1:1000, Cell Signaling Technology, product code 2317); anti actinin (1:1000, Cell Signaling Technology, product code 3134). For GPR55 staining, membranes were incubated in TBS containing 0.05% Tween (TBS-T) supplemented with 3% BSA for 1 h before overnight </w:t>
      </w:r>
      <w:r w:rsidRPr="007B388C">
        <w:rPr>
          <w:rFonts w:cs="Arial"/>
          <w:shd w:val="clear" w:color="auto" w:fill="FFFFFF"/>
        </w:rPr>
        <w:lastRenderedPageBreak/>
        <w:t>incubation with anti-GPR55 (1:80,000, Cayman Chemical, product code 10224). Densitometry analysis was performed using Image J. In all graphs, speci</w:t>
      </w:r>
      <w:r w:rsidR="002C628B" w:rsidRPr="007B388C">
        <w:rPr>
          <w:rFonts w:cs="Arial"/>
          <w:shd w:val="clear" w:color="auto" w:fill="FFFFFF"/>
        </w:rPr>
        <w:t>fic band densities were normalis</w:t>
      </w:r>
      <w:r w:rsidRPr="007B388C">
        <w:rPr>
          <w:rFonts w:cs="Arial"/>
          <w:shd w:val="clear" w:color="auto" w:fill="FFFFFF"/>
        </w:rPr>
        <w:t xml:space="preserve">ed to the corresponding loading control. </w:t>
      </w:r>
    </w:p>
    <w:p w14:paraId="6CCAE9C7" w14:textId="77777777" w:rsidR="005017DD" w:rsidRPr="007B388C" w:rsidRDefault="005017DD" w:rsidP="00157A61">
      <w:pPr>
        <w:spacing w:after="0" w:line="480" w:lineRule="auto"/>
        <w:rPr>
          <w:rFonts w:cs="Arial"/>
        </w:rPr>
      </w:pPr>
    </w:p>
    <w:p w14:paraId="37DCBC4A" w14:textId="7B5D529F" w:rsidR="000F65AB" w:rsidRPr="007B388C" w:rsidRDefault="000F65AB" w:rsidP="00157A61">
      <w:pPr>
        <w:spacing w:after="0" w:line="480" w:lineRule="auto"/>
        <w:rPr>
          <w:rFonts w:cs="Arial"/>
          <w:shd w:val="clear" w:color="auto" w:fill="FFFFFF"/>
        </w:rPr>
      </w:pPr>
      <w:r w:rsidRPr="007B388C">
        <w:rPr>
          <w:rFonts w:cs="Arial"/>
          <w:shd w:val="clear" w:color="auto" w:fill="FFFFFF"/>
        </w:rPr>
        <w:t xml:space="preserve">microRNA (miR) analysis </w:t>
      </w:r>
    </w:p>
    <w:p w14:paraId="2A302B57" w14:textId="1FB3FEA1" w:rsidR="000F65AB" w:rsidRPr="007B388C" w:rsidRDefault="000F65AB" w:rsidP="00157A61">
      <w:pPr>
        <w:spacing w:after="0" w:line="480" w:lineRule="auto"/>
        <w:rPr>
          <w:rFonts w:cs="Arial"/>
          <w:shd w:val="clear" w:color="auto" w:fill="FFFFFF"/>
        </w:rPr>
      </w:pPr>
      <w:r w:rsidRPr="007B388C">
        <w:rPr>
          <w:rFonts w:cs="Arial"/>
          <w:shd w:val="clear" w:color="auto" w:fill="FFFFFF"/>
        </w:rPr>
        <w:t xml:space="preserve">To assess miR levels, cells were washed twice with PBS and lysed using Qiazol Lysis Reagent (Qiagen). Total RNA was extracted using miRNAs Mini </w:t>
      </w:r>
      <w:r w:rsidR="002C628B" w:rsidRPr="007B388C">
        <w:rPr>
          <w:rFonts w:cs="Arial"/>
          <w:shd w:val="clear" w:color="auto" w:fill="FFFFFF"/>
        </w:rPr>
        <w:t>Kit (Qiagen), and cDNA synthesis</w:t>
      </w:r>
      <w:r w:rsidRPr="007B388C">
        <w:rPr>
          <w:rFonts w:cs="Arial"/>
          <w:shd w:val="clear" w:color="auto" w:fill="FFFFFF"/>
        </w:rPr>
        <w:t xml:space="preserve">ed using TaqMan® MicroRNA Reverse Transcription kit (Life Technologies) according to the manufacturer’s instructions. PCR was performed according to the manufacturer’s instructions (TaqMan® MicroRNA Assays Protocol, Life Technologies). Analysis of miR expression was performed using the cycle threshold (Ct) and RNU48 as endogenous control. Levels of miRs were obtained using the ∆∆Ct method and expressed as 2(-∆∆Ct) values. </w:t>
      </w:r>
    </w:p>
    <w:p w14:paraId="3B46FA7B" w14:textId="77777777" w:rsidR="00157A61" w:rsidRPr="007B388C" w:rsidRDefault="00157A61" w:rsidP="00157A61">
      <w:pPr>
        <w:spacing w:after="0" w:line="480" w:lineRule="auto"/>
        <w:rPr>
          <w:rFonts w:cs="Arial"/>
          <w:shd w:val="clear" w:color="auto" w:fill="FFFFFF"/>
        </w:rPr>
      </w:pPr>
    </w:p>
    <w:p w14:paraId="08F4F44F" w14:textId="0ACED17A" w:rsidR="00157A61" w:rsidRPr="007B388C" w:rsidRDefault="00157A61" w:rsidP="00157A61">
      <w:pPr>
        <w:spacing w:after="0" w:line="480" w:lineRule="auto"/>
        <w:rPr>
          <w:rFonts w:cs="Arial"/>
        </w:rPr>
      </w:pPr>
      <w:r w:rsidRPr="007B388C">
        <w:rPr>
          <w:rFonts w:cs="Arial"/>
          <w:shd w:val="clear" w:color="auto" w:fill="FFFFFF"/>
        </w:rPr>
        <w:t xml:space="preserve">Luciferase </w:t>
      </w:r>
      <w:r w:rsidRPr="007B388C">
        <w:rPr>
          <w:rFonts w:cs="Arial"/>
        </w:rPr>
        <w:t>assay</w:t>
      </w:r>
    </w:p>
    <w:p w14:paraId="384D3CA3" w14:textId="77777777" w:rsidR="00157A61" w:rsidRPr="007B388C" w:rsidRDefault="00157A61" w:rsidP="00157A61">
      <w:pPr>
        <w:spacing w:after="0" w:line="480" w:lineRule="auto"/>
        <w:rPr>
          <w:rFonts w:cs="Arial"/>
          <w:shd w:val="clear" w:color="auto" w:fill="FFFFFF"/>
        </w:rPr>
      </w:pPr>
      <w:r w:rsidRPr="007B388C">
        <w:rPr>
          <w:rFonts w:cs="Arial"/>
          <w:shd w:val="clear" w:color="auto" w:fill="FFFFFF"/>
        </w:rPr>
        <w:t xml:space="preserve">Plasmids encoding the luciferase gene either under the control of the 3’-UTR of the GPR55 (defined as “GPR55” in Figure 3c) or without a regulatory region (defined as “Control” in Figure </w:t>
      </w:r>
      <w:r w:rsidRPr="007B388C">
        <w:rPr>
          <w:rFonts w:cs="Arial"/>
        </w:rPr>
        <w:t>3c</w:t>
      </w:r>
      <w:r w:rsidRPr="007B388C">
        <w:rPr>
          <w:rFonts w:cs="Arial"/>
          <w:shd w:val="clear" w:color="auto" w:fill="FFFFFF"/>
        </w:rPr>
        <w:t>) were used. Both plasmids were purchased from ABM®. ASPC1 cells were plated in a 24 well plate and transiently co-transfected with each 3’-UTR plasmid in combination with an empty vector (pcDNA) or a plasmid encoding either wild type (wt) or p53 mutants (p53 143</w:t>
      </w:r>
      <w:r w:rsidRPr="007B388C">
        <w:rPr>
          <w:rFonts w:cs="Arial"/>
          <w:shd w:val="clear" w:color="auto" w:fill="FFFFFF"/>
          <w:vertAlign w:val="superscript"/>
        </w:rPr>
        <w:t>Ala</w:t>
      </w:r>
      <w:r w:rsidRPr="007B388C">
        <w:rPr>
          <w:rFonts w:cs="Arial"/>
          <w:shd w:val="clear" w:color="auto" w:fill="FFFFFF"/>
        </w:rPr>
        <w:t>, p53 175</w:t>
      </w:r>
      <w:r w:rsidRPr="007B388C">
        <w:rPr>
          <w:rFonts w:cs="Arial"/>
          <w:shd w:val="clear" w:color="auto" w:fill="FFFFFF"/>
          <w:vertAlign w:val="superscript"/>
        </w:rPr>
        <w:t>His</w:t>
      </w:r>
      <w:r w:rsidRPr="007B388C">
        <w:rPr>
          <w:rFonts w:cs="Arial"/>
          <w:shd w:val="clear" w:color="auto" w:fill="FFFFFF"/>
        </w:rPr>
        <w:t xml:space="preserve">). This led to two groups of transfected cells: </w:t>
      </w:r>
      <w:r w:rsidRPr="007B388C">
        <w:rPr>
          <w:rFonts w:cs="Arial"/>
          <w:i/>
          <w:shd w:val="clear" w:color="auto" w:fill="FFFFFF"/>
        </w:rPr>
        <w:t>a)</w:t>
      </w:r>
      <w:r w:rsidRPr="007B388C">
        <w:rPr>
          <w:rFonts w:cs="Arial"/>
          <w:shd w:val="clear" w:color="auto" w:fill="FFFFFF"/>
        </w:rPr>
        <w:t xml:space="preserve"> cells co-transfected with “Control” and either pcDNA or p53 wt or p53 mutants; </w:t>
      </w:r>
      <w:r w:rsidRPr="007B388C">
        <w:rPr>
          <w:rFonts w:cs="Arial"/>
          <w:i/>
          <w:shd w:val="clear" w:color="auto" w:fill="FFFFFF"/>
        </w:rPr>
        <w:t>b)</w:t>
      </w:r>
      <w:r w:rsidRPr="007B388C">
        <w:rPr>
          <w:rFonts w:cs="Arial"/>
          <w:shd w:val="clear" w:color="auto" w:fill="FFFFFF"/>
        </w:rPr>
        <w:t xml:space="preserve"> cells co-transfected with “GPR55” and either pcDNA or p53 wt or p53 mutants. Assays were performed by using the Luciferase assay system (Promega, cat number E1500) according to the manufacturer’s instructions. For each group of transfections (</w:t>
      </w:r>
      <w:r w:rsidRPr="007B388C">
        <w:rPr>
          <w:rFonts w:cs="Arial"/>
          <w:i/>
          <w:shd w:val="clear" w:color="auto" w:fill="FFFFFF"/>
        </w:rPr>
        <w:t>a</w:t>
      </w:r>
      <w:r w:rsidRPr="007B388C">
        <w:rPr>
          <w:rFonts w:cs="Arial"/>
          <w:shd w:val="clear" w:color="auto" w:fill="FFFFFF"/>
        </w:rPr>
        <w:t xml:space="preserve"> &amp; </w:t>
      </w:r>
      <w:r w:rsidRPr="007B388C">
        <w:rPr>
          <w:rFonts w:cs="Arial"/>
          <w:i/>
          <w:shd w:val="clear" w:color="auto" w:fill="FFFFFF"/>
        </w:rPr>
        <w:t>b</w:t>
      </w:r>
      <w:r w:rsidRPr="007B388C">
        <w:rPr>
          <w:rFonts w:cs="Arial"/>
          <w:shd w:val="clear" w:color="auto" w:fill="FFFFFF"/>
        </w:rPr>
        <w:t xml:space="preserve">), results were expressed as fold change of normalised luciferase activity in cells co-transfected with pcDNA. To obtain final results, values for group </w:t>
      </w:r>
      <w:r w:rsidRPr="007B388C">
        <w:rPr>
          <w:rFonts w:cs="Arial"/>
          <w:i/>
          <w:shd w:val="clear" w:color="auto" w:fill="FFFFFF"/>
        </w:rPr>
        <w:t>b</w:t>
      </w:r>
      <w:r w:rsidRPr="007B388C">
        <w:rPr>
          <w:rFonts w:cs="Arial"/>
          <w:shd w:val="clear" w:color="auto" w:fill="FFFFFF"/>
        </w:rPr>
        <w:t xml:space="preserve"> were expressed as fold change of corresponding values in group </w:t>
      </w:r>
      <w:r w:rsidRPr="007B388C">
        <w:rPr>
          <w:rFonts w:cs="Arial"/>
          <w:i/>
          <w:shd w:val="clear" w:color="auto" w:fill="FFFFFF"/>
        </w:rPr>
        <w:t>a</w:t>
      </w:r>
      <w:r w:rsidRPr="007B388C">
        <w:rPr>
          <w:rFonts w:cs="Arial"/>
          <w:shd w:val="clear" w:color="auto" w:fill="FFFFFF"/>
        </w:rPr>
        <w:t>. Plasmids encoding p53 carrying gain-of-function mutations at positions 143</w:t>
      </w:r>
      <w:r w:rsidRPr="007B388C">
        <w:rPr>
          <w:rFonts w:cs="Arial"/>
          <w:shd w:val="clear" w:color="auto" w:fill="FFFFFF"/>
          <w:vertAlign w:val="superscript"/>
        </w:rPr>
        <w:t>Ala</w:t>
      </w:r>
      <w:r w:rsidRPr="007B388C">
        <w:rPr>
          <w:rFonts w:cs="Arial"/>
          <w:shd w:val="clear" w:color="auto" w:fill="FFFFFF"/>
        </w:rPr>
        <w:t xml:space="preserve"> or 175</w:t>
      </w:r>
      <w:r w:rsidRPr="007B388C">
        <w:rPr>
          <w:rFonts w:cs="Arial"/>
          <w:shd w:val="clear" w:color="auto" w:fill="FFFFFF"/>
          <w:vertAlign w:val="superscript"/>
        </w:rPr>
        <w:t>His</w:t>
      </w:r>
      <w:r w:rsidRPr="007B388C">
        <w:rPr>
          <w:rFonts w:cs="Arial"/>
          <w:shd w:val="clear" w:color="auto" w:fill="FFFFFF"/>
        </w:rPr>
        <w:t xml:space="preserve"> were kindly provided by Dr Massimo Broggini (IRCCS, Istituto di Ricerche Farmacologiche Mario Negri, Milan, Italy).</w:t>
      </w:r>
    </w:p>
    <w:p w14:paraId="4D22D9E9" w14:textId="77777777" w:rsidR="008B1894" w:rsidRPr="007B388C" w:rsidRDefault="008B1894" w:rsidP="001C0446">
      <w:pPr>
        <w:shd w:val="clear" w:color="auto" w:fill="FFFFFF"/>
        <w:spacing w:after="0" w:line="480" w:lineRule="auto"/>
        <w:outlineLvl w:val="3"/>
        <w:rPr>
          <w:rFonts w:cs="Arial"/>
          <w:bCs/>
        </w:rPr>
      </w:pPr>
    </w:p>
    <w:p w14:paraId="403D8EEA" w14:textId="7996C4CF" w:rsidR="001C0446" w:rsidRPr="007B388C" w:rsidRDefault="001C0446" w:rsidP="001C0446">
      <w:pPr>
        <w:shd w:val="clear" w:color="auto" w:fill="FFFFFF"/>
        <w:spacing w:after="0" w:line="480" w:lineRule="auto"/>
        <w:outlineLvl w:val="3"/>
        <w:rPr>
          <w:rFonts w:cs="Arial"/>
          <w:bCs/>
        </w:rPr>
      </w:pPr>
      <w:r w:rsidRPr="007B388C">
        <w:rPr>
          <w:rFonts w:cs="Arial"/>
          <w:bCs/>
        </w:rPr>
        <w:t>Human phospho</w:t>
      </w:r>
      <w:r w:rsidR="00E242F1" w:rsidRPr="007B388C">
        <w:rPr>
          <w:rFonts w:cs="Arial"/>
          <w:bCs/>
        </w:rPr>
        <w:t>-</w:t>
      </w:r>
      <w:r w:rsidRPr="007B388C">
        <w:rPr>
          <w:rFonts w:cs="Arial"/>
          <w:bCs/>
        </w:rPr>
        <w:t xml:space="preserve">kinase array </w:t>
      </w:r>
    </w:p>
    <w:p w14:paraId="6AB88ACE" w14:textId="7453573B" w:rsidR="001C0446" w:rsidRPr="007B388C" w:rsidRDefault="001C0446" w:rsidP="001C0446">
      <w:pPr>
        <w:shd w:val="clear" w:color="auto" w:fill="FFFFFF"/>
        <w:spacing w:after="0" w:line="480" w:lineRule="auto"/>
        <w:outlineLvl w:val="3"/>
        <w:rPr>
          <w:rFonts w:cs="Arial"/>
          <w:bCs/>
        </w:rPr>
      </w:pPr>
      <w:r w:rsidRPr="007B388C">
        <w:rPr>
          <w:rFonts w:cs="Arial"/>
        </w:rPr>
        <w:t xml:space="preserve">HPAFII cells were treated with 10µM CBD or vehicle alone in </w:t>
      </w:r>
      <w:r w:rsidR="00041846" w:rsidRPr="007B388C">
        <w:rPr>
          <w:rFonts w:cs="Arial"/>
        </w:rPr>
        <w:t>DMEM containing 10% FBS</w:t>
      </w:r>
      <w:r w:rsidRPr="007B388C">
        <w:rPr>
          <w:rFonts w:cs="Arial"/>
        </w:rPr>
        <w:t xml:space="preserve"> for 24h before being lysed. Analysis of the phosphorylation status of several kinases was performed using </w:t>
      </w:r>
      <w:r w:rsidRPr="007B388C">
        <w:rPr>
          <w:rFonts w:cs="Arial"/>
          <w:shd w:val="clear" w:color="auto" w:fill="FFFFFF"/>
        </w:rPr>
        <w:t>Proteome Profiler Human Phospho-Kinase Array Kit (</w:t>
      </w:r>
      <w:r w:rsidRPr="007B388C">
        <w:rPr>
          <w:rFonts w:cs="Arial"/>
        </w:rPr>
        <w:t xml:space="preserve">Cat. No. ARY003B, R&amp;D Systems, Abingdon, UK) according to the manufacturer’s instructions. Densitometry analysis was performed using Image J software according to the manufacturer’s instructions. </w:t>
      </w:r>
    </w:p>
    <w:p w14:paraId="4C01AD71" w14:textId="7E25E11B" w:rsidR="00A56E2D" w:rsidRPr="007B388C" w:rsidRDefault="00A56E2D" w:rsidP="00157A61">
      <w:pPr>
        <w:spacing w:after="0" w:line="480" w:lineRule="auto"/>
      </w:pPr>
    </w:p>
    <w:p w14:paraId="318B5704" w14:textId="77777777" w:rsidR="00A56E2D" w:rsidRPr="007B388C" w:rsidRDefault="00A56E2D" w:rsidP="00157A61">
      <w:pPr>
        <w:pStyle w:val="Heading1"/>
        <w:spacing w:before="0" w:line="480" w:lineRule="auto"/>
        <w:rPr>
          <w:rFonts w:cs="Arial"/>
          <w:color w:val="auto"/>
          <w:sz w:val="22"/>
          <w:szCs w:val="22"/>
        </w:rPr>
      </w:pPr>
    </w:p>
    <w:p w14:paraId="0E4EF99D" w14:textId="77777777" w:rsidR="00157A61" w:rsidRPr="007B388C" w:rsidRDefault="00157A61" w:rsidP="00157A61">
      <w:pPr>
        <w:spacing w:after="0" w:line="480" w:lineRule="auto"/>
        <w:jc w:val="left"/>
        <w:rPr>
          <w:rFonts w:eastAsiaTheme="majorEastAsia" w:cs="Arial"/>
          <w:b/>
        </w:rPr>
      </w:pPr>
      <w:r w:rsidRPr="007B388C">
        <w:rPr>
          <w:rFonts w:cs="Arial"/>
        </w:rPr>
        <w:br w:type="page"/>
      </w:r>
    </w:p>
    <w:p w14:paraId="02AA1326" w14:textId="2232B4CE" w:rsidR="00E97DCD" w:rsidRPr="007B388C" w:rsidRDefault="00A56E2D" w:rsidP="00157A61">
      <w:pPr>
        <w:pStyle w:val="Heading1"/>
        <w:spacing w:before="0" w:line="480" w:lineRule="auto"/>
        <w:rPr>
          <w:rFonts w:cs="Arial"/>
          <w:color w:val="auto"/>
          <w:sz w:val="22"/>
          <w:szCs w:val="22"/>
        </w:rPr>
      </w:pPr>
      <w:r w:rsidRPr="007B388C">
        <w:rPr>
          <w:rFonts w:cs="Arial"/>
          <w:color w:val="auto"/>
          <w:sz w:val="22"/>
          <w:szCs w:val="22"/>
        </w:rPr>
        <w:lastRenderedPageBreak/>
        <w:t xml:space="preserve">Supplementary </w:t>
      </w:r>
      <w:r w:rsidR="00E97DCD" w:rsidRPr="007B388C">
        <w:rPr>
          <w:rFonts w:cs="Arial"/>
          <w:color w:val="auto"/>
          <w:sz w:val="22"/>
          <w:szCs w:val="22"/>
        </w:rPr>
        <w:t>Figure legends</w:t>
      </w:r>
    </w:p>
    <w:p w14:paraId="51AD37AD" w14:textId="77777777" w:rsidR="00BD5955" w:rsidRPr="007B388C" w:rsidRDefault="00BD5955" w:rsidP="00157A61">
      <w:pPr>
        <w:spacing w:after="0" w:line="480" w:lineRule="auto"/>
        <w:jc w:val="center"/>
        <w:rPr>
          <w:b/>
        </w:rPr>
      </w:pPr>
    </w:p>
    <w:p w14:paraId="7D3DBB64" w14:textId="4D276380" w:rsidR="007419DE" w:rsidRPr="007B388C" w:rsidRDefault="007419DE" w:rsidP="00157A61">
      <w:pPr>
        <w:spacing w:after="0" w:line="480" w:lineRule="auto"/>
      </w:pPr>
      <w:r w:rsidRPr="007B388C">
        <w:rPr>
          <w:b/>
        </w:rPr>
        <w:t>Supplementary Fig</w:t>
      </w:r>
      <w:r w:rsidR="00BD5955" w:rsidRPr="007B388C">
        <w:rPr>
          <w:b/>
        </w:rPr>
        <w:t xml:space="preserve">ure </w:t>
      </w:r>
      <w:r w:rsidR="00A927A1" w:rsidRPr="007B388C">
        <w:rPr>
          <w:b/>
        </w:rPr>
        <w:t>1</w:t>
      </w:r>
      <w:r w:rsidR="00157A61" w:rsidRPr="007B388C">
        <w:rPr>
          <w:b/>
        </w:rPr>
        <w:t>.</w:t>
      </w:r>
      <w:r w:rsidRPr="007B388C">
        <w:rPr>
          <w:b/>
        </w:rPr>
        <w:t xml:space="preserve"> </w:t>
      </w:r>
      <w:r w:rsidRPr="007B388C">
        <w:t>GPR55 expression in PDAC.</w:t>
      </w:r>
      <w:r w:rsidRPr="007B388C">
        <w:rPr>
          <w:b/>
        </w:rPr>
        <w:t xml:space="preserve"> </w:t>
      </w:r>
      <w:r w:rsidRPr="007B388C">
        <w:t>(</w:t>
      </w:r>
      <w:r w:rsidR="00A927A1" w:rsidRPr="007B388C">
        <w:rPr>
          <w:b/>
        </w:rPr>
        <w:t>a</w:t>
      </w:r>
      <w:r w:rsidRPr="007B388C">
        <w:t xml:space="preserve">) Representative Western blot of GPR55 protein expression in a panel of PDAC cell lines. Tubulin was used as loading control. </w:t>
      </w:r>
      <w:r w:rsidR="00605671" w:rsidRPr="007B388C">
        <w:t xml:space="preserve">All cell lines in figure </w:t>
      </w:r>
      <w:r w:rsidR="00003E00" w:rsidRPr="007B388C">
        <w:t xml:space="preserve">harbour </w:t>
      </w:r>
      <w:r w:rsidR="00605671" w:rsidRPr="007B388C">
        <w:rPr>
          <w:i/>
        </w:rPr>
        <w:t>TP53</w:t>
      </w:r>
      <w:r w:rsidR="00605671" w:rsidRPr="007B388C">
        <w:t xml:space="preserve"> mutations. </w:t>
      </w:r>
      <w:r w:rsidRPr="007B388C">
        <w:t>(</w:t>
      </w:r>
      <w:r w:rsidR="00A927A1" w:rsidRPr="007B388C">
        <w:rPr>
          <w:b/>
        </w:rPr>
        <w:t>b</w:t>
      </w:r>
      <w:r w:rsidRPr="007B388C">
        <w:t xml:space="preserve">) </w:t>
      </w:r>
      <w:r w:rsidR="0055523F" w:rsidRPr="007B388C">
        <w:t xml:space="preserve">Representative </w:t>
      </w:r>
      <w:r w:rsidR="00413E72" w:rsidRPr="007B388C">
        <w:t xml:space="preserve">IHC </w:t>
      </w:r>
      <w:r w:rsidR="0055523F" w:rsidRPr="007B388C">
        <w:t xml:space="preserve">images of </w:t>
      </w:r>
      <w:r w:rsidRPr="007B388C">
        <w:t>GPR55 protein expression in pancrea</w:t>
      </w:r>
      <w:r w:rsidR="0055523F" w:rsidRPr="007B388C">
        <w:t>s</w:t>
      </w:r>
      <w:r w:rsidRPr="007B388C">
        <w:t xml:space="preserve"> </w:t>
      </w:r>
      <w:r w:rsidR="0055523F" w:rsidRPr="007B388C">
        <w:t>from Pdx1-Cre</w:t>
      </w:r>
      <w:r w:rsidR="0055523F" w:rsidRPr="007B388C">
        <w:rPr>
          <w:vertAlign w:val="superscript"/>
        </w:rPr>
        <w:t>+/+</w:t>
      </w:r>
      <w:r w:rsidR="00E97DCD" w:rsidRPr="007B388C">
        <w:t xml:space="preserve"> mice as well as</w:t>
      </w:r>
      <w:r w:rsidR="00CB255A" w:rsidRPr="007B388C">
        <w:t xml:space="preserve"> </w:t>
      </w:r>
      <w:r w:rsidR="00855406" w:rsidRPr="007B388C">
        <w:t xml:space="preserve">images of </w:t>
      </w:r>
      <w:r w:rsidR="00DD471E" w:rsidRPr="007B388C">
        <w:t>non-</w:t>
      </w:r>
      <w:r w:rsidR="00CB255A" w:rsidRPr="007B388C">
        <w:t>neoplastic pancreas</w:t>
      </w:r>
      <w:r w:rsidR="00E97DCD" w:rsidRPr="007B388C">
        <w:t xml:space="preserve"> and </w:t>
      </w:r>
      <w:r w:rsidRPr="007B388C">
        <w:t>PDAC</w:t>
      </w:r>
      <w:r w:rsidR="00CB255A" w:rsidRPr="007B388C">
        <w:t xml:space="preserve"> </w:t>
      </w:r>
      <w:r w:rsidRPr="007B388C">
        <w:t>tissues</w:t>
      </w:r>
      <w:r w:rsidR="0055523F" w:rsidRPr="007B388C">
        <w:t xml:space="preserve"> from KPC mice</w:t>
      </w:r>
      <w:r w:rsidRPr="007B388C">
        <w:t xml:space="preserve">. </w:t>
      </w:r>
      <w:r w:rsidR="0055523F" w:rsidRPr="007B388C">
        <w:t>Images of</w:t>
      </w:r>
      <w:r w:rsidR="002D0106" w:rsidRPr="007B388C">
        <w:t xml:space="preserve"> </w:t>
      </w:r>
      <w:r w:rsidR="00DD471E" w:rsidRPr="007B388C">
        <w:t>non-</w:t>
      </w:r>
      <w:r w:rsidR="002D0106" w:rsidRPr="007B388C">
        <w:t>neoplastic</w:t>
      </w:r>
      <w:r w:rsidR="00855406" w:rsidRPr="007B388C">
        <w:t xml:space="preserve"> pancreas</w:t>
      </w:r>
      <w:r w:rsidR="002D0106" w:rsidRPr="007B388C">
        <w:t xml:space="preserve"> and PDAC</w:t>
      </w:r>
      <w:r w:rsidR="0055523F" w:rsidRPr="007B388C">
        <w:t xml:space="preserve"> tissues from KPCG mice incubated with</w:t>
      </w:r>
      <w:r w:rsidR="002D0106" w:rsidRPr="007B388C">
        <w:t xml:space="preserve"> the</w:t>
      </w:r>
      <w:r w:rsidR="0055523F" w:rsidRPr="007B388C">
        <w:t xml:space="preserve"> anti GPR55 antibody are also shown. </w:t>
      </w:r>
      <w:r w:rsidR="00413E72" w:rsidRPr="007B388C">
        <w:t>Blue dotted lines indicate Islet of Langerhans, red dotted line</w:t>
      </w:r>
      <w:r w:rsidR="007F5D63" w:rsidRPr="007B388C">
        <w:t>s indicate</w:t>
      </w:r>
      <w:r w:rsidR="00413E72" w:rsidRPr="007B388C">
        <w:t xml:space="preserve"> normal pancreatic duct. </w:t>
      </w:r>
      <w:r w:rsidRPr="007B388C">
        <w:t>Scale bar: 50µm.</w:t>
      </w:r>
    </w:p>
    <w:p w14:paraId="4C30ECAA" w14:textId="77777777" w:rsidR="00AC4EB3" w:rsidRPr="007B388C" w:rsidRDefault="00AC4EB3" w:rsidP="00157A61">
      <w:pPr>
        <w:spacing w:after="0" w:line="480" w:lineRule="auto"/>
        <w:rPr>
          <w:b/>
        </w:rPr>
      </w:pPr>
    </w:p>
    <w:p w14:paraId="444AF07A" w14:textId="527CFC5A" w:rsidR="007419DE" w:rsidRPr="007B388C" w:rsidRDefault="007419DE" w:rsidP="00157A61">
      <w:pPr>
        <w:spacing w:after="0" w:line="480" w:lineRule="auto"/>
      </w:pPr>
      <w:r w:rsidRPr="007B388C">
        <w:rPr>
          <w:b/>
        </w:rPr>
        <w:t>Supplementary Fig</w:t>
      </w:r>
      <w:r w:rsidR="00BD5955" w:rsidRPr="007B388C">
        <w:rPr>
          <w:b/>
        </w:rPr>
        <w:t xml:space="preserve">ure </w:t>
      </w:r>
      <w:r w:rsidR="00A927A1" w:rsidRPr="007B388C">
        <w:rPr>
          <w:b/>
        </w:rPr>
        <w:t>2</w:t>
      </w:r>
      <w:r w:rsidR="00157A61" w:rsidRPr="007B388C">
        <w:rPr>
          <w:b/>
        </w:rPr>
        <w:t>.</w:t>
      </w:r>
      <w:r w:rsidRPr="007B388C">
        <w:rPr>
          <w:b/>
        </w:rPr>
        <w:t xml:space="preserve"> </w:t>
      </w:r>
      <w:r w:rsidRPr="007B388C">
        <w:t>Effect of GPR55 downregulation on PDAC cell growth. ASPC1 (</w:t>
      </w:r>
      <w:r w:rsidR="00A927A1" w:rsidRPr="007B388C">
        <w:rPr>
          <w:b/>
        </w:rPr>
        <w:t>a,b</w:t>
      </w:r>
      <w:r w:rsidRPr="007B388C">
        <w:t>), HPAFII (</w:t>
      </w:r>
      <w:r w:rsidR="00A927A1" w:rsidRPr="007B388C">
        <w:rPr>
          <w:b/>
        </w:rPr>
        <w:t>c,d</w:t>
      </w:r>
      <w:r w:rsidRPr="007B388C">
        <w:t>), and PANC1 (</w:t>
      </w:r>
      <w:r w:rsidR="00A927A1" w:rsidRPr="007B388C">
        <w:rPr>
          <w:b/>
        </w:rPr>
        <w:t>e,f</w:t>
      </w:r>
      <w:r w:rsidRPr="007B388C">
        <w:t xml:space="preserve">) were transfected with a non-targeting siRNA (siControl), siRNAs specifically targeting GPR55 or transfection reagent alone (“untreated”). In </w:t>
      </w:r>
      <w:r w:rsidR="00A927A1" w:rsidRPr="007B388C">
        <w:rPr>
          <w:b/>
        </w:rPr>
        <w:t>a</w:t>
      </w:r>
      <w:r w:rsidRPr="007B388C">
        <w:t xml:space="preserve">, </w:t>
      </w:r>
      <w:r w:rsidR="00A927A1" w:rsidRPr="007B388C">
        <w:rPr>
          <w:b/>
        </w:rPr>
        <w:t>c</w:t>
      </w:r>
      <w:r w:rsidRPr="007B388C">
        <w:t xml:space="preserve"> and </w:t>
      </w:r>
      <w:r w:rsidR="00A927A1" w:rsidRPr="007B388C">
        <w:rPr>
          <w:b/>
        </w:rPr>
        <w:t>e</w:t>
      </w:r>
      <w:r w:rsidRPr="007B388C">
        <w:t xml:space="preserve"> the number of cells was assessed at 72</w:t>
      </w:r>
      <w:r w:rsidR="00AC4EB3" w:rsidRPr="007B388C">
        <w:t xml:space="preserve"> </w:t>
      </w:r>
      <w:r w:rsidRPr="007B388C">
        <w:t>h post transfection by manual counting as described in the Materials and Methods section. Data are expressed as fold change o</w:t>
      </w:r>
      <w:r w:rsidR="002302CA" w:rsidRPr="007B388C">
        <w:t>f</w:t>
      </w:r>
      <w:r w:rsidRPr="007B388C">
        <w:t xml:space="preserve"> untreated cells and are means ± </w:t>
      </w:r>
      <w:r w:rsidR="00041846" w:rsidRPr="007B388C">
        <w:t>s.e.m.</w:t>
      </w:r>
      <w:r w:rsidRPr="007B388C">
        <w:t xml:space="preserve"> of </w:t>
      </w:r>
      <w:r w:rsidRPr="007B388C">
        <w:rPr>
          <w:i/>
        </w:rPr>
        <w:t>n</w:t>
      </w:r>
      <w:r w:rsidRPr="007B388C">
        <w:t>=3 independent experiments performed in duplicate. *p&lt;0.05, **p&lt;0.01, ***p&lt;0.001 vs untreated cells. (</w:t>
      </w:r>
      <w:r w:rsidR="00A927A1" w:rsidRPr="007B388C">
        <w:rPr>
          <w:b/>
        </w:rPr>
        <w:t>b,d,f</w:t>
      </w:r>
      <w:r w:rsidRPr="007B388C">
        <w:t>) Representative RT-qPCR of GPR55 mRNA levels in cells transfected with the indicated siRNAs at 72</w:t>
      </w:r>
      <w:r w:rsidR="00AC4EB3" w:rsidRPr="007B388C">
        <w:t xml:space="preserve"> </w:t>
      </w:r>
      <w:r w:rsidRPr="007B388C">
        <w:t xml:space="preserve">h post transfection. QARS was used as a housekeeping gene. Data are expressed as fold change of cells transfected with siControl and are means ± </w:t>
      </w:r>
      <w:r w:rsidR="00041846" w:rsidRPr="007B388C">
        <w:t>s.e.m.</w:t>
      </w:r>
      <w:r w:rsidRPr="007B388C">
        <w:t xml:space="preserve"> of </w:t>
      </w:r>
      <w:r w:rsidRPr="007B388C">
        <w:rPr>
          <w:i/>
        </w:rPr>
        <w:t>n</w:t>
      </w:r>
      <w:r w:rsidRPr="007B388C">
        <w:t>=3 independent experiments performed in duplicate. *p&lt;0.05, **p&lt;0.01, ***p&lt;0.001 vs cells transfected with siControl.</w:t>
      </w:r>
    </w:p>
    <w:p w14:paraId="7B56CE2F" w14:textId="77777777" w:rsidR="00AC4EB3" w:rsidRPr="007B388C" w:rsidRDefault="00AC4EB3" w:rsidP="00157A61">
      <w:pPr>
        <w:spacing w:after="0" w:line="480" w:lineRule="auto"/>
        <w:rPr>
          <w:b/>
        </w:rPr>
      </w:pPr>
    </w:p>
    <w:p w14:paraId="09F8499F" w14:textId="02EE468C" w:rsidR="00E97DCD" w:rsidRPr="007B388C" w:rsidRDefault="007419DE" w:rsidP="00157A61">
      <w:pPr>
        <w:spacing w:after="0" w:line="480" w:lineRule="auto"/>
      </w:pPr>
      <w:r w:rsidRPr="007B388C">
        <w:rPr>
          <w:b/>
        </w:rPr>
        <w:t>Supplementary Fig</w:t>
      </w:r>
      <w:r w:rsidR="00BD5955" w:rsidRPr="007B388C">
        <w:rPr>
          <w:b/>
        </w:rPr>
        <w:t xml:space="preserve">ure </w:t>
      </w:r>
      <w:r w:rsidR="00A927A1" w:rsidRPr="007B388C">
        <w:rPr>
          <w:b/>
        </w:rPr>
        <w:t>3</w:t>
      </w:r>
      <w:r w:rsidR="00157A61" w:rsidRPr="007B388C">
        <w:rPr>
          <w:b/>
        </w:rPr>
        <w:t>.</w:t>
      </w:r>
      <w:r w:rsidRPr="007B388C">
        <w:rPr>
          <w:b/>
        </w:rPr>
        <w:t xml:space="preserve"> </w:t>
      </w:r>
      <w:r w:rsidRPr="007B388C">
        <w:t xml:space="preserve">GPR55 regulation of PDAC cell cycle and MAPK/ERK </w:t>
      </w:r>
      <w:r w:rsidR="00F125AB" w:rsidRPr="007B388C">
        <w:t>signalling</w:t>
      </w:r>
      <w:r w:rsidRPr="007B388C">
        <w:t xml:space="preserve"> pathways. (</w:t>
      </w:r>
      <w:r w:rsidR="00A927A1" w:rsidRPr="007B388C">
        <w:rPr>
          <w:b/>
        </w:rPr>
        <w:t>a,b</w:t>
      </w:r>
      <w:r w:rsidRPr="007B388C">
        <w:t>) Effect of GPR55 downregulation on HPAFII (</w:t>
      </w:r>
      <w:r w:rsidR="00A927A1" w:rsidRPr="007B388C">
        <w:rPr>
          <w:b/>
        </w:rPr>
        <w:t>a</w:t>
      </w:r>
      <w:r w:rsidRPr="007B388C">
        <w:t>) and PANC1 (</w:t>
      </w:r>
      <w:r w:rsidR="00A927A1" w:rsidRPr="007B388C">
        <w:rPr>
          <w:b/>
        </w:rPr>
        <w:t>b</w:t>
      </w:r>
      <w:r w:rsidRPr="007B388C">
        <w:t>) cell cycle. Cell cycle analysis was performed by FACS at 48</w:t>
      </w:r>
      <w:r w:rsidR="00AC4EB3" w:rsidRPr="007B388C">
        <w:t xml:space="preserve"> </w:t>
      </w:r>
      <w:r w:rsidRPr="007B388C">
        <w:t xml:space="preserve">h after transfection. Cells were grown in DMEM containing 10% FBS. Results are expressed as percentage of cells in each phase of the cycle and are means ± </w:t>
      </w:r>
      <w:r w:rsidR="00041846" w:rsidRPr="007B388C">
        <w:t>s.e.m.</w:t>
      </w:r>
      <w:r w:rsidRPr="007B388C">
        <w:t xml:space="preserve"> </w:t>
      </w:r>
      <w:r w:rsidR="00D85C4A" w:rsidRPr="007B388C">
        <w:t xml:space="preserve">of </w:t>
      </w:r>
      <w:r w:rsidR="00D85C4A" w:rsidRPr="007B388C">
        <w:rPr>
          <w:i/>
        </w:rPr>
        <w:t>n</w:t>
      </w:r>
      <w:r w:rsidR="00D85C4A" w:rsidRPr="007B388C">
        <w:t xml:space="preserve">=3 independent experiments. </w:t>
      </w:r>
      <w:r w:rsidR="001951DF" w:rsidRPr="007B388C">
        <w:t>*p&lt;0.05, **</w:t>
      </w:r>
      <w:r w:rsidRPr="007B388C">
        <w:t xml:space="preserve">p&lt;0.01, ***p&lt;0.001 vs </w:t>
      </w:r>
      <w:r w:rsidRPr="007B388C">
        <w:lastRenderedPageBreak/>
        <w:t>cells transfected with siControl. (</w:t>
      </w:r>
      <w:r w:rsidR="00A927A1" w:rsidRPr="007B388C">
        <w:rPr>
          <w:b/>
        </w:rPr>
        <w:t>c</w:t>
      </w:r>
      <w:r w:rsidRPr="007B388C">
        <w:t>) Effect of GPR55 downregulation on Cyclin D1, Cyclin D2, and Cyclin B1 mRNA levels assessed by RT-qPCR. GAPDH was used as a housekeeping gene. Results are expressed as fold change of cells transfected with siControl and are means ±</w:t>
      </w:r>
      <w:r w:rsidR="00E12166" w:rsidRPr="007B388C">
        <w:t xml:space="preserve"> </w:t>
      </w:r>
      <w:r w:rsidR="00041846" w:rsidRPr="007B388C">
        <w:t>s.e.m.</w:t>
      </w:r>
      <w:r w:rsidRPr="007B388C">
        <w:t xml:space="preserve"> of </w:t>
      </w:r>
      <w:r w:rsidRPr="007B388C">
        <w:rPr>
          <w:i/>
        </w:rPr>
        <w:t>n</w:t>
      </w:r>
      <w:r w:rsidRPr="007B388C">
        <w:t xml:space="preserve">=3 independent experiments. </w:t>
      </w:r>
      <w:r w:rsidR="00D85C4A" w:rsidRPr="007B388C">
        <w:t>*</w:t>
      </w:r>
      <w:r w:rsidR="001951DF" w:rsidRPr="007B388C">
        <w:t>p&lt;0.05; **</w:t>
      </w:r>
      <w:r w:rsidRPr="007B388C">
        <w:t>p&lt;0.01. (</w:t>
      </w:r>
      <w:r w:rsidR="00A719B6" w:rsidRPr="007B388C">
        <w:rPr>
          <w:b/>
        </w:rPr>
        <w:t>d</w:t>
      </w:r>
      <w:r w:rsidRPr="007B388C">
        <w:t xml:space="preserve">) ASPC1 cells were transfected with the indicated siRNAs </w:t>
      </w:r>
      <w:r w:rsidR="00E12166" w:rsidRPr="007B388C">
        <w:t xml:space="preserve">or transfection reagent alone (“untreated”) </w:t>
      </w:r>
      <w:r w:rsidRPr="007B388C">
        <w:t>and the activity of caspase 3 was assessed at 48</w:t>
      </w:r>
      <w:r w:rsidR="00F476AD" w:rsidRPr="007B388C">
        <w:t xml:space="preserve"> </w:t>
      </w:r>
      <w:r w:rsidRPr="007B388C">
        <w:t xml:space="preserve">h post transfection. </w:t>
      </w:r>
      <w:r w:rsidR="00E12166" w:rsidRPr="007B388C">
        <w:t>Data a</w:t>
      </w:r>
      <w:r w:rsidRPr="007B388C">
        <w:t xml:space="preserve">re </w:t>
      </w:r>
      <w:r w:rsidR="00E12166" w:rsidRPr="007B388C">
        <w:t xml:space="preserve">expressed as fold change of caspase 3 activation in untreated cells and are </w:t>
      </w:r>
      <w:r w:rsidRPr="007B388C">
        <w:t xml:space="preserve">means ± </w:t>
      </w:r>
      <w:r w:rsidR="00041846" w:rsidRPr="007B388C">
        <w:t>s.e.m.</w:t>
      </w:r>
      <w:r w:rsidRPr="007B388C">
        <w:t xml:space="preserve"> of </w:t>
      </w:r>
      <w:r w:rsidRPr="007B388C">
        <w:rPr>
          <w:i/>
        </w:rPr>
        <w:t>n</w:t>
      </w:r>
      <w:r w:rsidRPr="007B388C">
        <w:t>=2 independent experiments. (</w:t>
      </w:r>
      <w:r w:rsidR="00A719B6" w:rsidRPr="007B388C">
        <w:rPr>
          <w:b/>
        </w:rPr>
        <w:t>e</w:t>
      </w:r>
      <w:r w:rsidRPr="007B388C">
        <w:t xml:space="preserve">) HPAFII cells were transfected with the indicated siRNAs </w:t>
      </w:r>
      <w:r w:rsidR="007F5D63" w:rsidRPr="007B388C">
        <w:t xml:space="preserve">or transfection reagent alone (“untreated”) </w:t>
      </w:r>
      <w:r w:rsidR="000D760C" w:rsidRPr="007B388C">
        <w:t>and analys</w:t>
      </w:r>
      <w:r w:rsidRPr="007B388C">
        <w:t>ed at 48</w:t>
      </w:r>
      <w:r w:rsidR="00F476AD" w:rsidRPr="007B388C">
        <w:t xml:space="preserve"> </w:t>
      </w:r>
      <w:r w:rsidRPr="007B388C">
        <w:t>h post transfection by Annexin V/FACS analysis as described in the Materials and Methods section. Results indicat</w:t>
      </w:r>
      <w:r w:rsidR="00E12166" w:rsidRPr="007B388C">
        <w:t>e</w:t>
      </w:r>
      <w:r w:rsidRPr="007B388C">
        <w:t xml:space="preserve"> the percentage of apoptotic cells (early and late apoptotic cells) and are means ± </w:t>
      </w:r>
      <w:r w:rsidR="00041846" w:rsidRPr="007B388C">
        <w:t>s.e.m.</w:t>
      </w:r>
      <w:r w:rsidRPr="007B388C">
        <w:t xml:space="preserve"> of </w:t>
      </w:r>
      <w:r w:rsidRPr="007B388C">
        <w:rPr>
          <w:i/>
        </w:rPr>
        <w:t>n</w:t>
      </w:r>
      <w:r w:rsidRPr="007B388C">
        <w:t>=2 independent experiments. (</w:t>
      </w:r>
      <w:r w:rsidR="00A719B6" w:rsidRPr="007B388C">
        <w:rPr>
          <w:b/>
        </w:rPr>
        <w:t>f</w:t>
      </w:r>
      <w:r w:rsidRPr="007B388C">
        <w:t>) Effect of GPR55 downregulation on pERK</w:t>
      </w:r>
      <w:r w:rsidRPr="007B388C">
        <w:rPr>
          <w:vertAlign w:val="superscript"/>
        </w:rPr>
        <w:t>T202/Y204</w:t>
      </w:r>
      <w:r w:rsidRPr="007B388C">
        <w:t xml:space="preserve"> and pS6</w:t>
      </w:r>
      <w:r w:rsidRPr="007B388C">
        <w:rPr>
          <w:vertAlign w:val="superscript"/>
        </w:rPr>
        <w:t>S235/236</w:t>
      </w:r>
      <w:r w:rsidRPr="007B388C">
        <w:t xml:space="preserve"> </w:t>
      </w:r>
      <w:r w:rsidR="00F476AD" w:rsidRPr="007B388C">
        <w:t>and total ERK and S6 levels,</w:t>
      </w:r>
      <w:r w:rsidRPr="007B388C">
        <w:t xml:space="preserve"> assessed by Western blotting analysis. Tubulin and vinculin were used as loading controls</w:t>
      </w:r>
      <w:r w:rsidR="007A4174" w:rsidRPr="007B388C">
        <w:t xml:space="preserve">. Data from densitometry analysis are expressed as fold change of </w:t>
      </w:r>
      <w:r w:rsidR="002C628B" w:rsidRPr="007B388C">
        <w:t>normalis</w:t>
      </w:r>
      <w:r w:rsidR="001951DF" w:rsidRPr="007B388C">
        <w:t xml:space="preserve">ed </w:t>
      </w:r>
      <w:r w:rsidR="007A4174" w:rsidRPr="007B388C">
        <w:t xml:space="preserve">results from cells transfected with siControl and are means ± </w:t>
      </w:r>
      <w:r w:rsidR="00041846" w:rsidRPr="007B388C">
        <w:t>s.e.m.</w:t>
      </w:r>
      <w:r w:rsidR="007A4174" w:rsidRPr="007B388C">
        <w:t xml:space="preserve"> of </w:t>
      </w:r>
      <w:r w:rsidR="007A4174" w:rsidRPr="007B388C">
        <w:rPr>
          <w:i/>
          <w:szCs w:val="24"/>
        </w:rPr>
        <w:t>n</w:t>
      </w:r>
      <w:r w:rsidR="007A4174" w:rsidRPr="007B388C">
        <w:rPr>
          <w:szCs w:val="24"/>
        </w:rPr>
        <w:t xml:space="preserve">=3 independent experiments. </w:t>
      </w:r>
      <w:r w:rsidR="007A4174" w:rsidRPr="007B388C">
        <w:t>*p&lt;0.05</w:t>
      </w:r>
      <w:r w:rsidR="0068238B" w:rsidRPr="007B388C">
        <w:t>, **p&lt;0</w:t>
      </w:r>
      <w:r w:rsidR="007F5D63" w:rsidRPr="007B388C">
        <w:t>.</w:t>
      </w:r>
      <w:r w:rsidR="0068238B" w:rsidRPr="007B388C">
        <w:t>01</w:t>
      </w:r>
      <w:r w:rsidR="007A4174" w:rsidRPr="007B388C">
        <w:t>.</w:t>
      </w:r>
    </w:p>
    <w:p w14:paraId="6ECCC860" w14:textId="77777777" w:rsidR="00F476AD" w:rsidRPr="007B388C" w:rsidRDefault="00F476AD" w:rsidP="00157A61">
      <w:pPr>
        <w:spacing w:after="0" w:line="480" w:lineRule="auto"/>
        <w:rPr>
          <w:b/>
        </w:rPr>
      </w:pPr>
    </w:p>
    <w:p w14:paraId="152D0F50" w14:textId="39800E58" w:rsidR="007419DE" w:rsidRPr="007B388C" w:rsidRDefault="007419DE" w:rsidP="00157A61">
      <w:pPr>
        <w:spacing w:after="0" w:line="480" w:lineRule="auto"/>
      </w:pPr>
      <w:r w:rsidRPr="007B388C">
        <w:rPr>
          <w:b/>
        </w:rPr>
        <w:t>Supplementary Fig</w:t>
      </w:r>
      <w:r w:rsidR="00BD5955" w:rsidRPr="007B388C">
        <w:rPr>
          <w:b/>
        </w:rPr>
        <w:t xml:space="preserve">ure </w:t>
      </w:r>
      <w:r w:rsidR="00A719B6" w:rsidRPr="007B388C">
        <w:rPr>
          <w:b/>
        </w:rPr>
        <w:t>4</w:t>
      </w:r>
      <w:r w:rsidR="00157A61" w:rsidRPr="007B388C">
        <w:rPr>
          <w:b/>
        </w:rPr>
        <w:t>.</w:t>
      </w:r>
      <w:r w:rsidRPr="007B388C">
        <w:rPr>
          <w:b/>
        </w:rPr>
        <w:t xml:space="preserve"> </w:t>
      </w:r>
      <w:r w:rsidRPr="007B388C">
        <w:t>p53 regulates GPR55 through miR regulation.</w:t>
      </w:r>
      <w:r w:rsidRPr="007B388C">
        <w:rPr>
          <w:b/>
        </w:rPr>
        <w:t xml:space="preserve"> </w:t>
      </w:r>
      <w:r w:rsidRPr="007B388C">
        <w:t>(</w:t>
      </w:r>
      <w:r w:rsidR="00A719B6" w:rsidRPr="007B388C">
        <w:rPr>
          <w:b/>
        </w:rPr>
        <w:t>a</w:t>
      </w:r>
      <w:r w:rsidRPr="007B388C">
        <w:t xml:space="preserve">) Western blotting analysis of GPR55 protein expression in PDAC murine cell lines derived from the indicated mouse models. Tubulin was used as loading control. </w:t>
      </w:r>
      <w:r w:rsidR="00C500AF" w:rsidRPr="007B388C">
        <w:t>Data from densitometry analysis are expr</w:t>
      </w:r>
      <w:r w:rsidR="002C628B" w:rsidRPr="007B388C">
        <w:t>essed as fold change of normalis</w:t>
      </w:r>
      <w:r w:rsidR="00C500AF" w:rsidRPr="007B388C">
        <w:t xml:space="preserve">ed levels of GPR55 in PZR1 cells and are means ± </w:t>
      </w:r>
      <w:r w:rsidR="00041846" w:rsidRPr="007B388C">
        <w:t>s.e.m.</w:t>
      </w:r>
      <w:r w:rsidR="00C500AF" w:rsidRPr="007B388C">
        <w:t xml:space="preserve"> of </w:t>
      </w:r>
      <w:r w:rsidR="00C500AF" w:rsidRPr="007B388C">
        <w:rPr>
          <w:i/>
          <w:szCs w:val="24"/>
        </w:rPr>
        <w:t>n</w:t>
      </w:r>
      <w:r w:rsidR="00C500AF" w:rsidRPr="007B388C">
        <w:rPr>
          <w:szCs w:val="24"/>
        </w:rPr>
        <w:t xml:space="preserve">=3 independent experiments. </w:t>
      </w:r>
      <w:r w:rsidR="00C500AF" w:rsidRPr="007B388C">
        <w:t>*p&lt;0.05, **p&lt;0</w:t>
      </w:r>
      <w:r w:rsidR="00120B6D" w:rsidRPr="007B388C">
        <w:t>.</w:t>
      </w:r>
      <w:r w:rsidR="00C500AF" w:rsidRPr="007B388C">
        <w:t>01.</w:t>
      </w:r>
      <w:r w:rsidR="00EC445D" w:rsidRPr="007B388C">
        <w:t xml:space="preserve"> </w:t>
      </w:r>
      <w:r w:rsidRPr="007B388C">
        <w:t>(</w:t>
      </w:r>
      <w:r w:rsidR="00A719B6" w:rsidRPr="007B388C">
        <w:rPr>
          <w:b/>
        </w:rPr>
        <w:t>b</w:t>
      </w:r>
      <w:r w:rsidRPr="007B388C">
        <w:t xml:space="preserve">) </w:t>
      </w:r>
      <w:r w:rsidR="00EC445D" w:rsidRPr="007B388C">
        <w:t>ASPC1 cells were transfected with a plasmid encoding wild type p53 or corresponding empty vector (pcDNA). Levels of GPR55 were assessed by Western blot</w:t>
      </w:r>
      <w:r w:rsidR="00F476AD" w:rsidRPr="007B388C">
        <w:t>ting analysis</w:t>
      </w:r>
      <w:r w:rsidR="00EC445D" w:rsidRPr="007B388C">
        <w:t>. Tubulin was used as loading control.</w:t>
      </w:r>
      <w:r w:rsidR="00EC445D" w:rsidRPr="007B388C">
        <w:rPr>
          <w:b/>
        </w:rPr>
        <w:t xml:space="preserve"> </w:t>
      </w:r>
      <w:r w:rsidR="00EC445D" w:rsidRPr="007B388C">
        <w:t>Data from densitometry analysis are expr</w:t>
      </w:r>
      <w:r w:rsidR="002C628B" w:rsidRPr="007B388C">
        <w:t>essed as fold change of normalis</w:t>
      </w:r>
      <w:r w:rsidR="00EC445D" w:rsidRPr="007B388C">
        <w:t xml:space="preserve">ed levels of GPR55 in cells transfected with pcDNA and are means ± </w:t>
      </w:r>
      <w:r w:rsidR="00041846" w:rsidRPr="007B388C">
        <w:t>s.e.m.</w:t>
      </w:r>
      <w:r w:rsidR="00EC445D" w:rsidRPr="007B388C">
        <w:t xml:space="preserve"> of </w:t>
      </w:r>
      <w:r w:rsidR="00EC445D" w:rsidRPr="007B388C">
        <w:rPr>
          <w:i/>
          <w:szCs w:val="24"/>
        </w:rPr>
        <w:t>n</w:t>
      </w:r>
      <w:r w:rsidR="00EC445D" w:rsidRPr="007B388C">
        <w:rPr>
          <w:szCs w:val="24"/>
        </w:rPr>
        <w:t xml:space="preserve">=3 independent experiments. </w:t>
      </w:r>
      <w:r w:rsidR="00EC445D" w:rsidRPr="007B388C">
        <w:t>*p&lt;0.05. (</w:t>
      </w:r>
      <w:r w:rsidR="00A719B6" w:rsidRPr="007B388C">
        <w:rPr>
          <w:b/>
        </w:rPr>
        <w:t>c</w:t>
      </w:r>
      <w:r w:rsidR="00EC445D" w:rsidRPr="007B388C">
        <w:t xml:space="preserve">) </w:t>
      </w:r>
      <w:r w:rsidR="00983FF6" w:rsidRPr="007B388C">
        <w:t>HEK293</w:t>
      </w:r>
      <w:r w:rsidR="00DE2F88" w:rsidRPr="007B388C">
        <w:t>T</w:t>
      </w:r>
      <w:r w:rsidR="00983FF6" w:rsidRPr="007B388C">
        <w:t xml:space="preserve"> cells, expressing wild type p53, were transfected with two siRNAs specifically targeting p53 and a non-targeting siRNA (siControl). Cells were lysed after 48</w:t>
      </w:r>
      <w:r w:rsidR="00AC4EB3" w:rsidRPr="007B388C">
        <w:t xml:space="preserve"> </w:t>
      </w:r>
      <w:r w:rsidR="00983FF6" w:rsidRPr="007B388C">
        <w:t xml:space="preserve">h </w:t>
      </w:r>
      <w:r w:rsidR="00983FF6" w:rsidRPr="007B388C">
        <w:lastRenderedPageBreak/>
        <w:t>and levels of GPR55 and p53 were assessed by Western blot</w:t>
      </w:r>
      <w:r w:rsidR="00F476AD" w:rsidRPr="007B388C">
        <w:t>ting</w:t>
      </w:r>
      <w:r w:rsidR="00983FF6" w:rsidRPr="007B388C">
        <w:t xml:space="preserve"> analysis. Actinin was used as loading control. Representative blot and results from densitometry analysis are shown. Data are means ± </w:t>
      </w:r>
      <w:r w:rsidR="00041846" w:rsidRPr="007B388C">
        <w:t>s.e.m.</w:t>
      </w:r>
      <w:r w:rsidR="00983FF6" w:rsidRPr="007B388C">
        <w:t xml:space="preserve"> of </w:t>
      </w:r>
      <w:r w:rsidR="00983FF6" w:rsidRPr="007B388C">
        <w:rPr>
          <w:i/>
        </w:rPr>
        <w:t>n</w:t>
      </w:r>
      <w:r w:rsidR="00983FF6" w:rsidRPr="007B388C">
        <w:t>=3 independent experiments and are expressed as fold</w:t>
      </w:r>
      <w:r w:rsidR="002C628B" w:rsidRPr="007B388C">
        <w:t xml:space="preserve"> change of GPR55 levels normalis</w:t>
      </w:r>
      <w:r w:rsidR="00983FF6" w:rsidRPr="007B388C">
        <w:t>ed to loading control in cells transfected with siControl. *p&lt;0.05, **p&lt;0.01. (</w:t>
      </w:r>
      <w:r w:rsidR="00A719B6" w:rsidRPr="007B388C">
        <w:rPr>
          <w:b/>
        </w:rPr>
        <w:t>d</w:t>
      </w:r>
      <w:r w:rsidR="00983FF6" w:rsidRPr="007B388C">
        <w:t xml:space="preserve">) </w:t>
      </w:r>
      <w:r w:rsidRPr="007B388C">
        <w:t xml:space="preserve">ASPC1 cells were transfected with plasmids expressing the </w:t>
      </w:r>
      <w:r w:rsidRPr="007B388C">
        <w:rPr>
          <w:spacing w:val="3"/>
          <w:shd w:val="clear" w:color="auto" w:fill="FFFFFF"/>
        </w:rPr>
        <w:t xml:space="preserve">luciferase gene under the control of the 3'-UTR of GPR55 (“GPR55”) or the luciferase gene without regulatory regions (“Control”) in combination with </w:t>
      </w:r>
      <w:r w:rsidRPr="007B388C">
        <w:t>pcDNA or plasmids encoding wild type or the indicated mutants p53. Expression levels of the exogenous proteins were assesse</w:t>
      </w:r>
      <w:r w:rsidR="00120B6D" w:rsidRPr="007B388C">
        <w:t xml:space="preserve">d by Western blotting analysis. </w:t>
      </w:r>
      <w:r w:rsidRPr="007B388C">
        <w:t>Tubulin was used as loading control. (</w:t>
      </w:r>
      <w:r w:rsidR="00A719B6" w:rsidRPr="007B388C">
        <w:rPr>
          <w:b/>
        </w:rPr>
        <w:t>e</w:t>
      </w:r>
      <w:r w:rsidRPr="007B388C">
        <w:t>) In silico analysis of 3’-UTR GPR55 binding site showing matching sequences with hsa-miR34b-3p. (</w:t>
      </w:r>
      <w:r w:rsidR="00A719B6" w:rsidRPr="007B388C">
        <w:rPr>
          <w:b/>
        </w:rPr>
        <w:t>f</w:t>
      </w:r>
      <w:r w:rsidRPr="007B388C">
        <w:t xml:space="preserve">) Levels of miR34b-3p in HPDE, ASPC1 and HPAFII cells assessed by RT-qPCR. </w:t>
      </w:r>
      <w:r w:rsidRPr="007B388C">
        <w:rPr>
          <w:i/>
        </w:rPr>
        <w:t>n</w:t>
      </w:r>
      <w:r w:rsidRPr="007B388C">
        <w:t>=2. (</w:t>
      </w:r>
      <w:r w:rsidR="00A719B6" w:rsidRPr="007B388C">
        <w:rPr>
          <w:b/>
        </w:rPr>
        <w:t>g</w:t>
      </w:r>
      <w:r w:rsidRPr="007B388C">
        <w:t>) ASPC1 cells were transfected with a plasmid encoding wild type p53 or empty vector. At the indicated times, levels of miR34b-3p were assessed by RT-qPCR.</w:t>
      </w:r>
    </w:p>
    <w:p w14:paraId="3F9C6B4A" w14:textId="77777777" w:rsidR="00F476AD" w:rsidRPr="007B388C" w:rsidRDefault="00F476AD" w:rsidP="00157A61">
      <w:pPr>
        <w:spacing w:after="0" w:line="480" w:lineRule="auto"/>
        <w:rPr>
          <w:b/>
        </w:rPr>
      </w:pPr>
    </w:p>
    <w:p w14:paraId="76F31514" w14:textId="21355981" w:rsidR="001C0446" w:rsidRPr="007B388C" w:rsidRDefault="007419DE" w:rsidP="00157A61">
      <w:pPr>
        <w:spacing w:after="0" w:line="480" w:lineRule="auto"/>
      </w:pPr>
      <w:r w:rsidRPr="007B388C">
        <w:rPr>
          <w:b/>
        </w:rPr>
        <w:t>Supplementary Fig</w:t>
      </w:r>
      <w:r w:rsidR="00DE76B2" w:rsidRPr="007B388C">
        <w:rPr>
          <w:b/>
        </w:rPr>
        <w:t xml:space="preserve">ure </w:t>
      </w:r>
      <w:r w:rsidR="00A719B6" w:rsidRPr="007B388C">
        <w:rPr>
          <w:b/>
        </w:rPr>
        <w:t>5</w:t>
      </w:r>
      <w:r w:rsidR="00157A61" w:rsidRPr="007B388C">
        <w:rPr>
          <w:b/>
        </w:rPr>
        <w:t>.</w:t>
      </w:r>
      <w:r w:rsidRPr="007B388C">
        <w:rPr>
          <w:b/>
        </w:rPr>
        <w:t xml:space="preserve"> </w:t>
      </w:r>
      <w:r w:rsidRPr="007B388C">
        <w:t>Effect of pharmacological inhibition of GPR55 on PDAC cell growth.</w:t>
      </w:r>
      <w:r w:rsidRPr="007B388C">
        <w:rPr>
          <w:b/>
        </w:rPr>
        <w:t xml:space="preserve"> </w:t>
      </w:r>
      <w:r w:rsidRPr="007B388C">
        <w:t>ASPC1 (</w:t>
      </w:r>
      <w:r w:rsidR="00A719B6" w:rsidRPr="007B388C">
        <w:rPr>
          <w:b/>
        </w:rPr>
        <w:t>a</w:t>
      </w:r>
      <w:r w:rsidRPr="007B388C">
        <w:t>), HPAFII (</w:t>
      </w:r>
      <w:r w:rsidR="00A719B6" w:rsidRPr="007B388C">
        <w:rPr>
          <w:b/>
        </w:rPr>
        <w:t>b</w:t>
      </w:r>
      <w:r w:rsidRPr="007B388C">
        <w:t>), BXPC3 (</w:t>
      </w:r>
      <w:r w:rsidR="00A719B6" w:rsidRPr="007B388C">
        <w:rPr>
          <w:b/>
        </w:rPr>
        <w:t>c</w:t>
      </w:r>
      <w:r w:rsidRPr="007B388C">
        <w:t>) and PANC1 (</w:t>
      </w:r>
      <w:r w:rsidR="00A719B6" w:rsidRPr="007B388C">
        <w:rPr>
          <w:b/>
        </w:rPr>
        <w:t>d</w:t>
      </w:r>
      <w:r w:rsidRPr="007B388C">
        <w:t>) cells were treated with the indicated concentrations of drugs in DMEM containing 10% FBS. The number of viable cells was assessed after 72</w:t>
      </w:r>
      <w:r w:rsidR="00AC4EB3" w:rsidRPr="007B388C">
        <w:t xml:space="preserve"> </w:t>
      </w:r>
      <w:r w:rsidRPr="007B388C">
        <w:t>h by manual counting. Control cells were incubated with the corresponding amount of vehicle (</w:t>
      </w:r>
      <w:r w:rsidR="00014F7C" w:rsidRPr="007B388C">
        <w:t>“untreated”</w:t>
      </w:r>
      <w:r w:rsidRPr="007B388C">
        <w:t xml:space="preserve">). Data are expressed as fold change </w:t>
      </w:r>
      <w:r w:rsidR="00F476AD" w:rsidRPr="007B388C">
        <w:t>of</w:t>
      </w:r>
      <w:r w:rsidRPr="007B388C">
        <w:t xml:space="preserve"> control </w:t>
      </w:r>
      <w:r w:rsidR="00014F7C" w:rsidRPr="007B388C">
        <w:t xml:space="preserve">cells </w:t>
      </w:r>
      <w:r w:rsidRPr="007B388C">
        <w:t xml:space="preserve">and are means ± </w:t>
      </w:r>
      <w:r w:rsidR="00041846" w:rsidRPr="007B388C">
        <w:t>s.e.m.</w:t>
      </w:r>
      <w:r w:rsidRPr="007B388C">
        <w:t xml:space="preserve"> of </w:t>
      </w:r>
      <w:r w:rsidRPr="007B388C">
        <w:rPr>
          <w:i/>
        </w:rPr>
        <w:t>n</w:t>
      </w:r>
      <w:r w:rsidRPr="007B388C">
        <w:t xml:space="preserve">=3 independent experiments performed in duplicate. *p&lt;0.05, ** p&lt;0.01, *** p&lt;0.001 vs control cells. </w:t>
      </w:r>
    </w:p>
    <w:p w14:paraId="1A06B41E" w14:textId="77777777" w:rsidR="001C0446" w:rsidRPr="007B388C" w:rsidRDefault="001C0446" w:rsidP="00157A61">
      <w:pPr>
        <w:spacing w:after="0" w:line="480" w:lineRule="auto"/>
      </w:pPr>
    </w:p>
    <w:p w14:paraId="2F5CBD39" w14:textId="6503E778" w:rsidR="000D0AA6" w:rsidRPr="007B388C" w:rsidRDefault="001C0446" w:rsidP="000D0AA6">
      <w:pPr>
        <w:autoSpaceDE w:val="0"/>
        <w:autoSpaceDN w:val="0"/>
        <w:adjustRightInd w:val="0"/>
        <w:spacing w:after="0" w:line="480" w:lineRule="auto"/>
        <w:rPr>
          <w:rFonts w:cs="Arial"/>
        </w:rPr>
      </w:pPr>
      <w:r w:rsidRPr="007B388C">
        <w:rPr>
          <w:rFonts w:cs="Arial"/>
          <w:b/>
        </w:rPr>
        <w:t xml:space="preserve">Supplementary Figure 6. </w:t>
      </w:r>
      <w:r w:rsidR="00E75F41" w:rsidRPr="007B388C">
        <w:rPr>
          <w:rFonts w:cs="Arial"/>
        </w:rPr>
        <w:t>Effect of</w:t>
      </w:r>
      <w:r w:rsidR="00E75F41" w:rsidRPr="007B388C">
        <w:rPr>
          <w:rFonts w:cs="Arial"/>
          <w:b/>
        </w:rPr>
        <w:t xml:space="preserve"> </w:t>
      </w:r>
      <w:r w:rsidR="00E75F41" w:rsidRPr="007B388C">
        <w:rPr>
          <w:rFonts w:cs="Arial"/>
        </w:rPr>
        <w:t xml:space="preserve">CBD on a panel of kinases and related proteins. </w:t>
      </w:r>
      <w:r w:rsidR="000D0AA6" w:rsidRPr="007B388C">
        <w:rPr>
          <w:rFonts w:cs="Arial"/>
        </w:rPr>
        <w:t>Results from densitometry analysis of the phospho-kinase array assay performed in HPAFII treated with 10µM CBD or incubated with vehicle alone (untreated). For each protein data show values from CBD-treated sample expressed as fold change compared to</w:t>
      </w:r>
      <w:r w:rsidR="00E75F41" w:rsidRPr="007B388C">
        <w:rPr>
          <w:rFonts w:cs="Arial"/>
        </w:rPr>
        <w:t xml:space="preserve"> the corresponding value</w:t>
      </w:r>
      <w:r w:rsidR="000D0AA6" w:rsidRPr="007B388C">
        <w:rPr>
          <w:rFonts w:cs="Arial"/>
        </w:rPr>
        <w:t xml:space="preserve"> from </w:t>
      </w:r>
      <w:r w:rsidR="00E75F41" w:rsidRPr="007B388C">
        <w:rPr>
          <w:rFonts w:cs="Arial"/>
        </w:rPr>
        <w:t>the untreated sample</w:t>
      </w:r>
      <w:r w:rsidR="000D0AA6" w:rsidRPr="007B388C">
        <w:rPr>
          <w:rFonts w:cs="Arial"/>
        </w:rPr>
        <w:t xml:space="preserve">. </w:t>
      </w:r>
    </w:p>
    <w:p w14:paraId="3352FDF7" w14:textId="2077CF69" w:rsidR="001C0446" w:rsidRPr="007B388C" w:rsidRDefault="001C0446" w:rsidP="00157A61">
      <w:pPr>
        <w:spacing w:after="0" w:line="480" w:lineRule="auto"/>
      </w:pPr>
    </w:p>
    <w:p w14:paraId="7CB12C87" w14:textId="35020876" w:rsidR="007419DE" w:rsidRPr="007B388C" w:rsidRDefault="00E75F41" w:rsidP="00157A61">
      <w:pPr>
        <w:spacing w:after="0" w:line="480" w:lineRule="auto"/>
      </w:pPr>
      <w:r w:rsidRPr="007B388C">
        <w:rPr>
          <w:rFonts w:cs="Arial"/>
          <w:b/>
        </w:rPr>
        <w:lastRenderedPageBreak/>
        <w:t xml:space="preserve">Supplementary Figure 7. </w:t>
      </w:r>
      <w:r w:rsidRPr="007B388C">
        <w:t>Effect of combination of pharmacological inhibition of GPR55 and GEM on PDAC cell growth.</w:t>
      </w:r>
      <w:r w:rsidRPr="007B388C">
        <w:rPr>
          <w:b/>
        </w:rPr>
        <w:t xml:space="preserve"> </w:t>
      </w:r>
      <w:r w:rsidR="007419DE" w:rsidRPr="007B388C">
        <w:t xml:space="preserve">HPAFII </w:t>
      </w:r>
      <w:r w:rsidR="003A4FE5" w:rsidRPr="007B388C">
        <w:t>(</w:t>
      </w:r>
      <w:r w:rsidRPr="007B388C">
        <w:rPr>
          <w:b/>
        </w:rPr>
        <w:t>a</w:t>
      </w:r>
      <w:r w:rsidR="003A4FE5" w:rsidRPr="007B388C">
        <w:t>) and PANC1 (</w:t>
      </w:r>
      <w:r w:rsidRPr="007B388C">
        <w:rPr>
          <w:b/>
        </w:rPr>
        <w:t>b</w:t>
      </w:r>
      <w:r w:rsidR="003A4FE5" w:rsidRPr="007B388C">
        <w:t xml:space="preserve">) </w:t>
      </w:r>
      <w:r w:rsidR="007419DE" w:rsidRPr="007B388C">
        <w:t>cells were treated with the indicated concentrations of drugs alone or in combination in DMEM containing 10% FBS</w:t>
      </w:r>
      <w:r w:rsidR="00120B6D" w:rsidRPr="007B388C">
        <w:t xml:space="preserve"> </w:t>
      </w:r>
      <w:r w:rsidR="007419DE" w:rsidRPr="007B388C">
        <w:t>and the number of cells was assessed after 72</w:t>
      </w:r>
      <w:r w:rsidR="00AC4EB3" w:rsidRPr="007B388C">
        <w:t xml:space="preserve"> </w:t>
      </w:r>
      <w:r w:rsidR="007419DE" w:rsidRPr="007B388C">
        <w:t>h. Control cells were incubated with the corresponding amount of vehicle (</w:t>
      </w:r>
      <w:r w:rsidR="00855955" w:rsidRPr="007B388C">
        <w:t>“untreated”</w:t>
      </w:r>
      <w:r w:rsidR="007419DE" w:rsidRPr="007B388C">
        <w:t xml:space="preserve">). Data are expressed as fold change </w:t>
      </w:r>
      <w:r w:rsidR="00F476AD" w:rsidRPr="007B388C">
        <w:t>of</w:t>
      </w:r>
      <w:r w:rsidR="007419DE" w:rsidRPr="007B388C">
        <w:t xml:space="preserve"> </w:t>
      </w:r>
      <w:r w:rsidR="00014F7C" w:rsidRPr="007B388C">
        <w:t>control cells</w:t>
      </w:r>
      <w:r w:rsidR="007419DE" w:rsidRPr="007B388C">
        <w:t xml:space="preserve"> and are means ± </w:t>
      </w:r>
      <w:r w:rsidR="00041846" w:rsidRPr="007B388C">
        <w:t>s.e.m.</w:t>
      </w:r>
      <w:r w:rsidR="007419DE" w:rsidRPr="007B388C">
        <w:t xml:space="preserve"> of </w:t>
      </w:r>
      <w:r w:rsidR="007419DE" w:rsidRPr="007B388C">
        <w:rPr>
          <w:i/>
        </w:rPr>
        <w:t>n</w:t>
      </w:r>
      <w:r w:rsidR="007419DE" w:rsidRPr="007B388C">
        <w:t xml:space="preserve">=3 </w:t>
      </w:r>
      <w:r w:rsidR="003A4FE5" w:rsidRPr="007B388C">
        <w:t>(</w:t>
      </w:r>
      <w:r w:rsidRPr="007B388C">
        <w:rPr>
          <w:b/>
        </w:rPr>
        <w:t>a</w:t>
      </w:r>
      <w:r w:rsidR="003A4FE5" w:rsidRPr="007B388C">
        <w:t xml:space="preserve">) and </w:t>
      </w:r>
      <w:r w:rsidR="003A4FE5" w:rsidRPr="007B388C">
        <w:rPr>
          <w:i/>
        </w:rPr>
        <w:t>n</w:t>
      </w:r>
      <w:r w:rsidR="003A4FE5" w:rsidRPr="007B388C">
        <w:t>=4 (</w:t>
      </w:r>
      <w:r w:rsidRPr="007B388C">
        <w:rPr>
          <w:b/>
        </w:rPr>
        <w:t>b</w:t>
      </w:r>
      <w:r w:rsidR="003A4FE5" w:rsidRPr="007B388C">
        <w:t xml:space="preserve">) </w:t>
      </w:r>
      <w:r w:rsidR="007419DE" w:rsidRPr="007B388C">
        <w:t xml:space="preserve">independent experiments performed in duplicate. </w:t>
      </w:r>
      <w:r w:rsidR="005852C3" w:rsidRPr="007B388C">
        <w:t xml:space="preserve"> </w:t>
      </w:r>
      <w:r w:rsidR="007419DE" w:rsidRPr="007B388C">
        <w:t>*p&lt;0.05, **p&lt;0.01</w:t>
      </w:r>
      <w:r w:rsidR="003A4FE5" w:rsidRPr="007B388C">
        <w:t>, ***p&lt;0.001, ****p&lt;0.0001</w:t>
      </w:r>
      <w:r w:rsidR="007419DE" w:rsidRPr="007B388C">
        <w:t>.</w:t>
      </w:r>
      <w:r w:rsidR="005852C3" w:rsidRPr="007B388C">
        <w:t xml:space="preserve"> </w:t>
      </w:r>
    </w:p>
    <w:p w14:paraId="1B0F9652" w14:textId="24431A69" w:rsidR="00E75F41" w:rsidRPr="007B388C" w:rsidRDefault="00E75F41" w:rsidP="00157A61">
      <w:pPr>
        <w:spacing w:after="0" w:line="480" w:lineRule="auto"/>
      </w:pPr>
    </w:p>
    <w:p w14:paraId="3D58E67E" w14:textId="346A86E5" w:rsidR="00E75F41" w:rsidRPr="007B388C" w:rsidRDefault="00E75F41" w:rsidP="008646EF">
      <w:pPr>
        <w:spacing w:after="0" w:line="480" w:lineRule="auto"/>
        <w:rPr>
          <w:b/>
          <w:noProof/>
          <w:lang w:eastAsia="en-GB"/>
        </w:rPr>
      </w:pPr>
      <w:r w:rsidRPr="007B388C">
        <w:rPr>
          <w:rFonts w:cs="Arial"/>
          <w:b/>
        </w:rPr>
        <w:t xml:space="preserve">Supplementary Figure 8. </w:t>
      </w:r>
      <w:r w:rsidRPr="007B388C">
        <w:t>Effect of GPR55 inhibition and ablation on RRM1 mRNA levels.</w:t>
      </w:r>
      <w:r w:rsidRPr="007B388C">
        <w:rPr>
          <w:b/>
        </w:rPr>
        <w:t xml:space="preserve"> </w:t>
      </w:r>
      <w:r w:rsidRPr="007B388C">
        <w:t>(</w:t>
      </w:r>
      <w:r w:rsidRPr="007B388C">
        <w:rPr>
          <w:b/>
        </w:rPr>
        <w:t>a</w:t>
      </w:r>
      <w:r w:rsidRPr="007B388C">
        <w:t xml:space="preserve">) HPAFII cells were treated with </w:t>
      </w:r>
      <w:r w:rsidRPr="007B388C">
        <w:rPr>
          <w:rFonts w:cs="Arial"/>
        </w:rPr>
        <w:t>10µM CBD</w:t>
      </w:r>
      <w:r w:rsidR="00216CA7" w:rsidRPr="007B388C">
        <w:rPr>
          <w:rFonts w:cs="Arial"/>
        </w:rPr>
        <w:t xml:space="preserve"> for 48h or incubated with vehicle, DMSO</w:t>
      </w:r>
      <w:r w:rsidR="00041846" w:rsidRPr="007B388C">
        <w:rPr>
          <w:rFonts w:cs="Arial"/>
        </w:rPr>
        <w:t>,</w:t>
      </w:r>
      <w:r w:rsidR="00216CA7" w:rsidRPr="007B388C">
        <w:rPr>
          <w:rFonts w:cs="Arial"/>
        </w:rPr>
        <w:t xml:space="preserve"> alone (untreated). </w:t>
      </w:r>
      <w:r w:rsidR="00216CA7" w:rsidRPr="007B388C">
        <w:t xml:space="preserve">Effect on RRM1 mRNA levels was assessed by RT-qPCR. GAPDH was used as housekeeping gene. Results are expressed as fold change of levels in untreated cells and are means ± </w:t>
      </w:r>
      <w:r w:rsidR="00041846" w:rsidRPr="007B388C">
        <w:t>s.e.m.</w:t>
      </w:r>
      <w:r w:rsidR="00216CA7" w:rsidRPr="007B388C">
        <w:t xml:space="preserve"> of </w:t>
      </w:r>
      <w:r w:rsidR="00216CA7" w:rsidRPr="007B388C">
        <w:rPr>
          <w:i/>
        </w:rPr>
        <w:t>n</w:t>
      </w:r>
      <w:r w:rsidR="00216CA7" w:rsidRPr="007B388C">
        <w:t>=3 independent experiments. **p&lt;0.01. (</w:t>
      </w:r>
      <w:r w:rsidR="00216CA7" w:rsidRPr="007B388C">
        <w:rPr>
          <w:b/>
        </w:rPr>
        <w:t>b</w:t>
      </w:r>
      <w:r w:rsidR="00216CA7" w:rsidRPr="007B388C">
        <w:t>) RNA was extracted from pancreata from KPC (</w:t>
      </w:r>
      <w:r w:rsidR="00216CA7" w:rsidRPr="007B388C">
        <w:rPr>
          <w:i/>
        </w:rPr>
        <w:t>n</w:t>
      </w:r>
      <w:r w:rsidR="00216CA7" w:rsidRPr="007B388C">
        <w:t>=5) and KPCG (</w:t>
      </w:r>
      <w:r w:rsidR="00216CA7" w:rsidRPr="007B388C">
        <w:rPr>
          <w:i/>
        </w:rPr>
        <w:t>n</w:t>
      </w:r>
      <w:r w:rsidR="00216CA7" w:rsidRPr="007B388C">
        <w:t>=6) mice and the levels of RRM1 mRNA were assessed by RT-qPCR. RPS14 was used as housekeeping gene</w:t>
      </w:r>
      <w:r w:rsidR="008646EF" w:rsidRPr="007B388C">
        <w:t>. **p&lt;0.01.</w:t>
      </w:r>
    </w:p>
    <w:p w14:paraId="0FD6D455" w14:textId="77777777" w:rsidR="00F476AD" w:rsidRPr="007B388C" w:rsidRDefault="00F476AD" w:rsidP="00157A61">
      <w:pPr>
        <w:pStyle w:val="Heading2"/>
        <w:spacing w:before="0" w:line="480" w:lineRule="auto"/>
        <w:rPr>
          <w:rFonts w:cs="Arial"/>
          <w:i w:val="0"/>
          <w:color w:val="auto"/>
          <w:sz w:val="22"/>
          <w:szCs w:val="22"/>
        </w:rPr>
      </w:pPr>
    </w:p>
    <w:p w14:paraId="34062749" w14:textId="77777777" w:rsidR="00120B6D" w:rsidRPr="007B388C" w:rsidRDefault="00120B6D" w:rsidP="00157A61">
      <w:pPr>
        <w:pStyle w:val="Heading2"/>
        <w:spacing w:before="0" w:line="480" w:lineRule="auto"/>
        <w:rPr>
          <w:rFonts w:cs="Arial"/>
          <w:b w:val="0"/>
          <w:i w:val="0"/>
          <w:color w:val="auto"/>
          <w:sz w:val="22"/>
          <w:szCs w:val="22"/>
        </w:rPr>
      </w:pPr>
      <w:r w:rsidRPr="007B388C">
        <w:rPr>
          <w:rFonts w:cs="Arial"/>
          <w:i w:val="0"/>
          <w:color w:val="auto"/>
          <w:sz w:val="22"/>
          <w:szCs w:val="22"/>
        </w:rPr>
        <w:t>Supplementary Table 1.</w:t>
      </w:r>
      <w:r w:rsidRPr="007B388C">
        <w:rPr>
          <w:rFonts w:cs="Arial"/>
          <w:b w:val="0"/>
          <w:i w:val="0"/>
          <w:color w:val="auto"/>
          <w:sz w:val="22"/>
          <w:szCs w:val="22"/>
        </w:rPr>
        <w:t xml:space="preserve"> </w:t>
      </w:r>
      <w:r w:rsidRPr="007B388C">
        <w:rPr>
          <w:rFonts w:cs="Arial"/>
          <w:b w:val="0"/>
          <w:i w:val="0"/>
          <w:color w:val="auto"/>
          <w:sz w:val="22"/>
          <w:szCs w:val="22"/>
          <w:shd w:val="clear" w:color="auto" w:fill="FFFFFF"/>
        </w:rPr>
        <w:t>miR34 family members that are predicted to target GPR55</w:t>
      </w:r>
      <w:r w:rsidRPr="007B388C">
        <w:rPr>
          <w:rStyle w:val="apple-converted-space"/>
          <w:rFonts w:cs="Arial"/>
          <w:b w:val="0"/>
          <w:i w:val="0"/>
          <w:color w:val="auto"/>
          <w:sz w:val="22"/>
          <w:szCs w:val="22"/>
          <w:shd w:val="clear" w:color="auto" w:fill="FFFFFF"/>
        </w:rPr>
        <w:t>.</w:t>
      </w:r>
      <w:r w:rsidRPr="007B388C">
        <w:rPr>
          <w:rFonts w:cs="Arial"/>
          <w:b w:val="0"/>
          <w:i w:val="0"/>
          <w:color w:val="auto"/>
          <w:sz w:val="22"/>
          <w:szCs w:val="22"/>
        </w:rPr>
        <w:t xml:space="preserve"> </w:t>
      </w:r>
    </w:p>
    <w:p w14:paraId="2B70576E" w14:textId="77777777" w:rsidR="00F476AD" w:rsidRPr="007B388C" w:rsidRDefault="00F476AD" w:rsidP="00157A61">
      <w:pPr>
        <w:pStyle w:val="Heading2"/>
        <w:spacing w:before="0" w:line="480" w:lineRule="auto"/>
        <w:rPr>
          <w:rFonts w:cs="Arial"/>
          <w:i w:val="0"/>
          <w:color w:val="auto"/>
          <w:sz w:val="22"/>
          <w:szCs w:val="22"/>
        </w:rPr>
      </w:pPr>
    </w:p>
    <w:p w14:paraId="6B1DF941" w14:textId="1A4A5033" w:rsidR="00120B6D" w:rsidRPr="007B388C" w:rsidRDefault="00120B6D" w:rsidP="00157A61">
      <w:pPr>
        <w:pStyle w:val="Heading2"/>
        <w:spacing w:before="0" w:line="480" w:lineRule="auto"/>
        <w:rPr>
          <w:rFonts w:cs="Arial"/>
          <w:b w:val="0"/>
          <w:i w:val="0"/>
          <w:color w:val="auto"/>
          <w:sz w:val="22"/>
          <w:szCs w:val="22"/>
        </w:rPr>
      </w:pPr>
      <w:r w:rsidRPr="007B388C">
        <w:rPr>
          <w:rFonts w:cs="Arial"/>
          <w:i w:val="0"/>
          <w:color w:val="auto"/>
          <w:sz w:val="22"/>
          <w:szCs w:val="22"/>
        </w:rPr>
        <w:t>Supplementary Table 2.</w:t>
      </w:r>
      <w:r w:rsidRPr="007B388C">
        <w:rPr>
          <w:rFonts w:cs="Arial"/>
          <w:b w:val="0"/>
          <w:i w:val="0"/>
          <w:color w:val="auto"/>
          <w:sz w:val="22"/>
          <w:szCs w:val="22"/>
        </w:rPr>
        <w:t xml:space="preserve"> </w:t>
      </w:r>
      <w:r w:rsidRPr="007B388C">
        <w:rPr>
          <w:rFonts w:cs="Arial"/>
          <w:b w:val="0"/>
          <w:i w:val="0"/>
          <w:color w:val="auto"/>
          <w:sz w:val="22"/>
          <w:szCs w:val="22"/>
          <w:shd w:val="clear" w:color="auto" w:fill="FFFFFF"/>
        </w:rPr>
        <w:t>Values of combination index (CI) and dose reduction index (DRI) for the indicated combinations as assessed by CompuSyn software.</w:t>
      </w:r>
      <w:r w:rsidRPr="007B388C">
        <w:rPr>
          <w:rFonts w:cs="Arial"/>
          <w:b w:val="0"/>
          <w:i w:val="0"/>
          <w:color w:val="auto"/>
          <w:sz w:val="22"/>
          <w:szCs w:val="22"/>
        </w:rPr>
        <w:t xml:space="preserve"> </w:t>
      </w:r>
      <w:r w:rsidR="009F7040" w:rsidRPr="007B388C">
        <w:rPr>
          <w:rFonts w:cs="Arial"/>
          <w:b w:val="0"/>
          <w:i w:val="0"/>
          <w:color w:val="auto"/>
          <w:sz w:val="22"/>
          <w:szCs w:val="22"/>
        </w:rPr>
        <w:t>CI</w:t>
      </w:r>
      <w:r w:rsidR="00F476AD" w:rsidRPr="007B388C">
        <w:rPr>
          <w:rFonts w:cs="Arial"/>
          <w:b w:val="0"/>
          <w:i w:val="0"/>
          <w:color w:val="auto"/>
          <w:sz w:val="22"/>
          <w:szCs w:val="22"/>
        </w:rPr>
        <w:t>&lt;1, CI=1, CI&gt;</w:t>
      </w:r>
      <w:r w:rsidR="009F7040" w:rsidRPr="007B388C">
        <w:rPr>
          <w:rFonts w:cs="Arial"/>
          <w:b w:val="0"/>
          <w:i w:val="0"/>
          <w:color w:val="auto"/>
          <w:sz w:val="22"/>
          <w:szCs w:val="22"/>
        </w:rPr>
        <w:t>1 indicate synergism, additivity and antagonism respectively.</w:t>
      </w:r>
    </w:p>
    <w:p w14:paraId="2FF37F88" w14:textId="77777777" w:rsidR="00F476AD" w:rsidRPr="007B388C" w:rsidRDefault="00F476AD" w:rsidP="00157A61">
      <w:pPr>
        <w:spacing w:after="0" w:line="480" w:lineRule="auto"/>
        <w:rPr>
          <w:rFonts w:cs="Arial"/>
          <w:b/>
        </w:rPr>
      </w:pPr>
    </w:p>
    <w:p w14:paraId="77F0155E" w14:textId="026D4CF8" w:rsidR="00120B6D" w:rsidRPr="007B388C" w:rsidRDefault="00120B6D" w:rsidP="00157A61">
      <w:pPr>
        <w:spacing w:after="0" w:line="480" w:lineRule="auto"/>
        <w:rPr>
          <w:rFonts w:eastAsiaTheme="majorEastAsia"/>
        </w:rPr>
      </w:pPr>
      <w:r w:rsidRPr="007B388C">
        <w:rPr>
          <w:rFonts w:cs="Arial"/>
          <w:b/>
        </w:rPr>
        <w:t>Supplementary Table 3</w:t>
      </w:r>
      <w:r w:rsidRPr="007B388C">
        <w:rPr>
          <w:rFonts w:cs="Arial"/>
        </w:rPr>
        <w:t>. Representative images of IHC antibody optimi</w:t>
      </w:r>
      <w:r w:rsidR="00E242F1" w:rsidRPr="007B388C">
        <w:rPr>
          <w:rFonts w:cs="Arial"/>
        </w:rPr>
        <w:t>s</w:t>
      </w:r>
      <w:r w:rsidRPr="007B388C">
        <w:rPr>
          <w:rFonts w:cs="Arial"/>
        </w:rPr>
        <w:t>ation (positive and negative staining).</w:t>
      </w:r>
    </w:p>
    <w:p w14:paraId="602E6C69" w14:textId="4FD3002D" w:rsidR="009F7040" w:rsidRPr="007B388C" w:rsidRDefault="009F7040" w:rsidP="00157A61">
      <w:pPr>
        <w:spacing w:after="0" w:line="480" w:lineRule="auto"/>
        <w:rPr>
          <w:rFonts w:ascii="Times New Roman" w:eastAsia="Times New Roman" w:hAnsi="Times New Roman" w:cs="Times New Roman"/>
          <w:lang w:eastAsia="en-GB"/>
        </w:rPr>
      </w:pPr>
    </w:p>
    <w:p w14:paraId="52744C9B" w14:textId="292F8755" w:rsidR="00807F75" w:rsidRPr="007B388C" w:rsidRDefault="00807F75" w:rsidP="00157A61">
      <w:pPr>
        <w:pStyle w:val="Heading2"/>
        <w:spacing w:before="0" w:line="480" w:lineRule="auto"/>
        <w:rPr>
          <w:rFonts w:cs="Arial"/>
          <w:b w:val="0"/>
          <w:i w:val="0"/>
          <w:color w:val="auto"/>
          <w:sz w:val="22"/>
          <w:szCs w:val="22"/>
        </w:rPr>
      </w:pPr>
      <w:bookmarkStart w:id="1" w:name="_GoBack"/>
      <w:bookmarkEnd w:id="1"/>
    </w:p>
    <w:sectPr w:rsidR="00807F75" w:rsidRPr="007B388C" w:rsidSect="0061246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B44C4" w14:textId="77777777" w:rsidR="00B76A1B" w:rsidRDefault="00B76A1B" w:rsidP="0032732C">
      <w:pPr>
        <w:spacing w:after="0" w:line="240" w:lineRule="auto"/>
      </w:pPr>
      <w:r>
        <w:separator/>
      </w:r>
    </w:p>
  </w:endnote>
  <w:endnote w:type="continuationSeparator" w:id="0">
    <w:p w14:paraId="2EDA59E9" w14:textId="77777777" w:rsidR="00B76A1B" w:rsidRDefault="00B76A1B" w:rsidP="0032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724094"/>
      <w:docPartObj>
        <w:docPartGallery w:val="Page Numbers (Bottom of Page)"/>
        <w:docPartUnique/>
      </w:docPartObj>
    </w:sdtPr>
    <w:sdtEndPr>
      <w:rPr>
        <w:noProof/>
      </w:rPr>
    </w:sdtEndPr>
    <w:sdtContent>
      <w:p w14:paraId="5DD2D983" w14:textId="0C728E99" w:rsidR="0032732C" w:rsidRDefault="00CC1499">
        <w:pPr>
          <w:pStyle w:val="Footer"/>
          <w:jc w:val="right"/>
        </w:pPr>
        <w:r>
          <w:fldChar w:fldCharType="begin"/>
        </w:r>
        <w:r w:rsidR="0032732C">
          <w:instrText xml:space="preserve"> PAGE   \* MERGEFORMAT </w:instrText>
        </w:r>
        <w:r>
          <w:fldChar w:fldCharType="separate"/>
        </w:r>
        <w:r w:rsidR="007B388C">
          <w:rPr>
            <w:noProof/>
          </w:rPr>
          <w:t>2</w:t>
        </w:r>
        <w:r>
          <w:rPr>
            <w:noProof/>
          </w:rPr>
          <w:fldChar w:fldCharType="end"/>
        </w:r>
      </w:p>
    </w:sdtContent>
  </w:sdt>
  <w:p w14:paraId="7CEF58D1" w14:textId="77777777" w:rsidR="0032732C" w:rsidRDefault="00327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7EC53" w14:textId="77777777" w:rsidR="00B76A1B" w:rsidRDefault="00B76A1B" w:rsidP="0032732C">
      <w:pPr>
        <w:spacing w:after="0" w:line="240" w:lineRule="auto"/>
      </w:pPr>
      <w:r>
        <w:separator/>
      </w:r>
    </w:p>
  </w:footnote>
  <w:footnote w:type="continuationSeparator" w:id="0">
    <w:p w14:paraId="26E40D2F" w14:textId="77777777" w:rsidR="00B76A1B" w:rsidRDefault="00B76A1B" w:rsidP="003273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Death Diff&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16ED0"/>
    <w:rsid w:val="00003E00"/>
    <w:rsid w:val="00004392"/>
    <w:rsid w:val="00014F7C"/>
    <w:rsid w:val="00041846"/>
    <w:rsid w:val="000426FB"/>
    <w:rsid w:val="00092DC5"/>
    <w:rsid w:val="000A3993"/>
    <w:rsid w:val="000A58FD"/>
    <w:rsid w:val="000A6735"/>
    <w:rsid w:val="000B7E31"/>
    <w:rsid w:val="000D0AA6"/>
    <w:rsid w:val="000D4DAA"/>
    <w:rsid w:val="000D760C"/>
    <w:rsid w:val="000E272D"/>
    <w:rsid w:val="000F2CEE"/>
    <w:rsid w:val="000F65AB"/>
    <w:rsid w:val="001053DF"/>
    <w:rsid w:val="00105AF5"/>
    <w:rsid w:val="00113A6F"/>
    <w:rsid w:val="00120B6D"/>
    <w:rsid w:val="0012500B"/>
    <w:rsid w:val="00142785"/>
    <w:rsid w:val="001564BE"/>
    <w:rsid w:val="00157A61"/>
    <w:rsid w:val="00170CE7"/>
    <w:rsid w:val="001951DF"/>
    <w:rsid w:val="001C0446"/>
    <w:rsid w:val="001D50BA"/>
    <w:rsid w:val="001D65CA"/>
    <w:rsid w:val="001E7797"/>
    <w:rsid w:val="001F3410"/>
    <w:rsid w:val="00204A10"/>
    <w:rsid w:val="002104EA"/>
    <w:rsid w:val="002112A8"/>
    <w:rsid w:val="00216CA7"/>
    <w:rsid w:val="002214CF"/>
    <w:rsid w:val="0022524D"/>
    <w:rsid w:val="002302CA"/>
    <w:rsid w:val="0026458E"/>
    <w:rsid w:val="002661B4"/>
    <w:rsid w:val="00293047"/>
    <w:rsid w:val="002C2B8E"/>
    <w:rsid w:val="002C628B"/>
    <w:rsid w:val="002D0106"/>
    <w:rsid w:val="002E51C3"/>
    <w:rsid w:val="002F5AC7"/>
    <w:rsid w:val="002F5D15"/>
    <w:rsid w:val="002F6655"/>
    <w:rsid w:val="0031508A"/>
    <w:rsid w:val="00321D2E"/>
    <w:rsid w:val="0032732C"/>
    <w:rsid w:val="0033288B"/>
    <w:rsid w:val="00340B6B"/>
    <w:rsid w:val="00347E46"/>
    <w:rsid w:val="00373969"/>
    <w:rsid w:val="003838AE"/>
    <w:rsid w:val="003A4FE5"/>
    <w:rsid w:val="003B39F2"/>
    <w:rsid w:val="003C23DE"/>
    <w:rsid w:val="003C3C9A"/>
    <w:rsid w:val="003E1DCD"/>
    <w:rsid w:val="003F13A5"/>
    <w:rsid w:val="003F595F"/>
    <w:rsid w:val="00407EE1"/>
    <w:rsid w:val="00413E72"/>
    <w:rsid w:val="0042005B"/>
    <w:rsid w:val="00450866"/>
    <w:rsid w:val="00463AB8"/>
    <w:rsid w:val="0047417C"/>
    <w:rsid w:val="004757DA"/>
    <w:rsid w:val="00476067"/>
    <w:rsid w:val="004955C4"/>
    <w:rsid w:val="004A156B"/>
    <w:rsid w:val="004A31E0"/>
    <w:rsid w:val="004A4172"/>
    <w:rsid w:val="004A5E9A"/>
    <w:rsid w:val="004E4697"/>
    <w:rsid w:val="005017DD"/>
    <w:rsid w:val="00510F2C"/>
    <w:rsid w:val="0054068D"/>
    <w:rsid w:val="00547AC6"/>
    <w:rsid w:val="0055316F"/>
    <w:rsid w:val="0055523F"/>
    <w:rsid w:val="00572638"/>
    <w:rsid w:val="0057303B"/>
    <w:rsid w:val="005852C3"/>
    <w:rsid w:val="00590423"/>
    <w:rsid w:val="005B4B4F"/>
    <w:rsid w:val="005D00F7"/>
    <w:rsid w:val="005D77F2"/>
    <w:rsid w:val="00605671"/>
    <w:rsid w:val="00607411"/>
    <w:rsid w:val="00612468"/>
    <w:rsid w:val="00616597"/>
    <w:rsid w:val="0061711C"/>
    <w:rsid w:val="00621F9E"/>
    <w:rsid w:val="00627B04"/>
    <w:rsid w:val="00627EA1"/>
    <w:rsid w:val="00643DB5"/>
    <w:rsid w:val="00651923"/>
    <w:rsid w:val="0067478D"/>
    <w:rsid w:val="0068238B"/>
    <w:rsid w:val="00691C0B"/>
    <w:rsid w:val="006A3721"/>
    <w:rsid w:val="006A4596"/>
    <w:rsid w:val="006B64C3"/>
    <w:rsid w:val="006C2838"/>
    <w:rsid w:val="006C6548"/>
    <w:rsid w:val="006E07F0"/>
    <w:rsid w:val="006F212F"/>
    <w:rsid w:val="007066CB"/>
    <w:rsid w:val="007357D2"/>
    <w:rsid w:val="007419DE"/>
    <w:rsid w:val="0075089E"/>
    <w:rsid w:val="007530FF"/>
    <w:rsid w:val="00762216"/>
    <w:rsid w:val="007627A6"/>
    <w:rsid w:val="00775C52"/>
    <w:rsid w:val="007A4174"/>
    <w:rsid w:val="007B388C"/>
    <w:rsid w:val="007C47F8"/>
    <w:rsid w:val="007E3684"/>
    <w:rsid w:val="007F41E7"/>
    <w:rsid w:val="007F5D63"/>
    <w:rsid w:val="007F66D9"/>
    <w:rsid w:val="0080717D"/>
    <w:rsid w:val="00807F75"/>
    <w:rsid w:val="0082212E"/>
    <w:rsid w:val="008449CB"/>
    <w:rsid w:val="00855406"/>
    <w:rsid w:val="00855955"/>
    <w:rsid w:val="008646EF"/>
    <w:rsid w:val="008764F2"/>
    <w:rsid w:val="00887A5E"/>
    <w:rsid w:val="008B1894"/>
    <w:rsid w:val="008C00B3"/>
    <w:rsid w:val="008F2FB7"/>
    <w:rsid w:val="008F6F98"/>
    <w:rsid w:val="00914EF6"/>
    <w:rsid w:val="00916515"/>
    <w:rsid w:val="00921DD4"/>
    <w:rsid w:val="00933059"/>
    <w:rsid w:val="00983FF6"/>
    <w:rsid w:val="009A22B0"/>
    <w:rsid w:val="009A319F"/>
    <w:rsid w:val="009B702F"/>
    <w:rsid w:val="009C7199"/>
    <w:rsid w:val="009D1985"/>
    <w:rsid w:val="009F37A9"/>
    <w:rsid w:val="009F64A9"/>
    <w:rsid w:val="009F7040"/>
    <w:rsid w:val="00A04534"/>
    <w:rsid w:val="00A26545"/>
    <w:rsid w:val="00A26E68"/>
    <w:rsid w:val="00A536D5"/>
    <w:rsid w:val="00A56E2D"/>
    <w:rsid w:val="00A719B6"/>
    <w:rsid w:val="00A87116"/>
    <w:rsid w:val="00A927A1"/>
    <w:rsid w:val="00A94080"/>
    <w:rsid w:val="00AA29BA"/>
    <w:rsid w:val="00AC01DF"/>
    <w:rsid w:val="00AC0717"/>
    <w:rsid w:val="00AC4EB3"/>
    <w:rsid w:val="00AE275A"/>
    <w:rsid w:val="00AE63C2"/>
    <w:rsid w:val="00B22AA5"/>
    <w:rsid w:val="00B46A64"/>
    <w:rsid w:val="00B55850"/>
    <w:rsid w:val="00B61398"/>
    <w:rsid w:val="00B702EC"/>
    <w:rsid w:val="00B7148F"/>
    <w:rsid w:val="00B76A1B"/>
    <w:rsid w:val="00B81BE5"/>
    <w:rsid w:val="00B86A74"/>
    <w:rsid w:val="00BD5955"/>
    <w:rsid w:val="00BF5AAE"/>
    <w:rsid w:val="00C0637E"/>
    <w:rsid w:val="00C072B1"/>
    <w:rsid w:val="00C1600E"/>
    <w:rsid w:val="00C44E90"/>
    <w:rsid w:val="00C476BB"/>
    <w:rsid w:val="00C500AF"/>
    <w:rsid w:val="00C57843"/>
    <w:rsid w:val="00C925B0"/>
    <w:rsid w:val="00CB255A"/>
    <w:rsid w:val="00CC1499"/>
    <w:rsid w:val="00CC3853"/>
    <w:rsid w:val="00CC3D2C"/>
    <w:rsid w:val="00CC4B6D"/>
    <w:rsid w:val="00CC643A"/>
    <w:rsid w:val="00D01961"/>
    <w:rsid w:val="00D175CF"/>
    <w:rsid w:val="00D32A2C"/>
    <w:rsid w:val="00D35626"/>
    <w:rsid w:val="00D35FB2"/>
    <w:rsid w:val="00D673F9"/>
    <w:rsid w:val="00D7504E"/>
    <w:rsid w:val="00D75FFD"/>
    <w:rsid w:val="00D832AC"/>
    <w:rsid w:val="00D85C4A"/>
    <w:rsid w:val="00D86655"/>
    <w:rsid w:val="00D8720F"/>
    <w:rsid w:val="00D94843"/>
    <w:rsid w:val="00DA72EE"/>
    <w:rsid w:val="00DB2EAB"/>
    <w:rsid w:val="00DC2243"/>
    <w:rsid w:val="00DD471E"/>
    <w:rsid w:val="00DD5A88"/>
    <w:rsid w:val="00DE2F88"/>
    <w:rsid w:val="00DE76B2"/>
    <w:rsid w:val="00E12166"/>
    <w:rsid w:val="00E16ED0"/>
    <w:rsid w:val="00E242F1"/>
    <w:rsid w:val="00E75F41"/>
    <w:rsid w:val="00E97DCD"/>
    <w:rsid w:val="00EA664B"/>
    <w:rsid w:val="00EC445D"/>
    <w:rsid w:val="00EE6234"/>
    <w:rsid w:val="00EF3111"/>
    <w:rsid w:val="00F045E0"/>
    <w:rsid w:val="00F05018"/>
    <w:rsid w:val="00F125AB"/>
    <w:rsid w:val="00F14FC9"/>
    <w:rsid w:val="00F27DFC"/>
    <w:rsid w:val="00F476AD"/>
    <w:rsid w:val="00F576CC"/>
    <w:rsid w:val="00F638B8"/>
    <w:rsid w:val="00FA4146"/>
    <w:rsid w:val="00FB0EB6"/>
    <w:rsid w:val="00FC09AB"/>
    <w:rsid w:val="00FF6AA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BC479D"/>
  <w15:docId w15:val="{66968E92-89C9-44C4-9981-9A39AA25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ED0"/>
    <w:pPr>
      <w:jc w:val="both"/>
    </w:pPr>
    <w:rPr>
      <w:rFonts w:ascii="Arial" w:hAnsi="Arial"/>
    </w:rPr>
  </w:style>
  <w:style w:type="paragraph" w:styleId="Heading1">
    <w:name w:val="heading 1"/>
    <w:basedOn w:val="Normal"/>
    <w:next w:val="Normal"/>
    <w:link w:val="Heading1Char"/>
    <w:uiPriority w:val="9"/>
    <w:qFormat/>
    <w:rsid w:val="00E16ED0"/>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E16ED0"/>
    <w:pPr>
      <w:keepNext/>
      <w:keepLines/>
      <w:spacing w:before="40" w:after="0"/>
      <w:outlineLvl w:val="1"/>
    </w:pPr>
    <w:rPr>
      <w:rFonts w:eastAsiaTheme="majorEastAsia" w:cstheme="majorBidi"/>
      <w:b/>
      <w:i/>
      <w:color w:val="000000" w:themeColor="text1"/>
      <w:sz w:val="24"/>
      <w:szCs w:val="26"/>
    </w:rPr>
  </w:style>
  <w:style w:type="paragraph" w:styleId="Heading3">
    <w:name w:val="heading 3"/>
    <w:basedOn w:val="Normal"/>
    <w:next w:val="Normal"/>
    <w:link w:val="Heading3Char"/>
    <w:uiPriority w:val="9"/>
    <w:unhideWhenUsed/>
    <w:qFormat/>
    <w:rsid w:val="009330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6ED0"/>
    <w:rPr>
      <w:rFonts w:ascii="Arial" w:eastAsiaTheme="majorEastAsia" w:hAnsi="Arial" w:cstheme="majorBidi"/>
      <w:b/>
      <w:i/>
      <w:color w:val="000000" w:themeColor="text1"/>
      <w:sz w:val="24"/>
      <w:szCs w:val="26"/>
    </w:rPr>
  </w:style>
  <w:style w:type="paragraph" w:customStyle="1" w:styleId="SMSubheading">
    <w:name w:val="SM Subheading"/>
    <w:basedOn w:val="Normal"/>
    <w:qFormat/>
    <w:rsid w:val="00E16ED0"/>
    <w:pPr>
      <w:spacing w:after="0" w:line="240" w:lineRule="auto"/>
    </w:pPr>
    <w:rPr>
      <w:rFonts w:ascii="Times New Roman" w:eastAsia="Times New Roman" w:hAnsi="Times New Roman" w:cs="Times New Roman"/>
      <w:sz w:val="24"/>
      <w:szCs w:val="20"/>
      <w:u w:val="words"/>
      <w:lang w:val="en-US"/>
    </w:rPr>
  </w:style>
  <w:style w:type="paragraph" w:customStyle="1" w:styleId="SMText">
    <w:name w:val="SM Text"/>
    <w:basedOn w:val="Normal"/>
    <w:qFormat/>
    <w:rsid w:val="00E16ED0"/>
    <w:pPr>
      <w:spacing w:after="0" w:line="240" w:lineRule="auto"/>
      <w:ind w:firstLine="480"/>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E16ED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933059"/>
    <w:rPr>
      <w:rFonts w:asciiTheme="majorHAnsi" w:eastAsiaTheme="majorEastAsia" w:hAnsiTheme="majorHAnsi" w:cstheme="majorBidi"/>
      <w:color w:val="1F4D78" w:themeColor="accent1" w:themeShade="7F"/>
      <w:sz w:val="24"/>
      <w:szCs w:val="24"/>
    </w:rPr>
  </w:style>
  <w:style w:type="paragraph" w:customStyle="1" w:styleId="SMcaption">
    <w:name w:val="SM caption"/>
    <w:basedOn w:val="SMText"/>
    <w:qFormat/>
    <w:rsid w:val="007419DE"/>
    <w:pPr>
      <w:ind w:firstLine="0"/>
      <w:jc w:val="left"/>
    </w:pPr>
  </w:style>
  <w:style w:type="paragraph" w:customStyle="1" w:styleId="Teaser">
    <w:name w:val="Teaser"/>
    <w:basedOn w:val="Normal"/>
    <w:rsid w:val="00510F2C"/>
    <w:pPr>
      <w:spacing w:before="120"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D5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955"/>
    <w:rPr>
      <w:rFonts w:ascii="Tahoma" w:hAnsi="Tahoma" w:cs="Tahoma"/>
      <w:sz w:val="16"/>
      <w:szCs w:val="16"/>
    </w:rPr>
  </w:style>
  <w:style w:type="character" w:customStyle="1" w:styleId="apple-converted-space">
    <w:name w:val="apple-converted-space"/>
    <w:basedOn w:val="DefaultParagraphFont"/>
    <w:rsid w:val="00807F75"/>
  </w:style>
  <w:style w:type="paragraph" w:styleId="Header">
    <w:name w:val="header"/>
    <w:basedOn w:val="Normal"/>
    <w:link w:val="HeaderChar"/>
    <w:uiPriority w:val="99"/>
    <w:unhideWhenUsed/>
    <w:rsid w:val="00327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32C"/>
    <w:rPr>
      <w:rFonts w:ascii="Arial" w:hAnsi="Arial"/>
    </w:rPr>
  </w:style>
  <w:style w:type="paragraph" w:styleId="Footer">
    <w:name w:val="footer"/>
    <w:basedOn w:val="Normal"/>
    <w:link w:val="FooterChar"/>
    <w:uiPriority w:val="99"/>
    <w:unhideWhenUsed/>
    <w:rsid w:val="00327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32C"/>
    <w:rPr>
      <w:rFonts w:ascii="Arial" w:hAnsi="Arial"/>
    </w:rPr>
  </w:style>
  <w:style w:type="paragraph" w:styleId="NormalWeb">
    <w:name w:val="Normal (Web)"/>
    <w:basedOn w:val="Normal"/>
    <w:uiPriority w:val="99"/>
    <w:unhideWhenUsed/>
    <w:rsid w:val="00A26E68"/>
    <w:pPr>
      <w:spacing w:before="100" w:beforeAutospacing="1" w:after="100" w:afterAutospacing="1" w:line="240" w:lineRule="auto"/>
      <w:jc w:val="left"/>
    </w:pPr>
    <w:rPr>
      <w:rFonts w:ascii="Times" w:eastAsiaTheme="minorEastAsia" w:hAnsi="Times" w:cs="Times New Roman"/>
      <w:sz w:val="20"/>
      <w:szCs w:val="20"/>
    </w:rPr>
  </w:style>
  <w:style w:type="table" w:styleId="TableGrid">
    <w:name w:val="Table Grid"/>
    <w:basedOn w:val="TableNormal"/>
    <w:uiPriority w:val="59"/>
    <w:rsid w:val="00120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6F212F"/>
    <w:pPr>
      <w:spacing w:after="0"/>
      <w:jc w:val="center"/>
    </w:pPr>
    <w:rPr>
      <w:sz w:val="24"/>
      <w:lang w:val="en-US"/>
    </w:rPr>
  </w:style>
  <w:style w:type="paragraph" w:customStyle="1" w:styleId="EndNoteBibliography">
    <w:name w:val="EndNote Bibliography"/>
    <w:basedOn w:val="Normal"/>
    <w:rsid w:val="006F212F"/>
    <w:pPr>
      <w:spacing w:line="240" w:lineRule="auto"/>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39818">
      <w:bodyDiv w:val="1"/>
      <w:marLeft w:val="0"/>
      <w:marRight w:val="0"/>
      <w:marTop w:val="0"/>
      <w:marBottom w:val="0"/>
      <w:divBdr>
        <w:top w:val="none" w:sz="0" w:space="0" w:color="auto"/>
        <w:left w:val="none" w:sz="0" w:space="0" w:color="auto"/>
        <w:bottom w:val="none" w:sz="0" w:space="0" w:color="auto"/>
        <w:right w:val="none" w:sz="0" w:space="0" w:color="auto"/>
      </w:divBdr>
      <w:divsChild>
        <w:div w:id="1308510110">
          <w:marLeft w:val="0"/>
          <w:marRight w:val="0"/>
          <w:marTop w:val="0"/>
          <w:marBottom w:val="0"/>
          <w:divBdr>
            <w:top w:val="none" w:sz="0" w:space="0" w:color="auto"/>
            <w:left w:val="none" w:sz="0" w:space="0" w:color="auto"/>
            <w:bottom w:val="none" w:sz="0" w:space="0" w:color="auto"/>
            <w:right w:val="none" w:sz="0" w:space="0" w:color="auto"/>
          </w:divBdr>
          <w:divsChild>
            <w:div w:id="19851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08360">
      <w:bodyDiv w:val="1"/>
      <w:marLeft w:val="0"/>
      <w:marRight w:val="0"/>
      <w:marTop w:val="0"/>
      <w:marBottom w:val="0"/>
      <w:divBdr>
        <w:top w:val="none" w:sz="0" w:space="0" w:color="auto"/>
        <w:left w:val="none" w:sz="0" w:space="0" w:color="auto"/>
        <w:bottom w:val="none" w:sz="0" w:space="0" w:color="auto"/>
        <w:right w:val="none" w:sz="0" w:space="0" w:color="auto"/>
      </w:divBdr>
    </w:div>
    <w:div w:id="1787306633">
      <w:bodyDiv w:val="1"/>
      <w:marLeft w:val="0"/>
      <w:marRight w:val="0"/>
      <w:marTop w:val="0"/>
      <w:marBottom w:val="0"/>
      <w:divBdr>
        <w:top w:val="none" w:sz="0" w:space="0" w:color="auto"/>
        <w:left w:val="none" w:sz="0" w:space="0" w:color="auto"/>
        <w:bottom w:val="none" w:sz="0" w:space="0" w:color="auto"/>
        <w:right w:val="none" w:sz="0" w:space="0" w:color="auto"/>
      </w:divBdr>
    </w:div>
    <w:div w:id="1896626606">
      <w:bodyDiv w:val="1"/>
      <w:marLeft w:val="0"/>
      <w:marRight w:val="0"/>
      <w:marTop w:val="0"/>
      <w:marBottom w:val="0"/>
      <w:divBdr>
        <w:top w:val="none" w:sz="0" w:space="0" w:color="auto"/>
        <w:left w:val="none" w:sz="0" w:space="0" w:color="auto"/>
        <w:bottom w:val="none" w:sz="0" w:space="0" w:color="auto"/>
        <w:right w:val="none" w:sz="0" w:space="0" w:color="auto"/>
      </w:divBdr>
      <w:divsChild>
        <w:div w:id="1437483793">
          <w:marLeft w:val="0"/>
          <w:marRight w:val="0"/>
          <w:marTop w:val="0"/>
          <w:marBottom w:val="0"/>
          <w:divBdr>
            <w:top w:val="none" w:sz="0" w:space="0" w:color="auto"/>
            <w:left w:val="none" w:sz="0" w:space="0" w:color="auto"/>
            <w:bottom w:val="none" w:sz="0" w:space="0" w:color="auto"/>
            <w:right w:val="none" w:sz="0" w:space="0" w:color="auto"/>
          </w:divBdr>
          <w:divsChild>
            <w:div w:id="4037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3FD99-1E1F-4D17-A525-DC04F474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r.ferro@live.com</dc:creator>
  <cp:lastModifiedBy>Marco Falasca</cp:lastModifiedBy>
  <cp:revision>2</cp:revision>
  <cp:lastPrinted>2017-07-03T19:13:00Z</cp:lastPrinted>
  <dcterms:created xsi:type="dcterms:W3CDTF">2018-04-24T03:39:00Z</dcterms:created>
  <dcterms:modified xsi:type="dcterms:W3CDTF">2018-04-24T03:39:00Z</dcterms:modified>
</cp:coreProperties>
</file>