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</w:t>
      </w:r>
      <w:r>
        <w:rPr>
          <w:rFonts w:hint="eastAsia"/>
          <w:b/>
          <w:color w:val="000000"/>
          <w:sz w:val="28"/>
          <w:szCs w:val="28"/>
        </w:rPr>
        <w:t>upplementary</w:t>
      </w:r>
      <w:r>
        <w:rPr>
          <w:rFonts w:hint="eastAsia"/>
          <w:b/>
          <w:color w:val="000000"/>
          <w:sz w:val="24"/>
        </w:rPr>
        <w:t xml:space="preserve"> </w:t>
      </w:r>
      <w:r>
        <w:rPr>
          <w:b/>
          <w:color w:val="000000"/>
          <w:sz w:val="28"/>
          <w:szCs w:val="28"/>
        </w:rPr>
        <w:t>Figure legends</w:t>
      </w:r>
    </w:p>
    <w:p>
      <w:pPr>
        <w:rPr>
          <w:b/>
          <w:color w:val="000000"/>
          <w:sz w:val="24"/>
        </w:rPr>
      </w:pPr>
    </w:p>
    <w:p>
      <w:pPr>
        <w:spacing w:line="36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t>S</w:t>
      </w:r>
      <w:r>
        <w:rPr>
          <w:rFonts w:hint="eastAsia"/>
          <w:b/>
          <w:color w:val="000000"/>
          <w:sz w:val="24"/>
        </w:rPr>
        <w:t>upplementary</w:t>
      </w:r>
      <w:r>
        <w:rPr>
          <w:b/>
          <w:color w:val="000000"/>
          <w:sz w:val="24"/>
        </w:rPr>
        <w:t xml:space="preserve"> Figure</w:t>
      </w:r>
      <w:r>
        <w:rPr>
          <w:rFonts w:hint="eastAsia"/>
          <w:b/>
          <w:color w:val="000000"/>
          <w:sz w:val="24"/>
        </w:rPr>
        <w:t xml:space="preserve"> 1.</w:t>
      </w:r>
      <w:r>
        <w:rPr>
          <w:rFonts w:hint="eastAsia" w:ascii="TimesNewRomanPSMT" w:hAnsi="TimesNewRomanPSMT"/>
          <w:color w:val="000000"/>
          <w:sz w:val="24"/>
          <w:szCs w:val="20"/>
        </w:rPr>
        <w:t xml:space="preserve"> </w:t>
      </w:r>
      <w:bookmarkStart w:id="0" w:name="OLE_LINK19"/>
      <w:bookmarkStart w:id="1" w:name="OLE_LINK20"/>
      <w:r>
        <w:rPr>
          <w:rFonts w:hint="eastAsia"/>
          <w:b/>
          <w:color w:val="000000"/>
          <w:sz w:val="24"/>
        </w:rPr>
        <w:t xml:space="preserve">The positive </w:t>
      </w:r>
      <w:r>
        <w:rPr>
          <w:b/>
          <w:color w:val="000000"/>
          <w:sz w:val="24"/>
        </w:rPr>
        <w:t>pLenti-miR-</w:t>
      </w:r>
      <w:r>
        <w:rPr>
          <w:rFonts w:hint="eastAsia"/>
          <w:b/>
          <w:color w:val="000000"/>
          <w:sz w:val="24"/>
        </w:rPr>
        <w:t>411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 xml:space="preserve">H1299 cells and </w:t>
      </w:r>
      <w:r>
        <w:rPr>
          <w:rFonts w:hint="eastAsia"/>
          <w:b/>
          <w:color w:val="000000"/>
          <w:sz w:val="24"/>
          <w:lang w:eastAsia="zh-CN"/>
        </w:rPr>
        <w:t>SPC-A1</w:t>
      </w:r>
      <w:r>
        <w:rPr>
          <w:b/>
          <w:color w:val="000000"/>
          <w:sz w:val="24"/>
        </w:rPr>
        <w:t xml:space="preserve"> cells</w:t>
      </w:r>
      <w:r>
        <w:rPr>
          <w:rFonts w:hint="eastAsia"/>
          <w:b/>
          <w:color w:val="000000"/>
          <w:sz w:val="24"/>
        </w:rPr>
        <w:t xml:space="preserve"> were shown by imaging with </w:t>
      </w:r>
      <w:r>
        <w:rPr>
          <w:b/>
          <w:color w:val="000000"/>
          <w:sz w:val="24"/>
        </w:rPr>
        <w:t>inverted fluorescence microscope</w:t>
      </w:r>
      <w:r>
        <w:rPr>
          <w:rFonts w:hint="eastAsia"/>
          <w:b/>
          <w:color w:val="000000"/>
          <w:sz w:val="24"/>
        </w:rPr>
        <w:t>.</w:t>
      </w:r>
      <w:bookmarkEnd w:id="0"/>
      <w:bookmarkEnd w:id="1"/>
    </w:p>
    <w:p>
      <w:pPr>
        <w:rPr>
          <w:b/>
          <w:color w:val="000000"/>
          <w:sz w:val="24"/>
        </w:rPr>
      </w:pPr>
    </w:p>
    <w:p>
      <w:pPr>
        <w:rPr>
          <w:rFonts w:hint="eastAsia" w:ascii="TimesNewRomanPS-BoldMT" w:hAnsi="TimesNewRomanPS-BoldMT"/>
          <w:b/>
          <w:bCs/>
          <w:color w:val="231F20"/>
          <w:sz w:val="24"/>
        </w:rPr>
      </w:pPr>
      <w:r>
        <w:rPr>
          <w:b/>
          <w:color w:val="000000"/>
          <w:sz w:val="24"/>
        </w:rPr>
        <w:t>S</w:t>
      </w:r>
      <w:r>
        <w:rPr>
          <w:rFonts w:hint="eastAsia"/>
          <w:b/>
          <w:color w:val="000000"/>
          <w:sz w:val="24"/>
        </w:rPr>
        <w:t>upplementary</w:t>
      </w:r>
      <w:r>
        <w:rPr>
          <w:b/>
          <w:color w:val="000000"/>
          <w:sz w:val="24"/>
        </w:rPr>
        <w:t xml:space="preserve"> Figure</w:t>
      </w:r>
      <w:r>
        <w:rPr>
          <w:rFonts w:hint="eastAsia"/>
          <w:b/>
          <w:color w:val="000000"/>
          <w:sz w:val="24"/>
        </w:rPr>
        <w:t xml:space="preserve"> 2.</w:t>
      </w:r>
      <w:r>
        <w:rPr>
          <w:rFonts w:ascii="TimesNewRomanPS-BoldMT" w:hAnsi="TimesNewRomanPS-BoldMT"/>
          <w:b/>
          <w:bCs/>
          <w:color w:val="231F20"/>
          <w:sz w:val="24"/>
        </w:rPr>
        <w:t xml:space="preserve"> </w:t>
      </w:r>
      <w:bookmarkStart w:id="2" w:name="OLE_LINK21"/>
      <w:bookmarkStart w:id="3" w:name="OLE_LINK22"/>
      <w:r>
        <w:rPr>
          <w:rFonts w:ascii="TimesNewRomanPS-BoldMT" w:hAnsi="TimesNewRomanPS-BoldMT"/>
          <w:b/>
          <w:bCs/>
          <w:color w:val="231F20"/>
          <w:sz w:val="24"/>
        </w:rPr>
        <w:t>MiR-</w:t>
      </w:r>
      <w:r>
        <w:rPr>
          <w:rFonts w:hint="eastAsia" w:ascii="TimesNewRomanPS-BoldMT" w:hAnsi="TimesNewRomanPS-BoldMT"/>
          <w:b/>
          <w:bCs/>
          <w:color w:val="231F20"/>
          <w:sz w:val="24"/>
        </w:rPr>
        <w:t>411</w:t>
      </w:r>
      <w:r>
        <w:rPr>
          <w:rFonts w:ascii="TimesNewRomanPS-BoldMT" w:hAnsi="TimesNewRomanPS-BoldMT"/>
          <w:b/>
          <w:bCs/>
          <w:color w:val="231F20"/>
          <w:sz w:val="24"/>
        </w:rPr>
        <w:t xml:space="preserve"> can </w:t>
      </w:r>
      <w:r>
        <w:rPr>
          <w:rFonts w:hint="eastAsia" w:ascii="TimesNewRomanPS-BoldMT" w:hAnsi="TimesNewRomanPS-BoldMT"/>
          <w:b/>
          <w:bCs/>
          <w:color w:val="231F20"/>
          <w:sz w:val="24"/>
        </w:rPr>
        <w:t>effect</w:t>
      </w:r>
      <w:r>
        <w:rPr>
          <w:rFonts w:ascii="TimesNewRomanPS-BoldMT" w:hAnsi="TimesNewRomanPS-BoldMT"/>
          <w:b/>
          <w:bCs/>
          <w:color w:val="231F20"/>
          <w:sz w:val="24"/>
        </w:rPr>
        <w:t xml:space="preserve"> cell-cycle progression</w:t>
      </w:r>
      <w:r>
        <w:rPr>
          <w:rFonts w:hint="eastAsia"/>
          <w:b/>
          <w:color w:val="000000"/>
          <w:sz w:val="24"/>
        </w:rPr>
        <w:t xml:space="preserve"> in NSCLC</w:t>
      </w:r>
      <w:r>
        <w:rPr>
          <w:rFonts w:ascii="TimesNewRomanPS-BoldMT" w:hAnsi="TimesNewRomanPS-BoldMT"/>
          <w:b/>
          <w:bCs/>
          <w:color w:val="231F20"/>
          <w:sz w:val="24"/>
        </w:rPr>
        <w:t>.</w:t>
      </w:r>
      <w:bookmarkEnd w:id="2"/>
      <w:bookmarkEnd w:id="3"/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="TimesNewRomanPSMT" w:hAnsi="TimesNewRomanPSMT"/>
          <w:color w:val="000000"/>
          <w:sz w:val="24"/>
          <w:szCs w:val="20"/>
        </w:rPr>
      </w:pPr>
      <w:r>
        <w:rPr>
          <w:rFonts w:ascii="TimesNewRomanPSMT" w:hAnsi="TimesNewRomanPSMT"/>
          <w:color w:val="000000"/>
          <w:sz w:val="24"/>
          <w:szCs w:val="20"/>
        </w:rPr>
        <w:t>The cell cycle distributions of pLenti-miR-411</w:t>
      </w:r>
      <w:r>
        <w:rPr>
          <w:rFonts w:hint="eastAsia" w:ascii="TimesNewRomanPSMT" w:hAnsi="TimesNewRomanPSMT"/>
          <w:color w:val="000000"/>
          <w:sz w:val="24"/>
          <w:szCs w:val="20"/>
        </w:rPr>
        <w:t xml:space="preserve"> </w:t>
      </w:r>
      <w:r>
        <w:rPr>
          <w:rFonts w:hint="eastAsia" w:ascii="TimesNewRomanPSMT" w:hAnsi="TimesNewRomanPSMT"/>
          <w:color w:val="000000"/>
          <w:sz w:val="24"/>
          <w:szCs w:val="20"/>
          <w:lang w:eastAsia="zh-CN"/>
        </w:rPr>
        <w:t>SPC-A1</w:t>
      </w:r>
      <w:r>
        <w:rPr>
          <w:rFonts w:hint="eastAsia" w:ascii="TimesNewRomanPSMT" w:hAnsi="TimesNewRomanPSMT"/>
          <w:color w:val="000000"/>
          <w:sz w:val="24"/>
          <w:szCs w:val="20"/>
        </w:rPr>
        <w:t xml:space="preserve"> </w:t>
      </w:r>
      <w:r>
        <w:rPr>
          <w:rFonts w:ascii="TimesNewRomanPSMT" w:hAnsi="TimesNewRomanPSMT"/>
          <w:color w:val="000000"/>
          <w:sz w:val="24"/>
          <w:szCs w:val="20"/>
        </w:rPr>
        <w:t xml:space="preserve">cells were detected by flow cytometry. 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b/>
          <w:color w:val="000000"/>
          <w:sz w:val="24"/>
        </w:rPr>
      </w:pPr>
      <w:r>
        <w:rPr>
          <w:rFonts w:ascii="TimesNewRomanPSMT" w:hAnsi="TimesNewRomanPSMT"/>
          <w:color w:val="000000"/>
          <w:sz w:val="24"/>
          <w:szCs w:val="20"/>
        </w:rPr>
        <w:t>The cell cycle distributions of pLenti-miR-411</w:t>
      </w:r>
      <w:r>
        <w:rPr>
          <w:rFonts w:hint="eastAsia" w:ascii="TimesNewRomanPSMT" w:hAnsi="TimesNewRomanPSMT"/>
          <w:color w:val="000000"/>
          <w:sz w:val="24"/>
          <w:szCs w:val="20"/>
        </w:rPr>
        <w:t xml:space="preserve"> H1299 </w:t>
      </w:r>
      <w:r>
        <w:rPr>
          <w:rFonts w:ascii="TimesNewRomanPSMT" w:hAnsi="TimesNewRomanPSMT"/>
          <w:color w:val="000000"/>
          <w:sz w:val="24"/>
          <w:szCs w:val="20"/>
        </w:rPr>
        <w:t xml:space="preserve">cells were detected by flow cytometry. </w:t>
      </w:r>
    </w:p>
    <w:p>
      <w:pPr>
        <w:spacing w:line="360" w:lineRule="auto"/>
        <w:rPr>
          <w:rFonts w:hint="eastAsia" w:ascii="TimesNewRomanPSMT" w:hAnsi="TimesNewRomanPSMT"/>
          <w:color w:val="000000"/>
          <w:sz w:val="24"/>
          <w:szCs w:val="20"/>
        </w:rPr>
      </w:pPr>
      <w:r>
        <w:rPr>
          <w:rFonts w:ascii="TimesNewRomanPSMT" w:hAnsi="TimesNewRomanPSMT"/>
          <w:color w:val="000000"/>
          <w:sz w:val="24"/>
          <w:szCs w:val="20"/>
        </w:rPr>
        <w:t>*</w:t>
      </w:r>
      <w:r>
        <w:rPr>
          <w:rFonts w:ascii="TimesNewRomanPSMT" w:hAnsi="TimesNewRomanPSMT"/>
          <w:i/>
          <w:color w:val="000000"/>
          <w:sz w:val="24"/>
          <w:szCs w:val="20"/>
        </w:rPr>
        <w:t>P</w:t>
      </w:r>
      <w:r>
        <w:rPr>
          <w:rFonts w:ascii="TimesNewRomanPSMT" w:hAnsi="TimesNewRomanPSMT"/>
          <w:color w:val="000000"/>
          <w:sz w:val="24"/>
          <w:szCs w:val="20"/>
        </w:rPr>
        <w:t>&lt;0.05</w:t>
      </w:r>
      <w:r>
        <w:rPr>
          <w:rFonts w:ascii="TimesNewRomanPSMT" w:hAnsi="TimesNewRomanPSMT"/>
          <w:sz w:val="24"/>
          <w:szCs w:val="20"/>
        </w:rPr>
        <w:t xml:space="preserve"> and </w:t>
      </w:r>
      <w:r>
        <w:rPr>
          <w:rFonts w:ascii="TimesNewRomanPSMT" w:hAnsi="TimesNewRomanPSMT"/>
          <w:color w:val="231F20"/>
          <w:sz w:val="24"/>
        </w:rPr>
        <w:t>**P&lt;0.01</w:t>
      </w:r>
      <w:r>
        <w:rPr>
          <w:rFonts w:ascii="TimesNewRomanPSMT" w:hAnsi="TimesNewRomanPSMT"/>
          <w:color w:val="000000"/>
          <w:sz w:val="24"/>
          <w:szCs w:val="20"/>
        </w:rPr>
        <w:t>.</w:t>
      </w:r>
    </w:p>
    <w:p>
      <w:pPr>
        <w:spacing w:line="360" w:lineRule="auto"/>
        <w:rPr>
          <w:rFonts w:hint="eastAsia" w:ascii="TimesNewRomanPSMT" w:hAnsi="TimesNewRomanPSMT"/>
          <w:color w:val="000000"/>
          <w:sz w:val="24"/>
          <w:szCs w:val="20"/>
        </w:rPr>
      </w:pPr>
    </w:p>
    <w:p>
      <w:pPr>
        <w:spacing w:line="36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t>S</w:t>
      </w:r>
      <w:r>
        <w:rPr>
          <w:rFonts w:hint="eastAsia"/>
          <w:b/>
          <w:color w:val="000000"/>
          <w:sz w:val="24"/>
        </w:rPr>
        <w:t>upplementary</w:t>
      </w:r>
      <w:r>
        <w:rPr>
          <w:b/>
          <w:color w:val="000000"/>
          <w:sz w:val="24"/>
        </w:rPr>
        <w:t xml:space="preserve"> Figure</w:t>
      </w:r>
      <w:r>
        <w:rPr>
          <w:rFonts w:hint="eastAsia"/>
          <w:b/>
          <w:color w:val="000000"/>
          <w:sz w:val="24"/>
        </w:rPr>
        <w:t xml:space="preserve"> 3. </w:t>
      </w:r>
      <w:r>
        <w:rPr>
          <w:b/>
          <w:color w:val="000000"/>
          <w:sz w:val="24"/>
        </w:rPr>
        <w:t>Over</w:t>
      </w:r>
      <w:r>
        <w:rPr>
          <w:rFonts w:hint="eastAsia"/>
          <w:b/>
          <w:color w:val="000000"/>
          <w:sz w:val="24"/>
        </w:rPr>
        <w:t>-</w:t>
      </w:r>
      <w:r>
        <w:rPr>
          <w:b/>
          <w:color w:val="000000"/>
          <w:sz w:val="24"/>
        </w:rPr>
        <w:t>expression of</w:t>
      </w:r>
      <w:r>
        <w:rPr>
          <w:rFonts w:hint="eastAsia"/>
          <w:b/>
          <w:color w:val="000000"/>
          <w:sz w:val="24"/>
        </w:rPr>
        <w:t xml:space="preserve"> SPRY4</w:t>
      </w:r>
      <w:r>
        <w:rPr>
          <w:b/>
          <w:color w:val="000000"/>
          <w:sz w:val="24"/>
        </w:rPr>
        <w:t xml:space="preserve"> induce</w:t>
      </w:r>
      <w:r>
        <w:rPr>
          <w:rFonts w:hint="eastAsia"/>
          <w:b/>
          <w:color w:val="000000"/>
          <w:sz w:val="24"/>
        </w:rPr>
        <w:t>d</w:t>
      </w:r>
      <w:r>
        <w:rPr>
          <w:b/>
          <w:color w:val="000000"/>
          <w:sz w:val="24"/>
        </w:rPr>
        <w:t xml:space="preserve"> cell apoptosis and proliferation suppress</w:t>
      </w:r>
      <w:r>
        <w:rPr>
          <w:rFonts w:hint="eastAsia"/>
          <w:b/>
          <w:color w:val="000000"/>
          <w:sz w:val="24"/>
        </w:rPr>
        <w:t>ion</w:t>
      </w:r>
      <w:r>
        <w:rPr>
          <w:b/>
          <w:color w:val="000000"/>
          <w:sz w:val="24"/>
        </w:rPr>
        <w:t xml:space="preserve"> in </w:t>
      </w:r>
      <w:r>
        <w:rPr>
          <w:rFonts w:hint="eastAsia"/>
          <w:b/>
          <w:color w:val="000000"/>
          <w:sz w:val="24"/>
        </w:rPr>
        <w:t xml:space="preserve">H1299 </w:t>
      </w:r>
      <w:r>
        <w:rPr>
          <w:b/>
          <w:color w:val="000000"/>
          <w:sz w:val="24"/>
        </w:rPr>
        <w:t>cells</w:t>
      </w:r>
      <w:r>
        <w:rPr>
          <w:rFonts w:hint="eastAsia"/>
          <w:b/>
          <w:color w:val="000000"/>
          <w:sz w:val="24"/>
        </w:rPr>
        <w:t>.</w:t>
      </w:r>
    </w:p>
    <w:p>
      <w:pPr>
        <w:spacing w:line="360" w:lineRule="auto"/>
        <w:rPr>
          <w:rFonts w:ascii="TimesNewRomanPSMT" w:hAnsi="TimesNewRomanPSMT"/>
          <w:color w:val="231F20"/>
          <w:sz w:val="24"/>
        </w:rPr>
      </w:pPr>
      <w:r>
        <w:rPr>
          <w:rFonts w:ascii="TimesNewRomanPSMT" w:hAnsi="TimesNewRomanPSMT"/>
          <w:b/>
          <w:sz w:val="24"/>
        </w:rPr>
        <w:t>(</w:t>
      </w:r>
      <w:r>
        <w:rPr>
          <w:rFonts w:hint="eastAsia" w:ascii="TimesNewRomanPSMT" w:hAnsi="TimesNewRomanPSMT"/>
          <w:b/>
          <w:sz w:val="24"/>
        </w:rPr>
        <w:t>a</w:t>
      </w:r>
      <w:r>
        <w:rPr>
          <w:rFonts w:ascii="TimesNewRomanPSMT" w:hAnsi="TimesNewRomanPSMT"/>
          <w:b/>
          <w:sz w:val="24"/>
        </w:rPr>
        <w:t xml:space="preserve">) </w:t>
      </w:r>
      <w:r>
        <w:rPr>
          <w:rFonts w:hint="eastAsia" w:ascii="TimesNewRomanPS-BoldMT" w:hAnsi="TimesNewRomanPS-BoldMT"/>
          <w:bCs/>
          <w:color w:val="231F20"/>
          <w:sz w:val="24"/>
        </w:rPr>
        <w:t>Ap</w:t>
      </w:r>
      <w:r>
        <w:rPr>
          <w:rFonts w:hint="eastAsia" w:ascii="TimesNewRomanPSMT" w:hAnsi="TimesNewRomanPSMT"/>
          <w:color w:val="231F20"/>
          <w:sz w:val="24"/>
        </w:rPr>
        <w:t>optosis rates</w:t>
      </w:r>
      <w:r>
        <w:rPr>
          <w:rFonts w:ascii="TimesNewRomanPSMT" w:hAnsi="TimesNewRomanPSMT"/>
          <w:color w:val="231F20"/>
          <w:sz w:val="24"/>
        </w:rPr>
        <w:t xml:space="preserve"> </w:t>
      </w:r>
      <w:r>
        <w:rPr>
          <w:rFonts w:hint="eastAsia" w:ascii="TimesNewRomanPSMT" w:hAnsi="TimesNewRomanPSMT"/>
          <w:color w:val="231F20"/>
          <w:sz w:val="24"/>
        </w:rPr>
        <w:t xml:space="preserve">were </w:t>
      </w:r>
      <w:r>
        <w:rPr>
          <w:rFonts w:ascii="TimesNewRomanPSMT" w:hAnsi="TimesNewRomanPSMT"/>
          <w:color w:val="231F20"/>
          <w:sz w:val="24"/>
        </w:rPr>
        <w:t>analyzed by flow cytometry</w:t>
      </w:r>
      <w:r>
        <w:rPr>
          <w:rFonts w:hint="eastAsia" w:ascii="TimesNewRomanPSMT" w:hAnsi="TimesNewRomanPSMT"/>
          <w:color w:val="231F20"/>
          <w:sz w:val="24"/>
        </w:rPr>
        <w:t xml:space="preserve"> in </w:t>
      </w:r>
      <w:r>
        <w:rPr>
          <w:rFonts w:ascii="TimesNewRomanPSMT" w:hAnsi="TimesNewRomanPSMT"/>
          <w:color w:val="231F20"/>
          <w:sz w:val="24"/>
        </w:rPr>
        <w:t>H1299 cells transfected</w:t>
      </w:r>
      <w:r>
        <w:rPr>
          <w:rFonts w:hint="eastAsia" w:ascii="TimesNewRomanPSMT" w:hAnsi="TimesNewRomanPSMT"/>
          <w:color w:val="231F20"/>
          <w:sz w:val="24"/>
        </w:rPr>
        <w:t xml:space="preserve"> with pcDNA3.1-SPRY4</w:t>
      </w:r>
      <w:r>
        <w:rPr>
          <w:rFonts w:ascii="TimesNewRomanPSMT" w:hAnsi="TimesNewRomanPSMT"/>
          <w:color w:val="231F20"/>
          <w:sz w:val="24"/>
        </w:rPr>
        <w:t xml:space="preserve">. </w:t>
      </w:r>
    </w:p>
    <w:p>
      <w:pPr>
        <w:spacing w:line="360" w:lineRule="auto"/>
        <w:rPr>
          <w:rFonts w:hint="eastAsia" w:ascii="TimesNewRomanPSMT" w:hAnsi="TimesNewRomanPSMT"/>
          <w:b/>
          <w:color w:val="231F20"/>
          <w:sz w:val="24"/>
        </w:rPr>
      </w:pPr>
      <w:r>
        <w:rPr>
          <w:rFonts w:ascii="TimesNewRomanPSMT" w:hAnsi="TimesNewRomanPSMT"/>
          <w:b/>
          <w:color w:val="231F20"/>
          <w:sz w:val="24"/>
        </w:rPr>
        <w:t>(</w:t>
      </w:r>
      <w:r>
        <w:rPr>
          <w:rFonts w:hint="eastAsia" w:ascii="TimesNewRomanPSMT" w:hAnsi="TimesNewRomanPSMT"/>
          <w:b/>
          <w:color w:val="231F20"/>
          <w:sz w:val="24"/>
        </w:rPr>
        <w:t>b</w:t>
      </w:r>
      <w:r>
        <w:rPr>
          <w:rFonts w:ascii="TimesNewRomanPSMT" w:hAnsi="TimesNewRomanPSMT"/>
          <w:b/>
          <w:color w:val="231F20"/>
          <w:sz w:val="24"/>
        </w:rPr>
        <w:t>)</w:t>
      </w:r>
      <w:r>
        <w:rPr>
          <w:rFonts w:hint="eastAsia" w:ascii="TimesNewRomanPSMT" w:hAnsi="TimesNewRomanPSMT"/>
          <w:b/>
          <w:color w:val="231F20"/>
          <w:sz w:val="24"/>
        </w:rPr>
        <w:t xml:space="preserve"> </w:t>
      </w:r>
      <w:r>
        <w:rPr>
          <w:rFonts w:ascii="TimesNewRomanPS-BoldMT" w:hAnsi="TimesNewRomanPS-BoldMT"/>
          <w:bCs/>
          <w:color w:val="231F20"/>
          <w:sz w:val="24"/>
        </w:rPr>
        <w:t>The</w:t>
      </w:r>
      <w:r>
        <w:rPr>
          <w:rFonts w:ascii="TimesNewRomanPSMT" w:hAnsi="TimesNewRomanPSMT"/>
          <w:color w:val="231F20"/>
          <w:sz w:val="24"/>
        </w:rPr>
        <w:t xml:space="preserve"> proliferation of H1299 cells transfected </w:t>
      </w:r>
      <w:r>
        <w:rPr>
          <w:rFonts w:hint="eastAsia" w:ascii="TimesNewRomanPSMT" w:hAnsi="TimesNewRomanPSMT"/>
          <w:color w:val="231F20"/>
          <w:sz w:val="24"/>
        </w:rPr>
        <w:t>with pcDNA3.1-SPRY4 or</w:t>
      </w:r>
      <w:r>
        <w:rPr>
          <w:rFonts w:ascii="TimesNewRomanPSMT" w:hAnsi="TimesNewRomanPSMT"/>
          <w:color w:val="231F20"/>
          <w:sz w:val="24"/>
        </w:rPr>
        <w:t xml:space="preserve"> </w:t>
      </w:r>
      <w:r>
        <w:rPr>
          <w:rFonts w:hint="eastAsia" w:ascii="TimesNewRomanPSMT" w:hAnsi="TimesNewRomanPSMT"/>
          <w:color w:val="231F20"/>
          <w:sz w:val="24"/>
        </w:rPr>
        <w:t>pcDNA3.1</w:t>
      </w:r>
      <w:r>
        <w:rPr>
          <w:rFonts w:ascii="TimesNewRomanPSMT" w:hAnsi="TimesNewRomanPSMT"/>
          <w:color w:val="231F20"/>
          <w:sz w:val="24"/>
        </w:rPr>
        <w:t xml:space="preserve"> </w:t>
      </w:r>
      <w:r>
        <w:rPr>
          <w:rFonts w:hint="eastAsia" w:ascii="TimesNewRomanPSMT" w:hAnsi="TimesNewRomanPSMT"/>
          <w:color w:val="231F20"/>
          <w:sz w:val="24"/>
        </w:rPr>
        <w:t xml:space="preserve">were measured </w:t>
      </w:r>
      <w:r>
        <w:rPr>
          <w:rFonts w:ascii="TimesNewRomanPSMT" w:hAnsi="TimesNewRomanPSMT"/>
          <w:color w:val="231F20"/>
          <w:sz w:val="24"/>
        </w:rPr>
        <w:t xml:space="preserve">by CCK-8 assay. </w:t>
      </w:r>
    </w:p>
    <w:p>
      <w:pPr>
        <w:spacing w:line="360" w:lineRule="auto"/>
        <w:rPr>
          <w:rFonts w:ascii="TimesNewRomanPS-BoldMT" w:hAnsi="TimesNewRomanPS-BoldMT"/>
          <w:bCs/>
          <w:color w:val="231F20"/>
          <w:sz w:val="24"/>
        </w:rPr>
      </w:pPr>
      <w:r>
        <w:rPr>
          <w:rFonts w:ascii="TimesNewRomanPSMT" w:hAnsi="TimesNewRomanPSMT"/>
          <w:b/>
          <w:color w:val="231F20"/>
          <w:sz w:val="24"/>
        </w:rPr>
        <w:t>(</w:t>
      </w:r>
      <w:r>
        <w:rPr>
          <w:rFonts w:hint="eastAsia" w:ascii="TimesNewRomanPSMT" w:hAnsi="TimesNewRomanPSMT"/>
          <w:b/>
          <w:color w:val="231F20"/>
          <w:sz w:val="24"/>
        </w:rPr>
        <w:t>c</w:t>
      </w:r>
      <w:r>
        <w:rPr>
          <w:rFonts w:ascii="TimesNewRomanPSMT" w:hAnsi="TimesNewRomanPSMT"/>
          <w:b/>
          <w:color w:val="231F20"/>
          <w:sz w:val="24"/>
        </w:rPr>
        <w:t>)</w:t>
      </w:r>
      <w:r>
        <w:rPr>
          <w:rFonts w:ascii="TimesNewRomanPSMT" w:hAnsi="TimesNewRomanPSMT"/>
          <w:color w:val="231F20"/>
          <w:sz w:val="24"/>
        </w:rPr>
        <w:t xml:space="preserve"> </w:t>
      </w:r>
      <w:r>
        <w:rPr>
          <w:rFonts w:hint="eastAsia" w:ascii="TimesNewRomanPSMT" w:hAnsi="TimesNewRomanPSMT"/>
          <w:color w:val="231F20"/>
          <w:sz w:val="24"/>
        </w:rPr>
        <w:t>T</w:t>
      </w:r>
      <w:r>
        <w:rPr>
          <w:rFonts w:ascii="TimesNewRomanPSMT" w:hAnsi="TimesNewRomanPSMT"/>
          <w:color w:val="231F20"/>
          <w:sz w:val="24"/>
        </w:rPr>
        <w:t>he expression of</w:t>
      </w:r>
      <w:r>
        <w:rPr>
          <w:rFonts w:hint="eastAsia" w:ascii="TimesNewRomanPSMT" w:hAnsi="TimesNewRomanPSMT"/>
          <w:color w:val="231F20"/>
          <w:sz w:val="24"/>
        </w:rPr>
        <w:t xml:space="preserve"> </w:t>
      </w:r>
      <w:r>
        <w:rPr>
          <w:rFonts w:ascii="TimesNewRomanPSMT" w:hAnsi="TimesNewRomanPSMT"/>
          <w:color w:val="231F20"/>
          <w:sz w:val="24"/>
        </w:rPr>
        <w:t>E-cadherin</w:t>
      </w:r>
      <w:r>
        <w:rPr>
          <w:rFonts w:hint="eastAsia" w:ascii="TimesNewRomanPSMT" w:hAnsi="TimesNewRomanPSMT"/>
          <w:color w:val="231F20"/>
          <w:sz w:val="24"/>
        </w:rPr>
        <w:t xml:space="preserve">, </w:t>
      </w:r>
      <w:r>
        <w:rPr>
          <w:rFonts w:ascii="TimesNewRomanPSMT" w:hAnsi="TimesNewRomanPSMT"/>
          <w:color w:val="231F20"/>
          <w:sz w:val="24"/>
        </w:rPr>
        <w:t>N-cadherin</w:t>
      </w:r>
      <w:r>
        <w:rPr>
          <w:rFonts w:hint="eastAsia" w:ascii="TimesNewRomanPSMT" w:hAnsi="TimesNewRomanPSMT"/>
          <w:color w:val="231F20"/>
          <w:sz w:val="24"/>
        </w:rPr>
        <w:t>, EGFR, SPRY4</w:t>
      </w:r>
      <w:r>
        <w:rPr>
          <w:rFonts w:ascii="TimesNewRomanPSMT" w:hAnsi="TimesNewRomanPSMT"/>
          <w:color w:val="231F20"/>
          <w:sz w:val="24"/>
        </w:rPr>
        <w:t xml:space="preserve"> and </w:t>
      </w:r>
      <w:r>
        <w:rPr>
          <w:rFonts w:hint="eastAsia" w:ascii="TimesNewRomanPSMT" w:hAnsi="TimesNewRomanPSMT"/>
          <w:color w:val="231F20"/>
          <w:sz w:val="24"/>
        </w:rPr>
        <w:t xml:space="preserve">AKT proteins was </w:t>
      </w:r>
      <w:r>
        <w:rPr>
          <w:rFonts w:ascii="TimesNewRomanPSMT" w:hAnsi="TimesNewRomanPSMT"/>
          <w:color w:val="231F20"/>
          <w:sz w:val="24"/>
        </w:rPr>
        <w:t>detected by</w:t>
      </w:r>
      <w:r>
        <w:rPr>
          <w:rFonts w:hint="eastAsia" w:ascii="TimesNewRomanPSMT" w:hAnsi="TimesNewRomanPSMT"/>
          <w:color w:val="231F20"/>
          <w:sz w:val="24"/>
        </w:rPr>
        <w:t xml:space="preserve"> western blot in </w:t>
      </w:r>
      <w:r>
        <w:rPr>
          <w:rFonts w:ascii="TimesNewRomanPSMT" w:hAnsi="TimesNewRomanPSMT"/>
          <w:color w:val="231F20"/>
          <w:sz w:val="24"/>
        </w:rPr>
        <w:t>the</w:t>
      </w:r>
      <w:r>
        <w:rPr>
          <w:rFonts w:hint="eastAsia" w:ascii="TimesNewRomanPSMT" w:hAnsi="TimesNewRomanPSMT"/>
          <w:color w:val="231F20"/>
          <w:sz w:val="24"/>
        </w:rPr>
        <w:t xml:space="preserve"> </w:t>
      </w:r>
      <w:r>
        <w:rPr>
          <w:rFonts w:ascii="TimesNewRomanPSMT" w:hAnsi="TimesNewRomanPSMT"/>
          <w:color w:val="231F20"/>
          <w:sz w:val="24"/>
        </w:rPr>
        <w:t xml:space="preserve">H1299 cells transfected </w:t>
      </w:r>
      <w:r>
        <w:rPr>
          <w:rFonts w:hint="eastAsia" w:ascii="TimesNewRomanPSMT" w:hAnsi="TimesNewRomanPSMT"/>
          <w:color w:val="231F20"/>
          <w:sz w:val="24"/>
        </w:rPr>
        <w:t>with pcDNA3.1-SPRY4 or</w:t>
      </w:r>
      <w:r>
        <w:rPr>
          <w:rFonts w:ascii="TimesNewRomanPSMT" w:hAnsi="TimesNewRomanPSMT"/>
          <w:color w:val="231F20"/>
          <w:sz w:val="24"/>
        </w:rPr>
        <w:t xml:space="preserve"> </w:t>
      </w:r>
      <w:r>
        <w:rPr>
          <w:rFonts w:hint="eastAsia" w:ascii="TimesNewRomanPSMT" w:hAnsi="TimesNewRomanPSMT"/>
          <w:color w:val="231F20"/>
          <w:sz w:val="24"/>
        </w:rPr>
        <w:t xml:space="preserve">pcDNA3.1. </w:t>
      </w:r>
      <w:r>
        <w:rPr>
          <w:rFonts w:ascii="TimesNewRomanPSMT" w:hAnsi="TimesNewRomanPSMT"/>
          <w:color w:val="231F20"/>
          <w:sz w:val="24"/>
        </w:rPr>
        <w:t>*</w:t>
      </w:r>
      <w:r>
        <w:rPr>
          <w:rFonts w:ascii="TimesNewRomanPS-ItalicMT" w:hAnsi="TimesNewRomanPS-ItalicMT"/>
          <w:i/>
          <w:iCs/>
          <w:color w:val="231F20"/>
          <w:sz w:val="24"/>
        </w:rPr>
        <w:t xml:space="preserve">P </w:t>
      </w:r>
      <w:r>
        <w:rPr>
          <w:rFonts w:ascii="TimesNewRomanPSMT" w:hAnsi="TimesNewRomanPSMT"/>
          <w:color w:val="231F20"/>
          <w:sz w:val="24"/>
        </w:rPr>
        <w:t>&lt; 0.05, **</w:t>
      </w:r>
      <w:r>
        <w:rPr>
          <w:rFonts w:ascii="TimesNewRomanPS-ItalicMT" w:hAnsi="TimesNewRomanPS-ItalicMT"/>
          <w:i/>
          <w:iCs/>
          <w:color w:val="231F20"/>
          <w:sz w:val="24"/>
        </w:rPr>
        <w:t xml:space="preserve">P </w:t>
      </w:r>
      <w:r>
        <w:rPr>
          <w:rFonts w:ascii="TimesNewRomanPSMT" w:hAnsi="TimesNewRomanPSMT"/>
          <w:color w:val="231F20"/>
          <w:sz w:val="24"/>
        </w:rPr>
        <w:t>&lt; 0.01, ***</w:t>
      </w:r>
      <w:r>
        <w:rPr>
          <w:rFonts w:ascii="TimesNewRomanPS-ItalicMT" w:hAnsi="TimesNewRomanPS-ItalicMT"/>
          <w:i/>
          <w:iCs/>
          <w:color w:val="231F20"/>
          <w:sz w:val="24"/>
        </w:rPr>
        <w:t xml:space="preserve">P </w:t>
      </w:r>
      <w:r>
        <w:rPr>
          <w:rFonts w:ascii="TimesNewRomanPSMT" w:hAnsi="TimesNewRomanPSMT"/>
          <w:color w:val="231F20"/>
          <w:sz w:val="24"/>
        </w:rPr>
        <w:t>&lt; 0.001.</w:t>
      </w:r>
      <w:bookmarkStart w:id="4" w:name="_GoBack"/>
      <w:bookmarkEnd w:id="4"/>
    </w:p>
    <w:p>
      <w:pPr>
        <w:spacing w:line="360" w:lineRule="auto"/>
        <w:rPr>
          <w:b/>
          <w:color w:val="00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242B1"/>
    <w:multiLevelType w:val="multilevel"/>
    <w:tmpl w:val="681242B1"/>
    <w:lvl w:ilvl="0" w:tentative="0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color w:val="231F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6A18"/>
    <w:rsid w:val="000841CF"/>
    <w:rsid w:val="000A3FA4"/>
    <w:rsid w:val="001A2442"/>
    <w:rsid w:val="001B1008"/>
    <w:rsid w:val="00230F52"/>
    <w:rsid w:val="002C0FD7"/>
    <w:rsid w:val="00316A18"/>
    <w:rsid w:val="00406418"/>
    <w:rsid w:val="00432CF5"/>
    <w:rsid w:val="004A7F63"/>
    <w:rsid w:val="004E2C36"/>
    <w:rsid w:val="005B2617"/>
    <w:rsid w:val="005D2A31"/>
    <w:rsid w:val="00632AA0"/>
    <w:rsid w:val="00711274"/>
    <w:rsid w:val="00741631"/>
    <w:rsid w:val="0078183F"/>
    <w:rsid w:val="009C469C"/>
    <w:rsid w:val="00A1245F"/>
    <w:rsid w:val="00A45FAB"/>
    <w:rsid w:val="00D1253B"/>
    <w:rsid w:val="00D3566D"/>
    <w:rsid w:val="00E87D6B"/>
    <w:rsid w:val="00F262E1"/>
    <w:rsid w:val="00F53CCF"/>
    <w:rsid w:val="00F904D4"/>
    <w:rsid w:val="00FF2751"/>
    <w:rsid w:val="7D24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848</Characters>
  <Lines>7</Lines>
  <Paragraphs>1</Paragraphs>
  <TotalTime>75</TotalTime>
  <ScaleCrop>false</ScaleCrop>
  <LinksUpToDate>false</LinksUpToDate>
  <CharactersWithSpaces>995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2017-09-10T10:20:00Z</dcterms:created>
  <dc:creator>lenovo</dc:creator>
  <cp:lastModifiedBy>miRNA lab</cp:lastModifiedBy>
  <dcterms:modified xsi:type="dcterms:W3CDTF">2018-06-30T16:01:44Z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