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6A" w:rsidRPr="00DC2142" w:rsidRDefault="00B3316A" w:rsidP="00B3316A">
      <w:pPr>
        <w:spacing w:after="120"/>
        <w:rPr>
          <w:b/>
          <w:szCs w:val="24"/>
          <w:lang w:val="en-US"/>
        </w:rPr>
      </w:pPr>
      <w:r w:rsidRPr="00DC2142">
        <w:rPr>
          <w:b/>
          <w:szCs w:val="24"/>
          <w:lang w:val="en-US"/>
        </w:rPr>
        <w:t>SUPPLEMENTARY METHODS</w:t>
      </w:r>
    </w:p>
    <w:p w:rsidR="00B3316A" w:rsidRPr="00DC2142" w:rsidRDefault="00B3316A" w:rsidP="00B3316A">
      <w:pPr>
        <w:spacing w:after="120"/>
        <w:rPr>
          <w:b/>
          <w:szCs w:val="24"/>
          <w:lang w:val="en-US"/>
        </w:rPr>
      </w:pPr>
    </w:p>
    <w:p w:rsidR="00B3316A" w:rsidRPr="00DC2142" w:rsidRDefault="00B3316A" w:rsidP="00B3316A">
      <w:pPr>
        <w:spacing w:after="120" w:line="360" w:lineRule="auto"/>
        <w:jc w:val="both"/>
        <w:rPr>
          <w:b/>
          <w:lang w:val="en-US"/>
        </w:rPr>
      </w:pPr>
      <w:r w:rsidRPr="00DC2142">
        <w:rPr>
          <w:b/>
          <w:lang w:val="en-US"/>
        </w:rPr>
        <w:t>Treatments</w:t>
      </w:r>
      <w:bookmarkStart w:id="0" w:name="_GoBack"/>
      <w:bookmarkEnd w:id="0"/>
    </w:p>
    <w:p w:rsidR="00B3316A" w:rsidRPr="00DC2142" w:rsidRDefault="00B3316A" w:rsidP="00B3316A">
      <w:pPr>
        <w:spacing w:after="120" w:line="360" w:lineRule="auto"/>
        <w:jc w:val="both"/>
        <w:rPr>
          <w:lang w:val="en-US"/>
        </w:rPr>
      </w:pPr>
      <w:r w:rsidRPr="00DC2142">
        <w:rPr>
          <w:lang w:val="en-US"/>
        </w:rPr>
        <w:t xml:space="preserve">BH3 </w:t>
      </w:r>
      <w:proofErr w:type="spellStart"/>
      <w:r w:rsidRPr="00DC2142">
        <w:rPr>
          <w:lang w:val="en-US"/>
        </w:rPr>
        <w:t>mimetics</w:t>
      </w:r>
      <w:proofErr w:type="spellEnd"/>
      <w:r w:rsidRPr="00DC2142">
        <w:rPr>
          <w:lang w:val="en-US"/>
        </w:rPr>
        <w:t xml:space="preserve">, ABT-737, ABT-199, A-1210477 </w:t>
      </w:r>
      <w:bookmarkStart w:id="1" w:name="_Hlk485562202"/>
      <w:r w:rsidRPr="00DC2142">
        <w:rPr>
          <w:lang w:val="en-US"/>
        </w:rPr>
        <w:t>(</w:t>
      </w:r>
      <w:proofErr w:type="spellStart"/>
      <w:r w:rsidRPr="00DC2142">
        <w:rPr>
          <w:lang w:val="en-US"/>
        </w:rPr>
        <w:t>Selleckchem</w:t>
      </w:r>
      <w:proofErr w:type="spellEnd"/>
      <w:r w:rsidRPr="00DC2142">
        <w:rPr>
          <w:lang w:val="en-US"/>
        </w:rPr>
        <w:t>, Houston, TX, USA)</w:t>
      </w:r>
      <w:bookmarkEnd w:id="1"/>
      <w:r w:rsidRPr="00DC2142">
        <w:rPr>
          <w:lang w:val="en-US"/>
        </w:rPr>
        <w:t>, WEHI-539 (</w:t>
      </w:r>
      <w:proofErr w:type="spellStart"/>
      <w:r w:rsidRPr="00DC2142">
        <w:rPr>
          <w:lang w:val="en-US"/>
        </w:rPr>
        <w:t>Euromedex</w:t>
      </w:r>
      <w:proofErr w:type="spellEnd"/>
      <w:r w:rsidRPr="00DC2142">
        <w:rPr>
          <w:lang w:val="en-US"/>
        </w:rPr>
        <w:t>, Strasbourg, France), and cell signaling pathways inhibitors U0126 (</w:t>
      </w:r>
      <w:proofErr w:type="spellStart"/>
      <w:r w:rsidRPr="00DC2142">
        <w:rPr>
          <w:lang w:val="en-US"/>
        </w:rPr>
        <w:t>Invivogen</w:t>
      </w:r>
      <w:proofErr w:type="spellEnd"/>
      <w:r w:rsidRPr="00DC2142">
        <w:rPr>
          <w:lang w:val="en-US"/>
        </w:rPr>
        <w:t>, San Diego, CA,</w:t>
      </w:r>
      <w:r w:rsidRPr="00DC2142">
        <w:rPr>
          <w:lang w:val="en-US"/>
        </w:rPr>
        <w:br/>
        <w:t xml:space="preserve">USA ), </w:t>
      </w:r>
      <w:proofErr w:type="spellStart"/>
      <w:r w:rsidRPr="00DC2142">
        <w:rPr>
          <w:lang w:val="en-US"/>
        </w:rPr>
        <w:t>Stattic</w:t>
      </w:r>
      <w:proofErr w:type="spellEnd"/>
      <w:r w:rsidRPr="00DC2142">
        <w:rPr>
          <w:lang w:val="en-US"/>
        </w:rPr>
        <w:t xml:space="preserve"> (</w:t>
      </w:r>
      <w:proofErr w:type="spellStart"/>
      <w:r w:rsidRPr="00DC2142">
        <w:rPr>
          <w:lang w:val="en-US"/>
        </w:rPr>
        <w:t>Selleckchem</w:t>
      </w:r>
      <w:proofErr w:type="spellEnd"/>
      <w:r w:rsidRPr="00DC2142">
        <w:rPr>
          <w:lang w:val="en-US"/>
        </w:rPr>
        <w:t xml:space="preserve">), Doxorubicin (G-GAM Laboratories, Creteil, France), 5-FluoroUracil (Sigma, St Louis, MO, USA), Cisplatin (TEVA laboratories, Courbevoie, France) were dissolved in DMSO at the indicated concentrations. </w:t>
      </w:r>
      <w:proofErr w:type="spellStart"/>
      <w:r w:rsidRPr="00DC2142">
        <w:rPr>
          <w:lang w:val="en-US"/>
        </w:rPr>
        <w:t>Trastuzumab</w:t>
      </w:r>
      <w:proofErr w:type="spellEnd"/>
      <w:r w:rsidRPr="00DC2142">
        <w:rPr>
          <w:lang w:val="en-US"/>
        </w:rPr>
        <w:t xml:space="preserve"> (Herceptin) and </w:t>
      </w:r>
      <w:proofErr w:type="spellStart"/>
      <w:r w:rsidRPr="00DC2142">
        <w:rPr>
          <w:lang w:val="en-US"/>
        </w:rPr>
        <w:t>fulvestrant</w:t>
      </w:r>
      <w:proofErr w:type="spellEnd"/>
      <w:r w:rsidRPr="00DC2142">
        <w:rPr>
          <w:lang w:val="en-US"/>
        </w:rPr>
        <w:t xml:space="preserve"> (</w:t>
      </w:r>
      <w:proofErr w:type="spellStart"/>
      <w:r w:rsidRPr="00DC2142">
        <w:rPr>
          <w:lang w:val="en-US"/>
        </w:rPr>
        <w:t>Falsodex</w:t>
      </w:r>
      <w:proofErr w:type="spellEnd"/>
      <w:r w:rsidRPr="00DC2142">
        <w:rPr>
          <w:lang w:val="en-US"/>
        </w:rPr>
        <w:t xml:space="preserve">) were purchased from Roche (Basel, Switzerland) and </w:t>
      </w:r>
      <w:proofErr w:type="spellStart"/>
      <w:r w:rsidRPr="00DC2142">
        <w:rPr>
          <w:lang w:val="en-US"/>
        </w:rPr>
        <w:t>Astrazeneca</w:t>
      </w:r>
      <w:proofErr w:type="spellEnd"/>
      <w:r w:rsidRPr="00DC2142">
        <w:rPr>
          <w:lang w:val="en-US"/>
        </w:rPr>
        <w:t xml:space="preserve"> (London, England), respectively. Recombinant IL-6 (</w:t>
      </w:r>
      <w:proofErr w:type="spellStart"/>
      <w:r w:rsidRPr="00DC2142">
        <w:rPr>
          <w:lang w:val="en-US"/>
        </w:rPr>
        <w:t>PeproTech</w:t>
      </w:r>
      <w:proofErr w:type="spellEnd"/>
      <w:r w:rsidRPr="00DC2142">
        <w:rPr>
          <w:lang w:val="en-US"/>
        </w:rPr>
        <w:t>, Rocky Hill, NJ, USA) was dissolved in H</w:t>
      </w:r>
      <w:r w:rsidRPr="00DC2142">
        <w:rPr>
          <w:vertAlign w:val="subscript"/>
          <w:lang w:val="en-US"/>
        </w:rPr>
        <w:t>2</w:t>
      </w:r>
      <w:r w:rsidRPr="00DC2142">
        <w:rPr>
          <w:lang w:val="en-US"/>
        </w:rPr>
        <w:t>0 0.1% BSA at 0.5 to 10 µg/mL and added to cell media one hour prior to treatment. TGF</w:t>
      </w:r>
      <w:r w:rsidRPr="00DC2142">
        <w:rPr>
          <w:rFonts w:ascii="Symbol" w:hAnsi="Symbol"/>
          <w:lang w:val="en-US"/>
        </w:rPr>
        <w:t></w:t>
      </w:r>
      <w:r w:rsidRPr="00DC2142">
        <w:rPr>
          <w:lang w:val="en-US"/>
        </w:rPr>
        <w:t xml:space="preserve"> (R&amp;D Systems, Minneapolis, MN, USA) was dissolved in DMSO and added to NHLF at 2 ng/ml for 24 hours prior to treatment. </w:t>
      </w:r>
    </w:p>
    <w:p w:rsidR="00B3316A" w:rsidRPr="00DC2142" w:rsidRDefault="00B3316A" w:rsidP="00B3316A">
      <w:pPr>
        <w:spacing w:after="120" w:line="360" w:lineRule="auto"/>
        <w:jc w:val="both"/>
        <w:rPr>
          <w:lang w:val="en-US"/>
        </w:rPr>
      </w:pPr>
    </w:p>
    <w:p w:rsidR="00B3316A" w:rsidRPr="00DC2142" w:rsidRDefault="00B3316A" w:rsidP="00B3316A">
      <w:pPr>
        <w:spacing w:after="120" w:line="360" w:lineRule="auto"/>
        <w:jc w:val="both"/>
        <w:rPr>
          <w:b/>
          <w:lang w:val="en-US"/>
        </w:rPr>
      </w:pPr>
      <w:r w:rsidRPr="00DC2142">
        <w:rPr>
          <w:b/>
          <w:lang w:val="en-US"/>
        </w:rPr>
        <w:t>Collagen gel contraction assay</w:t>
      </w:r>
    </w:p>
    <w:p w:rsidR="00B3316A" w:rsidRPr="00DC2142" w:rsidRDefault="00B3316A" w:rsidP="00B3316A">
      <w:pPr>
        <w:spacing w:after="120" w:line="360" w:lineRule="auto"/>
        <w:jc w:val="both"/>
        <w:rPr>
          <w:lang w:val="en-US"/>
        </w:rPr>
      </w:pPr>
      <w:r w:rsidRPr="00DC2142">
        <w:rPr>
          <w:lang w:val="en-US"/>
        </w:rPr>
        <w:t xml:space="preserve">Fibroblasts (100 000 cells) were re-suspended in 500 </w:t>
      </w:r>
      <w:r w:rsidRPr="00DC2142">
        <w:t>μ</w:t>
      </w:r>
      <w:r w:rsidRPr="00DC2142">
        <w:rPr>
          <w:lang w:val="en-US"/>
        </w:rPr>
        <w:t>l collagen suspension (1 mg/ml) in DMEM supplemented with 5% FBS. Cell suspension was cast into each well of 24-well tissue culture plate and incubated at 37°C for 1 h in order to facilitate gelation. Following this, gels were released from the surface of the culture well using a sterile tip. Contraction between the different conditions was evaluated at 3 h.</w:t>
      </w:r>
    </w:p>
    <w:p w:rsidR="00B3316A" w:rsidRPr="00DC2142" w:rsidRDefault="00B3316A" w:rsidP="00B3316A">
      <w:pPr>
        <w:spacing w:after="120" w:line="360" w:lineRule="auto"/>
        <w:jc w:val="both"/>
        <w:rPr>
          <w:lang w:val="en-US"/>
        </w:rPr>
      </w:pPr>
    </w:p>
    <w:p w:rsidR="00B3316A" w:rsidRPr="00DC2142" w:rsidRDefault="00B3316A" w:rsidP="00B3316A">
      <w:pPr>
        <w:spacing w:after="120"/>
        <w:rPr>
          <w:b/>
          <w:lang w:val="en-US"/>
        </w:rPr>
      </w:pPr>
      <w:r w:rsidRPr="00DC2142">
        <w:rPr>
          <w:b/>
          <w:lang w:val="en-US"/>
        </w:rPr>
        <w:t>Extracellular vesicles isolation</w:t>
      </w:r>
    </w:p>
    <w:p w:rsidR="00B3316A" w:rsidRPr="00DC2142" w:rsidRDefault="00B3316A" w:rsidP="00B3316A">
      <w:pPr>
        <w:spacing w:after="120" w:line="360" w:lineRule="auto"/>
        <w:jc w:val="both"/>
        <w:rPr>
          <w:lang w:val="en-US"/>
        </w:rPr>
      </w:pPr>
      <w:r w:rsidRPr="00DC2142">
        <w:rPr>
          <w:lang w:val="en-US"/>
        </w:rPr>
        <w:t xml:space="preserve">The conditioned medium was centrifuged at 2.000 x g for 15 min (pellet 2K) and 10.000 x g for 30 min at 4°C (pellet 10K) to remove the dead cells and debris. The supernatant was centrifuged at 100.000 x g for two hours to obtain the extracellular vesicle pellet (100K supernatant). The pellet containing extracellular vesicle was diluted with filtered phosphate-buffered saline (PBS) and centrifuged at 100.000 x g for two hours (pellet 100K). The pellets obtained (2K, 10K and 100K) were </w:t>
      </w:r>
      <w:proofErr w:type="spellStart"/>
      <w:r w:rsidRPr="00DC2142">
        <w:rPr>
          <w:lang w:val="en-US"/>
        </w:rPr>
        <w:t>resuspended</w:t>
      </w:r>
      <w:proofErr w:type="spellEnd"/>
      <w:r w:rsidRPr="00DC2142">
        <w:rPr>
          <w:lang w:val="en-US"/>
        </w:rPr>
        <w:t xml:space="preserve"> in DMEM with 0,5 % FBS. The pellets and supernatant (100K) are used like conditioned medium on cancer cells, and then cancer cells were treated to ABT-737 (1 µM) for 48 h. </w:t>
      </w:r>
    </w:p>
    <w:p w:rsidR="00B3316A" w:rsidRPr="00DC2142" w:rsidRDefault="00B3316A" w:rsidP="00B3316A">
      <w:pPr>
        <w:spacing w:after="120" w:line="360" w:lineRule="auto"/>
        <w:jc w:val="both"/>
        <w:rPr>
          <w:lang w:val="en-US"/>
        </w:rPr>
      </w:pPr>
    </w:p>
    <w:p w:rsidR="00B3316A" w:rsidRPr="00DC2142" w:rsidRDefault="00B3316A" w:rsidP="00B3316A">
      <w:pPr>
        <w:spacing w:after="120" w:line="360" w:lineRule="auto"/>
        <w:jc w:val="both"/>
        <w:rPr>
          <w:rFonts w:eastAsia="Times New Roman" w:cs="Times New Roman"/>
          <w:b/>
          <w:lang w:val="en-US" w:eastAsia="fr-FR"/>
        </w:rPr>
      </w:pPr>
      <w:r w:rsidRPr="00DC2142">
        <w:rPr>
          <w:rFonts w:eastAsia="Times New Roman" w:cs="Times New Roman"/>
          <w:b/>
          <w:lang w:val="en-US" w:eastAsia="fr-FR"/>
        </w:rPr>
        <w:t>ELISA assays</w:t>
      </w:r>
    </w:p>
    <w:p w:rsidR="00B3316A" w:rsidRPr="00DC2142" w:rsidRDefault="00B3316A" w:rsidP="00B3316A">
      <w:pPr>
        <w:spacing w:after="120" w:line="360" w:lineRule="auto"/>
        <w:jc w:val="both"/>
        <w:rPr>
          <w:rFonts w:eastAsia="Times New Roman" w:cs="Times New Roman"/>
          <w:lang w:val="en-US" w:eastAsia="fr-FR"/>
        </w:rPr>
      </w:pPr>
      <w:r w:rsidRPr="00DC2142">
        <w:rPr>
          <w:rFonts w:eastAsia="Times New Roman" w:cs="Times New Roman"/>
          <w:lang w:val="en-US" w:eastAsia="fr-FR"/>
        </w:rPr>
        <w:t>Levels of IL-6 in conditioned-media were determined by ELISA. The culture medium of CAFs silencing or not for IL-6, CAFs treated with Stattic 8µM for 48 hours, NHLF, NHLF + TGF</w:t>
      </w:r>
      <w:r w:rsidRPr="00DC2142">
        <w:rPr>
          <w:rFonts w:ascii="Symbol" w:eastAsia="Times New Roman" w:hAnsi="Symbol" w:cs="Times New Roman"/>
          <w:lang w:val="en-US" w:eastAsia="fr-FR"/>
        </w:rPr>
        <w:t></w:t>
      </w:r>
      <w:r w:rsidRPr="00DC2142">
        <w:rPr>
          <w:rFonts w:eastAsia="Times New Roman" w:cs="Times New Roman"/>
          <w:lang w:val="en-US" w:eastAsia="fr-FR"/>
        </w:rPr>
        <w:t xml:space="preserve"> and ZR-75-1 cells were </w:t>
      </w:r>
      <w:r w:rsidRPr="00DC2142">
        <w:rPr>
          <w:rFonts w:eastAsia="Times New Roman" w:cs="Times New Roman"/>
          <w:lang w:val="en-US" w:eastAsia="fr-FR"/>
        </w:rPr>
        <w:lastRenderedPageBreak/>
        <w:t>harvested and IL-6 was detected according to the manufacturer’s protocol (</w:t>
      </w:r>
      <w:proofErr w:type="spellStart"/>
      <w:r w:rsidRPr="00DC2142">
        <w:rPr>
          <w:rFonts w:eastAsia="Times New Roman" w:cs="Times New Roman"/>
          <w:lang w:val="en-US" w:eastAsia="fr-FR"/>
        </w:rPr>
        <w:t>ebioscience</w:t>
      </w:r>
      <w:proofErr w:type="spellEnd"/>
      <w:r w:rsidRPr="00DC2142">
        <w:rPr>
          <w:rFonts w:eastAsia="Times New Roman" w:cs="Times New Roman"/>
          <w:lang w:val="en-US" w:eastAsia="fr-FR"/>
        </w:rPr>
        <w:t>, San Jose, CA, USA). Three independent experiments were performed.</w:t>
      </w:r>
    </w:p>
    <w:p w:rsidR="00B3316A" w:rsidRPr="00DC2142" w:rsidRDefault="00B3316A" w:rsidP="00B3316A">
      <w:pPr>
        <w:spacing w:after="120" w:line="360" w:lineRule="auto"/>
        <w:jc w:val="both"/>
        <w:rPr>
          <w:rFonts w:eastAsia="Times New Roman" w:cs="Times New Roman"/>
          <w:lang w:val="en-US" w:eastAsia="fr-FR"/>
        </w:rPr>
      </w:pPr>
    </w:p>
    <w:p w:rsidR="00B3316A" w:rsidRPr="00DC2142" w:rsidRDefault="00B3316A" w:rsidP="00B3316A">
      <w:pPr>
        <w:spacing w:before="100" w:beforeAutospacing="1" w:after="120" w:line="240" w:lineRule="auto"/>
        <w:rPr>
          <w:rFonts w:eastAsia="Times New Roman" w:cs="Times New Roman"/>
          <w:b/>
          <w:lang w:val="en-US" w:eastAsia="fr-FR"/>
        </w:rPr>
      </w:pPr>
      <w:r w:rsidRPr="00DC2142">
        <w:rPr>
          <w:rFonts w:eastAsia="Times New Roman" w:cs="Times New Roman"/>
          <w:lang w:val="en-US" w:eastAsia="fr-FR"/>
        </w:rPr>
        <w:t xml:space="preserve"> </w:t>
      </w:r>
      <w:r w:rsidRPr="00DC2142">
        <w:rPr>
          <w:rFonts w:eastAsia="Times New Roman" w:cs="Times New Roman"/>
          <w:b/>
          <w:lang w:val="en-US" w:eastAsia="fr-FR"/>
        </w:rPr>
        <w:t>Immunoblot analysis</w:t>
      </w:r>
    </w:p>
    <w:p w:rsidR="00B3316A" w:rsidRPr="00DC2142" w:rsidRDefault="00B3316A" w:rsidP="00B3316A">
      <w:pPr>
        <w:spacing w:after="120" w:line="360" w:lineRule="auto"/>
        <w:jc w:val="both"/>
        <w:rPr>
          <w:rFonts w:ascii="Times New Roman" w:eastAsia="Times New Roman" w:hAnsi="Times New Roman" w:cs="Times New Roman"/>
          <w:sz w:val="24"/>
          <w:szCs w:val="24"/>
          <w:lang w:val="en-US" w:eastAsia="fr-FR"/>
        </w:rPr>
      </w:pPr>
      <w:r w:rsidRPr="00DC2142">
        <w:rPr>
          <w:rFonts w:eastAsia="Times New Roman" w:cs="Times New Roman"/>
          <w:lang w:val="en-US" w:eastAsia="fr-FR"/>
        </w:rPr>
        <w:t xml:space="preserve">Cells were </w:t>
      </w:r>
      <w:proofErr w:type="spellStart"/>
      <w:r w:rsidRPr="00DC2142">
        <w:rPr>
          <w:rFonts w:eastAsia="Times New Roman" w:cs="Times New Roman"/>
          <w:lang w:val="en-US" w:eastAsia="fr-FR"/>
        </w:rPr>
        <w:t>resuspended</w:t>
      </w:r>
      <w:proofErr w:type="spellEnd"/>
      <w:r w:rsidRPr="00DC2142">
        <w:rPr>
          <w:rFonts w:eastAsia="Times New Roman" w:cs="Times New Roman"/>
          <w:lang w:val="en-US" w:eastAsia="fr-FR"/>
        </w:rPr>
        <w:t xml:space="preserve"> in </w:t>
      </w:r>
      <w:proofErr w:type="spellStart"/>
      <w:r w:rsidRPr="00DC2142">
        <w:rPr>
          <w:rFonts w:eastAsia="Times New Roman" w:cs="Times New Roman"/>
          <w:lang w:val="en-US" w:eastAsia="fr-FR"/>
        </w:rPr>
        <w:t>lysis</w:t>
      </w:r>
      <w:proofErr w:type="spellEnd"/>
      <w:r w:rsidRPr="00DC2142">
        <w:rPr>
          <w:rFonts w:eastAsia="Times New Roman" w:cs="Times New Roman"/>
          <w:lang w:val="en-US" w:eastAsia="fr-FR"/>
        </w:rPr>
        <w:t xml:space="preserve"> buffer (1% SDS; 10 </w:t>
      </w:r>
      <w:proofErr w:type="spellStart"/>
      <w:r w:rsidRPr="00DC2142">
        <w:rPr>
          <w:rFonts w:eastAsia="Times New Roman" w:cs="Times New Roman"/>
          <w:lang w:val="en-US" w:eastAsia="fr-FR"/>
        </w:rPr>
        <w:t>mM</w:t>
      </w:r>
      <w:proofErr w:type="spellEnd"/>
      <w:r w:rsidRPr="00DC2142">
        <w:rPr>
          <w:rFonts w:eastAsia="Times New Roman" w:cs="Times New Roman"/>
          <w:lang w:val="en-US" w:eastAsia="fr-FR"/>
        </w:rPr>
        <w:t xml:space="preserve"> EDTA; 50 </w:t>
      </w:r>
      <w:proofErr w:type="spellStart"/>
      <w:r w:rsidRPr="00DC2142">
        <w:rPr>
          <w:rFonts w:eastAsia="Times New Roman" w:cs="Times New Roman"/>
          <w:lang w:val="en-US" w:eastAsia="fr-FR"/>
        </w:rPr>
        <w:t>mM</w:t>
      </w:r>
      <w:proofErr w:type="spellEnd"/>
      <w:r w:rsidRPr="00DC2142">
        <w:rPr>
          <w:rFonts w:eastAsia="Times New Roman" w:cs="Times New Roman"/>
          <w:lang w:val="en-US" w:eastAsia="fr-FR"/>
        </w:rPr>
        <w:t xml:space="preserve"> Tris-</w:t>
      </w:r>
      <w:proofErr w:type="spellStart"/>
      <w:r w:rsidRPr="00DC2142">
        <w:rPr>
          <w:rFonts w:eastAsia="Times New Roman" w:cs="Times New Roman"/>
          <w:lang w:val="en-US" w:eastAsia="fr-FR"/>
        </w:rPr>
        <w:t>Hcl</w:t>
      </w:r>
      <w:proofErr w:type="spellEnd"/>
      <w:r w:rsidRPr="00DC2142">
        <w:rPr>
          <w:rFonts w:eastAsia="Times New Roman" w:cs="Times New Roman"/>
          <w:lang w:val="en-US" w:eastAsia="fr-FR"/>
        </w:rPr>
        <w:t xml:space="preserve"> pH 8.1; 1 </w:t>
      </w:r>
      <w:proofErr w:type="spellStart"/>
      <w:r w:rsidRPr="00DC2142">
        <w:rPr>
          <w:rFonts w:eastAsia="Times New Roman" w:cs="Times New Roman"/>
          <w:lang w:val="en-US" w:eastAsia="fr-FR"/>
        </w:rPr>
        <w:t>mM</w:t>
      </w:r>
      <w:proofErr w:type="spellEnd"/>
      <w:r w:rsidRPr="00DC2142">
        <w:rPr>
          <w:rFonts w:eastAsia="Times New Roman" w:cs="Times New Roman"/>
          <w:lang w:val="en-US" w:eastAsia="fr-FR"/>
        </w:rPr>
        <w:t xml:space="preserve"> PMSF; 10 </w:t>
      </w:r>
      <w:r w:rsidRPr="00DC2142">
        <w:rPr>
          <w:rFonts w:eastAsia="Times New Roman" w:cs="Times New Roman"/>
          <w:lang w:eastAsia="fr-FR"/>
        </w:rPr>
        <w:t>μ</w:t>
      </w:r>
      <w:r w:rsidRPr="00DC2142">
        <w:rPr>
          <w:rFonts w:eastAsia="Times New Roman" w:cs="Times New Roman"/>
          <w:lang w:val="en-US" w:eastAsia="fr-FR"/>
        </w:rPr>
        <w:t>g/ml</w:t>
      </w:r>
      <w:r w:rsidRPr="00DC2142">
        <w:rPr>
          <w:rFonts w:eastAsia="Times New Roman" w:cs="Times New Roman"/>
          <w:vertAlign w:val="superscript"/>
          <w:lang w:val="en-US" w:eastAsia="fr-FR"/>
        </w:rPr>
        <w:t>−1</w:t>
      </w:r>
      <w:r w:rsidRPr="00DC2142">
        <w:rPr>
          <w:rFonts w:eastAsia="Times New Roman" w:cs="Times New Roman"/>
          <w:lang w:val="en-US" w:eastAsia="fr-FR"/>
        </w:rPr>
        <w:t xml:space="preserve"> </w:t>
      </w:r>
      <w:proofErr w:type="spellStart"/>
      <w:r w:rsidRPr="00DC2142">
        <w:rPr>
          <w:rFonts w:eastAsia="Times New Roman" w:cs="Times New Roman"/>
          <w:lang w:val="en-US" w:eastAsia="fr-FR"/>
        </w:rPr>
        <w:t>aprotinin</w:t>
      </w:r>
      <w:proofErr w:type="spellEnd"/>
      <w:r w:rsidRPr="00DC2142">
        <w:rPr>
          <w:rFonts w:eastAsia="Times New Roman" w:cs="Times New Roman"/>
          <w:lang w:val="en-US" w:eastAsia="fr-FR"/>
        </w:rPr>
        <w:t xml:space="preserve">; 10 </w:t>
      </w:r>
      <w:r w:rsidRPr="00DC2142">
        <w:rPr>
          <w:rFonts w:eastAsia="Times New Roman" w:cs="Times New Roman"/>
          <w:lang w:eastAsia="fr-FR"/>
        </w:rPr>
        <w:t>μ</w:t>
      </w:r>
      <w:r w:rsidRPr="00DC2142">
        <w:rPr>
          <w:rFonts w:eastAsia="Times New Roman" w:cs="Times New Roman"/>
          <w:lang w:val="en-US" w:eastAsia="fr-FR"/>
        </w:rPr>
        <w:t>g/ml</w:t>
      </w:r>
      <w:r w:rsidRPr="00DC2142">
        <w:rPr>
          <w:rFonts w:eastAsia="Times New Roman" w:cs="Times New Roman"/>
          <w:vertAlign w:val="superscript"/>
          <w:lang w:val="en-US" w:eastAsia="fr-FR"/>
        </w:rPr>
        <w:t>−1</w:t>
      </w:r>
      <w:r w:rsidRPr="00DC2142">
        <w:rPr>
          <w:rFonts w:eastAsia="Times New Roman" w:cs="Times New Roman"/>
          <w:lang w:val="en-US" w:eastAsia="fr-FR"/>
        </w:rPr>
        <w:t xml:space="preserve"> </w:t>
      </w:r>
      <w:proofErr w:type="spellStart"/>
      <w:r w:rsidRPr="00DC2142">
        <w:rPr>
          <w:rFonts w:eastAsia="Times New Roman" w:cs="Times New Roman"/>
          <w:lang w:val="en-US" w:eastAsia="fr-FR"/>
        </w:rPr>
        <w:t>leupeptin</w:t>
      </w:r>
      <w:proofErr w:type="spellEnd"/>
      <w:r w:rsidRPr="00DC2142">
        <w:rPr>
          <w:rFonts w:eastAsia="Times New Roman" w:cs="Times New Roman"/>
          <w:lang w:val="en-US" w:eastAsia="fr-FR"/>
        </w:rPr>
        <w:t xml:space="preserve">; 10 </w:t>
      </w:r>
      <w:r w:rsidRPr="00DC2142">
        <w:rPr>
          <w:rFonts w:eastAsia="Times New Roman" w:cs="Times New Roman"/>
          <w:lang w:eastAsia="fr-FR"/>
        </w:rPr>
        <w:t>μ</w:t>
      </w:r>
      <w:r w:rsidRPr="00DC2142">
        <w:rPr>
          <w:rFonts w:eastAsia="Times New Roman" w:cs="Times New Roman"/>
          <w:lang w:val="en-US" w:eastAsia="fr-FR"/>
        </w:rPr>
        <w:t>g/ml</w:t>
      </w:r>
      <w:r w:rsidRPr="00DC2142">
        <w:rPr>
          <w:rFonts w:eastAsia="Times New Roman" w:cs="Times New Roman"/>
          <w:vertAlign w:val="superscript"/>
          <w:lang w:val="en-US" w:eastAsia="fr-FR"/>
        </w:rPr>
        <w:t>−1</w:t>
      </w:r>
      <w:r w:rsidRPr="00DC2142">
        <w:rPr>
          <w:rFonts w:eastAsia="Times New Roman" w:cs="Times New Roman"/>
          <w:lang w:val="en-US" w:eastAsia="fr-FR"/>
        </w:rPr>
        <w:t xml:space="preserve"> </w:t>
      </w:r>
      <w:proofErr w:type="spellStart"/>
      <w:r w:rsidRPr="00DC2142">
        <w:rPr>
          <w:rFonts w:eastAsia="Times New Roman" w:cs="Times New Roman"/>
          <w:lang w:val="en-US" w:eastAsia="fr-FR"/>
        </w:rPr>
        <w:t>pepstatin</w:t>
      </w:r>
      <w:proofErr w:type="spellEnd"/>
      <w:r w:rsidRPr="00DC2142">
        <w:rPr>
          <w:rFonts w:eastAsia="Times New Roman" w:cs="Times New Roman"/>
          <w:lang w:val="en-US" w:eastAsia="fr-FR"/>
        </w:rPr>
        <w:t xml:space="preserve">; 1 </w:t>
      </w:r>
      <w:proofErr w:type="spellStart"/>
      <w:r w:rsidRPr="00DC2142">
        <w:rPr>
          <w:rFonts w:eastAsia="Times New Roman" w:cs="Times New Roman"/>
          <w:lang w:val="en-US" w:eastAsia="fr-FR"/>
        </w:rPr>
        <w:t>mM</w:t>
      </w:r>
      <w:proofErr w:type="spellEnd"/>
      <w:r w:rsidRPr="00DC2142">
        <w:rPr>
          <w:rFonts w:eastAsia="Times New Roman" w:cs="Times New Roman"/>
          <w:lang w:val="en-US" w:eastAsia="fr-FR"/>
        </w:rPr>
        <w:t xml:space="preserve"> Na3VO4 and 50 </w:t>
      </w:r>
      <w:proofErr w:type="spellStart"/>
      <w:r w:rsidRPr="00DC2142">
        <w:rPr>
          <w:rFonts w:eastAsia="Times New Roman" w:cs="Times New Roman"/>
          <w:lang w:val="en-US" w:eastAsia="fr-FR"/>
        </w:rPr>
        <w:t>mM</w:t>
      </w:r>
      <w:proofErr w:type="spellEnd"/>
      <w:r w:rsidRPr="00DC2142">
        <w:rPr>
          <w:rFonts w:eastAsia="Times New Roman" w:cs="Times New Roman"/>
          <w:lang w:val="en-US" w:eastAsia="fr-FR"/>
        </w:rPr>
        <w:t xml:space="preserve"> </w:t>
      </w:r>
      <w:proofErr w:type="spellStart"/>
      <w:r w:rsidRPr="00DC2142">
        <w:rPr>
          <w:rFonts w:eastAsia="Times New Roman" w:cs="Times New Roman"/>
          <w:lang w:val="en-US" w:eastAsia="fr-FR"/>
        </w:rPr>
        <w:t>NaF</w:t>
      </w:r>
      <w:proofErr w:type="spellEnd"/>
      <w:r w:rsidRPr="00DC2142">
        <w:rPr>
          <w:rFonts w:eastAsia="Times New Roman" w:cs="Times New Roman"/>
          <w:lang w:val="en-US" w:eastAsia="fr-FR"/>
        </w:rPr>
        <w:t xml:space="preserve">) and </w:t>
      </w:r>
      <w:proofErr w:type="spellStart"/>
      <w:r w:rsidRPr="00DC2142">
        <w:rPr>
          <w:rFonts w:eastAsia="Times New Roman" w:cs="Times New Roman"/>
          <w:lang w:val="en-US" w:eastAsia="fr-FR"/>
        </w:rPr>
        <w:t>sonicated</w:t>
      </w:r>
      <w:proofErr w:type="spellEnd"/>
      <w:r w:rsidRPr="00DC2142">
        <w:rPr>
          <w:rFonts w:eastAsia="Times New Roman" w:cs="Times New Roman"/>
          <w:lang w:val="en-US" w:eastAsia="fr-FR"/>
        </w:rPr>
        <w:t xml:space="preserve"> with </w:t>
      </w:r>
      <w:proofErr w:type="spellStart"/>
      <w:r w:rsidRPr="00DC2142">
        <w:rPr>
          <w:rFonts w:eastAsia="Times New Roman" w:cs="Times New Roman"/>
          <w:lang w:val="en-US" w:eastAsia="fr-FR"/>
        </w:rPr>
        <w:t>Bioruptor</w:t>
      </w:r>
      <w:proofErr w:type="spellEnd"/>
      <w:r w:rsidRPr="00DC2142">
        <w:rPr>
          <w:rFonts w:eastAsia="Times New Roman" w:cs="Times New Roman"/>
          <w:lang w:val="en-US" w:eastAsia="fr-FR"/>
        </w:rPr>
        <w:t xml:space="preserve"> apparatus from </w:t>
      </w:r>
      <w:proofErr w:type="spellStart"/>
      <w:r w:rsidRPr="00DC2142">
        <w:rPr>
          <w:rFonts w:eastAsia="Times New Roman" w:cs="Times New Roman"/>
          <w:lang w:val="en-US" w:eastAsia="fr-FR"/>
        </w:rPr>
        <w:t>Diagenode</w:t>
      </w:r>
      <w:proofErr w:type="spellEnd"/>
      <w:r w:rsidRPr="00DC2142">
        <w:rPr>
          <w:rFonts w:eastAsia="Times New Roman" w:cs="Times New Roman"/>
          <w:lang w:val="en-US" w:eastAsia="fr-FR"/>
        </w:rPr>
        <w:t xml:space="preserve">. For western blotting, following SDS–PAGE, proteins were transferred to 0.45 µM nitrocellulose membranes using Trans-Blot® Turbo™ Transfer System Cell system (Bio-Rad). The membrane was then blocked in 10% nonfat dry milk TBS 0.1% Tween 20 and incubated with primary antibody overnight at 4°C. Blots were incubated with the appropriate secondary antibodies for 1 h at room temperature and visualized using the </w:t>
      </w:r>
      <w:proofErr w:type="spellStart"/>
      <w:r w:rsidRPr="00DC2142">
        <w:rPr>
          <w:rFonts w:eastAsia="Times New Roman" w:cs="Times New Roman"/>
          <w:lang w:val="en-US" w:eastAsia="fr-FR"/>
        </w:rPr>
        <w:t>Chemi</w:t>
      </w:r>
      <w:proofErr w:type="spellEnd"/>
      <w:r w:rsidRPr="00DC2142">
        <w:rPr>
          <w:rFonts w:eastAsia="Times New Roman" w:cs="Times New Roman"/>
          <w:lang w:val="en-US" w:eastAsia="fr-FR"/>
        </w:rPr>
        <w:t>-Doc XRS+ system (Bio-Rad). Primary antibodies used were anti-BCL-X</w:t>
      </w:r>
      <w:r w:rsidRPr="00DC2142">
        <w:rPr>
          <w:rFonts w:eastAsia="Times New Roman" w:cs="Times New Roman"/>
          <w:vertAlign w:val="subscript"/>
          <w:lang w:val="en-US" w:eastAsia="fr-FR"/>
        </w:rPr>
        <w:t>L</w:t>
      </w:r>
      <w:r w:rsidRPr="00DC2142">
        <w:rPr>
          <w:rFonts w:eastAsia="Times New Roman" w:cs="Times New Roman"/>
          <w:lang w:val="en-US" w:eastAsia="fr-FR"/>
        </w:rPr>
        <w:t xml:space="preserve"> (</w:t>
      </w:r>
      <w:proofErr w:type="spellStart"/>
      <w:r w:rsidRPr="00DC2142">
        <w:rPr>
          <w:rFonts w:eastAsia="Times New Roman" w:cs="Times New Roman"/>
          <w:lang w:val="en-US" w:eastAsia="fr-FR"/>
        </w:rPr>
        <w:t>abcam</w:t>
      </w:r>
      <w:proofErr w:type="spellEnd"/>
      <w:r w:rsidRPr="00DC2142">
        <w:rPr>
          <w:rFonts w:eastAsia="Times New Roman" w:cs="Times New Roman"/>
          <w:lang w:val="en-US" w:eastAsia="fr-FR"/>
        </w:rPr>
        <w:t>, ab32370), anti-MCL-1 (Santa Cruz, sc-819), anti-BCL-2 (</w:t>
      </w:r>
      <w:proofErr w:type="spellStart"/>
      <w:r w:rsidRPr="00DC2142">
        <w:rPr>
          <w:rFonts w:eastAsia="Times New Roman" w:cs="Times New Roman"/>
          <w:lang w:val="en-US" w:eastAsia="fr-FR"/>
        </w:rPr>
        <w:t>Dako</w:t>
      </w:r>
      <w:proofErr w:type="spellEnd"/>
      <w:r w:rsidRPr="00DC2142">
        <w:rPr>
          <w:rFonts w:eastAsia="Times New Roman" w:cs="Times New Roman"/>
          <w:lang w:val="en-US" w:eastAsia="fr-FR"/>
        </w:rPr>
        <w:t>, M0887), anti-</w:t>
      </w:r>
      <w:proofErr w:type="spellStart"/>
      <w:r w:rsidRPr="00DC2142">
        <w:rPr>
          <w:rFonts w:eastAsia="Times New Roman" w:cs="Times New Roman"/>
          <w:lang w:val="en-US" w:eastAsia="fr-FR"/>
        </w:rPr>
        <w:t>Bax</w:t>
      </w:r>
      <w:proofErr w:type="spellEnd"/>
      <w:r w:rsidRPr="00DC2142">
        <w:rPr>
          <w:rFonts w:eastAsia="Times New Roman" w:cs="Times New Roman"/>
          <w:lang w:val="en-US" w:eastAsia="fr-FR"/>
        </w:rPr>
        <w:t xml:space="preserve"> (</w:t>
      </w:r>
      <w:proofErr w:type="spellStart"/>
      <w:r w:rsidRPr="00DC2142">
        <w:rPr>
          <w:rFonts w:eastAsia="Times New Roman" w:cs="Times New Roman"/>
          <w:lang w:val="en-US" w:eastAsia="fr-FR"/>
        </w:rPr>
        <w:t>Dako</w:t>
      </w:r>
      <w:proofErr w:type="spellEnd"/>
      <w:r w:rsidRPr="00DC2142">
        <w:rPr>
          <w:rFonts w:eastAsia="Times New Roman" w:cs="Times New Roman"/>
          <w:lang w:val="en-US" w:eastAsia="fr-FR"/>
        </w:rPr>
        <w:t>, A3533), anti-</w:t>
      </w:r>
      <w:proofErr w:type="spellStart"/>
      <w:r w:rsidRPr="00DC2142">
        <w:rPr>
          <w:rFonts w:eastAsia="Times New Roman" w:cs="Times New Roman"/>
          <w:lang w:val="en-US" w:eastAsia="fr-FR"/>
        </w:rPr>
        <w:t>Bak</w:t>
      </w:r>
      <w:proofErr w:type="spellEnd"/>
      <w:r w:rsidRPr="00DC2142">
        <w:rPr>
          <w:rFonts w:eastAsia="Times New Roman" w:cs="Times New Roman"/>
          <w:lang w:val="en-US" w:eastAsia="fr-FR"/>
        </w:rPr>
        <w:t xml:space="preserve"> (Cell signaling, 3814), anti-BIM (Millipore, AB17003), anti-p-ERK T202/Y204 (Cell Signaling, 4370), anti-ERK (Cell Signaling, 9102) anti-STAT-3 (BD transduction Laboratories, 610190), anti p-STAT-3 Y705 (Cell Signaling, 9145L) and anti-</w:t>
      </w:r>
      <w:r w:rsidRPr="00DC2142">
        <w:rPr>
          <w:rFonts w:ascii="Symbol" w:eastAsia="Times New Roman" w:hAnsi="Symbol" w:cs="Times New Roman"/>
          <w:lang w:val="en-US" w:eastAsia="fr-FR"/>
        </w:rPr>
        <w:t></w:t>
      </w:r>
      <w:r w:rsidRPr="00DC2142">
        <w:rPr>
          <w:rFonts w:eastAsia="Times New Roman" w:cs="Times New Roman"/>
          <w:lang w:val="en-US" w:eastAsia="fr-FR"/>
        </w:rPr>
        <w:t>-ACTIN (Millipore, MAB1501R).</w:t>
      </w:r>
      <w:r w:rsidRPr="00DC2142">
        <w:rPr>
          <w:rFonts w:ascii="Times New Roman" w:eastAsia="Times New Roman" w:hAnsi="Times New Roman" w:cs="Times New Roman"/>
          <w:sz w:val="24"/>
          <w:szCs w:val="24"/>
          <w:lang w:val="en-US" w:eastAsia="fr-FR"/>
        </w:rPr>
        <w:t xml:space="preserve"> </w:t>
      </w:r>
    </w:p>
    <w:p w:rsidR="00B3316A" w:rsidRPr="00DC2142" w:rsidRDefault="00B3316A" w:rsidP="00B3316A">
      <w:pPr>
        <w:spacing w:after="120" w:line="360" w:lineRule="auto"/>
        <w:jc w:val="both"/>
        <w:rPr>
          <w:rFonts w:eastAsia="Times New Roman" w:cs="Times New Roman"/>
          <w:lang w:val="en-US" w:eastAsia="fr-FR"/>
        </w:rPr>
      </w:pPr>
    </w:p>
    <w:p w:rsidR="00B3316A" w:rsidRPr="00DC2142" w:rsidRDefault="00B3316A" w:rsidP="00B3316A">
      <w:pPr>
        <w:spacing w:after="120" w:line="240" w:lineRule="auto"/>
        <w:outlineLvl w:val="2"/>
        <w:rPr>
          <w:rFonts w:eastAsia="Times New Roman" w:cs="Times New Roman"/>
          <w:b/>
          <w:bCs/>
          <w:lang w:val="en-US" w:eastAsia="fr-FR"/>
        </w:rPr>
      </w:pPr>
      <w:r w:rsidRPr="00DC2142">
        <w:rPr>
          <w:rFonts w:eastAsia="Times New Roman" w:cs="Times New Roman"/>
          <w:b/>
          <w:bCs/>
          <w:lang w:val="en-US" w:eastAsia="fr-FR"/>
        </w:rPr>
        <w:t>Apoptosis assays</w:t>
      </w:r>
    </w:p>
    <w:p w:rsidR="00B3316A" w:rsidRPr="00DC2142" w:rsidRDefault="00B3316A" w:rsidP="00B3316A">
      <w:pPr>
        <w:spacing w:after="120" w:line="360" w:lineRule="auto"/>
        <w:jc w:val="both"/>
        <w:rPr>
          <w:rFonts w:eastAsia="Times New Roman" w:cs="Times New Roman"/>
          <w:lang w:val="en-US" w:eastAsia="fr-FR"/>
        </w:rPr>
      </w:pPr>
      <w:r w:rsidRPr="00DC2142">
        <w:rPr>
          <w:rFonts w:eastAsia="Times New Roman" w:cs="Times New Roman"/>
          <w:lang w:val="en-US" w:eastAsia="fr-FR"/>
        </w:rPr>
        <w:t>Cell death was assessed by an Annexin-V FITC binding assay (</w:t>
      </w:r>
      <w:proofErr w:type="spellStart"/>
      <w:r w:rsidRPr="00DC2142">
        <w:rPr>
          <w:rFonts w:eastAsia="Times New Roman" w:cs="Times New Roman"/>
          <w:lang w:val="en-US" w:eastAsia="fr-FR"/>
        </w:rPr>
        <w:t>Miltenyi</w:t>
      </w:r>
      <w:proofErr w:type="spellEnd"/>
      <w:r w:rsidRPr="00DC2142">
        <w:rPr>
          <w:rFonts w:eastAsia="Times New Roman" w:cs="Times New Roman"/>
          <w:lang w:val="en-US" w:eastAsia="fr-FR"/>
        </w:rPr>
        <w:t xml:space="preserve">) performed according to manufacturer's instructions. Flow-cytometry analysis was performed on a </w:t>
      </w:r>
      <w:proofErr w:type="spellStart"/>
      <w:r w:rsidRPr="00DC2142">
        <w:rPr>
          <w:rFonts w:eastAsia="Times New Roman" w:cs="Times New Roman"/>
          <w:lang w:val="en-US" w:eastAsia="fr-FR"/>
        </w:rPr>
        <w:t>Accuri</w:t>
      </w:r>
      <w:proofErr w:type="spellEnd"/>
      <w:r w:rsidRPr="00DC2142">
        <w:rPr>
          <w:rFonts w:eastAsia="Times New Roman" w:cs="Times New Roman"/>
          <w:lang w:val="en-US" w:eastAsia="fr-FR"/>
        </w:rPr>
        <w:t xml:space="preserve"> C6 flow cytometer from BD biosciences. For co-culture apoptosis assay,</w:t>
      </w:r>
      <w:r w:rsidRPr="00DC2142">
        <w:rPr>
          <w:lang w:val="en-US"/>
        </w:rPr>
        <w:t xml:space="preserve"> cell suspension was stained with PE-conjugated human CD90 antibodies </w:t>
      </w:r>
      <w:r w:rsidRPr="00DC2142">
        <w:rPr>
          <w:rFonts w:eastAsia="Times New Roman" w:cs="Times New Roman"/>
          <w:lang w:val="en-US" w:eastAsia="fr-FR"/>
        </w:rPr>
        <w:t xml:space="preserve">(BD Biosciences, </w:t>
      </w:r>
      <w:r w:rsidR="007708F0">
        <w:rPr>
          <w:lang w:val="en-US"/>
        </w:rPr>
        <w:t>555596</w:t>
      </w:r>
      <w:r w:rsidRPr="00DC2142">
        <w:rPr>
          <w:rFonts w:eastAsia="Times New Roman" w:cs="Times New Roman"/>
          <w:lang w:val="en-US" w:eastAsia="fr-FR"/>
        </w:rPr>
        <w:t xml:space="preserve">) </w:t>
      </w:r>
      <w:r w:rsidRPr="00DC2142">
        <w:rPr>
          <w:lang w:val="en-US"/>
        </w:rPr>
        <w:t xml:space="preserve">prior to Annexin-V APC </w:t>
      </w:r>
      <w:r w:rsidRPr="00DC2142">
        <w:rPr>
          <w:rFonts w:eastAsia="Times New Roman" w:cs="Times New Roman"/>
          <w:lang w:val="en-US" w:eastAsia="fr-FR"/>
        </w:rPr>
        <w:t>(BD Biosciences</w:t>
      </w:r>
      <w:r w:rsidR="009D0380">
        <w:rPr>
          <w:rFonts w:eastAsia="Times New Roman" w:cs="Times New Roman"/>
          <w:lang w:val="en-US" w:eastAsia="fr-FR"/>
        </w:rPr>
        <w:t>,550474</w:t>
      </w:r>
      <w:r w:rsidRPr="00DC2142">
        <w:rPr>
          <w:rFonts w:eastAsia="Times New Roman" w:cs="Times New Roman"/>
          <w:lang w:val="en-US" w:eastAsia="fr-FR"/>
        </w:rPr>
        <w:t>)</w:t>
      </w:r>
      <w:r w:rsidRPr="00DC2142">
        <w:rPr>
          <w:lang w:val="en-US"/>
        </w:rPr>
        <w:t xml:space="preserve"> binding assay </w:t>
      </w:r>
      <w:r w:rsidRPr="00DC2142">
        <w:rPr>
          <w:rFonts w:eastAsia="Times New Roman" w:cs="Times New Roman"/>
          <w:lang w:val="en-US" w:eastAsia="fr-FR"/>
        </w:rPr>
        <w:t xml:space="preserve">according to the manufacturer’s instructions. </w:t>
      </w:r>
    </w:p>
    <w:p w:rsidR="00B3316A" w:rsidRPr="00DC2142" w:rsidRDefault="00B3316A" w:rsidP="00B3316A">
      <w:pPr>
        <w:spacing w:before="100" w:beforeAutospacing="1" w:after="120" w:line="360" w:lineRule="auto"/>
        <w:jc w:val="both"/>
        <w:rPr>
          <w:rFonts w:eastAsia="Times New Roman" w:cs="Times New Roman"/>
          <w:lang w:val="en-US" w:eastAsia="fr-FR"/>
        </w:rPr>
      </w:pPr>
    </w:p>
    <w:p w:rsidR="00B3316A" w:rsidRPr="00DC2142" w:rsidRDefault="00B3316A" w:rsidP="00B3316A">
      <w:pPr>
        <w:spacing w:after="120" w:line="360" w:lineRule="auto"/>
        <w:jc w:val="both"/>
        <w:rPr>
          <w:b/>
          <w:lang w:val="en-US"/>
        </w:rPr>
      </w:pPr>
      <w:r w:rsidRPr="00DC2142">
        <w:rPr>
          <w:b/>
          <w:lang w:val="en-US"/>
        </w:rPr>
        <w:t>Cytochrome C release</w:t>
      </w:r>
    </w:p>
    <w:p w:rsidR="00B3316A" w:rsidRPr="00DC2142" w:rsidRDefault="00B3316A" w:rsidP="00B3316A">
      <w:pPr>
        <w:keepNext/>
        <w:keepLines/>
        <w:spacing w:before="40" w:after="120" w:line="360" w:lineRule="auto"/>
        <w:jc w:val="both"/>
        <w:outlineLvl w:val="1"/>
        <w:rPr>
          <w:rFonts w:eastAsia="Times New Roman" w:cs="Times New Roman"/>
          <w:bCs/>
          <w:lang w:val="en-US" w:eastAsia="fr-FR"/>
        </w:rPr>
      </w:pPr>
      <w:r w:rsidRPr="00DC2142">
        <w:rPr>
          <w:rFonts w:eastAsiaTheme="majorEastAsia" w:cstheme="majorBidi"/>
          <w:lang w:val="en-US"/>
        </w:rPr>
        <w:t xml:space="preserve">Briefly, cells were fixed and </w:t>
      </w:r>
      <w:proofErr w:type="spellStart"/>
      <w:r w:rsidRPr="00DC2142">
        <w:rPr>
          <w:rFonts w:eastAsiaTheme="majorEastAsia" w:cstheme="majorBidi"/>
          <w:lang w:val="en-US"/>
        </w:rPr>
        <w:t>permealized</w:t>
      </w:r>
      <w:proofErr w:type="spellEnd"/>
      <w:r w:rsidRPr="00DC2142">
        <w:rPr>
          <w:rFonts w:eastAsiaTheme="majorEastAsia" w:cstheme="majorBidi"/>
          <w:lang w:val="en-US"/>
        </w:rPr>
        <w:t xml:space="preserve"> using </w:t>
      </w:r>
      <w:r w:rsidRPr="00DC2142">
        <w:rPr>
          <w:rFonts w:eastAsia="Times New Roman" w:cs="Times New Roman"/>
          <w:bCs/>
          <w:lang w:val="en-US" w:eastAsia="fr-FR"/>
        </w:rPr>
        <w:t xml:space="preserve">FIX &amp; PERM Cell Fixation and </w:t>
      </w:r>
      <w:proofErr w:type="spellStart"/>
      <w:r w:rsidRPr="00DC2142">
        <w:rPr>
          <w:rFonts w:eastAsia="Times New Roman" w:cs="Times New Roman"/>
          <w:bCs/>
          <w:lang w:val="en-US" w:eastAsia="fr-FR"/>
        </w:rPr>
        <w:t>Permeabilization</w:t>
      </w:r>
      <w:proofErr w:type="spellEnd"/>
      <w:r w:rsidRPr="00DC2142">
        <w:rPr>
          <w:rFonts w:eastAsia="Times New Roman" w:cs="Times New Roman"/>
          <w:bCs/>
          <w:lang w:val="en-US" w:eastAsia="fr-FR"/>
        </w:rPr>
        <w:t xml:space="preserve"> Kits (</w:t>
      </w:r>
      <w:proofErr w:type="spellStart"/>
      <w:r w:rsidRPr="00DC2142">
        <w:rPr>
          <w:rFonts w:eastAsia="Times New Roman" w:cs="Times New Roman"/>
          <w:bCs/>
          <w:lang w:val="en-US" w:eastAsia="fr-FR"/>
        </w:rPr>
        <w:t>ebioscience</w:t>
      </w:r>
      <w:proofErr w:type="spellEnd"/>
      <w:r w:rsidRPr="00DC2142">
        <w:rPr>
          <w:rFonts w:eastAsia="Times New Roman" w:cs="Times New Roman"/>
          <w:bCs/>
          <w:lang w:val="en-US" w:eastAsia="fr-FR"/>
        </w:rPr>
        <w:t>,</w:t>
      </w:r>
      <w:r w:rsidRPr="00DC2142">
        <w:rPr>
          <w:rFonts w:asciiTheme="majorHAnsi" w:eastAsia="Times New Roman" w:hAnsiTheme="majorHAnsi" w:cs="Times New Roman"/>
          <w:sz w:val="26"/>
          <w:szCs w:val="26"/>
          <w:lang w:val="en-US" w:eastAsia="fr-FR"/>
        </w:rPr>
        <w:t xml:space="preserve"> </w:t>
      </w:r>
      <w:r w:rsidRPr="00DC2142">
        <w:rPr>
          <w:rFonts w:eastAsia="Times New Roman" w:cs="Times New Roman"/>
          <w:lang w:val="en-US" w:eastAsia="fr-FR"/>
        </w:rPr>
        <w:t>San Jose, CA, USA</w:t>
      </w:r>
      <w:r w:rsidRPr="00DC2142">
        <w:rPr>
          <w:rFonts w:eastAsia="Times New Roman" w:cs="Times New Roman"/>
          <w:bCs/>
          <w:lang w:val="en-US" w:eastAsia="fr-FR"/>
        </w:rPr>
        <w:t xml:space="preserve">). Cell suspension was stained with Alexa647-conjugated human </w:t>
      </w:r>
      <w:proofErr w:type="spellStart"/>
      <w:r w:rsidRPr="00DC2142">
        <w:rPr>
          <w:rFonts w:eastAsia="Times New Roman" w:cs="Times New Roman"/>
          <w:bCs/>
          <w:lang w:val="en-US" w:eastAsia="fr-FR"/>
        </w:rPr>
        <w:t>cyt</w:t>
      </w:r>
      <w:proofErr w:type="spellEnd"/>
      <w:r w:rsidRPr="00DC2142">
        <w:rPr>
          <w:rFonts w:eastAsia="Times New Roman" w:cs="Times New Roman"/>
          <w:bCs/>
          <w:lang w:val="en-US" w:eastAsia="fr-FR"/>
        </w:rPr>
        <w:t xml:space="preserve">-C antibody (BD Biosciences, </w:t>
      </w:r>
      <w:r w:rsidR="00B529CF">
        <w:rPr>
          <w:rFonts w:eastAsia="Times New Roman" w:cs="Times New Roman"/>
          <w:bCs/>
          <w:lang w:val="en-US" w:eastAsia="fr-FR"/>
        </w:rPr>
        <w:t>560263</w:t>
      </w:r>
      <w:r w:rsidRPr="00DC2142">
        <w:rPr>
          <w:rFonts w:eastAsia="Times New Roman" w:cs="Times New Roman"/>
          <w:bCs/>
          <w:lang w:val="en-US" w:eastAsia="fr-FR"/>
        </w:rPr>
        <w:t xml:space="preserve">). </w:t>
      </w:r>
    </w:p>
    <w:p w:rsidR="00B3316A" w:rsidRPr="00DC2142" w:rsidRDefault="00B3316A" w:rsidP="00B3316A">
      <w:pPr>
        <w:spacing w:after="120" w:line="360" w:lineRule="auto"/>
        <w:jc w:val="both"/>
        <w:rPr>
          <w:b/>
          <w:lang w:val="en-US"/>
        </w:rPr>
      </w:pPr>
    </w:p>
    <w:p w:rsidR="00B3316A" w:rsidRPr="00DC2142" w:rsidRDefault="00B3316A" w:rsidP="00B3316A">
      <w:pPr>
        <w:keepNext/>
        <w:spacing w:after="120" w:line="360" w:lineRule="auto"/>
        <w:jc w:val="both"/>
        <w:rPr>
          <w:b/>
          <w:lang w:val="en-US"/>
        </w:rPr>
      </w:pPr>
      <w:r w:rsidRPr="00DC2142">
        <w:rPr>
          <w:b/>
          <w:lang w:val="en-US"/>
        </w:rPr>
        <w:lastRenderedPageBreak/>
        <w:t>Caspase 9 activity</w:t>
      </w:r>
    </w:p>
    <w:p w:rsidR="00B3316A" w:rsidRPr="00DC2142" w:rsidRDefault="00B3316A" w:rsidP="00B3316A">
      <w:pPr>
        <w:keepNext/>
        <w:spacing w:after="120" w:line="360" w:lineRule="auto"/>
        <w:jc w:val="both"/>
        <w:rPr>
          <w:lang w:val="en-US"/>
        </w:rPr>
      </w:pPr>
      <w:r w:rsidRPr="00DC2142">
        <w:rPr>
          <w:lang w:val="en-US"/>
        </w:rPr>
        <w:t>The activity of caspase-9 was measured by Caspase-Glo-9 assay kit according to the manufacturer's instructions (</w:t>
      </w:r>
      <w:proofErr w:type="spellStart"/>
      <w:r w:rsidRPr="00DC2142">
        <w:rPr>
          <w:lang w:val="en-US"/>
        </w:rPr>
        <w:t>Promega</w:t>
      </w:r>
      <w:proofErr w:type="spellEnd"/>
      <w:r w:rsidRPr="00DC2142">
        <w:rPr>
          <w:lang w:val="en-US"/>
        </w:rPr>
        <w:t>).</w:t>
      </w:r>
    </w:p>
    <w:p w:rsidR="00B3316A" w:rsidRPr="00DC2142" w:rsidRDefault="00B3316A" w:rsidP="00B3316A">
      <w:pPr>
        <w:spacing w:before="100" w:beforeAutospacing="1" w:after="120" w:line="360" w:lineRule="auto"/>
        <w:jc w:val="both"/>
        <w:rPr>
          <w:rFonts w:eastAsia="Times New Roman" w:cs="Times New Roman"/>
          <w:lang w:val="en-US" w:eastAsia="fr-FR"/>
        </w:rPr>
      </w:pPr>
    </w:p>
    <w:p w:rsidR="00B3316A" w:rsidRPr="00DC2142" w:rsidRDefault="00B3316A" w:rsidP="00B3316A">
      <w:pPr>
        <w:spacing w:after="120" w:line="360" w:lineRule="auto"/>
        <w:jc w:val="both"/>
        <w:rPr>
          <w:b/>
          <w:lang w:val="en-US"/>
        </w:rPr>
      </w:pPr>
      <w:r w:rsidRPr="00DC2142">
        <w:rPr>
          <w:b/>
          <w:lang w:val="en-US"/>
        </w:rPr>
        <w:t>RNA isolation and quantitative real-time PCR</w:t>
      </w:r>
    </w:p>
    <w:p w:rsidR="00B3316A" w:rsidRPr="00DC2142" w:rsidRDefault="00B3316A" w:rsidP="00B3316A">
      <w:pPr>
        <w:spacing w:after="120" w:line="360" w:lineRule="auto"/>
        <w:jc w:val="both"/>
        <w:rPr>
          <w:lang w:val="en-US"/>
        </w:rPr>
      </w:pPr>
      <w:r w:rsidRPr="00DC2142">
        <w:rPr>
          <w:lang w:val="en-US"/>
        </w:rPr>
        <w:t xml:space="preserve">Total RNA was isolated using </w:t>
      </w:r>
      <w:proofErr w:type="spellStart"/>
      <w:r w:rsidRPr="00DC2142">
        <w:rPr>
          <w:lang w:val="en-US"/>
        </w:rPr>
        <w:t>Nucleospin</w:t>
      </w:r>
      <w:proofErr w:type="spellEnd"/>
      <w:r w:rsidRPr="00DC2142">
        <w:rPr>
          <w:lang w:val="en-US"/>
        </w:rPr>
        <w:t xml:space="preserve"> RNA (</w:t>
      </w:r>
      <w:proofErr w:type="spellStart"/>
      <w:r w:rsidRPr="00DC2142">
        <w:rPr>
          <w:lang w:val="en-US"/>
        </w:rPr>
        <w:t>Macherey-nagel</w:t>
      </w:r>
      <w:proofErr w:type="spellEnd"/>
      <w:r w:rsidRPr="00561D3A">
        <w:rPr>
          <w:u w:val="single"/>
          <w:lang w:val="en-US"/>
        </w:rPr>
        <w:t xml:space="preserve">, </w:t>
      </w:r>
      <w:proofErr w:type="spellStart"/>
      <w:r w:rsidRPr="00561D3A">
        <w:rPr>
          <w:lang w:val="en-US"/>
        </w:rPr>
        <w:t>Hoerdt</w:t>
      </w:r>
      <w:proofErr w:type="spellEnd"/>
      <w:r w:rsidRPr="00561D3A">
        <w:rPr>
          <w:lang w:val="en-US"/>
        </w:rPr>
        <w:t>, France</w:t>
      </w:r>
      <w:r w:rsidRPr="00DC2142">
        <w:rPr>
          <w:lang w:val="en-US"/>
        </w:rPr>
        <w:t xml:space="preserve">) and transcribed into cDNA by Maxima First Strand cDNA synthesis Kit (Thermo scientific). Quantitative RT-PCR (qPCR) was performed using the </w:t>
      </w:r>
      <w:proofErr w:type="spellStart"/>
      <w:r w:rsidRPr="00561D3A">
        <w:rPr>
          <w:lang w:val="en-US"/>
        </w:rPr>
        <w:t>EurobioGreen</w:t>
      </w:r>
      <w:proofErr w:type="spellEnd"/>
      <w:r w:rsidRPr="00561D3A">
        <w:rPr>
          <w:lang w:val="en-US"/>
        </w:rPr>
        <w:t xml:space="preserve"> </w:t>
      </w:r>
      <w:proofErr w:type="spellStart"/>
      <w:r w:rsidRPr="00561D3A">
        <w:rPr>
          <w:lang w:val="en-US"/>
        </w:rPr>
        <w:t>qPCR</w:t>
      </w:r>
      <w:proofErr w:type="spellEnd"/>
      <w:r w:rsidRPr="00561D3A">
        <w:rPr>
          <w:lang w:val="en-US"/>
        </w:rPr>
        <w:t xml:space="preserve"> Mix Lo-</w:t>
      </w:r>
      <w:proofErr w:type="spellStart"/>
      <w:r w:rsidRPr="00561D3A">
        <w:rPr>
          <w:lang w:val="en-US"/>
        </w:rPr>
        <w:t>Rox</w:t>
      </w:r>
      <w:proofErr w:type="spellEnd"/>
      <w:r w:rsidRPr="00561D3A">
        <w:rPr>
          <w:lang w:val="en-US"/>
        </w:rPr>
        <w:t xml:space="preserve"> </w:t>
      </w:r>
      <w:r w:rsidRPr="00DC2142">
        <w:rPr>
          <w:lang w:val="en-US"/>
        </w:rPr>
        <w:t xml:space="preserve">with </w:t>
      </w:r>
      <w:proofErr w:type="spellStart"/>
      <w:r w:rsidRPr="00DC2142">
        <w:rPr>
          <w:lang w:val="en-US"/>
        </w:rPr>
        <w:t>qTOWER</w:t>
      </w:r>
      <w:proofErr w:type="spellEnd"/>
      <w:r w:rsidRPr="00DC2142">
        <w:rPr>
          <w:lang w:val="en-US"/>
        </w:rPr>
        <w:t xml:space="preserve"> (</w:t>
      </w:r>
      <w:proofErr w:type="spellStart"/>
      <w:r w:rsidRPr="00DC2142">
        <w:rPr>
          <w:lang w:val="en-US"/>
        </w:rPr>
        <w:t>Analityk-jena</w:t>
      </w:r>
      <w:proofErr w:type="spellEnd"/>
      <w:r w:rsidRPr="00DC2142">
        <w:rPr>
          <w:lang w:val="en-US"/>
        </w:rPr>
        <w:t xml:space="preserve">, </w:t>
      </w:r>
      <w:proofErr w:type="spellStart"/>
      <w:r w:rsidRPr="00DC2142">
        <w:rPr>
          <w:lang w:val="en-US"/>
        </w:rPr>
        <w:t>jena</w:t>
      </w:r>
      <w:proofErr w:type="spellEnd"/>
      <w:r w:rsidRPr="00DC2142">
        <w:rPr>
          <w:lang w:val="en-US"/>
        </w:rPr>
        <w:t xml:space="preserve">, Germany). </w:t>
      </w:r>
      <w:r w:rsidRPr="00561D3A">
        <w:rPr>
          <w:lang w:val="en-US"/>
        </w:rPr>
        <w:t xml:space="preserve">Reaction was done in 10 </w:t>
      </w:r>
      <w:proofErr w:type="spellStart"/>
      <w:r w:rsidRPr="00561D3A">
        <w:rPr>
          <w:lang w:val="en-US"/>
        </w:rPr>
        <w:t>μl</w:t>
      </w:r>
      <w:proofErr w:type="spellEnd"/>
      <w:r w:rsidRPr="00561D3A">
        <w:rPr>
          <w:lang w:val="en-US"/>
        </w:rPr>
        <w:t xml:space="preserve"> final with 4 ng RNA equivalent of cDNA and 150 </w:t>
      </w:r>
      <w:proofErr w:type="spellStart"/>
      <w:r w:rsidRPr="00561D3A">
        <w:rPr>
          <w:lang w:val="en-US"/>
        </w:rPr>
        <w:t>nM</w:t>
      </w:r>
      <w:proofErr w:type="spellEnd"/>
      <w:r w:rsidRPr="00561D3A">
        <w:rPr>
          <w:lang w:val="en-US"/>
        </w:rPr>
        <w:t xml:space="preserve"> primers. Relative quantity of mRNA was estimated by </w:t>
      </w:r>
      <w:proofErr w:type="spellStart"/>
      <w:r w:rsidRPr="00561D3A">
        <w:rPr>
          <w:lang w:val="en-US"/>
        </w:rPr>
        <w:t>Pfaffl</w:t>
      </w:r>
      <w:proofErr w:type="spellEnd"/>
      <w:r w:rsidRPr="00561D3A">
        <w:rPr>
          <w:lang w:val="en-US"/>
        </w:rPr>
        <w:t xml:space="preserve"> method (</w:t>
      </w:r>
      <w:proofErr w:type="spellStart"/>
      <w:r w:rsidRPr="00561D3A">
        <w:rPr>
          <w:lang w:val="en-US"/>
        </w:rPr>
        <w:t>Pfaffl</w:t>
      </w:r>
      <w:proofErr w:type="spellEnd"/>
      <w:r w:rsidRPr="00561D3A">
        <w:rPr>
          <w:lang w:val="en-US"/>
        </w:rPr>
        <w:t xml:space="preserve"> </w:t>
      </w:r>
      <w:r w:rsidRPr="00561D3A">
        <w:rPr>
          <w:i/>
          <w:iCs/>
          <w:lang w:val="en-US"/>
        </w:rPr>
        <w:t>et al.</w:t>
      </w:r>
      <w:r w:rsidRPr="00561D3A">
        <w:rPr>
          <w:lang w:val="en-US"/>
        </w:rPr>
        <w:t>, Nucleic Acids Res, 2001) and normalized on the average relative quantity of three housekeeping genes.</w:t>
      </w:r>
    </w:p>
    <w:p w:rsidR="00B3316A" w:rsidRPr="00561D3A" w:rsidRDefault="00B3316A" w:rsidP="00B3316A">
      <w:pPr>
        <w:pBdr>
          <w:top w:val="nil"/>
          <w:left w:val="nil"/>
          <w:bottom w:val="nil"/>
          <w:right w:val="nil"/>
          <w:between w:val="nil"/>
          <w:bar w:val="nil"/>
        </w:pBdr>
        <w:spacing w:after="120" w:line="240" w:lineRule="auto"/>
        <w:rPr>
          <w:rFonts w:eastAsia="Arial" w:cs="Arial"/>
          <w:u w:color="000000"/>
          <w:bdr w:val="nil"/>
          <w:lang w:val="en-US"/>
        </w:rPr>
      </w:pPr>
      <w:r w:rsidRPr="00561D3A">
        <w:rPr>
          <w:rFonts w:eastAsia="Arial Unicode MS" w:cs="Arial Unicode MS"/>
          <w:u w:color="000000"/>
          <w:bdr w:val="nil"/>
          <w:lang w:val="en-US"/>
        </w:rPr>
        <w:t>ACTB</w:t>
      </w:r>
      <w:r w:rsidRPr="00561D3A">
        <w:rPr>
          <w:rFonts w:eastAsia="Arial Unicode MS" w:cs="Arial Unicode MS"/>
          <w:u w:color="000000"/>
          <w:bdr w:val="nil"/>
          <w:lang w:val="en-US"/>
        </w:rPr>
        <w:tab/>
      </w:r>
      <w:r w:rsidRPr="00561D3A">
        <w:rPr>
          <w:rFonts w:eastAsia="Arial Unicode MS" w:cs="Arial Unicode MS"/>
          <w:u w:color="000000"/>
          <w:bdr w:val="nil"/>
          <w:lang w:val="en-US"/>
        </w:rPr>
        <w:tab/>
        <w:t>5'-AGAAAATCTGGCACCACACC / CAGAGGCGTACAGGGATAGC-3'</w:t>
      </w:r>
    </w:p>
    <w:p w:rsidR="00B3316A" w:rsidRPr="00561D3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ACTA2</w:t>
      </w:r>
      <w:r w:rsidRPr="00561D3A">
        <w:rPr>
          <w:rFonts w:eastAsia="Arial Unicode MS" w:cs="Arial Unicode MS"/>
          <w:u w:color="000000"/>
          <w:bdr w:val="nil"/>
          <w:lang w:val="en-US"/>
        </w:rPr>
        <w:tab/>
      </w:r>
      <w:r w:rsidRPr="00561D3A">
        <w:rPr>
          <w:rFonts w:eastAsia="Arial Unicode MS" w:cs="Arial Unicode MS"/>
          <w:u w:color="000000"/>
          <w:bdr w:val="nil"/>
          <w:lang w:val="en-US"/>
        </w:rPr>
        <w:tab/>
        <w:t>5’</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TATCCCCGGGACTAAGACGG/</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TACAGAGCCCAGAGCCATTG-3’</w:t>
      </w:r>
    </w:p>
    <w:p w:rsidR="00B3316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B2M</w:t>
      </w:r>
      <w:r w:rsidRPr="00561D3A">
        <w:rPr>
          <w:rFonts w:eastAsia="Arial Unicode MS" w:cs="Arial Unicode MS"/>
          <w:u w:color="000000"/>
          <w:bdr w:val="nil"/>
          <w:lang w:val="en-US"/>
        </w:rPr>
        <w:tab/>
      </w:r>
      <w:r w:rsidRPr="00561D3A">
        <w:rPr>
          <w:rFonts w:eastAsia="Arial Unicode MS" w:cs="Arial Unicode MS"/>
          <w:u w:color="000000"/>
          <w:bdr w:val="nil"/>
          <w:lang w:val="en-US"/>
        </w:rPr>
        <w:tab/>
        <w:t>5'-CGTGGCCTTAGCTGTGC / AATGTCGGATGGATGAAACC-3'</w:t>
      </w:r>
    </w:p>
    <w:p w:rsidR="00B3316A" w:rsidRPr="00561D3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FGF2</w:t>
      </w:r>
      <w:r w:rsidRPr="00561D3A">
        <w:rPr>
          <w:rFonts w:eastAsia="Arial Unicode MS" w:cs="Arial Unicode MS"/>
          <w:u w:color="000000"/>
          <w:bdr w:val="nil"/>
          <w:lang w:val="en-US"/>
        </w:rPr>
        <w:tab/>
      </w:r>
      <w:r w:rsidRPr="00561D3A">
        <w:rPr>
          <w:rFonts w:eastAsia="Arial Unicode MS" w:cs="Arial Unicode MS"/>
          <w:u w:color="000000"/>
          <w:bdr w:val="nil"/>
          <w:lang w:val="en-US"/>
        </w:rPr>
        <w:tab/>
        <w:t>5’-</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CTTCCTGCGCATCCACCCCG/</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AGCCAGGTAACGGTTAGCACACA-3’</w:t>
      </w:r>
    </w:p>
    <w:p w:rsidR="00B3316A" w:rsidRPr="00561D3A" w:rsidRDefault="00B3316A" w:rsidP="00B3316A">
      <w:pPr>
        <w:pBdr>
          <w:top w:val="nil"/>
          <w:left w:val="nil"/>
          <w:bottom w:val="nil"/>
          <w:right w:val="nil"/>
          <w:between w:val="nil"/>
          <w:bar w:val="nil"/>
        </w:pBdr>
        <w:spacing w:after="120" w:line="240" w:lineRule="auto"/>
        <w:rPr>
          <w:rFonts w:eastAsia="Arial" w:cs="Arial"/>
          <w:u w:color="000000"/>
          <w:bdr w:val="nil"/>
          <w:lang w:val="en-US"/>
        </w:rPr>
      </w:pPr>
      <w:r w:rsidRPr="00561D3A">
        <w:rPr>
          <w:rFonts w:eastAsia="Arial Unicode MS" w:cs="Arial Unicode MS"/>
          <w:u w:color="000000"/>
          <w:bdr w:val="nil"/>
          <w:lang w:val="en-US"/>
        </w:rPr>
        <w:t>FN1</w:t>
      </w:r>
      <w:r w:rsidRPr="00561D3A">
        <w:rPr>
          <w:rFonts w:eastAsia="Arial Unicode MS" w:cs="Arial Unicode MS"/>
          <w:u w:color="000000"/>
          <w:bdr w:val="nil"/>
          <w:lang w:val="en-US"/>
        </w:rPr>
        <w:tab/>
      </w:r>
      <w:r w:rsidRPr="00561D3A">
        <w:rPr>
          <w:rFonts w:eastAsia="Arial Unicode MS" w:cs="Arial Unicode MS"/>
          <w:u w:color="000000"/>
          <w:bdr w:val="nil"/>
          <w:lang w:val="en-US"/>
        </w:rPr>
        <w:tab/>
        <w:t>5’-AGAAGTGGTCCCTCGGCCCC/</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GGGTTACCAGTTGGGGAAGCTCG-3’</w:t>
      </w:r>
    </w:p>
    <w:p w:rsidR="00B3316A" w:rsidRPr="00561D3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GAPDH</w:t>
      </w:r>
      <w:r w:rsidRPr="00561D3A">
        <w:rPr>
          <w:rFonts w:eastAsia="Arial Unicode MS" w:cs="Arial Unicode MS"/>
          <w:u w:color="000000"/>
          <w:bdr w:val="nil"/>
          <w:lang w:val="en-US"/>
        </w:rPr>
        <w:tab/>
      </w:r>
      <w:r w:rsidRPr="00561D3A">
        <w:rPr>
          <w:rFonts w:eastAsia="Arial Unicode MS" w:cs="Arial Unicode MS"/>
          <w:u w:color="000000"/>
          <w:bdr w:val="nil"/>
          <w:lang w:val="en-US"/>
        </w:rPr>
        <w:tab/>
        <w:t>5'-CAAAAGGGTCATCATCTCTGC / AGTTGTCATGGATGACCTTGG-3'</w:t>
      </w:r>
    </w:p>
    <w:p w:rsidR="00B3316A" w:rsidRPr="00561D3A" w:rsidRDefault="00B3316A" w:rsidP="00B3316A">
      <w:pPr>
        <w:pBdr>
          <w:top w:val="nil"/>
          <w:left w:val="nil"/>
          <w:bottom w:val="nil"/>
          <w:right w:val="nil"/>
          <w:between w:val="nil"/>
          <w:bar w:val="nil"/>
        </w:pBdr>
        <w:spacing w:after="120" w:line="240" w:lineRule="auto"/>
        <w:rPr>
          <w:rFonts w:eastAsia="Arial" w:cs="Arial"/>
          <w:u w:color="000000"/>
          <w:bdr w:val="nil"/>
          <w:lang w:val="en-US"/>
        </w:rPr>
      </w:pPr>
      <w:r w:rsidRPr="00561D3A">
        <w:rPr>
          <w:rFonts w:eastAsia="Arial Unicode MS" w:cs="Arial Unicode MS"/>
          <w:u w:color="000000"/>
          <w:bdr w:val="nil"/>
          <w:lang w:val="en-US"/>
        </w:rPr>
        <w:t xml:space="preserve">IL6                       </w:t>
      </w:r>
      <w:r w:rsidRPr="00DC2142">
        <w:rPr>
          <w:rFonts w:eastAsia="Times New Roman" w:cs="Arial"/>
          <w:u w:color="000000"/>
          <w:bdr w:val="nil"/>
          <w:lang w:val="en-US" w:eastAsia="fr-FR"/>
        </w:rPr>
        <w:t>5’- AAGATGTAGCCGCCCCACACA/</w:t>
      </w:r>
      <w:r w:rsidRPr="00561D3A">
        <w:rPr>
          <w:rFonts w:eastAsia="Arial Unicode MS" w:cs="Arial Unicode MS"/>
          <w:u w:color="000000"/>
          <w:bdr w:val="nil"/>
          <w:lang w:val="en-US"/>
        </w:rPr>
        <w:t xml:space="preserve"> </w:t>
      </w:r>
      <w:r w:rsidRPr="00DC2142">
        <w:rPr>
          <w:rFonts w:eastAsia="Times New Roman" w:cs="Arial"/>
          <w:u w:color="000000"/>
          <w:bdr w:val="nil"/>
          <w:lang w:val="en-US" w:eastAsia="fr-FR"/>
        </w:rPr>
        <w:t>CTGCCAGTGCCTCTTTGCTGCT-3’</w:t>
      </w:r>
    </w:p>
    <w:p w:rsidR="00B3316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MCL-1</w:t>
      </w:r>
      <w:r w:rsidRPr="00561D3A">
        <w:rPr>
          <w:rFonts w:eastAsia="Arial Unicode MS" w:cs="Arial Unicode MS"/>
          <w:u w:color="000000"/>
          <w:bdr w:val="nil"/>
          <w:lang w:val="en-US"/>
        </w:rPr>
        <w:tab/>
      </w:r>
      <w:r w:rsidRPr="00561D3A">
        <w:rPr>
          <w:rFonts w:eastAsia="Arial Unicode MS" w:cs="Arial Unicode MS"/>
          <w:u w:color="000000"/>
          <w:bdr w:val="nil"/>
          <w:lang w:val="en-US"/>
        </w:rPr>
        <w:tab/>
        <w:t>5'-TCGGTACCTTCGGGAGCAGGC / CCCAGTTTGTTACGCCGTCGCT-3'</w:t>
      </w:r>
    </w:p>
    <w:p w:rsidR="00A72F76" w:rsidRPr="00561D3A" w:rsidRDefault="00A72F76" w:rsidP="00A72F76">
      <w:pPr>
        <w:pBdr>
          <w:top w:val="nil"/>
          <w:left w:val="nil"/>
          <w:bottom w:val="nil"/>
          <w:right w:val="nil"/>
          <w:between w:val="nil"/>
          <w:bar w:val="nil"/>
        </w:pBdr>
        <w:spacing w:after="120" w:line="240" w:lineRule="auto"/>
        <w:rPr>
          <w:rFonts w:eastAsia="Arial" w:cs="Arial"/>
          <w:u w:color="000000"/>
          <w:bdr w:val="nil"/>
          <w:lang w:val="en-US"/>
        </w:rPr>
      </w:pPr>
      <w:r>
        <w:rPr>
          <w:rFonts w:eastAsia="Arial Unicode MS" w:cs="Arial Unicode MS"/>
          <w:u w:color="000000"/>
          <w:bdr w:val="nil"/>
          <w:lang w:val="en-US"/>
        </w:rPr>
        <w:t>PDGFRB</w:t>
      </w:r>
      <w:r>
        <w:rPr>
          <w:rFonts w:eastAsia="Arial Unicode MS" w:cs="Arial Unicode MS"/>
          <w:u w:color="000000"/>
          <w:bdr w:val="nil"/>
          <w:lang w:val="en-US"/>
        </w:rPr>
        <w:tab/>
        <w:t>5’-</w:t>
      </w:r>
      <w:r w:rsidRPr="00A72F76">
        <w:rPr>
          <w:lang w:val="en-US"/>
        </w:rPr>
        <w:t>AAC</w:t>
      </w:r>
      <w:r>
        <w:rPr>
          <w:lang w:val="en-US"/>
        </w:rPr>
        <w:t xml:space="preserve">TGTGCCCACACCAGAAG / </w:t>
      </w:r>
      <w:r w:rsidRPr="00A72F76">
        <w:rPr>
          <w:lang w:val="en-US"/>
        </w:rPr>
        <w:t>CAGGAGAGACAGCAACAGCA</w:t>
      </w:r>
      <w:r>
        <w:rPr>
          <w:lang w:val="en-US"/>
        </w:rPr>
        <w:t>-3’</w:t>
      </w:r>
    </w:p>
    <w:p w:rsidR="00B3316A" w:rsidRPr="00561D3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RPLP0</w:t>
      </w:r>
      <w:r w:rsidRPr="00561D3A">
        <w:rPr>
          <w:rFonts w:eastAsia="Arial Unicode MS" w:cs="Arial Unicode MS"/>
          <w:u w:color="000000"/>
          <w:bdr w:val="nil"/>
          <w:lang w:val="en-US"/>
        </w:rPr>
        <w:tab/>
      </w:r>
      <w:r w:rsidRPr="00561D3A">
        <w:rPr>
          <w:rFonts w:eastAsia="Arial Unicode MS" w:cs="Arial Unicode MS"/>
          <w:u w:color="000000"/>
          <w:bdr w:val="nil"/>
          <w:lang w:val="en-US"/>
        </w:rPr>
        <w:tab/>
        <w:t>5'-AACCCAGCTCTGGAGAAACT / CCCCTGGAGATTTTAGTGGT-3'</w:t>
      </w:r>
    </w:p>
    <w:p w:rsidR="00B3316A" w:rsidRPr="00561D3A" w:rsidRDefault="00B3316A" w:rsidP="00B3316A">
      <w:pPr>
        <w:pBdr>
          <w:top w:val="nil"/>
          <w:left w:val="nil"/>
          <w:bottom w:val="nil"/>
          <w:right w:val="nil"/>
          <w:between w:val="nil"/>
          <w:bar w:val="nil"/>
        </w:pBdr>
        <w:spacing w:after="120" w:line="240" w:lineRule="auto"/>
        <w:rPr>
          <w:rFonts w:eastAsia="Arial Unicode MS" w:cs="Arial Unicode MS"/>
          <w:u w:color="000000"/>
          <w:bdr w:val="nil"/>
          <w:lang w:val="en-US"/>
        </w:rPr>
      </w:pPr>
      <w:r w:rsidRPr="00561D3A">
        <w:rPr>
          <w:rFonts w:eastAsia="Arial Unicode MS" w:cs="Arial Unicode MS"/>
          <w:u w:color="000000"/>
          <w:bdr w:val="nil"/>
          <w:lang w:val="en-US"/>
        </w:rPr>
        <w:t>TENC</w:t>
      </w:r>
      <w:r w:rsidRPr="00561D3A">
        <w:rPr>
          <w:rFonts w:eastAsia="Arial Unicode MS" w:cs="Arial Unicode MS"/>
          <w:u w:color="000000"/>
          <w:bdr w:val="nil"/>
          <w:lang w:val="en-US"/>
        </w:rPr>
        <w:tab/>
      </w:r>
      <w:r w:rsidRPr="00561D3A">
        <w:rPr>
          <w:rFonts w:eastAsia="Arial Unicode MS" w:cs="Arial Unicode MS"/>
          <w:u w:color="000000"/>
          <w:bdr w:val="nil"/>
          <w:lang w:val="en-US"/>
        </w:rPr>
        <w:tab/>
        <w:t>5’-</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CCAAAACCATCAGTGCCACA/</w:t>
      </w:r>
      <w:r w:rsidRPr="00DC2142">
        <w:rPr>
          <w:rFonts w:ascii="Helvetica" w:eastAsia="Arial Unicode MS" w:hAnsi="Helvetica" w:cs="Arial Unicode MS"/>
          <w:u w:color="000000"/>
          <w:bdr w:val="nil"/>
          <w:lang w:val="en-US"/>
        </w:rPr>
        <w:t xml:space="preserve"> </w:t>
      </w:r>
      <w:r w:rsidRPr="00561D3A">
        <w:rPr>
          <w:rFonts w:eastAsia="Arial Unicode MS" w:cs="Arial Unicode MS"/>
          <w:u w:color="000000"/>
          <w:bdr w:val="nil"/>
          <w:lang w:val="en-US"/>
        </w:rPr>
        <w:t>AAACTGTGAACCCGTAGGGA-3’</w:t>
      </w:r>
    </w:p>
    <w:p w:rsidR="00B3316A" w:rsidRDefault="00B3316A" w:rsidP="00B3316A">
      <w:pPr>
        <w:spacing w:after="120" w:line="240" w:lineRule="auto"/>
        <w:rPr>
          <w:lang w:val="en-US"/>
        </w:rPr>
      </w:pPr>
      <w:r w:rsidRPr="00561D3A">
        <w:rPr>
          <w:lang w:val="en-US"/>
        </w:rPr>
        <w:t>VIM</w:t>
      </w:r>
      <w:r w:rsidRPr="00561D3A">
        <w:rPr>
          <w:lang w:val="en-US"/>
        </w:rPr>
        <w:tab/>
      </w:r>
      <w:r w:rsidRPr="00561D3A">
        <w:rPr>
          <w:lang w:val="en-US"/>
        </w:rPr>
        <w:tab/>
        <w:t>5’-GAGAACTTTGCCGTTGAAGC/</w:t>
      </w:r>
      <w:r w:rsidRPr="00DC2142">
        <w:rPr>
          <w:lang w:val="en-US"/>
        </w:rPr>
        <w:t xml:space="preserve"> </w:t>
      </w:r>
      <w:r w:rsidRPr="00561D3A">
        <w:rPr>
          <w:lang w:val="en-US"/>
        </w:rPr>
        <w:t>TCCAGCAGCTTCCTGTAGGT-3’</w:t>
      </w:r>
    </w:p>
    <w:p w:rsidR="00A72F76" w:rsidRPr="00561D3A" w:rsidRDefault="00A72F76" w:rsidP="00B3316A">
      <w:pPr>
        <w:spacing w:after="120" w:line="240" w:lineRule="auto"/>
        <w:rPr>
          <w:lang w:val="en-US"/>
        </w:rPr>
      </w:pPr>
    </w:p>
    <w:p w:rsidR="00B3316A" w:rsidRPr="00561D3A" w:rsidRDefault="00B3316A" w:rsidP="00B3316A">
      <w:pPr>
        <w:spacing w:after="120" w:line="360" w:lineRule="auto"/>
        <w:rPr>
          <w:lang w:val="en-US"/>
        </w:rPr>
      </w:pPr>
    </w:p>
    <w:p w:rsidR="00B3316A" w:rsidRPr="00DC2142" w:rsidRDefault="00B3316A" w:rsidP="00B3316A">
      <w:pPr>
        <w:spacing w:after="120" w:line="360" w:lineRule="auto"/>
        <w:rPr>
          <w:b/>
          <w:lang w:val="en-US"/>
        </w:rPr>
      </w:pPr>
      <w:r w:rsidRPr="00DC2142">
        <w:rPr>
          <w:b/>
          <w:lang w:val="en-US"/>
        </w:rPr>
        <w:t>Intracellular BH3 profiling</w:t>
      </w:r>
    </w:p>
    <w:p w:rsidR="00B3316A" w:rsidRPr="00DC2142" w:rsidRDefault="00B3316A" w:rsidP="00B3316A">
      <w:pPr>
        <w:spacing w:after="120" w:line="360" w:lineRule="auto"/>
        <w:jc w:val="both"/>
        <w:rPr>
          <w:lang w:val="en-US"/>
        </w:rPr>
      </w:pPr>
      <w:r w:rsidRPr="00DC2142">
        <w:rPr>
          <w:lang w:val="en-US"/>
        </w:rPr>
        <w:t>BH3 profiling was performed as previously described</w:t>
      </w:r>
      <w:r w:rsidRPr="00DC2142">
        <w:rPr>
          <w:lang w:val="en-US"/>
        </w:rPr>
        <w:fldChar w:fldCharType="begin"/>
      </w:r>
      <w:r w:rsidRPr="00DC2142">
        <w:rPr>
          <w:lang w:val="en-US"/>
        </w:rPr>
        <w:instrText xml:space="preserve"> ADDIN ZOTERO_ITEM CSL_CITATION {"citationID":"a190j4taqls","properties":{"formattedCitation":"{\\rtf \\super 37\\nosupersub{}}","plainCitation":"37"},"citationItems":[{"id":435,"uris":["http://zotero.org/users/local/jIaIrtRa/items/9SC6GCHR"],"uri":["http://zotero.org/users/local/jIaIrtRa/items/9SC6GCHR"],"itemData":{"id":435,"type":"article-journal","title":"BH3 profiling as a tool to identify acquired resistance to venetoclax in multiple myeloma","container-title":"British Journal of Haematology","DOI":"10.1111/bjh.14251","ISSN":"1365-2141","note":"PMID: 27471002","journalAbbreviation":"Br. J. Haematol.","language":"eng","author":[{"family":"Dousset","given":"Christelle"},{"family":"Maïga","given":"Sophie"},{"family":"Gomez-Bougie","given":"Patricia"},{"family":"Le Coq","given":"Joy"},{"family":"Touzeau","given":"Cyrille"},{"family":"Moreau","given":"Philippe"},{"family":"Le Gouill","given":"Steven"},{"family":"Chiron","given":"David"},{"family":"Pellat-Deceunynck","given":"Catherine"},{"family":"Moreau-Aubry","given":"Agnès"},{"family":"Amiot","given":"Martine"}],"issued":{"date-parts":[["2016",7,29]]}}}],"schema":"https://github.com/citation-style-language/schema/raw/master/csl-citation.json"} </w:instrText>
      </w:r>
      <w:r w:rsidRPr="00DC2142">
        <w:rPr>
          <w:lang w:val="en-US"/>
        </w:rPr>
        <w:fldChar w:fldCharType="separate"/>
      </w:r>
      <w:r w:rsidRPr="00DC2142">
        <w:rPr>
          <w:rFonts w:ascii="Calibri" w:hAnsi="Calibri" w:cs="Times New Roman"/>
          <w:szCs w:val="24"/>
          <w:vertAlign w:val="superscript"/>
          <w:lang w:val="en-US"/>
        </w:rPr>
        <w:t>37</w:t>
      </w:r>
      <w:r w:rsidRPr="00DC2142">
        <w:rPr>
          <w:lang w:val="en-US"/>
        </w:rPr>
        <w:fldChar w:fldCharType="end"/>
      </w:r>
      <w:r w:rsidRPr="00DC2142">
        <w:rPr>
          <w:lang w:val="en-US"/>
        </w:rPr>
        <w:t xml:space="preserve">. Briefly, cells were </w:t>
      </w:r>
      <w:proofErr w:type="spellStart"/>
      <w:r w:rsidRPr="00DC2142">
        <w:rPr>
          <w:lang w:val="en-US"/>
        </w:rPr>
        <w:t>resuspended</w:t>
      </w:r>
      <w:proofErr w:type="spellEnd"/>
      <w:r w:rsidRPr="00DC2142">
        <w:rPr>
          <w:lang w:val="en-US"/>
        </w:rPr>
        <w:t xml:space="preserve"> in DTEB buffer</w:t>
      </w:r>
      <w:r w:rsidRPr="00DC2142">
        <w:rPr>
          <w:lang w:val="en-US"/>
        </w:rPr>
        <w:fldChar w:fldCharType="begin"/>
      </w:r>
      <w:r w:rsidRPr="00DC2142">
        <w:rPr>
          <w:lang w:val="en-US"/>
        </w:rPr>
        <w:instrText xml:space="preserve"> ADDIN ZOTERO_ITEM CSL_CITATION {"citationID":"a2chkms2uqp","properties":{"formattedCitation":"{\\rtf \\super 38\\nosupersub{}}","plainCitation":"38"},"citationItems":[{"id":437,"uris":["http://zotero.org/users/local/jIaIrtRa/items/KH93Q6P9"],"uri":["http://zotero.org/users/local/jIaIrtRa/items/KH93Q6P9"],"itemData":{"id":437,"type":"article-journal","title":"BH3 profiling in whole cells by fluorimeter or FACS","container-title":"Methods (San Diego, Calif.)","page":"156-164","volume":"61","issue":"2","abstract":"Rapid analysis of a cell's propensity to undergo apoptosis through the mitochondrial pathway is hindered by the complex network of interactions between more than fifteen known members of the BCL2 family that govern the decision to undergo mitochondrial apoptosis, and measurement of protein levels alone fails to account for critical interactions between the proteins. To address this issue, we have developed two functional assays for same-day analysis of cell lines or primary tissue samples. Using defined inputs in the form of peptides derived primarily from the BH3 domains of pro-apoptotic members of the BCL2 family, we invoke a response in the mitochondria in the form of mitochondrial outer membrane permeabilization measured indirectly using potential sensitive dyes. BH3 profiling can be applied to any viable single cell suspension and provides a response from the sum total of all known and unknown interactions within the BCL2 family for each stimulus, and the pattern of response can provide both a cell's propensity towards mitochondrial apoptosis, or 'priming', as well as indicate dependencies on specific anti-apoptotic proteins. Described here are optimized conditions for both plate-based and FACS-based BH3 profiling for homogeneous and heterogeneous samples.","DOI":"10.1016/j.ymeth.2013.04.006","ISSN":"1095-9130","note":"PMID: 23607990\nPMCID: PMC3686919","journalAbbreviation":"Methods","language":"eng","author":[{"family":"Ryan","given":"Jeremy"},{"family":"Letai","given":"Anthony"}],"issued":{"date-parts":[["2013",6,1]]}}}],"schema":"https://github.com/citation-style-language/schema/raw/master/csl-citation.json"} </w:instrText>
      </w:r>
      <w:r w:rsidRPr="00DC2142">
        <w:rPr>
          <w:lang w:val="en-US"/>
        </w:rPr>
        <w:fldChar w:fldCharType="separate"/>
      </w:r>
      <w:r w:rsidRPr="00DC2142">
        <w:rPr>
          <w:rFonts w:ascii="Calibri" w:hAnsi="Calibri" w:cs="Times New Roman"/>
          <w:szCs w:val="24"/>
          <w:vertAlign w:val="superscript"/>
          <w:lang w:val="en-US"/>
        </w:rPr>
        <w:t>38</w:t>
      </w:r>
      <w:r w:rsidRPr="00DC2142">
        <w:rPr>
          <w:lang w:val="en-US"/>
        </w:rPr>
        <w:fldChar w:fldCharType="end"/>
      </w:r>
      <w:r w:rsidRPr="00DC2142">
        <w:rPr>
          <w:lang w:val="en-US"/>
        </w:rPr>
        <w:t xml:space="preserve">. 100 000 cells in DTEB buffer were added to twice the final concentration of each peptide treatment (BIM, BAD, HRK, NOXA#) diluted in 0.002% </w:t>
      </w:r>
      <w:proofErr w:type="spellStart"/>
      <w:r w:rsidRPr="00DC2142">
        <w:rPr>
          <w:lang w:val="en-US"/>
        </w:rPr>
        <w:t>digitonin</w:t>
      </w:r>
      <w:proofErr w:type="spellEnd"/>
      <w:r w:rsidRPr="00DC2142">
        <w:rPr>
          <w:lang w:val="en-US"/>
        </w:rPr>
        <w:t xml:space="preserve">/DTEB buffer. BH3 profiling was performed using the BIM BH3 (1 and 10 </w:t>
      </w:r>
      <w:r w:rsidRPr="00DC2142">
        <w:rPr>
          <w:rFonts w:ascii="Symbol" w:hAnsi="Symbol"/>
          <w:lang w:val="en-US"/>
        </w:rPr>
        <w:t></w:t>
      </w:r>
      <w:r w:rsidRPr="00DC2142">
        <w:rPr>
          <w:lang w:val="en-US"/>
        </w:rPr>
        <w:t xml:space="preserve">M), BAD BH3 (100 </w:t>
      </w:r>
      <w:r w:rsidRPr="00DC2142">
        <w:rPr>
          <w:rFonts w:ascii="Symbol" w:hAnsi="Symbol"/>
          <w:lang w:val="en-US"/>
        </w:rPr>
        <w:t></w:t>
      </w:r>
      <w:r w:rsidRPr="00DC2142">
        <w:rPr>
          <w:lang w:val="en-US"/>
        </w:rPr>
        <w:t xml:space="preserve">M) and HRK BH3 (100 </w:t>
      </w:r>
      <w:r w:rsidRPr="00DC2142">
        <w:rPr>
          <w:rFonts w:ascii="Symbol" w:hAnsi="Symbol"/>
          <w:lang w:val="en-US"/>
        </w:rPr>
        <w:t></w:t>
      </w:r>
      <w:r w:rsidRPr="00DC2142">
        <w:rPr>
          <w:lang w:val="en-US"/>
        </w:rPr>
        <w:t xml:space="preserve">M) peptides, and NOXA# BH3 (100 and 50 </w:t>
      </w:r>
      <w:r w:rsidRPr="00DC2142">
        <w:rPr>
          <w:rFonts w:ascii="Symbol" w:hAnsi="Symbol"/>
          <w:lang w:val="en-US"/>
        </w:rPr>
        <w:t></w:t>
      </w:r>
      <w:r w:rsidRPr="00DC2142">
        <w:rPr>
          <w:lang w:val="en-US"/>
        </w:rPr>
        <w:t>M) peptides. Peptide sequence for NOXA (MS1 named NOXA#) has been previously described</w:t>
      </w:r>
      <w:r w:rsidRPr="00DC2142">
        <w:rPr>
          <w:lang w:val="en-US"/>
        </w:rPr>
        <w:fldChar w:fldCharType="begin"/>
      </w:r>
      <w:r w:rsidRPr="00DC2142">
        <w:rPr>
          <w:lang w:val="en-US"/>
        </w:rPr>
        <w:instrText xml:space="preserve"> ADDIN ZOTERO_ITEM CSL_CITATION {"citationID":"a1v86e0m6rq","properties":{"formattedCitation":"{\\rtf \\super 39\\nosupersub{}}","plainCitation":"39"},"citationItems":[{"id":439,"uris":["http://zotero.org/users/local/jIaIrtRa/items/D3GWET8X"],"uri":["http://zotero.org/users/local/jIaIrtRa/items/D3GWET8X"],"itemData":{"id":439,"type":"article-journal","title":"Designed BH3 peptides with high affinity and specificity for targeting Mcl-1 in cells","container-title":"ACS chemical biology","page":"1962-1968","volume":"9","issue":"9","abstract":"Mcl-1 is overexpressed in many cancers and can confer resistance to cell-death signaling in refractory disease. Molecules that specifically inhibit Mcl-1 hold potential for diagnosing and disrupting Mcl-1-dependent cell survival. We selected three peptides from a yeast-surface display library that showed moderate specificity and affinity for binding to Mcl-1 over Bfl-1, Bcl-xL, Bcl-2, and Bcl-w. Specificity for Mcl-1 was improved by introducing threonine at peptide position 2e. The most specific peptide, MS1, bound Mcl-1 with 40-fold or greater specificity over four other human Bcl-2 paralogs. In BH3 profiling assays, MS1 caused depolarization in several human Mcl-1-dependent cell lines with EC50 values of </w:instrText>
      </w:r>
      <w:r w:rsidRPr="00DC2142">
        <w:rPr>
          <w:rFonts w:ascii="Cambria Math" w:hAnsi="Cambria Math" w:cs="Cambria Math"/>
          <w:lang w:val="en-US"/>
        </w:rPr>
        <w:instrText>∼</w:instrText>
      </w:r>
      <w:r w:rsidRPr="00DC2142">
        <w:rPr>
          <w:lang w:val="en-US"/>
        </w:rPr>
        <w:instrText xml:space="preserve">3 </w:instrText>
      </w:r>
      <w:r w:rsidRPr="00DC2142">
        <w:rPr>
          <w:rFonts w:ascii="Calibri" w:hAnsi="Calibri" w:cs="Calibri"/>
          <w:lang w:val="en-US"/>
        </w:rPr>
        <w:instrText>μ</w:instrText>
      </w:r>
      <w:r w:rsidRPr="00DC2142">
        <w:rPr>
          <w:lang w:val="en-US"/>
        </w:rPr>
        <w:instrText xml:space="preserve">M, contrasted with EC50 values of &gt;100 </w:instrText>
      </w:r>
      <w:r w:rsidRPr="00DC2142">
        <w:rPr>
          <w:rFonts w:ascii="Calibri" w:hAnsi="Calibri" w:cs="Calibri"/>
          <w:lang w:val="en-US"/>
        </w:rPr>
        <w:instrText>μ</w:instrText>
      </w:r>
      <w:r w:rsidRPr="00DC2142">
        <w:rPr>
          <w:lang w:val="en-US"/>
        </w:rPr>
        <w:instrText xml:space="preserve">M for Bcl-2-, Bcl-xL-, or Bfl-1-dependent cell lines. MS1 is at least 30-fold more potent in this assay than the previously used Mcl-1 targeting reagent NoxaA BH3. These peptides can be used to detect Mcl-1 dependency in cells and provide leads for developing Mcl-1 targeting therapeutics.","DOI":"10.1021/cb500340w","ISSN":"1554-8937","note":"PMID: 25052212\nPMCID: PMC4168798","journalAbbreviation":"ACS Chem. Biol.","language":"eng","author":[{"family":"Foight","given":"Glenna Wink"},{"family":"Ryan","given":"Jeremy A."},{"family":"Gullá","given":"Stefano V."},{"family":"Letai","given":"Anthony"},{"family":"Keating","given":"Amy E."}],"issued":{"date-parts":[["2014",9,19]]}}}],"schema":"https://github.com/citation-style-language/schema/raw/master/csl-citation.json"} </w:instrText>
      </w:r>
      <w:r w:rsidRPr="00DC2142">
        <w:rPr>
          <w:lang w:val="en-US"/>
        </w:rPr>
        <w:fldChar w:fldCharType="separate"/>
      </w:r>
      <w:r w:rsidRPr="00DC2142">
        <w:rPr>
          <w:rFonts w:ascii="Calibri" w:hAnsi="Calibri" w:cs="Times New Roman"/>
          <w:szCs w:val="24"/>
          <w:vertAlign w:val="superscript"/>
          <w:lang w:val="en-US"/>
        </w:rPr>
        <w:t>39</w:t>
      </w:r>
      <w:r w:rsidRPr="00DC2142">
        <w:rPr>
          <w:lang w:val="en-US"/>
        </w:rPr>
        <w:fldChar w:fldCharType="end"/>
      </w:r>
      <w:r w:rsidRPr="00DC2142">
        <w:rPr>
          <w:lang w:val="en-US"/>
        </w:rPr>
        <w:t xml:space="preserve">. Mitochondria of permeabilized cells were exposed to peptides for 45 min at 27°C before fixation with 2% formaldehyde at room temperature for 15 min. After addition of </w:t>
      </w:r>
      <w:r w:rsidRPr="00DC2142">
        <w:rPr>
          <w:lang w:val="en-US"/>
        </w:rPr>
        <w:lastRenderedPageBreak/>
        <w:t xml:space="preserve">neutralizing buffer (Tris 0.41 </w:t>
      </w:r>
      <w:proofErr w:type="spellStart"/>
      <w:r w:rsidRPr="00DC2142">
        <w:rPr>
          <w:lang w:val="en-US"/>
        </w:rPr>
        <w:t>mol</w:t>
      </w:r>
      <w:proofErr w:type="spellEnd"/>
      <w:r w:rsidRPr="00DC2142">
        <w:rPr>
          <w:lang w:val="en-US"/>
        </w:rPr>
        <w:t xml:space="preserve">/L glycine pH 9.1) for 5 min, cells are stained with anti-cytochrome </w:t>
      </w:r>
      <w:r w:rsidRPr="00DC2142">
        <w:rPr>
          <w:i/>
          <w:iCs/>
          <w:lang w:val="en-US"/>
        </w:rPr>
        <w:t>c</w:t>
      </w:r>
      <w:r w:rsidRPr="00DC2142">
        <w:rPr>
          <w:lang w:val="en-US"/>
        </w:rPr>
        <w:t>–Alexa647 (</w:t>
      </w:r>
      <w:r w:rsidRPr="00DC2142">
        <w:rPr>
          <w:rFonts w:eastAsia="Times New Roman"/>
          <w:lang w:val="en-US"/>
        </w:rPr>
        <w:t>BLE612310</w:t>
      </w:r>
      <w:r w:rsidRPr="00DC2142">
        <w:rPr>
          <w:lang w:val="en-US"/>
        </w:rPr>
        <w:t xml:space="preserve">, </w:t>
      </w:r>
      <w:proofErr w:type="spellStart"/>
      <w:r w:rsidRPr="00DC2142">
        <w:rPr>
          <w:lang w:val="en-US"/>
        </w:rPr>
        <w:t>Ozyme</w:t>
      </w:r>
      <w:proofErr w:type="spellEnd"/>
      <w:r w:rsidRPr="00DC2142">
        <w:rPr>
          <w:lang w:val="en-US"/>
        </w:rPr>
        <w:t xml:space="preserve">) 1:40 in 0.1% </w:t>
      </w:r>
      <w:proofErr w:type="spellStart"/>
      <w:r w:rsidRPr="00DC2142">
        <w:rPr>
          <w:lang w:val="en-US"/>
        </w:rPr>
        <w:t>Saponin</w:t>
      </w:r>
      <w:proofErr w:type="spellEnd"/>
      <w:r w:rsidRPr="00DC2142">
        <w:rPr>
          <w:lang w:val="en-US"/>
        </w:rPr>
        <w:t>/1%BSA/PBS overnight at 4°C. Loss of cytochrome c was analyzed by a flow cytometer (</w:t>
      </w:r>
      <w:proofErr w:type="spellStart"/>
      <w:r w:rsidRPr="00DC2142">
        <w:rPr>
          <w:lang w:val="en-US"/>
        </w:rPr>
        <w:t>FacsCalibur</w:t>
      </w:r>
      <w:proofErr w:type="spellEnd"/>
      <w:r w:rsidRPr="00DC2142">
        <w:rPr>
          <w:lang w:val="en-US"/>
        </w:rPr>
        <w:t>). The quantification loss induced by each peptide was analyzed by gating the cytochrome c negative population.</w:t>
      </w:r>
    </w:p>
    <w:p w:rsidR="00B3316A" w:rsidRPr="00DC2142" w:rsidRDefault="00B3316A" w:rsidP="00B3316A">
      <w:pPr>
        <w:spacing w:after="120" w:line="360" w:lineRule="auto"/>
        <w:jc w:val="both"/>
        <w:rPr>
          <w:lang w:val="en-US"/>
        </w:rPr>
      </w:pPr>
    </w:p>
    <w:p w:rsidR="00B17FD9" w:rsidRPr="00916752" w:rsidRDefault="00B17FD9" w:rsidP="00B17FD9">
      <w:pPr>
        <w:rPr>
          <w:b/>
          <w:lang w:val="en-US"/>
        </w:rPr>
      </w:pPr>
      <w:r w:rsidRPr="00916752">
        <w:rPr>
          <w:b/>
          <w:lang w:val="en-US"/>
        </w:rPr>
        <w:t>Immunocytochemistry</w:t>
      </w:r>
    </w:p>
    <w:p w:rsidR="00B17FD9" w:rsidRDefault="00B17FD9" w:rsidP="00B17FD9">
      <w:pPr>
        <w:spacing w:after="120" w:line="360" w:lineRule="auto"/>
        <w:jc w:val="both"/>
        <w:rPr>
          <w:lang w:val="en-US"/>
        </w:rPr>
      </w:pPr>
      <w:r>
        <w:rPr>
          <w:lang w:val="en-US"/>
        </w:rPr>
        <w:t xml:space="preserve">Briefly cells were grown on coverslip glass. Cells were fixed with paraformaldehyde 4%/sucrose 4%, permeabilized with 0.25% Triton X-100 before blocking (BSA 10% in PBS) and immunostaining with specific antibodies diluted in 3% BSA/PBS; </w:t>
      </w:r>
      <w:r w:rsidRPr="00DC2142">
        <w:rPr>
          <w:lang w:val="en-US"/>
        </w:rPr>
        <w:t xml:space="preserve">mouse anti alpha-SMA (1:300, </w:t>
      </w:r>
      <w:proofErr w:type="spellStart"/>
      <w:r w:rsidRPr="00DC2142">
        <w:rPr>
          <w:lang w:val="en-US"/>
        </w:rPr>
        <w:t>Abcam</w:t>
      </w:r>
      <w:proofErr w:type="spellEnd"/>
      <w:r w:rsidRPr="00DC2142">
        <w:rPr>
          <w:lang w:val="en-US"/>
        </w:rPr>
        <w:t xml:space="preserve">, </w:t>
      </w:r>
      <w:r>
        <w:rPr>
          <w:lang w:val="en-US"/>
        </w:rPr>
        <w:t>AB119952</w:t>
      </w:r>
      <w:r w:rsidRPr="00DC2142">
        <w:rPr>
          <w:lang w:val="en-US"/>
        </w:rPr>
        <w:t>)</w:t>
      </w:r>
      <w:r>
        <w:rPr>
          <w:lang w:val="en-US"/>
        </w:rPr>
        <w:t xml:space="preserve">, rabbit anti FAP (1:200, </w:t>
      </w:r>
      <w:proofErr w:type="spellStart"/>
      <w:r w:rsidRPr="00DC2142">
        <w:rPr>
          <w:lang w:val="en-US"/>
        </w:rPr>
        <w:t>Abcam</w:t>
      </w:r>
      <w:proofErr w:type="spellEnd"/>
      <w:r w:rsidRPr="00DC2142">
        <w:rPr>
          <w:lang w:val="en-US"/>
        </w:rPr>
        <w:t xml:space="preserve">, </w:t>
      </w:r>
      <w:r>
        <w:rPr>
          <w:lang w:val="en-US"/>
        </w:rPr>
        <w:t xml:space="preserve">AB53066) and rabbit anti-pan cytokeratin (1:400, </w:t>
      </w:r>
      <w:proofErr w:type="spellStart"/>
      <w:r w:rsidRPr="00DC2142">
        <w:rPr>
          <w:lang w:val="en-US"/>
        </w:rPr>
        <w:t>Abcam</w:t>
      </w:r>
      <w:proofErr w:type="spellEnd"/>
      <w:r w:rsidRPr="00DC2142">
        <w:rPr>
          <w:lang w:val="en-US"/>
        </w:rPr>
        <w:t xml:space="preserve">, </w:t>
      </w:r>
      <w:r>
        <w:rPr>
          <w:lang w:val="en-US"/>
        </w:rPr>
        <w:t>AB217916).</w:t>
      </w:r>
      <w:r w:rsidRPr="00916752">
        <w:rPr>
          <w:lang w:val="en-US"/>
        </w:rPr>
        <w:t xml:space="preserve"> </w:t>
      </w:r>
    </w:p>
    <w:p w:rsidR="00B17FD9" w:rsidRPr="00561D3A" w:rsidRDefault="00B17FD9" w:rsidP="00B17FD9">
      <w:pPr>
        <w:spacing w:after="120" w:line="360" w:lineRule="auto"/>
        <w:jc w:val="both"/>
        <w:rPr>
          <w:lang w:val="en-US"/>
        </w:rPr>
      </w:pPr>
    </w:p>
    <w:p w:rsidR="00B3316A" w:rsidRPr="00DC2142" w:rsidRDefault="00B3316A" w:rsidP="00B3316A">
      <w:pPr>
        <w:spacing w:after="120" w:line="360" w:lineRule="auto"/>
        <w:jc w:val="both"/>
        <w:rPr>
          <w:b/>
          <w:lang w:val="en-US"/>
        </w:rPr>
      </w:pPr>
      <w:r w:rsidRPr="00DC2142">
        <w:rPr>
          <w:b/>
          <w:lang w:val="en-US"/>
        </w:rPr>
        <w:t>Immunohistochemistry</w:t>
      </w:r>
    </w:p>
    <w:p w:rsidR="00B3316A" w:rsidRPr="00561D3A" w:rsidRDefault="00B3316A" w:rsidP="00B3316A">
      <w:pPr>
        <w:spacing w:after="120" w:line="360" w:lineRule="auto"/>
        <w:jc w:val="both"/>
        <w:rPr>
          <w:lang w:val="en-US"/>
        </w:rPr>
      </w:pPr>
      <w:r w:rsidRPr="00DC2142">
        <w:rPr>
          <w:lang w:val="en-US"/>
        </w:rPr>
        <w:t xml:space="preserve">Chromogenic immunohistochemistry was run in a </w:t>
      </w:r>
      <w:proofErr w:type="spellStart"/>
      <w:r w:rsidRPr="00DC2142">
        <w:rPr>
          <w:lang w:val="en-US"/>
        </w:rPr>
        <w:t>Ventana</w:t>
      </w:r>
      <w:proofErr w:type="spellEnd"/>
      <w:r w:rsidRPr="00DC2142">
        <w:rPr>
          <w:lang w:val="en-US"/>
        </w:rPr>
        <w:t xml:space="preserve"> </w:t>
      </w:r>
      <w:proofErr w:type="spellStart"/>
      <w:r w:rsidRPr="00DC2142">
        <w:rPr>
          <w:lang w:val="en-US"/>
        </w:rPr>
        <w:t>BenchMark</w:t>
      </w:r>
      <w:proofErr w:type="spellEnd"/>
      <w:r w:rsidRPr="00DC2142">
        <w:rPr>
          <w:lang w:val="en-US"/>
        </w:rPr>
        <w:t xml:space="preserve"> XT </w:t>
      </w:r>
      <w:proofErr w:type="spellStart"/>
      <w:r w:rsidRPr="00DC2142">
        <w:rPr>
          <w:lang w:val="en-US"/>
        </w:rPr>
        <w:t>immunostainer</w:t>
      </w:r>
      <w:proofErr w:type="spellEnd"/>
      <w:r w:rsidRPr="00DC2142">
        <w:rPr>
          <w:lang w:val="en-US"/>
        </w:rPr>
        <w:t xml:space="preserve"> (</w:t>
      </w:r>
      <w:proofErr w:type="spellStart"/>
      <w:r w:rsidRPr="00DC2142">
        <w:rPr>
          <w:lang w:val="en-US"/>
        </w:rPr>
        <w:t>Ventana</w:t>
      </w:r>
      <w:proofErr w:type="spellEnd"/>
      <w:r w:rsidRPr="00DC2142">
        <w:rPr>
          <w:lang w:val="en-US"/>
        </w:rPr>
        <w:t xml:space="preserve"> Medical Systems, Tucson, AZ, USA). Sections were dried at 60°C for 2 hours, </w:t>
      </w:r>
      <w:proofErr w:type="spellStart"/>
      <w:r w:rsidRPr="00DC2142">
        <w:rPr>
          <w:lang w:val="en-US"/>
        </w:rPr>
        <w:t>deparaffinized</w:t>
      </w:r>
      <w:proofErr w:type="spellEnd"/>
      <w:r w:rsidRPr="00DC2142">
        <w:rPr>
          <w:lang w:val="en-US"/>
        </w:rPr>
        <w:t xml:space="preserve">, pretreated at 95°C for 32 minutes in a basic buffer (CC1, Cell Conditioning Medium-1, pH 8.4, </w:t>
      </w:r>
      <w:proofErr w:type="spellStart"/>
      <w:r w:rsidRPr="00DC2142">
        <w:rPr>
          <w:lang w:val="en-US"/>
        </w:rPr>
        <w:t>Ventana</w:t>
      </w:r>
      <w:proofErr w:type="spellEnd"/>
      <w:r w:rsidRPr="00DC2142">
        <w:rPr>
          <w:lang w:val="en-US"/>
        </w:rPr>
        <w:t xml:space="preserve"> Medical Systems) for antigen retrieval, and stained for 32 minutes at 37°C with anti-Mcl-1 rabbit polyclonal antibody (Santa Cruz Biotechnology, sc-819) at 0.8 µg/ml in an Antibody Diluent (</w:t>
      </w:r>
      <w:proofErr w:type="spellStart"/>
      <w:r w:rsidRPr="00DC2142">
        <w:rPr>
          <w:lang w:val="en-US"/>
        </w:rPr>
        <w:t>Ventana</w:t>
      </w:r>
      <w:proofErr w:type="spellEnd"/>
      <w:r w:rsidRPr="00DC2142">
        <w:rPr>
          <w:lang w:val="en-US"/>
        </w:rPr>
        <w:t xml:space="preserve"> Medical Systems). </w:t>
      </w:r>
      <w:bookmarkStart w:id="2" w:name="OLE_LINK12"/>
      <w:r w:rsidRPr="00DC2142">
        <w:rPr>
          <w:lang w:val="en-US"/>
        </w:rPr>
        <w:t xml:space="preserve">Chromogenic detection </w:t>
      </w:r>
      <w:bookmarkEnd w:id="2"/>
      <w:r w:rsidRPr="00DC2142">
        <w:rPr>
          <w:lang w:val="en-US"/>
        </w:rPr>
        <w:t xml:space="preserve">was performed using the </w:t>
      </w:r>
      <w:proofErr w:type="spellStart"/>
      <w:r w:rsidRPr="00DC2142">
        <w:rPr>
          <w:lang w:val="en-US"/>
        </w:rPr>
        <w:t>Ventana</w:t>
      </w:r>
      <w:proofErr w:type="spellEnd"/>
      <w:r w:rsidRPr="00DC2142">
        <w:rPr>
          <w:lang w:val="en-US"/>
        </w:rPr>
        <w:t xml:space="preserve"> </w:t>
      </w:r>
      <w:proofErr w:type="spellStart"/>
      <w:r w:rsidRPr="00DC2142">
        <w:rPr>
          <w:lang w:val="en-US"/>
        </w:rPr>
        <w:t>OptiView</w:t>
      </w:r>
      <w:proofErr w:type="spellEnd"/>
      <w:r w:rsidRPr="00DC2142">
        <w:rPr>
          <w:lang w:val="en-US"/>
        </w:rPr>
        <w:t xml:space="preserve"> DAB IHC detection kit, followed by counterstaining with one drop of hematoxylin-II for four minutes and one drop of bluing reagent for 4 minutes. Slides were then removed from the </w:t>
      </w:r>
      <w:proofErr w:type="spellStart"/>
      <w:r w:rsidRPr="00DC2142">
        <w:rPr>
          <w:lang w:val="en-US"/>
        </w:rPr>
        <w:t>immunostainer</w:t>
      </w:r>
      <w:proofErr w:type="spellEnd"/>
      <w:r w:rsidRPr="00DC2142">
        <w:rPr>
          <w:lang w:val="en-US"/>
        </w:rPr>
        <w:t xml:space="preserve">, washed in water with a drop of </w:t>
      </w:r>
      <w:r w:rsidRPr="00DC2142">
        <w:rPr>
          <w:rFonts w:hint="eastAsia"/>
          <w:lang w:val="en-US"/>
        </w:rPr>
        <w:t xml:space="preserve">dishwashing detergent, and mounted. </w:t>
      </w:r>
      <w:r w:rsidRPr="00DC2142">
        <w:rPr>
          <w:lang w:val="en-US"/>
        </w:rPr>
        <w:t>N</w:t>
      </w:r>
      <w:r w:rsidRPr="00DC2142">
        <w:rPr>
          <w:rFonts w:hint="eastAsia"/>
          <w:lang w:val="en-US"/>
        </w:rPr>
        <w:t>egative control</w:t>
      </w:r>
      <w:r w:rsidRPr="00DC2142">
        <w:rPr>
          <w:lang w:val="en-US"/>
        </w:rPr>
        <w:t>s</w:t>
      </w:r>
      <w:r w:rsidRPr="00DC2142">
        <w:rPr>
          <w:rFonts w:hint="eastAsia"/>
          <w:lang w:val="en-US"/>
        </w:rPr>
        <w:t xml:space="preserve"> were obtained by replacement of the primary antibody with normal </w:t>
      </w:r>
      <w:r w:rsidRPr="00DC2142">
        <w:rPr>
          <w:lang w:val="en-US"/>
        </w:rPr>
        <w:t>rabbit</w:t>
      </w:r>
      <w:r w:rsidRPr="00DC2142">
        <w:rPr>
          <w:rFonts w:hint="eastAsia"/>
          <w:lang w:val="en-US"/>
        </w:rPr>
        <w:t xml:space="preserve"> serum (Negative Control </w:t>
      </w:r>
      <w:r w:rsidRPr="00DC2142">
        <w:rPr>
          <w:lang w:val="en-US"/>
        </w:rPr>
        <w:t xml:space="preserve">Rabbit </w:t>
      </w:r>
      <w:r w:rsidRPr="00DC2142">
        <w:rPr>
          <w:rFonts w:hint="eastAsia"/>
          <w:lang w:val="en-US"/>
        </w:rPr>
        <w:t>Ig, 1</w:t>
      </w:r>
      <w:r w:rsidRPr="00DC2142">
        <w:rPr>
          <w:lang w:val="en-US"/>
        </w:rPr>
        <w:t>0</w:t>
      </w:r>
      <w:r w:rsidRPr="00DC2142">
        <w:rPr>
          <w:rFonts w:hint="eastAsia"/>
          <w:lang w:val="en-US"/>
        </w:rPr>
        <w:t xml:space="preserve"> </w:t>
      </w:r>
      <w:r w:rsidRPr="00DC2142">
        <w:rPr>
          <w:lang w:val="en-US"/>
        </w:rPr>
        <w:t>µ</w:t>
      </w:r>
      <w:r w:rsidRPr="00DC2142">
        <w:rPr>
          <w:rFonts w:hint="eastAsia"/>
          <w:lang w:val="en-US"/>
        </w:rPr>
        <w:t xml:space="preserve">g/ml, </w:t>
      </w:r>
      <w:proofErr w:type="spellStart"/>
      <w:r w:rsidRPr="00DC2142">
        <w:rPr>
          <w:rFonts w:hint="eastAsia"/>
          <w:lang w:val="en-US"/>
        </w:rPr>
        <w:t>Ventana</w:t>
      </w:r>
      <w:proofErr w:type="spellEnd"/>
      <w:r w:rsidRPr="00DC2142">
        <w:rPr>
          <w:rFonts w:hint="eastAsia"/>
          <w:lang w:val="en-US"/>
        </w:rPr>
        <w:t xml:space="preserve"> Medical Systems).</w:t>
      </w:r>
      <w:r w:rsidRPr="00DC2142">
        <w:rPr>
          <w:lang w:val="en-US"/>
        </w:rPr>
        <w:t xml:space="preserve"> </w:t>
      </w:r>
      <w:r w:rsidRPr="00DC2142">
        <w:rPr>
          <w:szCs w:val="24"/>
          <w:lang w:val="en-US"/>
        </w:rPr>
        <w:t xml:space="preserve">For fluorescent immunohistochemistry, briefly sections were </w:t>
      </w:r>
      <w:proofErr w:type="spellStart"/>
      <w:r w:rsidRPr="00DC2142">
        <w:rPr>
          <w:szCs w:val="24"/>
          <w:lang w:val="en-US"/>
        </w:rPr>
        <w:t>deparaffinized</w:t>
      </w:r>
      <w:proofErr w:type="spellEnd"/>
      <w:r w:rsidRPr="00DC2142">
        <w:rPr>
          <w:szCs w:val="24"/>
          <w:lang w:val="en-US"/>
        </w:rPr>
        <w:t xml:space="preserve">, incubated in a </w:t>
      </w:r>
      <w:proofErr w:type="spellStart"/>
      <w:r w:rsidRPr="00DC2142">
        <w:rPr>
          <w:lang w:val="en-US"/>
        </w:rPr>
        <w:t>Decloaking</w:t>
      </w:r>
      <w:proofErr w:type="spellEnd"/>
      <w:r w:rsidRPr="00DC2142">
        <w:rPr>
          <w:lang w:val="en-US"/>
        </w:rPr>
        <w:t xml:space="preserve"> Chamber™ (</w:t>
      </w:r>
      <w:proofErr w:type="spellStart"/>
      <w:r w:rsidRPr="00DC2142">
        <w:rPr>
          <w:lang w:val="en-US"/>
        </w:rPr>
        <w:t>Biocare</w:t>
      </w:r>
      <w:proofErr w:type="spellEnd"/>
      <w:r w:rsidRPr="00DC2142">
        <w:rPr>
          <w:lang w:val="en-US"/>
        </w:rPr>
        <w:t xml:space="preserve"> Medical) (</w:t>
      </w:r>
      <w:r w:rsidRPr="00DC2142">
        <w:rPr>
          <w:szCs w:val="24"/>
          <w:lang w:val="en-US"/>
        </w:rPr>
        <w:t xml:space="preserve">110°C for 90s in 10 </w:t>
      </w:r>
      <w:proofErr w:type="spellStart"/>
      <w:r w:rsidRPr="00DC2142">
        <w:rPr>
          <w:szCs w:val="24"/>
          <w:lang w:val="en-US"/>
        </w:rPr>
        <w:t>mM</w:t>
      </w:r>
      <w:proofErr w:type="spellEnd"/>
      <w:r w:rsidRPr="00DC2142">
        <w:rPr>
          <w:szCs w:val="24"/>
          <w:lang w:val="en-US"/>
        </w:rPr>
        <w:t xml:space="preserve"> Tris/1mM EDTA pH9 solution)</w:t>
      </w:r>
      <w:r w:rsidRPr="00DC2142">
        <w:rPr>
          <w:lang w:val="en-US"/>
        </w:rPr>
        <w:t xml:space="preserve"> for heat-induced epitope retrieval, and stained over-night at 4°C with anti-Mcl-1 rabbit polyclonal antibody (San</w:t>
      </w:r>
      <w:r w:rsidR="00143DFD">
        <w:rPr>
          <w:lang w:val="en-US"/>
        </w:rPr>
        <w:t>ta Cruz Biotechnology,</w:t>
      </w:r>
      <w:r w:rsidRPr="00DC2142">
        <w:rPr>
          <w:lang w:val="en-US"/>
        </w:rPr>
        <w:t xml:space="preserve"> sc-819) 1/50 and mouse anti alpha-SMA (1:300, </w:t>
      </w:r>
      <w:proofErr w:type="spellStart"/>
      <w:r w:rsidRPr="00DC2142">
        <w:rPr>
          <w:lang w:val="en-US"/>
        </w:rPr>
        <w:t>Abcam</w:t>
      </w:r>
      <w:proofErr w:type="spellEnd"/>
      <w:r w:rsidRPr="00DC2142">
        <w:rPr>
          <w:lang w:val="en-US"/>
        </w:rPr>
        <w:t xml:space="preserve">, </w:t>
      </w:r>
      <w:r w:rsidR="00916752">
        <w:rPr>
          <w:lang w:val="en-US"/>
        </w:rPr>
        <w:t>AB119952</w:t>
      </w:r>
      <w:r w:rsidRPr="00DC2142">
        <w:rPr>
          <w:lang w:val="en-US"/>
        </w:rPr>
        <w:t>) in an antibody diluent (</w:t>
      </w:r>
      <w:proofErr w:type="spellStart"/>
      <w:r w:rsidRPr="00DC2142">
        <w:rPr>
          <w:lang w:val="en-US"/>
        </w:rPr>
        <w:t>Dako</w:t>
      </w:r>
      <w:proofErr w:type="spellEnd"/>
      <w:r w:rsidRPr="00DC2142">
        <w:rPr>
          <w:lang w:val="en-US"/>
        </w:rPr>
        <w:t xml:space="preserve">). After washing, sections were incubated for 60 min at room temperature with the appropriate secondary antibodies and mounted with </w:t>
      </w:r>
      <w:proofErr w:type="spellStart"/>
      <w:r w:rsidRPr="00DC2142">
        <w:rPr>
          <w:lang w:val="en-US"/>
        </w:rPr>
        <w:t>ProLong</w:t>
      </w:r>
      <w:proofErr w:type="spellEnd"/>
      <w:r w:rsidRPr="00DC2142">
        <w:rPr>
          <w:lang w:val="en-US"/>
        </w:rPr>
        <w:t xml:space="preserve"> Diamond </w:t>
      </w:r>
      <w:proofErr w:type="spellStart"/>
      <w:r w:rsidRPr="00DC2142">
        <w:rPr>
          <w:lang w:val="en-US"/>
        </w:rPr>
        <w:t>Antifade</w:t>
      </w:r>
      <w:proofErr w:type="spellEnd"/>
      <w:r w:rsidRPr="00DC2142">
        <w:rPr>
          <w:lang w:val="en-US"/>
        </w:rPr>
        <w:t xml:space="preserve"> Reagent with DAPI (Invitrogen).</w:t>
      </w:r>
    </w:p>
    <w:p w:rsidR="000E1830" w:rsidRDefault="005F4B10">
      <w:pPr>
        <w:rPr>
          <w:lang w:val="en-US"/>
        </w:rPr>
      </w:pPr>
    </w:p>
    <w:p w:rsidR="00916752" w:rsidRPr="00561D3A" w:rsidRDefault="00916752" w:rsidP="00916752">
      <w:pPr>
        <w:spacing w:after="0" w:line="360" w:lineRule="auto"/>
        <w:rPr>
          <w:lang w:val="en-US"/>
        </w:rPr>
      </w:pPr>
    </w:p>
    <w:sectPr w:rsidR="00916752" w:rsidRPr="00561D3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B10" w:rsidRDefault="005F4B10" w:rsidP="00B529CF">
      <w:pPr>
        <w:spacing w:after="0" w:line="240" w:lineRule="auto"/>
      </w:pPr>
      <w:r>
        <w:separator/>
      </w:r>
    </w:p>
  </w:endnote>
  <w:endnote w:type="continuationSeparator" w:id="0">
    <w:p w:rsidR="005F4B10" w:rsidRDefault="005F4B10" w:rsidP="00B5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840362"/>
      <w:docPartObj>
        <w:docPartGallery w:val="Page Numbers (Bottom of Page)"/>
        <w:docPartUnique/>
      </w:docPartObj>
    </w:sdtPr>
    <w:sdtEndPr/>
    <w:sdtContent>
      <w:p w:rsidR="00B529CF" w:rsidRDefault="00B529CF">
        <w:pPr>
          <w:pStyle w:val="Footer"/>
          <w:jc w:val="right"/>
        </w:pPr>
        <w:r>
          <w:fldChar w:fldCharType="begin"/>
        </w:r>
        <w:r>
          <w:instrText>PAGE   \* MERGEFORMAT</w:instrText>
        </w:r>
        <w:r>
          <w:fldChar w:fldCharType="separate"/>
        </w:r>
        <w:r w:rsidR="00A52067">
          <w:rPr>
            <w:noProof/>
          </w:rPr>
          <w:t>1</w:t>
        </w:r>
        <w:r>
          <w:fldChar w:fldCharType="end"/>
        </w:r>
      </w:p>
    </w:sdtContent>
  </w:sdt>
  <w:p w:rsidR="00B529CF" w:rsidRDefault="00B529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B10" w:rsidRDefault="005F4B10" w:rsidP="00B529CF">
      <w:pPr>
        <w:spacing w:after="0" w:line="240" w:lineRule="auto"/>
      </w:pPr>
      <w:r>
        <w:separator/>
      </w:r>
    </w:p>
  </w:footnote>
  <w:footnote w:type="continuationSeparator" w:id="0">
    <w:p w:rsidR="005F4B10" w:rsidRDefault="005F4B10" w:rsidP="00B529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16A"/>
    <w:rsid w:val="00031624"/>
    <w:rsid w:val="00143DFD"/>
    <w:rsid w:val="00240594"/>
    <w:rsid w:val="00561D3A"/>
    <w:rsid w:val="005F4B10"/>
    <w:rsid w:val="00734C49"/>
    <w:rsid w:val="007708F0"/>
    <w:rsid w:val="007D0B87"/>
    <w:rsid w:val="008A1B3F"/>
    <w:rsid w:val="008A5E2E"/>
    <w:rsid w:val="00916752"/>
    <w:rsid w:val="0093388B"/>
    <w:rsid w:val="009D0380"/>
    <w:rsid w:val="00A52067"/>
    <w:rsid w:val="00A72F76"/>
    <w:rsid w:val="00B17FD9"/>
    <w:rsid w:val="00B3316A"/>
    <w:rsid w:val="00B529CF"/>
    <w:rsid w:val="00C97BE6"/>
    <w:rsid w:val="00FC6D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4AF98-6A0E-4299-92D3-8A19A076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1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9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29CF"/>
  </w:style>
  <w:style w:type="paragraph" w:styleId="Footer">
    <w:name w:val="footer"/>
    <w:basedOn w:val="Normal"/>
    <w:link w:val="FooterChar"/>
    <w:uiPriority w:val="99"/>
    <w:unhideWhenUsed/>
    <w:rsid w:val="00B529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29CF"/>
  </w:style>
  <w:style w:type="paragraph" w:styleId="Revision">
    <w:name w:val="Revision"/>
    <w:hidden/>
    <w:uiPriority w:val="99"/>
    <w:semiHidden/>
    <w:rsid w:val="00A52067"/>
    <w:pPr>
      <w:spacing w:after="0" w:line="240" w:lineRule="auto"/>
    </w:pPr>
  </w:style>
  <w:style w:type="paragraph" w:styleId="BalloonText">
    <w:name w:val="Balloon Text"/>
    <w:basedOn w:val="Normal"/>
    <w:link w:val="BalloonTextChar"/>
    <w:uiPriority w:val="99"/>
    <w:semiHidden/>
    <w:unhideWhenUsed/>
    <w:rsid w:val="00A52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0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2122</Words>
  <Characters>12098</Characters>
  <Application>Microsoft Office Word</Application>
  <DocSecurity>0</DocSecurity>
  <Lines>100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Fréderique SOUAZE</dc:creator>
  <cp:keywords/>
  <dc:description/>
  <cp:lastModifiedBy>Botha, Chantal</cp:lastModifiedBy>
  <cp:revision>3</cp:revision>
  <dcterms:created xsi:type="dcterms:W3CDTF">2018-12-19T11:01:00Z</dcterms:created>
  <dcterms:modified xsi:type="dcterms:W3CDTF">2018-12-19T11:02:00Z</dcterms:modified>
</cp:coreProperties>
</file>