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436A4" w14:textId="2F2E1B55" w:rsidR="003276F9" w:rsidRPr="00F52BA2" w:rsidRDefault="003276F9" w:rsidP="003276F9">
      <w:pPr>
        <w:spacing w:line="480" w:lineRule="auto"/>
        <w:jc w:val="both"/>
        <w:rPr>
          <w:rFonts w:eastAsia="Times New Roman" w:cs="Arial"/>
          <w:sz w:val="24"/>
        </w:rPr>
      </w:pPr>
      <w:r w:rsidRPr="00F52BA2">
        <w:rPr>
          <w:rFonts w:eastAsia="Times New Roman" w:cs="Arial"/>
          <w:b/>
          <w:bCs/>
          <w:sz w:val="24"/>
        </w:rPr>
        <w:t>Supplementary Figure 1.</w:t>
      </w:r>
      <w:r w:rsidRPr="00F52BA2">
        <w:rPr>
          <w:rFonts w:eastAsia="Times New Roman" w:cs="Arial"/>
          <w:sz w:val="24"/>
        </w:rPr>
        <w:t xml:space="preserve"> </w:t>
      </w:r>
      <w:r w:rsidRPr="00F52BA2">
        <w:rPr>
          <w:rFonts w:eastAsia="Times New Roman" w:cs="Arial"/>
          <w:b/>
          <w:sz w:val="24"/>
        </w:rPr>
        <w:t>A, B and C)</w:t>
      </w:r>
      <w:r w:rsidRPr="00F52BA2">
        <w:rPr>
          <w:rFonts w:eastAsia="Times New Roman" w:cs="Arial"/>
          <w:sz w:val="24"/>
        </w:rPr>
        <w:t xml:space="preserve"> AOX1 expression in BLCA cell lines by immunofluorescence microscopy, qPCR, and western blot, respectively </w:t>
      </w:r>
      <w:r w:rsidRPr="00F52BA2">
        <w:rPr>
          <w:rFonts w:eastAsia="Times New Roman" w:cs="Arial"/>
          <w:b/>
          <w:sz w:val="24"/>
        </w:rPr>
        <w:t>D)</w:t>
      </w:r>
      <w:r w:rsidRPr="00F52BA2">
        <w:rPr>
          <w:rFonts w:eastAsia="Times New Roman" w:cs="Arial"/>
          <w:sz w:val="24"/>
        </w:rPr>
        <w:t xml:space="preserve"> Heat map of hierarchical clustering of differential metabolites in control and AOX1 </w:t>
      </w:r>
      <w:r w:rsidRPr="00FD4FA8">
        <w:rPr>
          <w:rFonts w:eastAsia="Times New Roman" w:cs="Arial"/>
          <w:sz w:val="24"/>
        </w:rPr>
        <w:t>KD</w:t>
      </w:r>
      <w:r w:rsidR="00F67977" w:rsidRPr="00FD4FA8">
        <w:rPr>
          <w:rFonts w:eastAsia="Times New Roman" w:cs="Arial"/>
          <w:sz w:val="24"/>
        </w:rPr>
        <w:t xml:space="preserve"> 1</w:t>
      </w:r>
      <w:r w:rsidR="00233998">
        <w:rPr>
          <w:rFonts w:eastAsia="Times New Roman" w:cs="Arial"/>
          <w:sz w:val="24"/>
        </w:rPr>
        <w:t xml:space="preserve"> (Orange bar)</w:t>
      </w:r>
      <w:r w:rsidR="00F67977" w:rsidRPr="00FD4FA8">
        <w:rPr>
          <w:rFonts w:eastAsia="Times New Roman" w:cs="Arial"/>
          <w:sz w:val="24"/>
        </w:rPr>
        <w:t xml:space="preserve"> and KD2</w:t>
      </w:r>
      <w:r w:rsidR="00233998">
        <w:rPr>
          <w:rFonts w:eastAsia="Times New Roman" w:cs="Arial"/>
          <w:sz w:val="24"/>
        </w:rPr>
        <w:t xml:space="preserve"> (red bar)</w:t>
      </w:r>
      <w:r w:rsidRPr="00F52BA2">
        <w:rPr>
          <w:rFonts w:eastAsia="Times New Roman" w:cs="Arial"/>
          <w:sz w:val="24"/>
        </w:rPr>
        <w:t xml:space="preserve"> cells </w:t>
      </w:r>
      <w:r w:rsidRPr="00F52BA2">
        <w:rPr>
          <w:rFonts w:eastAsia="Times New Roman" w:cs="Arial"/>
          <w:b/>
          <w:sz w:val="24"/>
        </w:rPr>
        <w:t>E)</w:t>
      </w:r>
      <w:r w:rsidRPr="00F52BA2">
        <w:rPr>
          <w:rFonts w:eastAsia="Times New Roman" w:cs="Arial"/>
          <w:sz w:val="24"/>
        </w:rPr>
        <w:t xml:space="preserve"> Heat map of hierarchical clustering of differential metabolites in control and Ad-AOX1 BLCA cells.</w:t>
      </w:r>
    </w:p>
    <w:p w14:paraId="57213EAB" w14:textId="77777777" w:rsidR="003276F9" w:rsidRPr="00F52BA2" w:rsidRDefault="003276F9" w:rsidP="003276F9">
      <w:pPr>
        <w:spacing w:line="480" w:lineRule="auto"/>
        <w:jc w:val="both"/>
        <w:rPr>
          <w:rFonts w:eastAsia="Times New Roman" w:cs="Arial"/>
          <w:sz w:val="24"/>
        </w:rPr>
      </w:pPr>
      <w:r w:rsidRPr="00F52BA2">
        <w:rPr>
          <w:rFonts w:eastAsia="Times New Roman" w:cs="Arial"/>
          <w:b/>
          <w:bCs/>
          <w:sz w:val="24"/>
        </w:rPr>
        <w:t>Supplementary Figure 2.</w:t>
      </w:r>
      <w:r w:rsidRPr="00F52BA2">
        <w:rPr>
          <w:rFonts w:eastAsia="Times New Roman" w:cs="Arial"/>
          <w:sz w:val="24"/>
        </w:rPr>
        <w:t xml:space="preserve"> </w:t>
      </w:r>
      <w:r w:rsidRPr="00F52BA2">
        <w:rPr>
          <w:rFonts w:eastAsia="Times New Roman" w:cs="Arial"/>
          <w:b/>
          <w:sz w:val="24"/>
        </w:rPr>
        <w:t>A)</w:t>
      </w:r>
      <w:r w:rsidRPr="00F52BA2">
        <w:rPr>
          <w:rFonts w:eastAsia="Times New Roman" w:cs="Arial"/>
          <w:sz w:val="24"/>
        </w:rPr>
        <w:t xml:space="preserve"> Integration of metabolomics and transcriptomics and a </w:t>
      </w:r>
      <w:r w:rsidRPr="00F52BA2">
        <w:rPr>
          <w:rFonts w:eastAsia="Times New Roman" w:cs="Arial"/>
          <w:noProof/>
          <w:sz w:val="24"/>
        </w:rPr>
        <w:t>table</w:t>
      </w:r>
      <w:r w:rsidRPr="00F52BA2">
        <w:rPr>
          <w:rFonts w:eastAsia="Times New Roman" w:cs="Arial"/>
          <w:sz w:val="24"/>
        </w:rPr>
        <w:t xml:space="preserve"> representing the top 10 down- and </w:t>
      </w:r>
      <w:r w:rsidRPr="00F52BA2">
        <w:rPr>
          <w:rFonts w:eastAsia="Times New Roman" w:cs="Arial"/>
          <w:noProof/>
          <w:sz w:val="24"/>
        </w:rPr>
        <w:t>up-regulated</w:t>
      </w:r>
      <w:r w:rsidRPr="00F52BA2">
        <w:rPr>
          <w:rFonts w:eastAsia="Times New Roman" w:cs="Arial"/>
          <w:sz w:val="24"/>
        </w:rPr>
        <w:t xml:space="preserve"> genes </w:t>
      </w:r>
      <w:r w:rsidRPr="00F52BA2">
        <w:rPr>
          <w:rFonts w:eastAsia="Times New Roman" w:cs="Arial"/>
          <w:b/>
          <w:sz w:val="24"/>
        </w:rPr>
        <w:t>B)</w:t>
      </w:r>
      <w:r w:rsidRPr="00F52BA2">
        <w:rPr>
          <w:rFonts w:eastAsia="Times New Roman" w:cs="Arial"/>
          <w:sz w:val="24"/>
        </w:rPr>
        <w:t xml:space="preserve"> AOX1 expression in various cancers </w:t>
      </w:r>
      <w:r w:rsidRPr="00F52BA2">
        <w:rPr>
          <w:rFonts w:eastAsia="Times New Roman" w:cs="Arial"/>
          <w:b/>
          <w:sz w:val="24"/>
        </w:rPr>
        <w:t>C)</w:t>
      </w:r>
      <w:r w:rsidRPr="00F52BA2">
        <w:rPr>
          <w:rFonts w:eastAsia="Times New Roman" w:cs="Arial"/>
          <w:sz w:val="24"/>
        </w:rPr>
        <w:t xml:space="preserve"> AOX1 mRNA expression in KIM, TCGA, and Sanchez public datasets.</w:t>
      </w:r>
    </w:p>
    <w:p w14:paraId="316E0129" w14:textId="77777777" w:rsidR="003276F9" w:rsidRPr="00F52BA2" w:rsidRDefault="003276F9" w:rsidP="003276F9">
      <w:pPr>
        <w:spacing w:line="480" w:lineRule="auto"/>
        <w:jc w:val="both"/>
        <w:rPr>
          <w:rFonts w:eastAsia="Times New Roman" w:cs="Arial"/>
          <w:sz w:val="24"/>
        </w:rPr>
      </w:pPr>
      <w:r w:rsidRPr="00F52BA2">
        <w:rPr>
          <w:rFonts w:eastAsia="Times New Roman" w:cs="Arial"/>
          <w:b/>
          <w:bCs/>
          <w:sz w:val="24"/>
        </w:rPr>
        <w:t>Supplementary Figure 3.</w:t>
      </w:r>
      <w:r w:rsidRPr="00F52BA2">
        <w:rPr>
          <w:rFonts w:eastAsia="Times New Roman" w:cs="Arial"/>
          <w:sz w:val="24"/>
        </w:rPr>
        <w:t xml:space="preserve"> Box plots showing the </w:t>
      </w:r>
      <w:r w:rsidRPr="00F52BA2">
        <w:rPr>
          <w:rFonts w:eastAsia="Times New Roman" w:cs="Arial"/>
          <w:noProof/>
          <w:sz w:val="24"/>
        </w:rPr>
        <w:t>stage-wise</w:t>
      </w:r>
      <w:r w:rsidRPr="00F52BA2">
        <w:rPr>
          <w:rFonts w:eastAsia="Times New Roman" w:cs="Arial"/>
          <w:sz w:val="24"/>
        </w:rPr>
        <w:t xml:space="preserve"> differentially expressed </w:t>
      </w:r>
      <w:r w:rsidRPr="00F52BA2">
        <w:rPr>
          <w:rFonts w:eastAsia="Times New Roman" w:cs="Arial"/>
          <w:b/>
          <w:sz w:val="24"/>
        </w:rPr>
        <w:t>A)</w:t>
      </w:r>
      <w:r w:rsidRPr="00F52BA2">
        <w:rPr>
          <w:rFonts w:eastAsia="Times New Roman" w:cs="Arial"/>
          <w:sz w:val="24"/>
        </w:rPr>
        <w:t xml:space="preserve"> substrate and </w:t>
      </w:r>
      <w:r w:rsidRPr="00F52BA2">
        <w:rPr>
          <w:rFonts w:eastAsia="Times New Roman" w:cs="Arial"/>
          <w:b/>
          <w:sz w:val="24"/>
        </w:rPr>
        <w:t>B)</w:t>
      </w:r>
      <w:r w:rsidRPr="00F52BA2">
        <w:rPr>
          <w:rFonts w:eastAsia="Times New Roman" w:cs="Arial"/>
          <w:sz w:val="24"/>
        </w:rPr>
        <w:t xml:space="preserve"> products associated with AOX1 in patients with BLCA.</w:t>
      </w:r>
    </w:p>
    <w:p w14:paraId="642F4FF8" w14:textId="77777777" w:rsidR="003276F9" w:rsidRPr="00F52BA2" w:rsidRDefault="003276F9" w:rsidP="003276F9">
      <w:pPr>
        <w:spacing w:line="480" w:lineRule="auto"/>
        <w:jc w:val="both"/>
        <w:rPr>
          <w:rFonts w:eastAsia="Times New Roman" w:cs="Arial"/>
          <w:sz w:val="24"/>
        </w:rPr>
      </w:pPr>
      <w:r w:rsidRPr="00F52BA2">
        <w:rPr>
          <w:rFonts w:eastAsia="Times New Roman" w:cs="Arial"/>
          <w:b/>
          <w:bCs/>
          <w:sz w:val="24"/>
        </w:rPr>
        <w:t>Supplementary Figure 4.</w:t>
      </w:r>
      <w:r w:rsidRPr="00F52BA2">
        <w:rPr>
          <w:rFonts w:eastAsia="Times New Roman" w:cs="Arial"/>
          <w:sz w:val="24"/>
        </w:rPr>
        <w:t xml:space="preserve"> </w:t>
      </w:r>
      <w:r w:rsidRPr="00F52BA2">
        <w:rPr>
          <w:rFonts w:eastAsia="Times New Roman" w:cs="Arial"/>
          <w:b/>
          <w:sz w:val="24"/>
        </w:rPr>
        <w:t>A)</w:t>
      </w:r>
      <w:r w:rsidRPr="00F52BA2">
        <w:rPr>
          <w:rFonts w:eastAsia="Times New Roman" w:cs="Arial"/>
          <w:sz w:val="24"/>
        </w:rPr>
        <w:t xml:space="preserve"> qPCR of AOX1 expression upon methylation (AZA, Adox) and histone deacetylation (TSA) inhibitor treatments. </w:t>
      </w:r>
      <w:r w:rsidRPr="00F52BA2">
        <w:rPr>
          <w:rFonts w:eastAsia="Times New Roman" w:cs="Arial"/>
          <w:b/>
          <w:sz w:val="24"/>
        </w:rPr>
        <w:t xml:space="preserve">B) </w:t>
      </w:r>
      <w:r w:rsidRPr="00F52BA2">
        <w:rPr>
          <w:rFonts w:eastAsia="Times New Roman" w:cs="Arial"/>
          <w:sz w:val="24"/>
        </w:rPr>
        <w:t xml:space="preserve">qPCR of AOX1 in BLCA tissues compared with benign tissues. </w:t>
      </w:r>
      <w:r w:rsidRPr="00F52BA2">
        <w:rPr>
          <w:rFonts w:eastAsia="Times New Roman" w:cs="Arial"/>
          <w:b/>
          <w:sz w:val="24"/>
        </w:rPr>
        <w:t xml:space="preserve">C) </w:t>
      </w:r>
      <w:r w:rsidRPr="00F52BA2">
        <w:rPr>
          <w:rFonts w:eastAsia="Times New Roman" w:cs="Arial"/>
          <w:sz w:val="24"/>
        </w:rPr>
        <w:t xml:space="preserve">qPCR of AOX1 in different stages of BLCA. </w:t>
      </w:r>
      <w:r w:rsidRPr="00F52BA2">
        <w:rPr>
          <w:rFonts w:eastAsia="Times New Roman" w:cs="Arial"/>
          <w:b/>
          <w:sz w:val="24"/>
        </w:rPr>
        <w:t>D)</w:t>
      </w:r>
      <w:r w:rsidRPr="00F52BA2">
        <w:rPr>
          <w:rFonts w:eastAsia="Times New Roman" w:cs="Arial"/>
          <w:sz w:val="24"/>
        </w:rPr>
        <w:t xml:space="preserve"> qPCR of EZH2 in BLCA tissues compared with benign tissues. </w:t>
      </w:r>
      <w:r w:rsidRPr="00F52BA2">
        <w:rPr>
          <w:rFonts w:eastAsia="Times New Roman" w:cs="Arial"/>
          <w:b/>
          <w:sz w:val="24"/>
        </w:rPr>
        <w:t xml:space="preserve">E) </w:t>
      </w:r>
      <w:r w:rsidRPr="00F52BA2">
        <w:rPr>
          <w:rFonts w:eastAsia="Times New Roman" w:cs="Arial"/>
          <w:sz w:val="24"/>
        </w:rPr>
        <w:t>qPCR of EZH2 in different stages of BLCA</w:t>
      </w:r>
      <w:r>
        <w:rPr>
          <w:rFonts w:eastAsia="Times New Roman" w:cs="Arial"/>
          <w:sz w:val="24"/>
        </w:rPr>
        <w:t xml:space="preserve">. </w:t>
      </w:r>
    </w:p>
    <w:p w14:paraId="061BC147" w14:textId="77777777" w:rsidR="003276F9" w:rsidRDefault="003276F9" w:rsidP="003276F9">
      <w:pPr>
        <w:spacing w:line="480" w:lineRule="auto"/>
        <w:jc w:val="both"/>
        <w:rPr>
          <w:rFonts w:eastAsia="Times New Roman" w:cs="Arial"/>
          <w:sz w:val="24"/>
        </w:rPr>
      </w:pPr>
      <w:r w:rsidRPr="00F52BA2">
        <w:rPr>
          <w:rFonts w:eastAsia="Times New Roman" w:cs="Arial"/>
          <w:b/>
          <w:bCs/>
          <w:sz w:val="24"/>
        </w:rPr>
        <w:t xml:space="preserve">Supplementary Figure 5. A) </w:t>
      </w:r>
      <w:r w:rsidRPr="00F52BA2">
        <w:rPr>
          <w:rFonts w:eastAsia="Times New Roman" w:cs="Arial"/>
          <w:bCs/>
          <w:sz w:val="24"/>
        </w:rPr>
        <w:t xml:space="preserve">Genome browser visualization of PCR product and analyzed AOX1 promoter CpG sites </w:t>
      </w:r>
      <w:r w:rsidRPr="00F52BA2">
        <w:rPr>
          <w:rFonts w:eastAsia="Times New Roman" w:cs="Arial"/>
          <w:b/>
          <w:bCs/>
          <w:sz w:val="24"/>
        </w:rPr>
        <w:t xml:space="preserve">B) </w:t>
      </w:r>
      <w:r w:rsidRPr="00F52BA2">
        <w:rPr>
          <w:rFonts w:eastAsia="Times New Roman" w:cs="Arial"/>
          <w:noProof/>
          <w:sz w:val="24"/>
        </w:rPr>
        <w:t>Negative</w:t>
      </w:r>
      <w:r w:rsidRPr="00F52BA2">
        <w:rPr>
          <w:rFonts w:eastAsia="Times New Roman" w:cs="Arial"/>
          <w:sz w:val="24"/>
        </w:rPr>
        <w:t xml:space="preserve"> correlation between AOX1 and DNMT3b mRNA expression in TCGA, Sanchez, Riester, and Choi cohorts.</w:t>
      </w:r>
    </w:p>
    <w:p w14:paraId="7741B3DB" w14:textId="7445B432" w:rsidR="00721303" w:rsidRPr="00721303" w:rsidRDefault="00EA3473" w:rsidP="00EA3473">
      <w:pPr>
        <w:spacing w:line="480" w:lineRule="auto"/>
        <w:jc w:val="both"/>
        <w:rPr>
          <w:rFonts w:eastAsia="Times New Roman" w:cs="Arial"/>
          <w:sz w:val="24"/>
        </w:rPr>
      </w:pPr>
      <w:r w:rsidRPr="00F52BA2">
        <w:rPr>
          <w:rFonts w:eastAsia="Times New Roman" w:cs="Arial"/>
          <w:b/>
          <w:bCs/>
          <w:sz w:val="24"/>
        </w:rPr>
        <w:t xml:space="preserve">Supplementary Figure 6. A) </w:t>
      </w:r>
      <w:r w:rsidRPr="00F52BA2">
        <w:rPr>
          <w:rFonts w:eastAsia="Times New Roman" w:cs="Arial"/>
          <w:bCs/>
          <w:sz w:val="24"/>
        </w:rPr>
        <w:t xml:space="preserve">Western blot of AOX1 in EZH2 and AOX1 over expression in UMUC3 BLCA cells. </w:t>
      </w:r>
      <w:r w:rsidRPr="00F52BA2">
        <w:rPr>
          <w:rFonts w:eastAsia="Times New Roman" w:cs="Arial"/>
          <w:b/>
          <w:bCs/>
          <w:sz w:val="24"/>
        </w:rPr>
        <w:t xml:space="preserve">B) </w:t>
      </w:r>
      <w:r w:rsidRPr="00F52BA2">
        <w:rPr>
          <w:rFonts w:eastAsia="Times New Roman" w:cs="Arial"/>
          <w:sz w:val="24"/>
        </w:rPr>
        <w:t xml:space="preserve">Kynurenine, NADP, 6 Phospho gluconate and ribulose/xylulose phosphate levels in EZH2 and EZH2+AOX1 overexpressed cells measured by LC-MS. Metabolite levels were normalized using </w:t>
      </w:r>
      <w:r w:rsidRPr="00F52BA2">
        <w:rPr>
          <w:rFonts w:eastAsia="Times New Roman" w:cs="Arial"/>
          <w:sz w:val="24"/>
          <w:vertAlign w:val="superscript"/>
        </w:rPr>
        <w:t>13</w:t>
      </w:r>
      <w:r w:rsidRPr="00F52BA2">
        <w:rPr>
          <w:rFonts w:eastAsia="Times New Roman" w:cs="Arial"/>
          <w:sz w:val="24"/>
        </w:rPr>
        <w:t xml:space="preserve">C labeled internal standards to represent relative abundance level </w:t>
      </w:r>
      <w:r w:rsidRPr="00F52BA2">
        <w:rPr>
          <w:rFonts w:eastAsia="Times New Roman" w:cs="Arial"/>
          <w:b/>
          <w:sz w:val="24"/>
        </w:rPr>
        <w:t xml:space="preserve">C) </w:t>
      </w:r>
      <w:r w:rsidRPr="00F52BA2">
        <w:rPr>
          <w:rFonts w:eastAsia="Times New Roman" w:cs="Arial"/>
          <w:sz w:val="24"/>
        </w:rPr>
        <w:t xml:space="preserve">The CAM assay for the EZH2 and EZH2+AOX1 BLCA cell </w:t>
      </w:r>
      <w:r w:rsidRPr="00F52BA2">
        <w:rPr>
          <w:rFonts w:eastAsia="Times New Roman" w:cs="Arial"/>
          <w:sz w:val="24"/>
        </w:rPr>
        <w:lastRenderedPageBreak/>
        <w:t xml:space="preserve">after 5 days. Tumor size on the CAM was calculated as a percentage of the total area within the inner, 9 mm portion of the silicon ring. </w:t>
      </w:r>
      <w:r w:rsidR="00721303" w:rsidRPr="00721303">
        <w:rPr>
          <w:rFonts w:eastAsia="Times New Roman" w:cs="Arial"/>
          <w:b/>
          <w:bCs/>
          <w:sz w:val="24"/>
        </w:rPr>
        <w:t>D)</w:t>
      </w:r>
      <w:r w:rsidR="00721303">
        <w:rPr>
          <w:rFonts w:eastAsia="Times New Roman" w:cs="Arial"/>
          <w:sz w:val="24"/>
        </w:rPr>
        <w:t xml:space="preserve"> </w:t>
      </w:r>
      <w:r w:rsidR="00721303" w:rsidRPr="00721303">
        <w:rPr>
          <w:rFonts w:eastAsia="Times New Roman" w:cs="Arial"/>
          <w:sz w:val="24"/>
          <w:highlight w:val="yellow"/>
        </w:rPr>
        <w:t>Replicate experiment</w:t>
      </w:r>
      <w:r w:rsidR="00B074A6">
        <w:rPr>
          <w:rFonts w:eastAsia="Times New Roman" w:cs="Arial"/>
          <w:sz w:val="24"/>
          <w:highlight w:val="yellow"/>
        </w:rPr>
        <w:t xml:space="preserve"> for data described in Figure 7 A-B, showing reduced tumor size in xenografts generated </w:t>
      </w:r>
      <w:bookmarkStart w:id="0" w:name="_GoBack"/>
      <w:bookmarkEnd w:id="0"/>
      <w:r w:rsidR="00B074A6">
        <w:rPr>
          <w:rFonts w:eastAsia="Times New Roman" w:cs="Arial"/>
          <w:sz w:val="24"/>
          <w:highlight w:val="yellow"/>
        </w:rPr>
        <w:t xml:space="preserve">using </w:t>
      </w:r>
      <w:r w:rsidR="00721303" w:rsidRPr="00721303">
        <w:rPr>
          <w:rFonts w:eastAsia="Times New Roman" w:cs="Arial"/>
          <w:sz w:val="24"/>
          <w:highlight w:val="yellow"/>
        </w:rPr>
        <w:t>UMUC3 cells</w:t>
      </w:r>
      <w:r w:rsidR="00B074A6">
        <w:rPr>
          <w:rFonts w:eastAsia="Times New Roman" w:cs="Arial"/>
          <w:sz w:val="24"/>
          <w:highlight w:val="yellow"/>
        </w:rPr>
        <w:t xml:space="preserve"> containing AOX1 overexpression compared to controls </w:t>
      </w:r>
      <w:r w:rsidR="00721303" w:rsidRPr="00721303">
        <w:rPr>
          <w:rFonts w:eastAsia="Times New Roman" w:cs="Arial"/>
          <w:sz w:val="24"/>
          <w:highlight w:val="yellow"/>
        </w:rPr>
        <w:t>(n=5, Ad-h-AOX1 and n= 5 vector control).</w:t>
      </w:r>
      <w:r w:rsidR="00721303" w:rsidRPr="00F52BA2">
        <w:rPr>
          <w:rFonts w:eastAsia="Times New Roman" w:cs="Arial"/>
          <w:sz w:val="24"/>
        </w:rPr>
        <w:t xml:space="preserve"> </w:t>
      </w:r>
      <w:r w:rsidR="00721303" w:rsidRPr="00F52BA2">
        <w:rPr>
          <w:rFonts w:eastAsia="Times New Roman" w:cs="Arial"/>
          <w:b/>
          <w:sz w:val="24"/>
        </w:rPr>
        <w:t xml:space="preserve"> </w:t>
      </w:r>
    </w:p>
    <w:p w14:paraId="30EBB670" w14:textId="77777777" w:rsidR="003276F9" w:rsidRPr="00F52BA2" w:rsidRDefault="003276F9" w:rsidP="003276F9">
      <w:pPr>
        <w:spacing w:line="480" w:lineRule="auto"/>
        <w:jc w:val="both"/>
        <w:rPr>
          <w:rFonts w:eastAsia="Times New Roman" w:cs="Arial"/>
          <w:b/>
          <w:bCs/>
          <w:sz w:val="24"/>
        </w:rPr>
      </w:pPr>
      <w:r w:rsidRPr="00F52BA2">
        <w:rPr>
          <w:rFonts w:eastAsia="Times New Roman" w:cs="Arial"/>
          <w:b/>
          <w:bCs/>
          <w:sz w:val="24"/>
        </w:rPr>
        <w:t xml:space="preserve">Supplementary Table 1. </w:t>
      </w:r>
      <w:r w:rsidRPr="00F52BA2">
        <w:rPr>
          <w:rFonts w:eastAsia="Times New Roman" w:cs="Arial"/>
          <w:bCs/>
          <w:sz w:val="24"/>
        </w:rPr>
        <w:t>Patient characteristics of bladder specimens used for this study.</w:t>
      </w:r>
      <w:r>
        <w:rPr>
          <w:rFonts w:eastAsia="Times New Roman" w:cs="Arial"/>
          <w:bCs/>
          <w:sz w:val="24"/>
        </w:rPr>
        <w:t xml:space="preserve"> </w:t>
      </w:r>
      <w:r w:rsidRPr="00D13431">
        <w:rPr>
          <w:rFonts w:eastAsia="Times New Roman" w:cs="Arial"/>
          <w:bCs/>
          <w:sz w:val="24"/>
        </w:rPr>
        <w:t>(UTSW= The University of Te</w:t>
      </w:r>
      <w:r>
        <w:rPr>
          <w:rFonts w:eastAsia="Times New Roman" w:cs="Arial"/>
          <w:bCs/>
          <w:sz w:val="24"/>
        </w:rPr>
        <w:t>xas Southwestern Medical Center</w:t>
      </w:r>
      <w:r w:rsidRPr="00D13431">
        <w:rPr>
          <w:rFonts w:eastAsia="Times New Roman" w:cs="Arial"/>
          <w:bCs/>
          <w:sz w:val="24"/>
        </w:rPr>
        <w:t>).</w:t>
      </w:r>
    </w:p>
    <w:p w14:paraId="5DC2C253" w14:textId="77777777" w:rsidR="003276F9" w:rsidRPr="00F52BA2" w:rsidRDefault="003276F9" w:rsidP="003276F9">
      <w:pPr>
        <w:pStyle w:val="TableParagraph"/>
        <w:spacing w:line="480" w:lineRule="auto"/>
        <w:ind w:left="35"/>
        <w:rPr>
          <w:sz w:val="24"/>
          <w:szCs w:val="24"/>
        </w:rPr>
      </w:pPr>
      <w:r w:rsidRPr="00F52BA2">
        <w:rPr>
          <w:rFonts w:eastAsia="Times New Roman"/>
          <w:b/>
          <w:bCs/>
          <w:sz w:val="24"/>
          <w:szCs w:val="24"/>
        </w:rPr>
        <w:t>Supplementary Table 2.</w:t>
      </w:r>
      <w:r w:rsidRPr="00F52BA2">
        <w:rPr>
          <w:b/>
          <w:sz w:val="24"/>
          <w:szCs w:val="24"/>
        </w:rPr>
        <w:t xml:space="preserve"> </w:t>
      </w:r>
      <w:r w:rsidRPr="00F52BA2">
        <w:rPr>
          <w:sz w:val="24"/>
          <w:szCs w:val="24"/>
        </w:rPr>
        <w:t xml:space="preserve">Patient characteristics of </w:t>
      </w:r>
      <w:r w:rsidRPr="00F52BA2">
        <w:rPr>
          <w:sz w:val="24"/>
        </w:rPr>
        <w:t>bladder specimens used for validation</w:t>
      </w:r>
      <w:r>
        <w:rPr>
          <w:sz w:val="24"/>
        </w:rPr>
        <w:t xml:space="preserve"> </w:t>
      </w:r>
      <w:r w:rsidRPr="00D13431">
        <w:rPr>
          <w:sz w:val="24"/>
        </w:rPr>
        <w:t>(UWH= Witten-Herdecke University; UTSW= The University of Texas Southwestern Medical Center; BCM= Baylor College of Medicine)</w:t>
      </w:r>
      <w:r>
        <w:rPr>
          <w:sz w:val="24"/>
        </w:rPr>
        <w:t>.</w:t>
      </w:r>
    </w:p>
    <w:p w14:paraId="13A5C99D" w14:textId="77777777" w:rsidR="003276F9" w:rsidRPr="00F52BA2" w:rsidRDefault="003276F9" w:rsidP="003276F9">
      <w:pPr>
        <w:widowControl w:val="0"/>
        <w:spacing w:line="480" w:lineRule="auto"/>
        <w:jc w:val="both"/>
        <w:rPr>
          <w:rFonts w:eastAsia="Times New Roman" w:cs="Arial"/>
          <w:bCs/>
          <w:sz w:val="24"/>
          <w:lang w:bidi="ta-IN"/>
        </w:rPr>
      </w:pPr>
      <w:r w:rsidRPr="00F52BA2">
        <w:rPr>
          <w:rFonts w:eastAsia="Times New Roman" w:cs="Arial"/>
          <w:b/>
          <w:bCs/>
          <w:sz w:val="24"/>
          <w:lang w:bidi="ta-IN"/>
        </w:rPr>
        <w:t xml:space="preserve">Supplementary Table </w:t>
      </w:r>
      <w:r w:rsidRPr="00F52BA2">
        <w:rPr>
          <w:rFonts w:eastAsia="Times New Roman" w:cs="Arial"/>
          <w:b/>
          <w:bCs/>
          <w:noProof/>
          <w:sz w:val="24"/>
          <w:lang w:bidi="ta-IN"/>
        </w:rPr>
        <w:t>3:</w:t>
      </w:r>
      <w:r w:rsidRPr="00F52BA2">
        <w:rPr>
          <w:rFonts w:eastAsia="Times New Roman" w:cs="Arial"/>
          <w:b/>
          <w:bCs/>
          <w:sz w:val="24"/>
          <w:lang w:bidi="ta-IN"/>
        </w:rPr>
        <w:t xml:space="preserve"> </w:t>
      </w:r>
      <w:r w:rsidRPr="00F52BA2">
        <w:rPr>
          <w:rFonts w:eastAsia="Times New Roman" w:cs="Arial"/>
          <w:bCs/>
          <w:sz w:val="24"/>
          <w:lang w:bidi="ta-IN"/>
        </w:rPr>
        <w:t>List of spiked internal standards across the various pro</w:t>
      </w:r>
      <w:r w:rsidRPr="00F52BA2">
        <w:rPr>
          <w:rFonts w:eastAsia="Times New Roman" w:cs="Arial"/>
          <w:bCs/>
          <w:sz w:val="24"/>
          <w:lang w:bidi="ta-IN"/>
        </w:rPr>
        <w:noBreakHyphen/>
        <w:t>ling platforms.</w:t>
      </w:r>
    </w:p>
    <w:p w14:paraId="5A344F3F" w14:textId="77777777" w:rsidR="003276F9" w:rsidRPr="00F52BA2" w:rsidRDefault="003276F9" w:rsidP="003276F9">
      <w:pPr>
        <w:spacing w:line="480" w:lineRule="auto"/>
        <w:rPr>
          <w:rFonts w:eastAsia="Times New Roman" w:cs="Arial"/>
          <w:bCs/>
          <w:sz w:val="24"/>
        </w:rPr>
      </w:pPr>
      <w:r w:rsidRPr="00F52BA2">
        <w:rPr>
          <w:rFonts w:eastAsia="Times New Roman" w:cs="Arial"/>
          <w:b/>
          <w:bCs/>
          <w:sz w:val="24"/>
        </w:rPr>
        <w:t xml:space="preserve">Supplementary Table 4. </w:t>
      </w:r>
      <w:r w:rsidRPr="00F52BA2">
        <w:rPr>
          <w:rFonts w:eastAsia="Times New Roman" w:cs="Arial"/>
          <w:sz w:val="24"/>
        </w:rPr>
        <w:t>Primer sequences used for the present study</w:t>
      </w:r>
      <w:r w:rsidRPr="00F52BA2">
        <w:rPr>
          <w:rFonts w:eastAsia="Times New Roman" w:cs="Arial"/>
          <w:bCs/>
          <w:sz w:val="24"/>
        </w:rPr>
        <w:t xml:space="preserve"> </w:t>
      </w:r>
    </w:p>
    <w:p w14:paraId="23D0FB1B" w14:textId="77777777" w:rsidR="003276F9" w:rsidRPr="00F52BA2" w:rsidRDefault="003276F9" w:rsidP="003276F9">
      <w:pPr>
        <w:spacing w:line="480" w:lineRule="auto"/>
        <w:rPr>
          <w:rFonts w:eastAsia="Times New Roman" w:cs="Arial"/>
          <w:sz w:val="24"/>
        </w:rPr>
      </w:pPr>
      <w:r w:rsidRPr="00F52BA2">
        <w:rPr>
          <w:rFonts w:eastAsia="Times New Roman" w:cs="Arial"/>
          <w:b/>
          <w:bCs/>
          <w:sz w:val="24"/>
        </w:rPr>
        <w:t>Supplementary Table 5</w:t>
      </w:r>
      <w:r w:rsidRPr="00F52BA2">
        <w:rPr>
          <w:rFonts w:eastAsia="Times New Roman" w:cs="Arial"/>
          <w:sz w:val="24"/>
        </w:rPr>
        <w:t>. Single reaction monitoring (SRM) transitions for studying stage-specific metabolites and metabolic flux measured in this study.</w:t>
      </w:r>
    </w:p>
    <w:p w14:paraId="233DFEC5" w14:textId="77777777" w:rsidR="003276F9" w:rsidRPr="00F52BA2" w:rsidRDefault="003276F9" w:rsidP="003276F9">
      <w:pPr>
        <w:spacing w:line="480" w:lineRule="auto"/>
        <w:rPr>
          <w:rFonts w:cs="Arial"/>
          <w:b/>
          <w:bCs/>
          <w:sz w:val="24"/>
        </w:rPr>
      </w:pPr>
      <w:r w:rsidRPr="00F52BA2">
        <w:rPr>
          <w:rFonts w:cs="Arial"/>
          <w:b/>
          <w:bCs/>
          <w:sz w:val="24"/>
        </w:rPr>
        <w:t xml:space="preserve">Supplementary Table 6. </w:t>
      </w:r>
      <w:r w:rsidRPr="00F52BA2">
        <w:rPr>
          <w:rFonts w:cs="Arial"/>
          <w:iCs/>
          <w:sz w:val="24"/>
        </w:rPr>
        <w:t>List of 7 metabolites used for generating ROC curve in Figure 1D.</w:t>
      </w:r>
    </w:p>
    <w:p w14:paraId="1C639BBE" w14:textId="77777777" w:rsidR="00CA00F2" w:rsidRPr="003276F9" w:rsidRDefault="008473D9" w:rsidP="003276F9"/>
    <w:sectPr w:rsidR="00CA00F2" w:rsidRPr="00327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2BD"/>
    <w:rsid w:val="00233998"/>
    <w:rsid w:val="003276F9"/>
    <w:rsid w:val="005E6AC1"/>
    <w:rsid w:val="00721303"/>
    <w:rsid w:val="007F25F0"/>
    <w:rsid w:val="008473D9"/>
    <w:rsid w:val="00B074A6"/>
    <w:rsid w:val="00B55A59"/>
    <w:rsid w:val="00B72BDD"/>
    <w:rsid w:val="00EA3473"/>
    <w:rsid w:val="00F132BD"/>
    <w:rsid w:val="00F67977"/>
    <w:rsid w:val="00FD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BD7A3"/>
  <w15:chartTrackingRefBased/>
  <w15:docId w15:val="{91A6DBDB-7B50-47C9-AEE4-0852A141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2BD"/>
    <w:pPr>
      <w:spacing w:after="0" w:line="240" w:lineRule="auto"/>
    </w:pPr>
    <w:rPr>
      <w:rFonts w:ascii="Arial" w:eastAsiaTheme="minorEastAsia" w:hAnsi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F132BD"/>
    <w:pPr>
      <w:widowControl w:val="0"/>
      <w:autoSpaceDE w:val="0"/>
      <w:autoSpaceDN w:val="0"/>
    </w:pPr>
    <w:rPr>
      <w:rFonts w:eastAsia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Putluri, Nagireddy</dc:creator>
  <cp:keywords/>
  <dc:description/>
  <cp:lastModifiedBy>Putluri, Nagireddy</cp:lastModifiedBy>
  <cp:revision>10</cp:revision>
  <dcterms:created xsi:type="dcterms:W3CDTF">2019-04-04T22:56:00Z</dcterms:created>
  <dcterms:modified xsi:type="dcterms:W3CDTF">2020-04-10T04:17:00Z</dcterms:modified>
</cp:coreProperties>
</file>