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  <w:t>Supplementary Information</w:t>
      </w:r>
    </w:p>
    <w:p>
      <w:pPr>
        <w:rPr>
          <w:b/>
          <w:sz w:val="32"/>
          <w:szCs w:val="32"/>
          <w:highlight w:val="none"/>
        </w:rPr>
      </w:pP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  <w:t>Results</w:t>
      </w:r>
      <w:bookmarkStart w:id="0" w:name="_GoBack"/>
      <w:bookmarkEnd w:id="0"/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hint="eastAsia" w:ascii="Times New Roman" w:hAnsi="Times New Roman" w:eastAsia="等线" w:cs="Times New Roman"/>
          <w:b/>
          <w:highlight w:val="none"/>
        </w:rPr>
      </w:pPr>
      <w:r>
        <w:rPr>
          <w:rFonts w:ascii="Times New Roman" w:hAnsi="Times New Roman" w:eastAsia="等线" w:cs="Times New Roman"/>
          <w:b/>
          <w:highlight w:val="none"/>
        </w:rPr>
        <w:t>Effects of miR-450a-5p overexpression or inhibition on normal glial cells.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hint="eastAsia" w:ascii="Times New Roman" w:hAnsi="Times New Roman" w:eastAsia="等线" w:cs="Times New Roman"/>
          <w:highlight w:val="none"/>
        </w:rPr>
      </w:pPr>
      <w:r>
        <w:rPr>
          <w:rFonts w:ascii="Times New Roman" w:hAnsi="Times New Roman" w:eastAsia="等线" w:cs="Times New Roman"/>
          <w:highlight w:val="none"/>
        </w:rPr>
        <w:t>Transfections with miR-450a-5p mimics and inhibitor were able to regulate the levels of miR-450a-5p in normal glial cells successfully (Fig. S2A). As shown in Fig. S2B-D, the mRNA and protein levels of EGFR were negatively regulated by miR-450a-5p. MiR-450a-5p overexpression significantly promoted the cell apoptosis while downregulation of miR-450a-5p exerted the inverse effect on the apoptosis of normal glial cells (Fig. S2E-F). A consistent pattern was also observed by analyzing Bcl-2, Bax, cleaved caspase-3 and uncleaved PARP (Fig. S2G-H).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hint="eastAsia" w:ascii="Times New Roman" w:hAnsi="Times New Roman" w:eastAsia="等线" w:cs="Times New Roman"/>
          <w:b/>
          <w:highlight w:val="none"/>
        </w:rPr>
      </w:pP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hint="eastAsia" w:ascii="Times New Roman" w:hAnsi="Times New Roman" w:eastAsia="等线" w:cs="Times New Roman"/>
          <w:b/>
          <w:highlight w:val="none"/>
        </w:rPr>
      </w:pPr>
      <w:r>
        <w:rPr>
          <w:rFonts w:ascii="Times New Roman" w:hAnsi="Times New Roman" w:eastAsia="等线" w:cs="Times New Roman"/>
          <w:b/>
          <w:highlight w:val="none"/>
        </w:rPr>
        <w:t>MiR-450a-5p synergizes with gefitinib to impact the normal glial cells apoptosis.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hint="eastAsia" w:ascii="Times New Roman" w:hAnsi="Times New Roman" w:eastAsia="等线" w:cs="Times New Roman"/>
          <w:highlight w:val="none"/>
        </w:rPr>
      </w:pPr>
      <w:r>
        <w:rPr>
          <w:rFonts w:ascii="Times New Roman" w:hAnsi="Times New Roman" w:eastAsia="等线" w:cs="Times New Roman"/>
          <w:highlight w:val="none"/>
        </w:rPr>
        <w:t>In addition, the effects of combination treatment of miR-450-5p overexpression and gefitinib (40 μM) on normal glial cell apoptosis were also determined. As shown in Fig. S3A-B, gefitinib could also promote the cell apoptosis of the normal glial cells. This effect was further strengthened by miR-450-5p mimics. This conclusion was confirmed by the protein levels of Bcl-2, Bax, cleaved caspase-3 and uncleaved PARP (Fig. S3C-D). In summary, combination treatment of miR-450-5p overexpression and gefitinib also showed promotive effects on apoptosis of normal glia</w:t>
      </w:r>
      <w:r>
        <w:rPr>
          <w:rFonts w:hint="eastAsia" w:ascii="Times New Roman" w:hAnsi="Times New Roman" w:eastAsia="等线" w:cs="Times New Roman"/>
          <w:highlight w:val="none"/>
        </w:rPr>
        <w:t>l</w:t>
      </w:r>
      <w:r>
        <w:rPr>
          <w:rFonts w:ascii="Times New Roman" w:hAnsi="Times New Roman" w:eastAsia="等线" w:cs="Times New Roman"/>
          <w:highlight w:val="none"/>
        </w:rPr>
        <w:t xml:space="preserve"> cells.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hint="eastAsia" w:ascii="Times New Roman" w:hAnsi="Times New Roman" w:eastAsia="等线" w:cs="Times New Roman"/>
          <w:highlight w:val="none"/>
        </w:rPr>
      </w:pP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eastAsia="等线" w:cs="Times New Roman"/>
          <w:highlight w:val="none"/>
        </w:rPr>
      </w:pPr>
      <w:r>
        <w:rPr>
          <w:rFonts w:ascii="Times New Roman" w:hAnsi="Times New Roman" w:eastAsia="等线" w:cs="Times New Roman"/>
          <w:b/>
          <w:highlight w:val="none"/>
        </w:rPr>
        <w:t xml:space="preserve">MiR-450a-5p is also able to increase drug sensitivity of </w:t>
      </w:r>
      <w:r>
        <w:rPr>
          <w:rFonts w:hint="eastAsia" w:ascii="Times New Roman" w:hAnsi="Times New Roman" w:eastAsia="等线" w:cs="Times New Roman"/>
          <w:b/>
          <w:highlight w:val="none"/>
        </w:rPr>
        <w:t>o</w:t>
      </w:r>
      <w:r>
        <w:rPr>
          <w:rFonts w:ascii="Times New Roman" w:hAnsi="Times New Roman" w:eastAsia="等线" w:cs="Times New Roman"/>
          <w:b/>
          <w:highlight w:val="none"/>
        </w:rPr>
        <w:t>simertinib in glioma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eastAsia="等线" w:cs="Times New Roman"/>
          <w:highlight w:val="none"/>
        </w:rPr>
      </w:pPr>
      <w:r>
        <w:rPr>
          <w:rFonts w:ascii="Times New Roman" w:hAnsi="Times New Roman" w:eastAsia="等线" w:cs="Times New Roman"/>
          <w:highlight w:val="none"/>
        </w:rPr>
        <w:t xml:space="preserve">To further confirm the role of miR-450a-5p in the drug sensitivity of EGFR inhibitor, another EGFR inhibitor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 was recruited in this study. Osimertinib is a third-generation EGFR</w:t>
      </w:r>
      <w:r>
        <w:rPr>
          <w:rFonts w:hint="eastAsia" w:ascii="Times New Roman" w:hAnsi="Times New Roman" w:eastAsia="等线" w:cs="Times New Roman"/>
          <w:highlight w:val="none"/>
        </w:rPr>
        <w:t>-</w:t>
      </w:r>
      <w:r>
        <w:rPr>
          <w:rFonts w:ascii="Times New Roman" w:hAnsi="Times New Roman" w:eastAsia="等线" w:cs="Times New Roman"/>
          <w:highlight w:val="none"/>
        </w:rPr>
        <w:t xml:space="preserve">TKI which has been used to treat non-small-cell lung carcinomas with a specific mutation </w:t>
      </w:r>
      <w:r>
        <w:rPr>
          <w:rFonts w:ascii="Times New Roman" w:hAnsi="Times New Roman" w:eastAsia="等线" w:cs="Times New Roman"/>
          <w:highlight w:val="none"/>
        </w:rPr>
        <w:fldChar w:fldCharType="begin">
          <w:fldData xml:space="preserve">PEVuZE5vdGU+PENpdGU+PEF1dGhvcj5UYWtlZGE8L0F1dGhvcj48WWVhcj4yMDE5PC9ZZWFyPjxS
ZWNOdW0+NzY8L1JlY051bT48RGlzcGxheVRleHQ+WzFdPC9EaXNwbGF5VGV4dD48cmVjb3JkPjxy
ZWMtbnVtYmVyPjc2PC9yZWMtbnVtYmVyPjxmb3JlaWduLWtleXM+PGtleSBhcHA9IkVOIiBkYi1p
ZD0iOXN6ZmE5ZmY3OTA1emJlOWFyYnhldmVqNTlmNXA5OXJ3enp4IiB0aW1lc3RhbXA9IjE1Nzc4
OTg4NjciPjc2PC9rZXk+PC9mb3JlaWduLWtleXM+PHJlZi10eXBlIG5hbWU9IkpvdXJuYWwgQXJ0
aWNsZSI+MTc8L3JlZi10eXBlPjxjb250cmlidXRvcnM+PGF1dGhvcnM+PGF1dGhvcj5UYWtlZGEs
IE0uPC9hdXRob3I+PGF1dGhvcj5OYWthZ2F3YSwgSy48L2F1dGhvcj48L2F1dGhvcnM+PC9jb250
cmlidXRvcnM+PGF1dGgtYWRkcmVzcz5EZXBhcnRtZW50IG9mIE1lZGljYWwgT25jb2xvZ3ksIEtp
bmRhaSBVbml2ZXJzaXR5IEZhY3VsdHkgb2YgTWVkaWNpbmUsIDM3Ny0yIE9obm8taGlnYXNoaSwg
T3Nha2EtU2F5YW1hLCBPc2FrYSA1ODktODUxMSwgSmFwYW4uIHRha2VkYV9tQG1lZC5raW5kYWku
YWMuanAuJiN4RDtEZXBhcnRtZW50IG9mIE1lZGljYWwgT25jb2xvZ3ksIEtpbmRhaSBVbml2ZXJz
aXR5IEZhY3VsdHkgb2YgTWVkaWNpbmUsIDM3Ny0yIE9obm8taGlnYXNoaSwgT3Nha2EtU2F5YW1h
LCBPc2FrYSA1ODktODUxMSwgSmFwYW4uIG5ha2FnYXdhQG1lZC5raW5kYWkuYWMuanAuPC9hdXRo
LWFkZHJlc3M+PHRpdGxlcz48dGl0bGU+Rmlyc3QtIGFuZCBTZWNvbmQtR2VuZXJhdGlvbiBFR0ZS
LVRLSXMgQXJlIEFsbCBSZXBsYWNlZCB0byBPc2ltZXJ0aW5pYiBpbiBDaGVtby1OYWl2ZSBFR0ZS
IE11dGF0aW9uLVBvc2l0aXZlIE5vbi1TbWFsbCBDZWxsIEx1bmcgQ2FuY2VyPzwvdGl0bGU+PHNl
Y29uZGFyeS10aXRsZT5JbnQgSiBNb2wgU2NpPC9zZWNvbmRhcnktdGl0bGU+PC90aXRsZXM+PHBl
cmlvZGljYWw+PGZ1bGwtdGl0bGU+SW50IEogTW9sIFNjaTwvZnVsbC10aXRsZT48L3BlcmlvZGlj
YWw+PHZvbHVtZT4yMDwvdm9sdW1lPjxudW1iZXI+MTwvbnVtYmVyPjxlZGl0aW9uPjIwMTkvMDEv
MDY8L2VkaXRpb24+PGtleXdvcmRzPjxrZXl3b3JkPkFjcnlsYW1pZGVzPC9rZXl3b3JkPjxrZXl3
b3JkPkFuaWxpbmUgQ29tcG91bmRzPC9rZXl3b3JkPjxrZXl3b3JkPkFudGlib2RpZXMsIE1vbm9j
bG9uYWwvdGhlcmFwZXV0aWMgdXNlPC9rZXl3b3JkPjxrZXl3b3JkPkNhcmNpbm9tYSwgTm9uLVNt
YWxsLUNlbGwgTHVuZy8qZHJ1ZyB0aGVyYXB5L2dlbmV0aWNzPC9rZXl3b3JkPjxrZXl3b3JkPkRy
dWcgUmVzaXN0YW5jZSwgTmVvcGxhc208L2tleXdvcmQ+PGtleXdvcmQ+RXJiQiBSZWNlcHRvcnMv
Z2VuZXRpY3M8L2tleXdvcmQ+PGtleXdvcmQ+SHVtYW5zPC9rZXl3b3JkPjxrZXl3b3JkPkx1bmcg
TmVvcGxhc21zLypkcnVnIHRoZXJhcHkvZ2VuZXRpY3MvbW9ydGFsaXR5PC9rZXl3b3JkPjxrZXl3
b3JkPk11dGF0aW9uPC9rZXl3b3JkPjxrZXl3b3JkPlBpcGVyYXppbmVzL3RoZXJhcGV1dGljIHVz
ZTwva2V5d29yZD48a2V5d29yZD5Qcm9ncmVzc2lvbi1GcmVlIFN1cnZpdmFsPC9rZXl3b3JkPjxr
ZXl3b3JkPlByb3RlaW4gS2luYXNlIEluaGliaXRvcnMvKnRoZXJhcGV1dGljIHVzZTwva2V5d29y
ZD48a2V5d29yZD5kcnVnIHJlc2lzdGFuY2U8L2tleXdvcmQ+PGtleXdvcmQ+ZXBpZGVybWFsIGdy
b3d0aCBmYWN0b3IgcmVjZXB0b3IgKEVHRlIpPC9rZXl3b3JkPjxrZXl3b3JkPm5vbi1zbWFsbCBj
ZWxsIGx1bmcgY2FuY2VyIChOU0NMQyk8L2tleXdvcmQ+PGtleXdvcmQ+dHlyb3NpbmUga2luYXNl
IGluaGliaXRvciAoVEtJKTwva2V5d29yZD48L2tleXdvcmRzPjxkYXRlcz48eWVhcj4yMDE5PC95
ZWFyPjxwdWItZGF0ZXM+PGRhdGU+SmFuIDM8L2RhdGU+PC9wdWItZGF0ZXM+PC9kYXRlcz48aXNi
bj4xNDIyLTAwNjcgKEVsZWN0cm9uaWMpJiN4RDsxNDIyLTAwNjcgKExpbmtpbmcpPC9pc2JuPjxh
Y2Nlc3Npb24tbnVtPjMwNjA5Nzg5PC9hY2Nlc3Npb24tbnVtPjx1cmxzPjxyZWxhdGVkLXVybHM+
PHVybD5odHRwczovL3d3dy5uY2JpLm5sbS5uaWguZ292L3B1Ym1lZC8zMDYwOTc4OTwvdXJsPjwv
cmVsYXRlZC11cmxzPjwvdXJscz48Y3VzdG9tMj5QTUM2MzM3MzIyPC9jdXN0b20yPjxlbGVjdHJv
bmljLXJlc291cmNlLW51bT4xMC4zMzkwL2lqbXMyMDAxMDE0NjwvZWxlY3Ryb25pYy1yZXNvdXJj
ZS1udW0+PC9yZWNvcmQ+PC9DaXRlPjwvRW5kTm90ZT4A
</w:fldData>
        </w:fldChar>
      </w:r>
      <w:r>
        <w:rPr>
          <w:rFonts w:ascii="Times New Roman" w:hAnsi="Times New Roman" w:eastAsia="等线" w:cs="Times New Roman"/>
          <w:highlight w:val="none"/>
        </w:rPr>
        <w:instrText xml:space="preserve"> ADDIN EN.CITE </w:instrText>
      </w:r>
      <w:r>
        <w:rPr>
          <w:rFonts w:ascii="Times New Roman" w:hAnsi="Times New Roman" w:eastAsia="等线" w:cs="Times New Roman"/>
          <w:highlight w:val="none"/>
        </w:rPr>
        <w:fldChar w:fldCharType="begin">
          <w:fldData xml:space="preserve">PEVuZE5vdGU+PENpdGU+PEF1dGhvcj5UYWtlZGE8L0F1dGhvcj48WWVhcj4yMDE5PC9ZZWFyPjxS
ZWNOdW0+NzY8L1JlY051bT48RGlzcGxheVRleHQ+WzFdPC9EaXNwbGF5VGV4dD48cmVjb3JkPjxy
ZWMtbnVtYmVyPjc2PC9yZWMtbnVtYmVyPjxmb3JlaWduLWtleXM+PGtleSBhcHA9IkVOIiBkYi1p
ZD0iOXN6ZmE5ZmY3OTA1emJlOWFyYnhldmVqNTlmNXA5OXJ3enp4IiB0aW1lc3RhbXA9IjE1Nzc4
OTg4NjciPjc2PC9rZXk+PC9mb3JlaWduLWtleXM+PHJlZi10eXBlIG5hbWU9IkpvdXJuYWwgQXJ0
aWNsZSI+MTc8L3JlZi10eXBlPjxjb250cmlidXRvcnM+PGF1dGhvcnM+PGF1dGhvcj5UYWtlZGEs
IE0uPC9hdXRob3I+PGF1dGhvcj5OYWthZ2F3YSwgSy48L2F1dGhvcj48L2F1dGhvcnM+PC9jb250
cmlidXRvcnM+PGF1dGgtYWRkcmVzcz5EZXBhcnRtZW50IG9mIE1lZGljYWwgT25jb2xvZ3ksIEtp
bmRhaSBVbml2ZXJzaXR5IEZhY3VsdHkgb2YgTWVkaWNpbmUsIDM3Ny0yIE9obm8taGlnYXNoaSwg
T3Nha2EtU2F5YW1hLCBPc2FrYSA1ODktODUxMSwgSmFwYW4uIHRha2VkYV9tQG1lZC5raW5kYWku
YWMuanAuJiN4RDtEZXBhcnRtZW50IG9mIE1lZGljYWwgT25jb2xvZ3ksIEtpbmRhaSBVbml2ZXJz
aXR5IEZhY3VsdHkgb2YgTWVkaWNpbmUsIDM3Ny0yIE9obm8taGlnYXNoaSwgT3Nha2EtU2F5YW1h
LCBPc2FrYSA1ODktODUxMSwgSmFwYW4uIG5ha2FnYXdhQG1lZC5raW5kYWkuYWMuanAuPC9hdXRo
LWFkZHJlc3M+PHRpdGxlcz48dGl0bGU+Rmlyc3QtIGFuZCBTZWNvbmQtR2VuZXJhdGlvbiBFR0ZS
LVRLSXMgQXJlIEFsbCBSZXBsYWNlZCB0byBPc2ltZXJ0aW5pYiBpbiBDaGVtby1OYWl2ZSBFR0ZS
IE11dGF0aW9uLVBvc2l0aXZlIE5vbi1TbWFsbCBDZWxsIEx1bmcgQ2FuY2VyPzwvdGl0bGU+PHNl
Y29uZGFyeS10aXRsZT5JbnQgSiBNb2wgU2NpPC9zZWNvbmRhcnktdGl0bGU+PC90aXRsZXM+PHBl
cmlvZGljYWw+PGZ1bGwtdGl0bGU+SW50IEogTW9sIFNjaTwvZnVsbC10aXRsZT48L3BlcmlvZGlj
YWw+PHZvbHVtZT4yMDwvdm9sdW1lPjxudW1iZXI+MTwvbnVtYmVyPjxlZGl0aW9uPjIwMTkvMDEv
MDY8L2VkaXRpb24+PGtleXdvcmRzPjxrZXl3b3JkPkFjcnlsYW1pZGVzPC9rZXl3b3JkPjxrZXl3
b3JkPkFuaWxpbmUgQ29tcG91bmRzPC9rZXl3b3JkPjxrZXl3b3JkPkFudGlib2RpZXMsIE1vbm9j
bG9uYWwvdGhlcmFwZXV0aWMgdXNlPC9rZXl3b3JkPjxrZXl3b3JkPkNhcmNpbm9tYSwgTm9uLVNt
YWxsLUNlbGwgTHVuZy8qZHJ1ZyB0aGVyYXB5L2dlbmV0aWNzPC9rZXl3b3JkPjxrZXl3b3JkPkRy
dWcgUmVzaXN0YW5jZSwgTmVvcGxhc208L2tleXdvcmQ+PGtleXdvcmQ+RXJiQiBSZWNlcHRvcnMv
Z2VuZXRpY3M8L2tleXdvcmQ+PGtleXdvcmQ+SHVtYW5zPC9rZXl3b3JkPjxrZXl3b3JkPkx1bmcg
TmVvcGxhc21zLypkcnVnIHRoZXJhcHkvZ2VuZXRpY3MvbW9ydGFsaXR5PC9rZXl3b3JkPjxrZXl3
b3JkPk11dGF0aW9uPC9rZXl3b3JkPjxrZXl3b3JkPlBpcGVyYXppbmVzL3RoZXJhcGV1dGljIHVz
ZTwva2V5d29yZD48a2V5d29yZD5Qcm9ncmVzc2lvbi1GcmVlIFN1cnZpdmFsPC9rZXl3b3JkPjxr
ZXl3b3JkPlByb3RlaW4gS2luYXNlIEluaGliaXRvcnMvKnRoZXJhcGV1dGljIHVzZTwva2V5d29y
ZD48a2V5d29yZD5kcnVnIHJlc2lzdGFuY2U8L2tleXdvcmQ+PGtleXdvcmQ+ZXBpZGVybWFsIGdy
b3d0aCBmYWN0b3IgcmVjZXB0b3IgKEVHRlIpPC9rZXl3b3JkPjxrZXl3b3JkPm5vbi1zbWFsbCBj
ZWxsIGx1bmcgY2FuY2VyIChOU0NMQyk8L2tleXdvcmQ+PGtleXdvcmQ+dHlyb3NpbmUga2luYXNl
IGluaGliaXRvciAoVEtJKTwva2V5d29yZD48L2tleXdvcmRzPjxkYXRlcz48eWVhcj4yMDE5PC95
ZWFyPjxwdWItZGF0ZXM+PGRhdGU+SmFuIDM8L2RhdGU+PC9wdWItZGF0ZXM+PC9kYXRlcz48aXNi
bj4xNDIyLTAwNjcgKEVsZWN0cm9uaWMpJiN4RDsxNDIyLTAwNjcgKExpbmtpbmcpPC9pc2JuPjxh
Y2Nlc3Npb24tbnVtPjMwNjA5Nzg5PC9hY2Nlc3Npb24tbnVtPjx1cmxzPjxyZWxhdGVkLXVybHM+
PHVybD5odHRwczovL3d3dy5uY2JpLm5sbS5uaWguZ292L3B1Ym1lZC8zMDYwOTc4OTwvdXJsPjwv
cmVsYXRlZC11cmxzPjwvdXJscz48Y3VzdG9tMj5QTUM2MzM3MzIyPC9jdXN0b20yPjxlbGVjdHJv
bmljLXJlc291cmNlLW51bT4xMC4zMzkwL2lqbXMyMDAxMDE0NjwvZWxlY3Ryb25pYy1yZXNvdXJj
ZS1udW0+PC9yZWNvcmQ+PC9DaXRlPjwvRW5kTm90ZT4A
</w:fldData>
        </w:fldChar>
      </w:r>
      <w:r>
        <w:rPr>
          <w:rFonts w:ascii="Times New Roman" w:hAnsi="Times New Roman" w:eastAsia="等线" w:cs="Times New Roman"/>
          <w:highlight w:val="none"/>
        </w:rPr>
        <w:instrText xml:space="preserve"> ADDIN EN.CITE.DATA </w:instrText>
      </w:r>
      <w:r>
        <w:rPr>
          <w:rFonts w:ascii="Times New Roman" w:hAnsi="Times New Roman" w:eastAsia="等线" w:cs="Times New Roman"/>
          <w:highlight w:val="none"/>
        </w:rPr>
        <w:fldChar w:fldCharType="end"/>
      </w:r>
      <w:r>
        <w:rPr>
          <w:rFonts w:ascii="Times New Roman" w:hAnsi="Times New Roman" w:eastAsia="等线" w:cs="Times New Roman"/>
          <w:highlight w:val="none"/>
        </w:rPr>
        <w:fldChar w:fldCharType="separate"/>
      </w:r>
      <w:r>
        <w:rPr>
          <w:rFonts w:ascii="Times New Roman" w:hAnsi="Times New Roman" w:eastAsia="等线" w:cs="Times New Roman"/>
          <w:highlight w:val="none"/>
        </w:rPr>
        <w:t>[1]</w:t>
      </w:r>
      <w:r>
        <w:rPr>
          <w:rFonts w:ascii="Times New Roman" w:hAnsi="Times New Roman" w:eastAsia="等线" w:cs="Times New Roman"/>
          <w:highlight w:val="none"/>
        </w:rPr>
        <w:fldChar w:fldCharType="end"/>
      </w:r>
      <w:r>
        <w:rPr>
          <w:rFonts w:ascii="Times New Roman" w:hAnsi="Times New Roman" w:eastAsia="等线" w:cs="Times New Roman"/>
          <w:highlight w:val="none"/>
        </w:rPr>
        <w:t xml:space="preserve">. Our results showed that the cell viability of both A172 and SHG-44 cells was decreased after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 treatment in a concentration-dependent manner</w:t>
      </w:r>
      <w:r>
        <w:rPr>
          <w:rFonts w:hint="eastAsia" w:ascii="Times New Roman" w:hAnsi="Times New Roman" w:eastAsia="等线" w:cs="Times New Roman"/>
          <w:highlight w:val="none"/>
        </w:rPr>
        <w:t xml:space="preserve"> </w:t>
      </w:r>
      <w:r>
        <w:rPr>
          <w:rFonts w:ascii="Times New Roman" w:hAnsi="Times New Roman" w:eastAsia="等线" w:cs="Times New Roman"/>
          <w:highlight w:val="none"/>
        </w:rPr>
        <w:t>(</w:t>
      </w:r>
      <w:r>
        <w:rPr>
          <w:rFonts w:ascii="Times New Roman" w:hAnsi="Times New Roman" w:eastAsia="等线" w:cs="Times New Roman"/>
          <w:highlight w:val="none"/>
        </w:rPr>
        <w:t>Fig. S</w:t>
      </w:r>
      <w:r>
        <w:rPr>
          <w:rFonts w:hint="eastAsia" w:ascii="Times New Roman" w:hAnsi="Times New Roman" w:eastAsia="等线" w:cs="Times New Roman"/>
          <w:highlight w:val="none"/>
        </w:rPr>
        <w:t>5</w:t>
      </w:r>
      <w:r>
        <w:rPr>
          <w:rFonts w:ascii="Times New Roman" w:hAnsi="Times New Roman" w:eastAsia="等线" w:cs="Times New Roman"/>
          <w:highlight w:val="none"/>
        </w:rPr>
        <w:t>A</w:t>
      </w:r>
      <w:r>
        <w:rPr>
          <w:rFonts w:ascii="Times New Roman" w:hAnsi="Times New Roman" w:eastAsia="等线" w:cs="Times New Roman"/>
          <w:highlight w:val="none"/>
        </w:rPr>
        <w:t xml:space="preserve">). </w:t>
      </w:r>
      <w:r>
        <w:rPr>
          <w:rFonts w:hint="eastAsia" w:ascii="Times New Roman" w:hAnsi="Times New Roman" w:eastAsia="等线" w:cs="Times New Roman"/>
          <w:highlight w:val="none"/>
        </w:rPr>
        <w:t xml:space="preserve">Also, </w:t>
      </w:r>
      <w:r>
        <w:rPr>
          <w:rFonts w:ascii="Times New Roman" w:hAnsi="Times New Roman" w:eastAsia="等线" w:cs="Times New Roman"/>
          <w:highlight w:val="none"/>
        </w:rPr>
        <w:t xml:space="preserve">overexpression of miR-450a-5p might also enhance the drug sensitivity of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 to glioma cells. As the same as the gefitinib treated experiments, the proliferation</w:t>
      </w:r>
      <w:r>
        <w:rPr>
          <w:rFonts w:hint="eastAsia" w:ascii="Times New Roman" w:hAnsi="Times New Roman" w:eastAsia="等线" w:cs="Times New Roman"/>
          <w:highlight w:val="none"/>
        </w:rPr>
        <w:t xml:space="preserve"> and</w:t>
      </w:r>
      <w:r>
        <w:rPr>
          <w:rFonts w:ascii="Times New Roman" w:hAnsi="Times New Roman" w:eastAsia="等线" w:cs="Times New Roman"/>
          <w:highlight w:val="none"/>
        </w:rPr>
        <w:t xml:space="preserve"> apoptosis of glioma cells after the treatment of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 xml:space="preserve">simertinib with or without miR-450a-5p overexpression were investigated. Much fewer colonies were observed when the cells were treated with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 or transfected with miR-450a-5p mimics</w:t>
      </w:r>
      <w:r>
        <w:rPr>
          <w:rFonts w:hint="eastAsia" w:ascii="Times New Roman" w:hAnsi="Times New Roman" w:eastAsia="等线" w:cs="Times New Roman"/>
          <w:highlight w:val="none"/>
        </w:rPr>
        <w:t xml:space="preserve"> </w:t>
      </w:r>
      <w:r>
        <w:rPr>
          <w:rFonts w:ascii="Times New Roman" w:hAnsi="Times New Roman" w:eastAsia="等线" w:cs="Times New Roman"/>
          <w:bCs/>
          <w:highlight w:val="none"/>
        </w:rPr>
        <w:t>(</w:t>
      </w:r>
      <w:r>
        <w:rPr>
          <w:rFonts w:ascii="Times New Roman" w:hAnsi="Times New Roman" w:eastAsia="等线" w:cs="Times New Roman"/>
          <w:bCs/>
          <w:highlight w:val="none"/>
        </w:rPr>
        <w:t>Fig. S</w:t>
      </w:r>
      <w:r>
        <w:rPr>
          <w:rFonts w:hint="eastAsia" w:ascii="Times New Roman" w:hAnsi="Times New Roman" w:eastAsia="等线" w:cs="Times New Roman"/>
          <w:bCs/>
          <w:highlight w:val="none"/>
        </w:rPr>
        <w:t>5</w:t>
      </w:r>
      <w:r>
        <w:rPr>
          <w:rFonts w:ascii="Times New Roman" w:hAnsi="Times New Roman" w:eastAsia="等线" w:cs="Times New Roman"/>
          <w:bCs/>
          <w:highlight w:val="none"/>
        </w:rPr>
        <w:t>B</w:t>
      </w:r>
      <w:r>
        <w:rPr>
          <w:rFonts w:hint="eastAsia" w:ascii="Times New Roman" w:hAnsi="Times New Roman" w:eastAsia="等线" w:cs="Times New Roman"/>
          <w:bCs/>
          <w:highlight w:val="none"/>
        </w:rPr>
        <w:t>-</w:t>
      </w:r>
      <w:r>
        <w:rPr>
          <w:rFonts w:ascii="Times New Roman" w:hAnsi="Times New Roman" w:eastAsia="等线" w:cs="Times New Roman"/>
          <w:bCs/>
          <w:highlight w:val="none"/>
        </w:rPr>
        <w:t>C</w:t>
      </w:r>
      <w:r>
        <w:rPr>
          <w:rFonts w:ascii="Times New Roman" w:hAnsi="Times New Roman" w:eastAsia="等线" w:cs="Times New Roman"/>
          <w:bCs/>
          <w:highlight w:val="none"/>
        </w:rPr>
        <w:t>)</w:t>
      </w:r>
      <w:r>
        <w:rPr>
          <w:rFonts w:ascii="Times New Roman" w:hAnsi="Times New Roman" w:eastAsia="等线" w:cs="Times New Roman"/>
          <w:highlight w:val="none"/>
        </w:rPr>
        <w:t xml:space="preserve">. Consistently, the cell proliferation was further inhibited </w:t>
      </w:r>
      <w:r>
        <w:rPr>
          <w:rFonts w:ascii="Times New Roman" w:hAnsi="Times New Roman" w:eastAsia="等线" w:cs="Times New Roman"/>
          <w:bCs/>
          <w:highlight w:val="none"/>
        </w:rPr>
        <w:t xml:space="preserve">in the </w:t>
      </w:r>
      <w:r>
        <w:rPr>
          <w:rFonts w:ascii="Times New Roman" w:hAnsi="Times New Roman" w:eastAsia="等线" w:cs="Times New Roman"/>
          <w:highlight w:val="none"/>
        </w:rPr>
        <w:t xml:space="preserve">miR-450a-5p overexpressed and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</w:t>
      </w:r>
      <w:r>
        <w:rPr>
          <w:rFonts w:ascii="Times New Roman" w:hAnsi="Times New Roman" w:eastAsia="等线" w:cs="Times New Roman"/>
          <w:bCs/>
          <w:highlight w:val="none"/>
        </w:rPr>
        <w:t xml:space="preserve"> treated cells</w:t>
      </w:r>
      <w:r>
        <w:rPr>
          <w:rFonts w:ascii="Times New Roman" w:hAnsi="Times New Roman" w:eastAsia="等线" w:cs="Times New Roman"/>
          <w:highlight w:val="none"/>
        </w:rPr>
        <w:t xml:space="preserve"> </w:t>
      </w:r>
      <w:r>
        <w:rPr>
          <w:rFonts w:ascii="Times New Roman" w:hAnsi="Times New Roman" w:eastAsia="等线" w:cs="Times New Roman"/>
          <w:bCs/>
          <w:highlight w:val="none"/>
        </w:rPr>
        <w:t>(</w:t>
      </w:r>
      <w:r>
        <w:rPr>
          <w:rFonts w:ascii="Times New Roman" w:hAnsi="Times New Roman" w:eastAsia="等线" w:cs="Times New Roman"/>
          <w:bCs/>
          <w:highlight w:val="none"/>
        </w:rPr>
        <w:t>Fig. S</w:t>
      </w:r>
      <w:r>
        <w:rPr>
          <w:rFonts w:hint="eastAsia" w:ascii="Times New Roman" w:hAnsi="Times New Roman" w:eastAsia="等线" w:cs="Times New Roman"/>
          <w:bCs/>
          <w:highlight w:val="none"/>
        </w:rPr>
        <w:t>5</w:t>
      </w:r>
      <w:r>
        <w:rPr>
          <w:rFonts w:ascii="Times New Roman" w:hAnsi="Times New Roman" w:eastAsia="等线" w:cs="Times New Roman"/>
          <w:bCs/>
          <w:highlight w:val="none"/>
        </w:rPr>
        <w:t>B</w:t>
      </w:r>
      <w:r>
        <w:rPr>
          <w:rFonts w:hint="eastAsia" w:ascii="Times New Roman" w:hAnsi="Times New Roman" w:eastAsia="等线" w:cs="Times New Roman"/>
          <w:bCs/>
          <w:highlight w:val="none"/>
        </w:rPr>
        <w:t>-</w:t>
      </w:r>
      <w:r>
        <w:rPr>
          <w:rFonts w:ascii="Times New Roman" w:hAnsi="Times New Roman" w:eastAsia="等线" w:cs="Times New Roman"/>
          <w:bCs/>
          <w:highlight w:val="none"/>
        </w:rPr>
        <w:t>C</w:t>
      </w:r>
      <w:r>
        <w:rPr>
          <w:rFonts w:ascii="Times New Roman" w:hAnsi="Times New Roman" w:eastAsia="等线" w:cs="Times New Roman"/>
          <w:bCs/>
          <w:highlight w:val="none"/>
        </w:rPr>
        <w:t xml:space="preserve">). </w:t>
      </w:r>
      <w:r>
        <w:rPr>
          <w:rFonts w:ascii="Times New Roman" w:hAnsi="Times New Roman" w:eastAsia="等线" w:cs="Times New Roman"/>
          <w:highlight w:val="none"/>
        </w:rPr>
        <w:t xml:space="preserve">Moreover,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 treatment or miR-450a-5p mimics transfection promoted the cell apoptosis of both A172 and SHG-44 cells, respectively, which</w:t>
      </w:r>
      <w:r>
        <w:rPr>
          <w:rFonts w:ascii="Times New Roman" w:hAnsi="Times New Roman" w:eastAsia="等线" w:cs="Times New Roman"/>
          <w:bCs/>
          <w:highlight w:val="none"/>
        </w:rPr>
        <w:t xml:space="preserve"> was further induced after </w:t>
      </w:r>
      <w:r>
        <w:rPr>
          <w:rFonts w:ascii="Times New Roman" w:hAnsi="Times New Roman" w:eastAsia="等线" w:cs="Times New Roman"/>
          <w:highlight w:val="none"/>
        </w:rPr>
        <w:t xml:space="preserve">miR-450a-5p overexpression in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</w:t>
      </w:r>
      <w:r>
        <w:rPr>
          <w:rFonts w:ascii="Times New Roman" w:hAnsi="Times New Roman" w:eastAsia="等线" w:cs="Times New Roman"/>
          <w:bCs/>
          <w:highlight w:val="none"/>
        </w:rPr>
        <w:t xml:space="preserve"> treated cells</w:t>
      </w:r>
      <w:r>
        <w:rPr>
          <w:rFonts w:ascii="Times New Roman" w:hAnsi="Times New Roman" w:eastAsia="等线" w:cs="Times New Roman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highlight w:val="none"/>
        </w:rPr>
        <w:t>(</w:t>
      </w:r>
      <w:r>
        <w:rPr>
          <w:rFonts w:ascii="Times New Roman" w:hAnsi="Times New Roman" w:eastAsia="等线" w:cs="Times New Roman"/>
          <w:highlight w:val="none"/>
        </w:rPr>
        <w:t>Fig. S</w:t>
      </w:r>
      <w:r>
        <w:rPr>
          <w:rFonts w:hint="eastAsia" w:ascii="Times New Roman" w:hAnsi="Times New Roman" w:eastAsia="等线" w:cs="Times New Roman"/>
          <w:highlight w:val="none"/>
        </w:rPr>
        <w:t>5</w:t>
      </w:r>
      <w:r>
        <w:rPr>
          <w:rFonts w:ascii="Times New Roman" w:hAnsi="Times New Roman" w:eastAsia="等线" w:cs="Times New Roman"/>
          <w:highlight w:val="none"/>
        </w:rPr>
        <w:t>D</w:t>
      </w:r>
      <w:r>
        <w:rPr>
          <w:rFonts w:hint="eastAsia" w:ascii="Times New Roman" w:hAnsi="Times New Roman" w:eastAsia="等线" w:cs="Times New Roman"/>
          <w:highlight w:val="none"/>
        </w:rPr>
        <w:t>-</w:t>
      </w:r>
      <w:r>
        <w:rPr>
          <w:rFonts w:ascii="Times New Roman" w:hAnsi="Times New Roman" w:eastAsia="等线" w:cs="Times New Roman"/>
          <w:highlight w:val="none"/>
        </w:rPr>
        <w:t>E</w:t>
      </w:r>
      <w:r>
        <w:rPr>
          <w:rFonts w:hint="eastAsia" w:ascii="Times New Roman" w:hAnsi="Times New Roman" w:eastAsia="等线" w:cs="Times New Roman"/>
          <w:highlight w:val="none"/>
        </w:rPr>
        <w:t>)</w:t>
      </w:r>
      <w:r>
        <w:rPr>
          <w:rFonts w:ascii="Times New Roman" w:hAnsi="Times New Roman" w:eastAsia="等线" w:cs="Times New Roman"/>
          <w:highlight w:val="none"/>
        </w:rPr>
        <w:t xml:space="preserve">. The Western blotting results further confirmed </w:t>
      </w:r>
      <w:r>
        <w:rPr>
          <w:rFonts w:hint="eastAsia" w:ascii="Times New Roman" w:hAnsi="Times New Roman" w:eastAsia="等线" w:cs="Times New Roman"/>
          <w:highlight w:val="none"/>
        </w:rPr>
        <w:t>the cell</w:t>
      </w:r>
      <w:r>
        <w:rPr>
          <w:rFonts w:ascii="Times New Roman" w:hAnsi="Times New Roman" w:eastAsia="等线" w:cs="Times New Roman"/>
          <w:highlight w:val="none"/>
        </w:rPr>
        <w:t xml:space="preserve"> apoptosis</w:t>
      </w:r>
      <w:r>
        <w:rPr>
          <w:rFonts w:hint="eastAsia" w:ascii="Times New Roman" w:hAnsi="Times New Roman" w:eastAsia="等线" w:cs="Times New Roman"/>
          <w:highlight w:val="none"/>
        </w:rPr>
        <w:t xml:space="preserve"> (</w:t>
      </w:r>
      <w:r>
        <w:rPr>
          <w:rFonts w:ascii="Times New Roman" w:hAnsi="Times New Roman" w:eastAsia="等线" w:cs="Times New Roman"/>
          <w:highlight w:val="none"/>
        </w:rPr>
        <w:t>Fig. S</w:t>
      </w:r>
      <w:r>
        <w:rPr>
          <w:rFonts w:hint="eastAsia" w:ascii="Times New Roman" w:hAnsi="Times New Roman" w:eastAsia="等线" w:cs="Times New Roman"/>
          <w:highlight w:val="none"/>
        </w:rPr>
        <w:t>5F-G</w:t>
      </w:r>
      <w:r>
        <w:rPr>
          <w:rFonts w:hint="eastAsia" w:ascii="Times New Roman" w:hAnsi="Times New Roman" w:eastAsia="等线" w:cs="Times New Roman"/>
          <w:highlight w:val="none"/>
        </w:rPr>
        <w:t>)</w:t>
      </w:r>
      <w:r>
        <w:rPr>
          <w:rFonts w:ascii="Times New Roman" w:hAnsi="Times New Roman" w:eastAsia="等线" w:cs="Times New Roman"/>
          <w:highlight w:val="none"/>
        </w:rPr>
        <w:t xml:space="preserve">. All these results indicate that miR-450a-5p may also synergize with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 to inhibit the glioma cell proliferation and induce the cell apoptosis.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eastAsia="等线" w:cs="Times New Roman"/>
          <w:highlight w:val="none"/>
        </w:rPr>
      </w:pP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eastAsia="等线" w:cs="Times New Roman"/>
          <w:highlight w:val="none"/>
        </w:rPr>
      </w:pPr>
      <w:r>
        <w:rPr>
          <w:rFonts w:ascii="Times New Roman" w:hAnsi="Times New Roman" w:eastAsia="等线" w:cs="Times New Roman"/>
          <w:highlight w:val="none"/>
        </w:rPr>
        <w:t xml:space="preserve">The </w:t>
      </w:r>
      <w:r>
        <w:rPr>
          <w:rFonts w:ascii="Times New Roman" w:hAnsi="Times New Roman" w:eastAsia="等线" w:cs="Times New Roman"/>
          <w:bCs/>
          <w:highlight w:val="none"/>
        </w:rPr>
        <w:t xml:space="preserve">cell migration, invasion as well as the EMT development were further investigated after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</w:t>
      </w:r>
      <w:r>
        <w:rPr>
          <w:rFonts w:ascii="Times New Roman" w:hAnsi="Times New Roman" w:eastAsia="等线" w:cs="Times New Roman"/>
          <w:bCs/>
          <w:highlight w:val="none"/>
        </w:rPr>
        <w:t xml:space="preserve"> treatment. The Transwell invasion assay showed that the cell invasion abilities of </w:t>
      </w:r>
      <w:r>
        <w:rPr>
          <w:rFonts w:ascii="Times New Roman" w:hAnsi="Times New Roman" w:eastAsia="等线" w:cs="Times New Roman"/>
          <w:highlight w:val="none"/>
        </w:rPr>
        <w:t>glioma</w:t>
      </w:r>
      <w:r>
        <w:rPr>
          <w:rFonts w:ascii="Times New Roman" w:hAnsi="Times New Roman" w:eastAsia="等线" w:cs="Times New Roman"/>
          <w:bCs/>
          <w:highlight w:val="none"/>
        </w:rPr>
        <w:t xml:space="preserve"> cells were dramatically decreased in the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</w:t>
      </w:r>
      <w:r>
        <w:rPr>
          <w:rFonts w:ascii="Times New Roman" w:hAnsi="Times New Roman" w:eastAsia="等线" w:cs="Times New Roman"/>
          <w:bCs/>
          <w:highlight w:val="none"/>
        </w:rPr>
        <w:t xml:space="preserve"> treated group,</w:t>
      </w:r>
      <w:r>
        <w:rPr>
          <w:rFonts w:ascii="Times New Roman" w:hAnsi="Times New Roman" w:eastAsia="等线" w:cs="Times New Roman"/>
          <w:highlight w:val="none"/>
        </w:rPr>
        <w:t xml:space="preserve"> and </w:t>
      </w:r>
      <w:r>
        <w:rPr>
          <w:rFonts w:ascii="Times New Roman" w:hAnsi="Times New Roman" w:eastAsia="等线" w:cs="Times New Roman"/>
          <w:bCs/>
          <w:highlight w:val="none"/>
        </w:rPr>
        <w:t xml:space="preserve">were further inhibited </w:t>
      </w:r>
      <w:r>
        <w:rPr>
          <w:rFonts w:hint="eastAsia" w:ascii="Times New Roman" w:hAnsi="Times New Roman" w:eastAsia="等线" w:cs="Times New Roman"/>
          <w:bCs/>
          <w:highlight w:val="none"/>
        </w:rPr>
        <w:t xml:space="preserve">by </w:t>
      </w:r>
      <w:r>
        <w:rPr>
          <w:rFonts w:ascii="Times New Roman" w:hAnsi="Times New Roman" w:eastAsia="等线" w:cs="Times New Roman"/>
          <w:highlight w:val="none"/>
        </w:rPr>
        <w:t>miR-450a-5p mimics (</w:t>
      </w:r>
      <w:r>
        <w:rPr>
          <w:rFonts w:ascii="Times New Roman" w:hAnsi="Times New Roman" w:eastAsia="等线" w:cs="Times New Roman"/>
          <w:bCs/>
          <w:highlight w:val="none"/>
        </w:rPr>
        <w:t>Fig. S</w:t>
      </w:r>
      <w:r>
        <w:rPr>
          <w:rFonts w:hint="eastAsia" w:ascii="Times New Roman" w:hAnsi="Times New Roman" w:eastAsia="等线" w:cs="Times New Roman"/>
          <w:bCs/>
          <w:highlight w:val="none"/>
        </w:rPr>
        <w:t>6</w:t>
      </w:r>
      <w:r>
        <w:rPr>
          <w:rFonts w:ascii="Times New Roman" w:hAnsi="Times New Roman" w:eastAsia="等线" w:cs="Times New Roman"/>
          <w:bCs/>
          <w:highlight w:val="none"/>
        </w:rPr>
        <w:t>A</w:t>
      </w:r>
      <w:r>
        <w:rPr>
          <w:rFonts w:hint="eastAsia" w:ascii="Times New Roman" w:hAnsi="Times New Roman" w:eastAsia="等线" w:cs="Times New Roman"/>
          <w:bCs/>
          <w:highlight w:val="none"/>
        </w:rPr>
        <w:t>-</w:t>
      </w:r>
      <w:r>
        <w:rPr>
          <w:rFonts w:ascii="Times New Roman" w:hAnsi="Times New Roman" w:eastAsia="等线" w:cs="Times New Roman"/>
          <w:bCs/>
          <w:highlight w:val="none"/>
        </w:rPr>
        <w:t>B</w:t>
      </w:r>
      <w:r>
        <w:rPr>
          <w:rFonts w:ascii="Times New Roman" w:hAnsi="Times New Roman" w:eastAsia="等线" w:cs="Times New Roman"/>
          <w:bCs/>
          <w:highlight w:val="none"/>
        </w:rPr>
        <w:t xml:space="preserve">). </w:t>
      </w:r>
      <w:r>
        <w:rPr>
          <w:rFonts w:ascii="Times New Roman" w:hAnsi="Times New Roman" w:eastAsia="等线" w:cs="Times New Roman"/>
          <w:highlight w:val="none"/>
        </w:rPr>
        <w:t xml:space="preserve">Consistently, </w:t>
      </w:r>
      <w:r>
        <w:rPr>
          <w:rFonts w:ascii="Times New Roman" w:hAnsi="Times New Roman" w:eastAsia="等线" w:cs="Times New Roman"/>
          <w:bCs/>
          <w:highlight w:val="none"/>
        </w:rPr>
        <w:t xml:space="preserve">the wound healing assay showed that </w:t>
      </w:r>
      <w:r>
        <w:rPr>
          <w:rFonts w:ascii="Times New Roman" w:hAnsi="Times New Roman" w:eastAsia="等线" w:cs="Times New Roman"/>
          <w:highlight w:val="none"/>
        </w:rPr>
        <w:t>miR-450a-5p overexpression</w:t>
      </w:r>
      <w:r>
        <w:rPr>
          <w:rFonts w:ascii="Times New Roman" w:hAnsi="Times New Roman" w:eastAsia="等线" w:cs="Times New Roman"/>
          <w:bCs/>
          <w:highlight w:val="none"/>
        </w:rPr>
        <w:t xml:space="preserve"> can further enhance the inhibition of migration of glioma cells induced by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</w:t>
      </w:r>
      <w:r>
        <w:rPr>
          <w:rFonts w:ascii="Times New Roman" w:hAnsi="Times New Roman" w:eastAsia="等线" w:cs="Times New Roman"/>
          <w:bCs/>
          <w:highlight w:val="none"/>
        </w:rPr>
        <w:t xml:space="preserve"> treatment</w:t>
      </w:r>
      <w:r>
        <w:rPr>
          <w:rFonts w:hint="eastAsia" w:ascii="Times New Roman" w:hAnsi="Times New Roman" w:eastAsia="等线" w:cs="Times New Roman"/>
          <w:bCs/>
          <w:highlight w:val="none"/>
        </w:rPr>
        <w:t xml:space="preserve"> </w:t>
      </w:r>
      <w:r>
        <w:rPr>
          <w:rFonts w:ascii="Times New Roman" w:hAnsi="Times New Roman" w:eastAsia="等线" w:cs="Times New Roman"/>
          <w:bCs/>
          <w:highlight w:val="none"/>
        </w:rPr>
        <w:t>(</w:t>
      </w:r>
      <w:r>
        <w:rPr>
          <w:rFonts w:ascii="Times New Roman" w:hAnsi="Times New Roman" w:eastAsia="等线" w:cs="Times New Roman"/>
          <w:bCs/>
          <w:highlight w:val="none"/>
        </w:rPr>
        <w:t>Fig. S</w:t>
      </w:r>
      <w:r>
        <w:rPr>
          <w:rFonts w:hint="eastAsia" w:ascii="Times New Roman" w:hAnsi="Times New Roman" w:eastAsia="等线" w:cs="Times New Roman"/>
          <w:bCs/>
          <w:highlight w:val="none"/>
        </w:rPr>
        <w:t>6</w:t>
      </w:r>
      <w:r>
        <w:rPr>
          <w:rFonts w:ascii="Times New Roman" w:hAnsi="Times New Roman" w:eastAsia="等线" w:cs="Times New Roman"/>
          <w:bCs/>
          <w:highlight w:val="none"/>
        </w:rPr>
        <w:t>C</w:t>
      </w:r>
      <w:r>
        <w:rPr>
          <w:rFonts w:hint="eastAsia" w:ascii="Times New Roman" w:hAnsi="Times New Roman" w:eastAsia="等线" w:cs="Times New Roman"/>
          <w:bCs/>
          <w:highlight w:val="none"/>
        </w:rPr>
        <w:t>-</w:t>
      </w:r>
      <w:r>
        <w:rPr>
          <w:rFonts w:ascii="Times New Roman" w:hAnsi="Times New Roman" w:eastAsia="等线" w:cs="Times New Roman"/>
          <w:bCs/>
          <w:highlight w:val="none"/>
        </w:rPr>
        <w:t>D</w:t>
      </w:r>
      <w:r>
        <w:rPr>
          <w:rFonts w:ascii="Times New Roman" w:hAnsi="Times New Roman" w:eastAsia="等线" w:cs="Times New Roman"/>
          <w:bCs/>
          <w:highlight w:val="none"/>
        </w:rPr>
        <w:t xml:space="preserve">). </w:t>
      </w:r>
      <w:r>
        <w:rPr>
          <w:rFonts w:hint="eastAsia" w:ascii="Times New Roman" w:hAnsi="Times New Roman" w:eastAsia="等线" w:cs="Times New Roman"/>
          <w:bCs/>
          <w:highlight w:val="none"/>
        </w:rPr>
        <w:t>T</w:t>
      </w:r>
      <w:r>
        <w:rPr>
          <w:rFonts w:ascii="Times New Roman" w:hAnsi="Times New Roman" w:eastAsia="等线" w:cs="Times New Roman"/>
          <w:highlight w:val="none"/>
        </w:rPr>
        <w:t xml:space="preserve">he expression </w:t>
      </w:r>
      <w:r>
        <w:rPr>
          <w:rFonts w:hint="eastAsia" w:ascii="Times New Roman" w:hAnsi="Times New Roman" w:eastAsia="等线" w:cs="Times New Roman"/>
          <w:highlight w:val="none"/>
        </w:rPr>
        <w:t xml:space="preserve">level </w:t>
      </w:r>
      <w:r>
        <w:rPr>
          <w:rFonts w:ascii="Times New Roman" w:hAnsi="Times New Roman" w:eastAsia="等线" w:cs="Times New Roman"/>
          <w:highlight w:val="none"/>
        </w:rPr>
        <w:t>of E-cadherin was significantly increased</w:t>
      </w:r>
      <w:r>
        <w:rPr>
          <w:rFonts w:hint="eastAsia" w:ascii="Times New Roman" w:hAnsi="Times New Roman" w:eastAsia="等线" w:cs="Times New Roman"/>
          <w:highlight w:val="none"/>
        </w:rPr>
        <w:t xml:space="preserve"> and</w:t>
      </w:r>
      <w:r>
        <w:rPr>
          <w:rFonts w:ascii="Times New Roman" w:hAnsi="Times New Roman" w:eastAsia="等线" w:cs="Times New Roman"/>
          <w:highlight w:val="none"/>
        </w:rPr>
        <w:t xml:space="preserve"> all other proteins were dramatically decreased in the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>simertinib</w:t>
      </w:r>
      <w:r>
        <w:rPr>
          <w:rFonts w:ascii="Times New Roman" w:hAnsi="Times New Roman" w:eastAsia="等线" w:cs="Times New Roman"/>
          <w:bCs/>
          <w:highlight w:val="none"/>
        </w:rPr>
        <w:t xml:space="preserve"> treated </w:t>
      </w:r>
      <w:r>
        <w:rPr>
          <w:rFonts w:ascii="Times New Roman" w:hAnsi="Times New Roman" w:eastAsia="等线" w:cs="Times New Roman"/>
          <w:highlight w:val="none"/>
        </w:rPr>
        <w:t>cells</w:t>
      </w:r>
      <w:r>
        <w:rPr>
          <w:rFonts w:hint="eastAsia" w:ascii="Times New Roman" w:hAnsi="Times New Roman" w:eastAsia="等线" w:cs="Times New Roman"/>
          <w:highlight w:val="none"/>
        </w:rPr>
        <w:t xml:space="preserve">, and the above effects were </w:t>
      </w:r>
      <w:r>
        <w:rPr>
          <w:rFonts w:ascii="Times New Roman" w:hAnsi="Times New Roman" w:eastAsia="等线" w:cs="Times New Roman"/>
          <w:highlight w:val="none"/>
        </w:rPr>
        <w:t>reinforce</w:t>
      </w:r>
      <w:r>
        <w:rPr>
          <w:rFonts w:hint="eastAsia" w:ascii="Times New Roman" w:hAnsi="Times New Roman" w:eastAsia="等线" w:cs="Times New Roman"/>
          <w:highlight w:val="none"/>
        </w:rPr>
        <w:t>d</w:t>
      </w:r>
      <w:r>
        <w:rPr>
          <w:rFonts w:ascii="Times New Roman" w:hAnsi="Times New Roman" w:eastAsia="等线" w:cs="Times New Roman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highlight w:val="none"/>
        </w:rPr>
        <w:t xml:space="preserve">by </w:t>
      </w:r>
      <w:r>
        <w:rPr>
          <w:rFonts w:ascii="Times New Roman" w:hAnsi="Times New Roman" w:eastAsia="等线" w:cs="Times New Roman"/>
          <w:highlight w:val="none"/>
        </w:rPr>
        <w:t>miR-450a-5p mimics</w:t>
      </w:r>
      <w:r>
        <w:rPr>
          <w:rFonts w:ascii="Times New Roman" w:hAnsi="Times New Roman" w:eastAsia="等线" w:cs="Times New Roman"/>
          <w:bCs/>
          <w:highlight w:val="none"/>
        </w:rPr>
        <w:t xml:space="preserve"> (</w:t>
      </w:r>
      <w:r>
        <w:rPr>
          <w:rFonts w:ascii="Times New Roman" w:hAnsi="Times New Roman" w:eastAsia="等线" w:cs="Times New Roman"/>
          <w:bCs/>
          <w:highlight w:val="none"/>
        </w:rPr>
        <w:t>Fig. S</w:t>
      </w:r>
      <w:r>
        <w:rPr>
          <w:rFonts w:hint="eastAsia" w:ascii="Times New Roman" w:hAnsi="Times New Roman" w:eastAsia="等线" w:cs="Times New Roman"/>
          <w:bCs/>
          <w:highlight w:val="none"/>
        </w:rPr>
        <w:t>6E-F</w:t>
      </w:r>
      <w:r>
        <w:rPr>
          <w:rFonts w:ascii="Times New Roman" w:hAnsi="Times New Roman" w:eastAsia="等线" w:cs="Times New Roman"/>
          <w:bCs/>
          <w:highlight w:val="none"/>
        </w:rPr>
        <w:t>)</w:t>
      </w:r>
      <w:r>
        <w:rPr>
          <w:rFonts w:ascii="Times New Roman" w:hAnsi="Times New Roman" w:eastAsia="等线" w:cs="Times New Roman"/>
          <w:highlight w:val="none"/>
        </w:rPr>
        <w:t xml:space="preserve">. All these results indicate that miR-450a-5p may also synergize with </w:t>
      </w:r>
      <w:r>
        <w:rPr>
          <w:rFonts w:hint="eastAsia" w:ascii="Times New Roman" w:hAnsi="Times New Roman" w:eastAsia="等线" w:cs="Times New Roman"/>
          <w:highlight w:val="none"/>
        </w:rPr>
        <w:t>o</w:t>
      </w:r>
      <w:r>
        <w:rPr>
          <w:rFonts w:ascii="Times New Roman" w:hAnsi="Times New Roman" w:eastAsia="等线" w:cs="Times New Roman"/>
          <w:highlight w:val="none"/>
        </w:rPr>
        <w:t xml:space="preserve">simertinib to inhibit the glioma cell </w:t>
      </w:r>
      <w:r>
        <w:rPr>
          <w:rFonts w:ascii="Times New Roman" w:hAnsi="Times New Roman" w:eastAsia="等线" w:cs="Times New Roman"/>
          <w:bCs/>
          <w:highlight w:val="none"/>
        </w:rPr>
        <w:t>migration, invasion, and EMT development</w:t>
      </w:r>
      <w:r>
        <w:rPr>
          <w:rFonts w:ascii="Times New Roman" w:hAnsi="Times New Roman" w:eastAsia="等线" w:cs="Times New Roman"/>
          <w:highlight w:val="none"/>
        </w:rPr>
        <w:t>.</w:t>
      </w:r>
    </w:p>
    <w:p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highlight w:val="none"/>
        </w:rPr>
      </w:pPr>
    </w:p>
    <w:p>
      <w:pPr>
        <w:rPr>
          <w:rFonts w:ascii="Times New Roman" w:hAnsi="Times New Roman" w:cs="Times New Roman"/>
          <w:b/>
          <w:sz w:val="32"/>
          <w:szCs w:val="32"/>
          <w:highlight w:val="none"/>
        </w:rPr>
      </w:pPr>
      <w:r>
        <w:rPr>
          <w:rFonts w:ascii="Times New Roman" w:hAnsi="Times New Roman" w:cs="Times New Roman"/>
          <w:b/>
          <w:sz w:val="32"/>
          <w:szCs w:val="32"/>
          <w:highlight w:val="none"/>
        </w:rPr>
        <w:t>References</w:t>
      </w:r>
    </w:p>
    <w:p>
      <w:pPr>
        <w:rPr>
          <w:b/>
          <w:sz w:val="32"/>
          <w:szCs w:val="32"/>
          <w:highlight w:val="none"/>
        </w:rPr>
      </w:pPr>
    </w:p>
    <w:p>
      <w:pPr>
        <w:pStyle w:val="14"/>
        <w:ind w:left="720" w:hanging="720"/>
        <w:rPr>
          <w:rFonts w:ascii="Times New Roman" w:hAnsi="Times New Roman" w:cs="Times New Roman"/>
          <w:highlight w:val="none"/>
        </w:rPr>
      </w:pPr>
      <w:r>
        <w:rPr>
          <w:b/>
          <w:sz w:val="32"/>
          <w:szCs w:val="32"/>
          <w:highlight w:val="none"/>
        </w:rPr>
        <w:fldChar w:fldCharType="begin"/>
      </w:r>
      <w:r>
        <w:rPr>
          <w:b/>
          <w:sz w:val="32"/>
          <w:szCs w:val="32"/>
          <w:highlight w:val="none"/>
        </w:rPr>
        <w:instrText xml:space="preserve"> ADDIN EN.REFLIST </w:instrText>
      </w:r>
      <w:r>
        <w:rPr>
          <w:b/>
          <w:sz w:val="32"/>
          <w:szCs w:val="32"/>
          <w:highlight w:val="none"/>
        </w:rPr>
        <w:fldChar w:fldCharType="separate"/>
      </w:r>
      <w:r>
        <w:rPr>
          <w:rFonts w:ascii="Times New Roman" w:hAnsi="Times New Roman" w:cs="Times New Roman"/>
          <w:highlight w:val="none"/>
        </w:rPr>
        <w:t>1</w:t>
      </w:r>
      <w:r>
        <w:rPr>
          <w:rFonts w:ascii="Times New Roman" w:hAnsi="Times New Roman" w:cs="Times New Roman"/>
          <w:highlight w:val="none"/>
        </w:rPr>
        <w:tab/>
      </w:r>
      <w:r>
        <w:rPr>
          <w:rFonts w:ascii="Times New Roman" w:hAnsi="Times New Roman" w:cs="Times New Roman"/>
          <w:highlight w:val="none"/>
        </w:rPr>
        <w:t xml:space="preserve">Takeda M, Nakagawa K. First- and Second-Generation EGFR-TKIs Are All Replaced to Osimertinib in Chemo-Naive EGFR Mutation-Positive Non-Small Cell Lung Cancer? </w:t>
      </w:r>
      <w:r>
        <w:rPr>
          <w:rFonts w:ascii="Times New Roman" w:hAnsi="Times New Roman" w:cs="Times New Roman"/>
          <w:i/>
          <w:highlight w:val="none"/>
        </w:rPr>
        <w:t>Int J Mol Sci</w:t>
      </w:r>
      <w:r>
        <w:rPr>
          <w:rFonts w:ascii="Times New Roman" w:hAnsi="Times New Roman" w:cs="Times New Roman"/>
          <w:highlight w:val="none"/>
        </w:rPr>
        <w:t xml:space="preserve"> 2019; 20.</w:t>
      </w:r>
    </w:p>
    <w:p>
      <w:pPr>
        <w:pStyle w:val="14"/>
        <w:rPr>
          <w:highlight w:val="none"/>
        </w:rPr>
      </w:pPr>
    </w:p>
    <w:p>
      <w:pPr>
        <w:rPr>
          <w:b/>
          <w:sz w:val="32"/>
          <w:szCs w:val="32"/>
          <w:highlight w:val="none"/>
        </w:rPr>
      </w:pPr>
      <w:r>
        <w:rPr>
          <w:b/>
          <w:sz w:val="32"/>
          <w:szCs w:val="32"/>
          <w:highlight w:val="none"/>
        </w:rPr>
        <w:fldChar w:fldCharType="end"/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D7327"/>
    <w:rsid w:val="000878E7"/>
    <w:rsid w:val="00092F58"/>
    <w:rsid w:val="000D403C"/>
    <w:rsid w:val="001676F0"/>
    <w:rsid w:val="00220D68"/>
    <w:rsid w:val="00236110"/>
    <w:rsid w:val="00377FF8"/>
    <w:rsid w:val="00383385"/>
    <w:rsid w:val="0039577F"/>
    <w:rsid w:val="003B2D12"/>
    <w:rsid w:val="003B5EAB"/>
    <w:rsid w:val="003C54D5"/>
    <w:rsid w:val="00400CD8"/>
    <w:rsid w:val="00491101"/>
    <w:rsid w:val="004A61BF"/>
    <w:rsid w:val="004B22EB"/>
    <w:rsid w:val="00512107"/>
    <w:rsid w:val="00544153"/>
    <w:rsid w:val="00570F6A"/>
    <w:rsid w:val="005A01F0"/>
    <w:rsid w:val="005A6FFB"/>
    <w:rsid w:val="005B5CCE"/>
    <w:rsid w:val="005D5CC7"/>
    <w:rsid w:val="005E0A07"/>
    <w:rsid w:val="00614148"/>
    <w:rsid w:val="0063677F"/>
    <w:rsid w:val="006510AF"/>
    <w:rsid w:val="00652D6A"/>
    <w:rsid w:val="006735FF"/>
    <w:rsid w:val="00694C98"/>
    <w:rsid w:val="006C29F4"/>
    <w:rsid w:val="006C480F"/>
    <w:rsid w:val="006F276B"/>
    <w:rsid w:val="007161D3"/>
    <w:rsid w:val="00723C29"/>
    <w:rsid w:val="00733B3B"/>
    <w:rsid w:val="007A5676"/>
    <w:rsid w:val="007D7327"/>
    <w:rsid w:val="007F7476"/>
    <w:rsid w:val="00870228"/>
    <w:rsid w:val="008A57E7"/>
    <w:rsid w:val="00907313"/>
    <w:rsid w:val="009D6FB4"/>
    <w:rsid w:val="009E4C0C"/>
    <w:rsid w:val="00A279CA"/>
    <w:rsid w:val="00A36186"/>
    <w:rsid w:val="00A44F51"/>
    <w:rsid w:val="00A95D67"/>
    <w:rsid w:val="00AF77AB"/>
    <w:rsid w:val="00B03400"/>
    <w:rsid w:val="00B14FAC"/>
    <w:rsid w:val="00B57138"/>
    <w:rsid w:val="00B709F5"/>
    <w:rsid w:val="00B73274"/>
    <w:rsid w:val="00B90498"/>
    <w:rsid w:val="00BA6CD3"/>
    <w:rsid w:val="00BF75A3"/>
    <w:rsid w:val="00BF75BE"/>
    <w:rsid w:val="00C80314"/>
    <w:rsid w:val="00C878DD"/>
    <w:rsid w:val="00C9659C"/>
    <w:rsid w:val="00CB2865"/>
    <w:rsid w:val="00CC2802"/>
    <w:rsid w:val="00CE230B"/>
    <w:rsid w:val="00D33A8F"/>
    <w:rsid w:val="00D461FD"/>
    <w:rsid w:val="00D66A6F"/>
    <w:rsid w:val="00D85C07"/>
    <w:rsid w:val="00DC3A69"/>
    <w:rsid w:val="00E17F4C"/>
    <w:rsid w:val="00E32A61"/>
    <w:rsid w:val="00E36E1D"/>
    <w:rsid w:val="00E740D8"/>
    <w:rsid w:val="00EB340D"/>
    <w:rsid w:val="00FD4B2B"/>
    <w:rsid w:val="00FE50EF"/>
    <w:rsid w:val="7B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11"/>
    <w:semiHidden/>
    <w:unhideWhenUsed/>
    <w:uiPriority w:val="99"/>
    <w:rPr>
      <w:rFonts w:ascii="Times New Roman" w:hAnsi="Times New Roman" w:cs="Times New Roman"/>
      <w:sz w:val="18"/>
      <w:szCs w:val="18"/>
    </w:rPr>
  </w:style>
  <w:style w:type="paragraph" w:styleId="4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customStyle="1" w:styleId="10">
    <w:name w:val="批注文字 Char"/>
    <w:basedOn w:val="8"/>
    <w:link w:val="2"/>
    <w:qFormat/>
    <w:uiPriority w:val="99"/>
  </w:style>
  <w:style w:type="character" w:customStyle="1" w:styleId="11">
    <w:name w:val="批注框文本 Char"/>
    <w:basedOn w:val="8"/>
    <w:link w:val="3"/>
    <w:semiHidden/>
    <w:uiPriority w:val="99"/>
    <w:rPr>
      <w:rFonts w:ascii="Times New Roman" w:hAnsi="Times New Roman" w:cs="Times New Roman"/>
      <w:sz w:val="18"/>
      <w:szCs w:val="18"/>
    </w:rPr>
  </w:style>
  <w:style w:type="paragraph" w:customStyle="1" w:styleId="12">
    <w:name w:val="EndNote Bibliography Title"/>
    <w:basedOn w:val="1"/>
    <w:link w:val="13"/>
    <w:uiPriority w:val="0"/>
    <w:pPr>
      <w:jc w:val="center"/>
    </w:pPr>
    <w:rPr>
      <w:rFonts w:ascii="Calibri" w:hAnsi="Calibri"/>
    </w:rPr>
  </w:style>
  <w:style w:type="character" w:customStyle="1" w:styleId="13">
    <w:name w:val="EndNote Bibliography Title Char"/>
    <w:basedOn w:val="8"/>
    <w:link w:val="12"/>
    <w:uiPriority w:val="0"/>
    <w:rPr>
      <w:rFonts w:ascii="Calibri" w:hAnsi="Calibri"/>
    </w:rPr>
  </w:style>
  <w:style w:type="paragraph" w:customStyle="1" w:styleId="14">
    <w:name w:val="EndNote Bibliography"/>
    <w:basedOn w:val="1"/>
    <w:link w:val="15"/>
    <w:uiPriority w:val="0"/>
    <w:rPr>
      <w:rFonts w:ascii="Calibri" w:hAnsi="Calibri"/>
    </w:rPr>
  </w:style>
  <w:style w:type="character" w:customStyle="1" w:styleId="15">
    <w:name w:val="EndNote Bibliography Char"/>
    <w:basedOn w:val="8"/>
    <w:link w:val="14"/>
    <w:uiPriority w:val="0"/>
    <w:rPr>
      <w:rFonts w:ascii="Calibri" w:hAnsi="Calibri"/>
    </w:rPr>
  </w:style>
  <w:style w:type="character" w:customStyle="1" w:styleId="16">
    <w:name w:val="页眉 Char"/>
    <w:basedOn w:val="8"/>
    <w:link w:val="5"/>
    <w:uiPriority w:val="99"/>
    <w:rPr>
      <w:sz w:val="18"/>
      <w:szCs w:val="18"/>
    </w:rPr>
  </w:style>
  <w:style w:type="character" w:customStyle="1" w:styleId="17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8">
    <w:name w:val="批注主题 Char"/>
    <w:basedOn w:val="10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602</Words>
  <Characters>3432</Characters>
  <Lines>28</Lines>
  <Paragraphs>8</Paragraphs>
  <TotalTime>30</TotalTime>
  <ScaleCrop>false</ScaleCrop>
  <LinksUpToDate>false</LinksUpToDate>
  <CharactersWithSpaces>4026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2020-04-24T20:23:00Z</dcterms:created>
  <dc:creator>Sean</dc:creator>
  <cp:lastModifiedBy>chris han</cp:lastModifiedBy>
  <dcterms:modified xsi:type="dcterms:W3CDTF">2020-08-05T07:39:50Z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