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0E2B7F" w14:textId="77777777" w:rsidR="00225C95" w:rsidRDefault="00225C95" w:rsidP="00225C95">
      <w:pPr>
        <w:spacing w:line="360" w:lineRule="auto"/>
        <w:rPr>
          <w:b/>
          <w:color w:val="000000" w:themeColor="text1"/>
          <w:lang w:val="en-US"/>
        </w:rPr>
      </w:pPr>
      <w:r>
        <w:rPr>
          <w:b/>
          <w:color w:val="000000" w:themeColor="text1"/>
          <w:lang w:val="en-US"/>
        </w:rPr>
        <w:t>Supplementary Information</w:t>
      </w:r>
    </w:p>
    <w:p w14:paraId="54A79AC0" w14:textId="77777777" w:rsidR="00225C95" w:rsidRDefault="00225C95" w:rsidP="00225C95">
      <w:pPr>
        <w:spacing w:line="360" w:lineRule="auto"/>
        <w:rPr>
          <w:b/>
          <w:color w:val="000000" w:themeColor="text1"/>
          <w:lang w:val="en-US"/>
        </w:rPr>
      </w:pPr>
    </w:p>
    <w:p w14:paraId="3CE89C01" w14:textId="77777777" w:rsidR="00225C95" w:rsidRPr="00EB6E33" w:rsidRDefault="00225C95" w:rsidP="00225C95">
      <w:pPr>
        <w:spacing w:line="360" w:lineRule="auto"/>
        <w:rPr>
          <w:b/>
          <w:color w:val="000000" w:themeColor="text1"/>
          <w:lang w:val="en-US"/>
        </w:rPr>
      </w:pPr>
      <w:r>
        <w:rPr>
          <w:b/>
          <w:color w:val="000000" w:themeColor="text1"/>
          <w:lang w:val="en-US"/>
        </w:rPr>
        <w:t>Supplementary</w:t>
      </w:r>
      <w:r w:rsidRPr="00EB6E33">
        <w:rPr>
          <w:b/>
          <w:color w:val="000000" w:themeColor="text1"/>
          <w:lang w:val="en-US"/>
        </w:rPr>
        <w:t xml:space="preserve"> Material and Methods</w:t>
      </w:r>
    </w:p>
    <w:p w14:paraId="42B5AD8D" w14:textId="77777777" w:rsidR="00225C95" w:rsidRPr="00EB6E33" w:rsidRDefault="00225C95" w:rsidP="00225C95">
      <w:pPr>
        <w:spacing w:line="360" w:lineRule="auto"/>
        <w:rPr>
          <w:lang w:val="en-US"/>
        </w:rPr>
      </w:pPr>
    </w:p>
    <w:p w14:paraId="4ECFD63C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szCs w:val="24"/>
          <w:lang w:val="en-US"/>
        </w:rPr>
      </w:pPr>
      <w:r w:rsidRPr="00EB6E33">
        <w:rPr>
          <w:rFonts w:ascii="Arial" w:hAnsi="Arial" w:cs="Arial"/>
          <w:b/>
          <w:szCs w:val="24"/>
          <w:lang w:val="en-US"/>
        </w:rPr>
        <w:t>Cell culture</w:t>
      </w:r>
    </w:p>
    <w:p w14:paraId="165A97BD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szCs w:val="24"/>
          <w:lang w:val="en-GB"/>
        </w:rPr>
      </w:pPr>
      <w:r w:rsidRPr="00EB6E33">
        <w:rPr>
          <w:rFonts w:ascii="Arial" w:hAnsi="Arial" w:cs="Arial"/>
          <w:szCs w:val="24"/>
          <w:lang w:val="en-GB"/>
        </w:rPr>
        <w:t>DLD1-1, DLD-1-</w:t>
      </w:r>
      <w:r w:rsidRPr="00EB6E33">
        <w:rPr>
          <w:rFonts w:ascii="Arial" w:hAnsi="Arial" w:cs="Arial"/>
          <w:i/>
          <w:szCs w:val="24"/>
          <w:lang w:val="en-GB"/>
        </w:rPr>
        <w:t>CDKN1A</w:t>
      </w:r>
      <w:r w:rsidRPr="00EB6E33">
        <w:rPr>
          <w:rFonts w:ascii="Arial" w:hAnsi="Arial" w:cs="Arial"/>
          <w:szCs w:val="24"/>
          <w:vertAlign w:val="superscript"/>
          <w:lang w:val="en-GB"/>
        </w:rPr>
        <w:t>-/-</w:t>
      </w:r>
      <w:r w:rsidRPr="00EB6E33">
        <w:rPr>
          <w:rFonts w:ascii="Arial" w:hAnsi="Arial" w:cs="Arial"/>
          <w:szCs w:val="24"/>
          <w:lang w:val="en-GB"/>
        </w:rPr>
        <w:t>,</w:t>
      </w:r>
      <w:r w:rsidRPr="00EB6E33">
        <w:rPr>
          <w:rFonts w:ascii="Arial" w:hAnsi="Arial" w:cs="Arial"/>
          <w:i/>
          <w:szCs w:val="24"/>
          <w:lang w:val="en-GB"/>
        </w:rPr>
        <w:t xml:space="preserve"> </w:t>
      </w:r>
      <w:r w:rsidRPr="00EB6E33">
        <w:rPr>
          <w:rFonts w:ascii="Arial" w:hAnsi="Arial" w:cs="Arial"/>
          <w:szCs w:val="24"/>
          <w:lang w:val="en-GB"/>
        </w:rPr>
        <w:t>HCT116, HCT116-</w:t>
      </w:r>
      <w:r w:rsidRPr="00EB6E33">
        <w:rPr>
          <w:rFonts w:ascii="Arial" w:hAnsi="Arial" w:cs="Arial"/>
          <w:i/>
          <w:szCs w:val="24"/>
          <w:lang w:val="en-GB"/>
        </w:rPr>
        <w:t>CDKN1A</w:t>
      </w:r>
      <w:r w:rsidRPr="00EB6E33">
        <w:rPr>
          <w:rFonts w:ascii="Arial" w:hAnsi="Arial" w:cs="Arial"/>
          <w:szCs w:val="24"/>
          <w:vertAlign w:val="superscript"/>
          <w:lang w:val="en-GB"/>
        </w:rPr>
        <w:t>-/-</w:t>
      </w:r>
      <w:r w:rsidRPr="00EB6E33">
        <w:rPr>
          <w:rFonts w:ascii="Arial" w:hAnsi="Arial" w:cs="Arial"/>
          <w:szCs w:val="24"/>
          <w:lang w:val="en-GB"/>
        </w:rPr>
        <w:t>, HCT116-</w:t>
      </w:r>
      <w:r w:rsidRPr="00EB6E33">
        <w:rPr>
          <w:rFonts w:ascii="Arial" w:hAnsi="Arial" w:cs="Arial"/>
          <w:i/>
          <w:szCs w:val="24"/>
          <w:lang w:val="en-GB"/>
        </w:rPr>
        <w:t>TP53</w:t>
      </w:r>
      <w:r w:rsidRPr="00EB6E33">
        <w:rPr>
          <w:rFonts w:ascii="Arial" w:hAnsi="Arial" w:cs="Arial"/>
          <w:szCs w:val="24"/>
          <w:vertAlign w:val="superscript"/>
          <w:lang w:val="en-GB"/>
        </w:rPr>
        <w:t>-/-</w:t>
      </w:r>
      <w:r w:rsidRPr="00EB6E33">
        <w:rPr>
          <w:rFonts w:ascii="Arial" w:hAnsi="Arial" w:cs="Arial"/>
          <w:szCs w:val="24"/>
          <w:lang w:val="en-GB"/>
        </w:rPr>
        <w:t>, HT29, RKO, SW480, and SW620 cells were cultured in RPMI1640 (</w:t>
      </w:r>
      <w:r w:rsidRPr="00EB6E33">
        <w:rPr>
          <w:rFonts w:ascii="Arial" w:eastAsia="ArialMT" w:hAnsi="Arial" w:cs="Arial"/>
          <w:szCs w:val="24"/>
          <w:lang w:val="en-GB"/>
        </w:rPr>
        <w:t>PAN-Biotech GmbH</w:t>
      </w:r>
      <w:r w:rsidRPr="00EB6E33">
        <w:rPr>
          <w:rFonts w:ascii="Arial" w:hAnsi="Arial" w:cs="Arial"/>
          <w:szCs w:val="24"/>
          <w:lang w:val="en-GB"/>
        </w:rPr>
        <w:t xml:space="preserve">, Germany) supplemented with 10% </w:t>
      </w:r>
      <w:proofErr w:type="spellStart"/>
      <w:r w:rsidRPr="00EB6E33">
        <w:rPr>
          <w:rFonts w:ascii="Arial" w:hAnsi="Arial" w:cs="Arial"/>
          <w:szCs w:val="24"/>
          <w:lang w:val="en-GB"/>
        </w:rPr>
        <w:t>fetal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bovine </w:t>
      </w:r>
      <w:r w:rsidRPr="00EB6E33">
        <w:rPr>
          <w:rFonts w:ascii="Arial" w:hAnsi="Arial" w:cs="Arial"/>
          <w:color w:val="000000" w:themeColor="text1"/>
          <w:szCs w:val="24"/>
          <w:lang w:val="en-GB"/>
        </w:rPr>
        <w:t xml:space="preserve">serum (FBS; Corning, USA), </w:t>
      </w:r>
      <w:proofErr w:type="gramStart"/>
      <w:r w:rsidRPr="00EB6E33">
        <w:rPr>
          <w:rFonts w:ascii="Arial" w:eastAsia="ArialMT" w:hAnsi="Arial" w:cs="Arial"/>
          <w:color w:val="000000" w:themeColor="text1"/>
          <w:szCs w:val="24"/>
          <w:lang w:val="en-GB"/>
        </w:rPr>
        <w:t>100 units/</w:t>
      </w:r>
      <w:proofErr w:type="gramEnd"/>
      <w:r w:rsidRPr="00EB6E33">
        <w:rPr>
          <w:rFonts w:ascii="Arial" w:eastAsia="ArialMT" w:hAnsi="Arial" w:cs="Arial"/>
          <w:color w:val="000000" w:themeColor="text1"/>
          <w:szCs w:val="24"/>
          <w:lang w:val="en-GB"/>
        </w:rPr>
        <w:t xml:space="preserve">ml penicillin and </w:t>
      </w:r>
      <w:r w:rsidRPr="00EB6E33">
        <w:rPr>
          <w:rFonts w:ascii="Arial" w:eastAsia="ArialMT" w:hAnsi="Arial" w:cs="Arial"/>
          <w:szCs w:val="24"/>
          <w:lang w:val="en-GB"/>
        </w:rPr>
        <w:t xml:space="preserve">100 </w:t>
      </w:r>
      <w:r w:rsidRPr="00EB6E33">
        <w:rPr>
          <w:rFonts w:ascii="Arial" w:eastAsia="ArialMT" w:hAnsi="Arial" w:cs="Arial"/>
          <w:szCs w:val="24"/>
        </w:rPr>
        <w:t>μ</w:t>
      </w:r>
      <w:r w:rsidRPr="00EB6E33">
        <w:rPr>
          <w:rFonts w:ascii="Arial" w:eastAsia="ArialMT" w:hAnsi="Arial" w:cs="Arial"/>
          <w:szCs w:val="24"/>
          <w:lang w:val="en-GB"/>
        </w:rPr>
        <w:t>g/ml streptomycin (PAN-Biotech GmbH</w:t>
      </w:r>
      <w:r w:rsidRPr="00EB6E33">
        <w:rPr>
          <w:rFonts w:ascii="Arial" w:hAnsi="Arial" w:cs="Arial"/>
          <w:szCs w:val="24"/>
          <w:lang w:val="en-GB"/>
        </w:rPr>
        <w:t>, Germany). RKO-p21-Pon cells were grown in DMEM (</w:t>
      </w:r>
      <w:r w:rsidRPr="00EB6E33">
        <w:rPr>
          <w:rFonts w:ascii="Arial" w:eastAsia="ArialMT" w:hAnsi="Arial" w:cs="Arial"/>
          <w:szCs w:val="24"/>
          <w:lang w:val="en-GB"/>
        </w:rPr>
        <w:t>PAN-Biotech GmbH</w:t>
      </w:r>
      <w:r w:rsidRPr="00EB6E33">
        <w:rPr>
          <w:rFonts w:ascii="Arial" w:hAnsi="Arial" w:cs="Arial"/>
          <w:szCs w:val="24"/>
          <w:lang w:val="en-GB"/>
        </w:rPr>
        <w:t xml:space="preserve">, Germany) supplemented with 10% FBS, </w:t>
      </w:r>
      <w:proofErr w:type="gramStart"/>
      <w:r w:rsidRPr="00EB6E33">
        <w:rPr>
          <w:rFonts w:ascii="Arial" w:eastAsia="ArialMT" w:hAnsi="Arial" w:cs="Arial"/>
          <w:color w:val="000000" w:themeColor="text1"/>
          <w:szCs w:val="24"/>
          <w:lang w:val="en-GB"/>
        </w:rPr>
        <w:t>100 units/</w:t>
      </w:r>
      <w:proofErr w:type="gramEnd"/>
      <w:r w:rsidRPr="00EB6E33">
        <w:rPr>
          <w:rFonts w:ascii="Arial" w:eastAsia="ArialMT" w:hAnsi="Arial" w:cs="Arial"/>
          <w:color w:val="000000" w:themeColor="text1"/>
          <w:szCs w:val="24"/>
          <w:lang w:val="en-GB"/>
        </w:rPr>
        <w:t xml:space="preserve">ml penicillin, </w:t>
      </w:r>
      <w:r w:rsidRPr="00EB6E33">
        <w:rPr>
          <w:rFonts w:ascii="Arial" w:eastAsia="ArialMT" w:hAnsi="Arial" w:cs="Arial"/>
          <w:szCs w:val="24"/>
          <w:lang w:val="en-GB"/>
        </w:rPr>
        <w:t xml:space="preserve">100 </w:t>
      </w:r>
      <w:r w:rsidRPr="00EB6E33">
        <w:rPr>
          <w:rFonts w:ascii="Arial" w:eastAsia="ArialMT" w:hAnsi="Arial" w:cs="Arial"/>
          <w:szCs w:val="24"/>
        </w:rPr>
        <w:t>μ</w:t>
      </w:r>
      <w:r w:rsidRPr="00EB6E33">
        <w:rPr>
          <w:rFonts w:ascii="Arial" w:eastAsia="ArialMT" w:hAnsi="Arial" w:cs="Arial"/>
          <w:szCs w:val="24"/>
          <w:lang w:val="en-GB"/>
        </w:rPr>
        <w:t xml:space="preserve">g/ml streptomycin, </w:t>
      </w:r>
      <w:r w:rsidRPr="00EB6E33">
        <w:rPr>
          <w:rFonts w:ascii="Arial" w:hAnsi="Arial" w:cs="Arial"/>
          <w:szCs w:val="24"/>
          <w:lang w:val="en-GB"/>
        </w:rPr>
        <w:t>and 500 µg/ml G418 (Santa Cruz, USA). All cell lines were grown at 37°C and 5% CO</w:t>
      </w:r>
      <w:r w:rsidRPr="00EB6E33">
        <w:rPr>
          <w:rFonts w:ascii="Arial" w:hAnsi="Arial" w:cs="Arial"/>
          <w:szCs w:val="24"/>
          <w:vertAlign w:val="subscript"/>
          <w:lang w:val="en-GB"/>
        </w:rPr>
        <w:t>2</w:t>
      </w:r>
      <w:r w:rsidRPr="00EB6E33">
        <w:rPr>
          <w:rFonts w:ascii="Arial" w:hAnsi="Arial" w:cs="Arial"/>
          <w:szCs w:val="24"/>
          <w:lang w:val="en-GB"/>
        </w:rPr>
        <w:t>. All cell lines were tested for mycoplasma contamination.</w:t>
      </w:r>
    </w:p>
    <w:p w14:paraId="2C7BDC44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szCs w:val="24"/>
          <w:lang w:val="en-US"/>
        </w:rPr>
      </w:pPr>
    </w:p>
    <w:p w14:paraId="26BDF5CB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b/>
          <w:lang w:val="en-US"/>
        </w:rPr>
      </w:pPr>
      <w:r w:rsidRPr="00EB6E33">
        <w:rPr>
          <w:rFonts w:ascii="Arial" w:hAnsi="Arial" w:cs="Arial"/>
          <w:b/>
          <w:lang w:val="en-US"/>
        </w:rPr>
        <w:t>Cell treatments</w:t>
      </w:r>
    </w:p>
    <w:p w14:paraId="608B4576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lang w:val="en-GB"/>
        </w:rPr>
      </w:pPr>
      <w:r w:rsidRPr="00EB6E33">
        <w:rPr>
          <w:rFonts w:ascii="Arial" w:hAnsi="Arial" w:cs="Arial"/>
          <w:lang w:val="en-GB"/>
        </w:rPr>
        <w:t xml:space="preserve">Cells were treated with 0.2 </w:t>
      </w:r>
      <w:proofErr w:type="spellStart"/>
      <w:r w:rsidRPr="00EB6E33">
        <w:rPr>
          <w:rFonts w:ascii="Arial" w:hAnsi="Arial" w:cs="Arial"/>
          <w:lang w:val="en-GB"/>
        </w:rPr>
        <w:t>nM</w:t>
      </w:r>
      <w:proofErr w:type="spellEnd"/>
      <w:r w:rsidRPr="00EB6E33">
        <w:rPr>
          <w:rFonts w:ascii="Arial" w:hAnsi="Arial" w:cs="Arial"/>
          <w:lang w:val="en-GB"/>
        </w:rPr>
        <w:t xml:space="preserve"> Taxol (Sigma-Aldrich, Germany) to restore proper microtubule plus end assembly rates as described previously </w:t>
      </w:r>
      <w:r w:rsidRPr="00EB6E33">
        <w:rPr>
          <w:rFonts w:ascii="Arial" w:hAnsi="Arial" w:cs="Arial"/>
          <w:noProof/>
          <w:vertAlign w:val="superscript"/>
          <w:lang w:val="en-GB"/>
        </w:rPr>
        <w:t>10</w:t>
      </w:r>
      <w:r w:rsidRPr="00EB6E33">
        <w:rPr>
          <w:rFonts w:ascii="Arial" w:hAnsi="Arial" w:cs="Arial"/>
          <w:lang w:val="en-GB"/>
        </w:rPr>
        <w:t>. To inhibit CDK1 activity, cells were treated with 0.25 µM - 7.0 µM RO-3306 (Santa Cruz, USA). To increase CDK1 activity, the wee1 inhibitor MK-1775 (</w:t>
      </w:r>
      <w:proofErr w:type="spellStart"/>
      <w:r w:rsidRPr="00EB6E33">
        <w:rPr>
          <w:rFonts w:ascii="Arial" w:hAnsi="Arial" w:cs="Arial"/>
          <w:lang w:val="en-GB"/>
        </w:rPr>
        <w:t>Selleck</w:t>
      </w:r>
      <w:proofErr w:type="spellEnd"/>
      <w:r w:rsidRPr="00EB6E33">
        <w:rPr>
          <w:rFonts w:ascii="Arial" w:hAnsi="Arial" w:cs="Arial"/>
          <w:lang w:val="en-GB"/>
        </w:rPr>
        <w:t xml:space="preserve"> Chemicals, USA) was used (25 </w:t>
      </w:r>
      <w:proofErr w:type="spellStart"/>
      <w:r w:rsidRPr="00EB6E33">
        <w:rPr>
          <w:rFonts w:ascii="Arial" w:hAnsi="Arial" w:cs="Arial"/>
          <w:lang w:val="en-GB"/>
        </w:rPr>
        <w:t>nM</w:t>
      </w:r>
      <w:proofErr w:type="spellEnd"/>
      <w:r w:rsidRPr="00EB6E33">
        <w:rPr>
          <w:rFonts w:ascii="Arial" w:hAnsi="Arial" w:cs="Arial"/>
          <w:lang w:val="en-GB"/>
        </w:rPr>
        <w:t xml:space="preserve"> - 5.0 µM). As control, corresponding volumes of DMSO or H</w:t>
      </w:r>
      <w:r w:rsidRPr="00EB6E33">
        <w:rPr>
          <w:rFonts w:ascii="Arial" w:hAnsi="Arial" w:cs="Arial"/>
          <w:vertAlign w:val="subscript"/>
          <w:lang w:val="en-GB"/>
        </w:rPr>
        <w:t>2</w:t>
      </w:r>
      <w:r w:rsidRPr="00EB6E33">
        <w:rPr>
          <w:rFonts w:ascii="Arial" w:hAnsi="Arial" w:cs="Arial"/>
          <w:lang w:val="en-GB"/>
        </w:rPr>
        <w:t xml:space="preserve">O were used. To induce </w:t>
      </w:r>
      <w:r w:rsidRPr="00EB6E33">
        <w:rPr>
          <w:rFonts w:ascii="Arial" w:hAnsi="Arial" w:cs="Arial"/>
          <w:i/>
          <w:lang w:val="en-GB"/>
        </w:rPr>
        <w:t>CDKN1A</w:t>
      </w:r>
      <w:r w:rsidRPr="00EB6E33">
        <w:rPr>
          <w:rFonts w:ascii="Arial" w:hAnsi="Arial" w:cs="Arial"/>
          <w:lang w:val="en-GB"/>
        </w:rPr>
        <w:t xml:space="preserve"> expression, inducible RKO-p21-Pon cells were incubated with 0.25 µM - 5</w:t>
      </w:r>
      <w:proofErr w:type="gramStart"/>
      <w:r w:rsidRPr="00EB6E33">
        <w:rPr>
          <w:rFonts w:ascii="Arial" w:hAnsi="Arial" w:cs="Arial"/>
          <w:lang w:val="en-GB"/>
        </w:rPr>
        <w:t>.0 µ</w:t>
      </w:r>
      <w:proofErr w:type="gramEnd"/>
      <w:r w:rsidRPr="00EB6E33">
        <w:rPr>
          <w:rFonts w:ascii="Arial" w:hAnsi="Arial" w:cs="Arial"/>
          <w:lang w:val="en-GB"/>
        </w:rPr>
        <w:t xml:space="preserve">M </w:t>
      </w:r>
      <w:proofErr w:type="spellStart"/>
      <w:r w:rsidRPr="00EB6E33">
        <w:rPr>
          <w:rFonts w:ascii="Arial" w:hAnsi="Arial" w:cs="Arial"/>
          <w:lang w:val="en-GB"/>
        </w:rPr>
        <w:t>ponasterone</w:t>
      </w:r>
      <w:proofErr w:type="spellEnd"/>
      <w:r w:rsidRPr="00EB6E33">
        <w:rPr>
          <w:rFonts w:ascii="Arial" w:hAnsi="Arial" w:cs="Arial"/>
          <w:lang w:val="en-GB"/>
        </w:rPr>
        <w:t xml:space="preserve"> A (Santa Cruz, USA). To induce </w:t>
      </w:r>
      <w:r w:rsidRPr="00EB6E33">
        <w:rPr>
          <w:rFonts w:ascii="Arial" w:hAnsi="Arial" w:cs="Arial"/>
          <w:i/>
          <w:lang w:val="en-GB"/>
        </w:rPr>
        <w:t>DNp73</w:t>
      </w:r>
      <w:r w:rsidRPr="00EB6E33">
        <w:rPr>
          <w:rFonts w:ascii="Arial" w:hAnsi="Arial" w:cs="Arial"/>
          <w:lang w:val="en-GB"/>
        </w:rPr>
        <w:t xml:space="preserve"> expression, HCT116-DNp73 cells were treated with </w:t>
      </w:r>
      <w:r w:rsidRPr="00EB6E33">
        <w:rPr>
          <w:rFonts w:ascii="Arial" w:hAnsi="Arial" w:cs="Arial"/>
          <w:bCs/>
          <w:lang w:val="en-GB"/>
        </w:rPr>
        <w:t xml:space="preserve">200 </w:t>
      </w:r>
      <w:proofErr w:type="spellStart"/>
      <w:r w:rsidRPr="00EB6E33">
        <w:rPr>
          <w:rFonts w:ascii="Arial" w:hAnsi="Arial" w:cs="Arial"/>
          <w:bCs/>
          <w:lang w:val="en-GB"/>
        </w:rPr>
        <w:t>ng</w:t>
      </w:r>
      <w:proofErr w:type="spellEnd"/>
      <w:r w:rsidRPr="00EB6E33">
        <w:rPr>
          <w:rFonts w:ascii="Arial" w:hAnsi="Arial" w:cs="Arial"/>
          <w:bCs/>
          <w:lang w:val="en-GB"/>
        </w:rPr>
        <w:t>/ml doxycycline (Sigma-Aldrich, Germany)</w:t>
      </w:r>
    </w:p>
    <w:p w14:paraId="59F49C1A" w14:textId="77777777" w:rsidR="00225C95" w:rsidRPr="00EB6E33" w:rsidRDefault="00225C95" w:rsidP="00225C95">
      <w:pPr>
        <w:pStyle w:val="NotizEbene1"/>
        <w:numPr>
          <w:ilvl w:val="0"/>
          <w:numId w:val="0"/>
        </w:numPr>
        <w:spacing w:line="360" w:lineRule="auto"/>
        <w:rPr>
          <w:rFonts w:ascii="Arial" w:hAnsi="Arial" w:cs="Arial"/>
          <w:b/>
          <w:szCs w:val="24"/>
          <w:lang w:val="en-US"/>
        </w:rPr>
      </w:pPr>
    </w:p>
    <w:p w14:paraId="1815824A" w14:textId="77777777" w:rsidR="00225C95" w:rsidRPr="00EB6E33" w:rsidRDefault="00225C95" w:rsidP="00225C95">
      <w:pPr>
        <w:pStyle w:val="NotizEbene1"/>
        <w:numPr>
          <w:ilvl w:val="0"/>
          <w:numId w:val="0"/>
        </w:numPr>
        <w:spacing w:line="360" w:lineRule="auto"/>
        <w:rPr>
          <w:rFonts w:ascii="Arial" w:hAnsi="Arial" w:cs="Arial"/>
          <w:b/>
          <w:szCs w:val="24"/>
          <w:lang w:val="en-US"/>
        </w:rPr>
      </w:pPr>
      <w:r w:rsidRPr="00EB6E33">
        <w:rPr>
          <w:rFonts w:ascii="Arial" w:hAnsi="Arial" w:cs="Arial"/>
          <w:b/>
          <w:szCs w:val="24"/>
          <w:lang w:val="en-US"/>
        </w:rPr>
        <w:t xml:space="preserve">Plasmid and siRNA transfections </w:t>
      </w:r>
    </w:p>
    <w:p w14:paraId="0C34197E" w14:textId="77777777" w:rsidR="00225C95" w:rsidRPr="00EB6E33" w:rsidRDefault="00225C95" w:rsidP="00225C95">
      <w:pPr>
        <w:spacing w:line="360" w:lineRule="auto"/>
        <w:rPr>
          <w:lang w:val="en-GB"/>
        </w:rPr>
      </w:pPr>
      <w:r w:rsidRPr="00EB6E33">
        <w:rPr>
          <w:bCs/>
          <w:lang w:val="en-GB"/>
        </w:rPr>
        <w:t xml:space="preserve">For microtubule plus end tracking experiments, cells were transfected with 10 µg pEGFP-EB3 (kindly provided by Linda Wordeman, Seattle, WA, USA) using the </w:t>
      </w:r>
      <w:proofErr w:type="spellStart"/>
      <w:r w:rsidRPr="00EB6E33">
        <w:rPr>
          <w:bCs/>
          <w:lang w:val="en-GB"/>
        </w:rPr>
        <w:t>GenePulser</w:t>
      </w:r>
      <w:proofErr w:type="spellEnd"/>
      <w:r w:rsidRPr="00EB6E33">
        <w:rPr>
          <w:bCs/>
          <w:lang w:val="en-GB"/>
        </w:rPr>
        <w:t xml:space="preserve"> </w:t>
      </w:r>
      <w:proofErr w:type="spellStart"/>
      <w:r w:rsidRPr="00EB6E33">
        <w:rPr>
          <w:bCs/>
          <w:lang w:val="en-GB"/>
        </w:rPr>
        <w:t>Xcell</w:t>
      </w:r>
      <w:proofErr w:type="spellEnd"/>
      <w:r w:rsidRPr="00EB6E33">
        <w:rPr>
          <w:bCs/>
          <w:lang w:val="en-GB"/>
        </w:rPr>
        <w:t xml:space="preserve"> (Bio-Rad Laboratories, USA) at the following settings: 500 µF and 300 V (for HCT116 and SW620 cells), 950 µF and 200 V (for RKO cells), 950 µF and 220 V (for DLD-1, SW480 and HT29 cells). RKO-p21-Pon cells were transfected with 0.75 µg pEGFP-EB3 plasmid using </w:t>
      </w:r>
      <w:proofErr w:type="spellStart"/>
      <w:r w:rsidRPr="00EB6E33">
        <w:rPr>
          <w:bCs/>
          <w:lang w:val="en-GB"/>
        </w:rPr>
        <w:t>ScreenFect®A</w:t>
      </w:r>
      <w:proofErr w:type="spellEnd"/>
      <w:r w:rsidRPr="00EB6E33">
        <w:rPr>
          <w:bCs/>
          <w:lang w:val="en-GB"/>
        </w:rPr>
        <w:t xml:space="preserve"> according to the manufacturer´s protocol (</w:t>
      </w:r>
      <w:proofErr w:type="spellStart"/>
      <w:r w:rsidRPr="00EB6E33">
        <w:rPr>
          <w:bCs/>
          <w:lang w:val="en-GB"/>
        </w:rPr>
        <w:t>ScreenFect</w:t>
      </w:r>
      <w:proofErr w:type="spellEnd"/>
      <w:r w:rsidRPr="00EB6E33">
        <w:rPr>
          <w:bCs/>
          <w:lang w:val="en-GB"/>
        </w:rPr>
        <w:t xml:space="preserve"> GmbH, Germany). </w:t>
      </w:r>
      <w:r w:rsidRPr="00EB6E33">
        <w:rPr>
          <w:lang w:val="en-GB"/>
        </w:rPr>
        <w:t>Transient expression of pcDNA3.1-FLAG-</w:t>
      </w:r>
      <w:r w:rsidRPr="00EB6E33">
        <w:rPr>
          <w:i/>
          <w:lang w:val="en-GB"/>
        </w:rPr>
        <w:t>CDK1-DN/AF</w:t>
      </w:r>
      <w:r w:rsidRPr="00EB6E33">
        <w:rPr>
          <w:lang w:val="en-GB"/>
        </w:rPr>
        <w:t xml:space="preserve"> plasmids (kindly provided by Makoto </w:t>
      </w:r>
      <w:proofErr w:type="spellStart"/>
      <w:r w:rsidRPr="00EB6E33">
        <w:rPr>
          <w:lang w:val="en-GB"/>
        </w:rPr>
        <w:t>Iimori</w:t>
      </w:r>
      <w:proofErr w:type="spellEnd"/>
      <w:r w:rsidRPr="00EB6E33">
        <w:rPr>
          <w:lang w:val="en-GB"/>
        </w:rPr>
        <w:t xml:space="preserve">, Kyushu, Japan and </w:t>
      </w:r>
      <w:proofErr w:type="spellStart"/>
      <w:r w:rsidRPr="00EB6E33">
        <w:rPr>
          <w:lang w:val="en-GB"/>
        </w:rPr>
        <w:lastRenderedPageBreak/>
        <w:t>Lienhard</w:t>
      </w:r>
      <w:proofErr w:type="spellEnd"/>
      <w:r w:rsidRPr="00EB6E33">
        <w:rPr>
          <w:lang w:val="en-GB"/>
        </w:rPr>
        <w:t xml:space="preserve"> Schmitz, Giessen, Germany) </w:t>
      </w:r>
      <w:r w:rsidRPr="00EB6E33">
        <w:rPr>
          <w:noProof/>
          <w:vertAlign w:val="superscript"/>
          <w:lang w:val="en-GB"/>
        </w:rPr>
        <w:t>61</w:t>
      </w:r>
      <w:r w:rsidRPr="00EB6E33">
        <w:rPr>
          <w:lang w:val="en-GB"/>
        </w:rPr>
        <w:t xml:space="preserve"> was achieved upon transfection of HCT116 with 1 µg plasmid using </w:t>
      </w:r>
      <w:proofErr w:type="spellStart"/>
      <w:r w:rsidRPr="00EB6E33">
        <w:rPr>
          <w:lang w:val="en-GB"/>
        </w:rPr>
        <w:t>ScreenFect®A</w:t>
      </w:r>
      <w:proofErr w:type="spellEnd"/>
      <w:r w:rsidRPr="00EB6E33">
        <w:rPr>
          <w:lang w:val="en-GB"/>
        </w:rPr>
        <w:t xml:space="preserve"> (</w:t>
      </w:r>
      <w:proofErr w:type="spellStart"/>
      <w:r w:rsidRPr="00EB6E33">
        <w:rPr>
          <w:lang w:val="en-GB"/>
        </w:rPr>
        <w:t>ScreenFect</w:t>
      </w:r>
      <w:proofErr w:type="spellEnd"/>
      <w:r w:rsidRPr="00EB6E33">
        <w:rPr>
          <w:lang w:val="en-GB"/>
        </w:rPr>
        <w:t xml:space="preserve"> GmbH, Germany) following the manufacturer’s instructions. </w:t>
      </w:r>
      <w:proofErr w:type="gramStart"/>
      <w:r w:rsidRPr="00EB6E33">
        <w:rPr>
          <w:lang w:val="en-GB"/>
        </w:rPr>
        <w:t>siRNAs</w:t>
      </w:r>
      <w:proofErr w:type="gramEnd"/>
      <w:r w:rsidRPr="00EB6E33">
        <w:rPr>
          <w:lang w:val="en-GB"/>
        </w:rPr>
        <w:t xml:space="preserve"> (Sigma-Aldrich, Germany) were transfected using </w:t>
      </w:r>
      <w:proofErr w:type="spellStart"/>
      <w:r w:rsidRPr="00EB6E33">
        <w:rPr>
          <w:lang w:val="en-GB"/>
        </w:rPr>
        <w:t>ScreenFect®siRNA</w:t>
      </w:r>
      <w:proofErr w:type="spellEnd"/>
      <w:r w:rsidRPr="00EB6E33">
        <w:rPr>
          <w:lang w:val="en-GB"/>
        </w:rPr>
        <w:t xml:space="preserve"> (</w:t>
      </w:r>
      <w:proofErr w:type="spellStart"/>
      <w:r w:rsidRPr="00EB6E33">
        <w:rPr>
          <w:lang w:val="en-GB"/>
        </w:rPr>
        <w:t>ScreenFect</w:t>
      </w:r>
      <w:proofErr w:type="spellEnd"/>
      <w:r w:rsidRPr="00EB6E33">
        <w:rPr>
          <w:lang w:val="en-GB"/>
        </w:rPr>
        <w:t xml:space="preserve"> GmbH, Germany) according to the manufacturer’s instructions. 48 hours after transfection, further experiments were performed and transfection efficiency was analysed by Western blotting. The following siRNA sequences were used:</w:t>
      </w:r>
    </w:p>
    <w:p w14:paraId="45C2AAA0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szCs w:val="24"/>
          <w:lang w:val="en-GB"/>
        </w:rPr>
      </w:pPr>
      <w:r w:rsidRPr="00EB6E33">
        <w:rPr>
          <w:rFonts w:ascii="Arial" w:hAnsi="Arial" w:cs="Arial"/>
          <w:i/>
          <w:szCs w:val="24"/>
          <w:lang w:val="en-GB"/>
        </w:rPr>
        <w:t xml:space="preserve">LUCIFERASE (LUC): </w:t>
      </w:r>
      <w:r w:rsidRPr="00EB6E33">
        <w:rPr>
          <w:rFonts w:ascii="Arial" w:hAnsi="Arial" w:cs="Arial"/>
          <w:szCs w:val="24"/>
          <w:lang w:val="en-GB"/>
        </w:rPr>
        <w:t xml:space="preserve">5’-CUUACGCUGAGUACUUCGAUU-3’; </w:t>
      </w:r>
    </w:p>
    <w:p w14:paraId="58188A46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szCs w:val="24"/>
          <w:lang w:val="en-GB"/>
        </w:rPr>
      </w:pPr>
      <w:r w:rsidRPr="00EB6E33">
        <w:rPr>
          <w:rFonts w:ascii="Arial" w:hAnsi="Arial" w:cs="Arial"/>
          <w:i/>
          <w:szCs w:val="24"/>
          <w:lang w:val="en-GB"/>
        </w:rPr>
        <w:t xml:space="preserve">CKAP5: </w:t>
      </w:r>
      <w:r w:rsidRPr="00EB6E33">
        <w:rPr>
          <w:rFonts w:ascii="Arial" w:hAnsi="Arial" w:cs="Arial"/>
          <w:szCs w:val="24"/>
          <w:lang w:val="en-GB"/>
        </w:rPr>
        <w:t>5’-GAGCCCAGAGUGGUCCAAA-3’</w:t>
      </w:r>
      <w:r w:rsidRPr="00EB6E33">
        <w:rPr>
          <w:rFonts w:ascii="Arial" w:hAnsi="Arial" w:cs="Arial"/>
          <w:szCs w:val="24"/>
          <w:lang w:val="en-GB"/>
        </w:rPr>
        <w:br/>
      </w:r>
      <w:r w:rsidRPr="00EB6E33">
        <w:rPr>
          <w:rFonts w:ascii="Arial" w:hAnsi="Arial" w:cs="Arial"/>
          <w:i/>
          <w:szCs w:val="24"/>
          <w:lang w:val="en-GB"/>
        </w:rPr>
        <w:t xml:space="preserve">TP53: </w:t>
      </w:r>
      <w:r w:rsidRPr="00EB6E33">
        <w:rPr>
          <w:rFonts w:ascii="Arial" w:hAnsi="Arial" w:cs="Arial"/>
          <w:szCs w:val="24"/>
          <w:lang w:val="en-GB"/>
        </w:rPr>
        <w:t>5’-GACUCCAGUGGUAAUCUAC-3’</w:t>
      </w:r>
      <w:r w:rsidRPr="00EB6E33">
        <w:rPr>
          <w:rFonts w:ascii="Arial" w:hAnsi="Arial" w:cs="Arial"/>
          <w:szCs w:val="24"/>
          <w:lang w:val="en-GB"/>
        </w:rPr>
        <w:br/>
      </w:r>
      <w:r w:rsidRPr="00EB6E33">
        <w:rPr>
          <w:rFonts w:ascii="Arial" w:hAnsi="Arial" w:cs="Arial"/>
          <w:i/>
          <w:szCs w:val="24"/>
          <w:lang w:val="en-GB"/>
        </w:rPr>
        <w:t>TP73:</w:t>
      </w:r>
      <w:r w:rsidRPr="00EB6E33">
        <w:rPr>
          <w:rFonts w:ascii="Arial" w:hAnsi="Arial" w:cs="Arial"/>
          <w:szCs w:val="24"/>
          <w:lang w:val="en-GB"/>
        </w:rPr>
        <w:t xml:space="preserve"> 5’-CAGGUGACCGACGUCGUGAAA-3’, 5’-CUCGGGAGGGACUUCAACGAA-3’, 5’-CCCGGGAUGCUCAACAACCAU-3’, 5’-CCCGCUCUUGAAGAAACUCUA-3’</w:t>
      </w:r>
    </w:p>
    <w:p w14:paraId="407D8A94" w14:textId="77777777" w:rsidR="00225C95" w:rsidRPr="00EB6E33" w:rsidRDefault="00225C95" w:rsidP="00225C95">
      <w:pPr>
        <w:spacing w:line="360" w:lineRule="auto"/>
        <w:rPr>
          <w:bCs/>
          <w:lang w:val="en-GB"/>
        </w:rPr>
      </w:pPr>
    </w:p>
    <w:p w14:paraId="2B3A1FDE" w14:textId="77777777" w:rsidR="00225C95" w:rsidRPr="00EB6E33" w:rsidRDefault="00225C95" w:rsidP="00225C95">
      <w:pPr>
        <w:spacing w:line="360" w:lineRule="auto"/>
        <w:rPr>
          <w:bCs/>
          <w:lang w:val="en-GB"/>
        </w:rPr>
      </w:pPr>
      <w:r w:rsidRPr="00EB6E33">
        <w:rPr>
          <w:b/>
          <w:lang w:val="en-US"/>
        </w:rPr>
        <w:t>Generation of stable cell lines</w:t>
      </w:r>
    </w:p>
    <w:p w14:paraId="6FE541CA" w14:textId="77777777" w:rsidR="00225C95" w:rsidRPr="00EB6E33" w:rsidRDefault="00225C95" w:rsidP="00225C95">
      <w:pPr>
        <w:spacing w:line="360" w:lineRule="auto"/>
        <w:rPr>
          <w:bCs/>
          <w:lang w:val="en-GB"/>
        </w:rPr>
      </w:pPr>
      <w:r w:rsidRPr="00EB6E33">
        <w:rPr>
          <w:bCs/>
          <w:lang w:val="en-GB"/>
        </w:rPr>
        <w:t xml:space="preserve">To generate stable HCT116 cell lines expressing </w:t>
      </w:r>
      <w:r w:rsidRPr="00EB6E33">
        <w:rPr>
          <w:bCs/>
          <w:i/>
          <w:lang w:val="en-GB"/>
        </w:rPr>
        <w:t>DNp73α</w:t>
      </w:r>
      <w:r w:rsidRPr="00EB6E33" w:rsidDel="00111E09">
        <w:rPr>
          <w:bCs/>
          <w:i/>
          <w:lang w:val="en-GB"/>
        </w:rPr>
        <w:t xml:space="preserve"> </w:t>
      </w:r>
      <w:r w:rsidRPr="00EB6E33">
        <w:rPr>
          <w:bCs/>
          <w:lang w:val="en-GB"/>
        </w:rPr>
        <w:t>in a doxycycline-inducible manner, cells were transfected with pInducer20-</w:t>
      </w:r>
      <w:r w:rsidRPr="00EB6E33">
        <w:rPr>
          <w:bCs/>
          <w:i/>
          <w:lang w:val="en-GB"/>
        </w:rPr>
        <w:t xml:space="preserve"> DNp73α</w:t>
      </w:r>
      <w:r w:rsidRPr="00EB6E33" w:rsidDel="00111E09">
        <w:rPr>
          <w:bCs/>
          <w:lang w:val="en-GB"/>
        </w:rPr>
        <w:t xml:space="preserve"> </w:t>
      </w:r>
      <w:r w:rsidRPr="00EB6E33">
        <w:rPr>
          <w:bCs/>
          <w:lang w:val="en-GB"/>
        </w:rPr>
        <w:t xml:space="preserve">(kindly provided by Thorsten </w:t>
      </w:r>
      <w:proofErr w:type="spellStart"/>
      <w:r w:rsidRPr="00EB6E33">
        <w:rPr>
          <w:bCs/>
          <w:lang w:val="en-GB"/>
        </w:rPr>
        <w:t>Stiewe</w:t>
      </w:r>
      <w:proofErr w:type="spellEnd"/>
      <w:r w:rsidRPr="00EB6E33">
        <w:rPr>
          <w:bCs/>
          <w:lang w:val="en-GB"/>
        </w:rPr>
        <w:t>, Marburg, Germany) using METAFECTENE (</w:t>
      </w:r>
      <w:proofErr w:type="spellStart"/>
      <w:r w:rsidRPr="00EB6E33">
        <w:rPr>
          <w:bCs/>
          <w:lang w:val="en-GB"/>
        </w:rPr>
        <w:t>Biontex</w:t>
      </w:r>
      <w:proofErr w:type="spellEnd"/>
      <w:r w:rsidRPr="00EB6E33">
        <w:rPr>
          <w:bCs/>
          <w:lang w:val="en-GB"/>
        </w:rPr>
        <w:t xml:space="preserve">, Germany) according to the manufacturer´s instructions. Single cell clones were selected in medium containing 300 µg/ml G418 </w:t>
      </w:r>
      <w:r w:rsidRPr="00EB6E33">
        <w:rPr>
          <w:lang w:val="en-GB"/>
        </w:rPr>
        <w:t xml:space="preserve">(Santa Cruz, USA). Stable cell lines expressing </w:t>
      </w:r>
      <w:r w:rsidRPr="00EB6E33">
        <w:rPr>
          <w:i/>
          <w:lang w:val="en-GB"/>
        </w:rPr>
        <w:t>TP73</w:t>
      </w:r>
      <w:r w:rsidRPr="00EB6E33">
        <w:rPr>
          <w:lang w:val="en-GB"/>
        </w:rPr>
        <w:t xml:space="preserve"> shRNA were generated by transfection with </w:t>
      </w:r>
      <w:r w:rsidRPr="00EB6E33">
        <w:rPr>
          <w:rFonts w:eastAsiaTheme="minorHAnsi"/>
          <w:lang w:val="en-GB" w:eastAsia="en-US"/>
        </w:rPr>
        <w:t>pLKO.1-sh-</w:t>
      </w:r>
      <w:r w:rsidRPr="00EB6E33">
        <w:rPr>
          <w:rFonts w:eastAsiaTheme="minorHAnsi"/>
          <w:i/>
          <w:iCs/>
          <w:lang w:val="en-GB" w:eastAsia="en-US"/>
        </w:rPr>
        <w:t>TP73</w:t>
      </w:r>
      <w:r w:rsidRPr="00EB6E33">
        <w:rPr>
          <w:rFonts w:eastAsiaTheme="minorHAnsi"/>
          <w:iCs/>
          <w:lang w:val="en-GB" w:eastAsia="en-US"/>
        </w:rPr>
        <w:t xml:space="preserve"> (Sigma-Aldrich, Germany; targeting sequence: </w:t>
      </w:r>
      <w:r w:rsidRPr="00EB6E33">
        <w:rPr>
          <w:color w:val="000000" w:themeColor="text1"/>
          <w:lang w:val="en-GB"/>
        </w:rPr>
        <w:t xml:space="preserve">5’-CTCTCCTTCCTGTGTGTCCAA-3’) and single cell clones were selected in medium containing 1 µg/ml </w:t>
      </w:r>
      <w:proofErr w:type="spellStart"/>
      <w:r w:rsidRPr="00EB6E33">
        <w:rPr>
          <w:color w:val="000000" w:themeColor="text1"/>
          <w:lang w:val="en-GB"/>
        </w:rPr>
        <w:t>puromycin</w:t>
      </w:r>
      <w:proofErr w:type="spellEnd"/>
      <w:r w:rsidRPr="00EB6E33">
        <w:rPr>
          <w:color w:val="000000" w:themeColor="text1"/>
          <w:lang w:val="en-GB"/>
        </w:rPr>
        <w:t xml:space="preserve"> (Sigma-Aldrich, Germany). HCT116 cell lines stably expressing </w:t>
      </w:r>
      <w:r w:rsidRPr="00EB6E33">
        <w:rPr>
          <w:i/>
          <w:color w:val="000000" w:themeColor="text1"/>
          <w:lang w:val="en-GB"/>
        </w:rPr>
        <w:t>CDK1</w:t>
      </w:r>
      <w:r w:rsidRPr="00EB6E33">
        <w:rPr>
          <w:color w:val="000000" w:themeColor="text1"/>
          <w:lang w:val="en-GB"/>
        </w:rPr>
        <w:t xml:space="preserve"> (catalytic inactive (DN) or constitutive active (AF) mutants) were obtained by stable transfection using </w:t>
      </w:r>
      <w:r w:rsidRPr="00EB6E33">
        <w:rPr>
          <w:lang w:val="en-GB"/>
        </w:rPr>
        <w:t>pcDNA3.1-FLAG-</w:t>
      </w:r>
      <w:r w:rsidRPr="00EB6E33">
        <w:rPr>
          <w:i/>
          <w:lang w:val="en-GB"/>
        </w:rPr>
        <w:t>CDK1-DN/AF</w:t>
      </w:r>
      <w:r w:rsidRPr="00EB6E33">
        <w:rPr>
          <w:lang w:val="en-GB"/>
        </w:rPr>
        <w:t xml:space="preserve"> plasmids (kindly provided by Makoto </w:t>
      </w:r>
      <w:proofErr w:type="spellStart"/>
      <w:r w:rsidRPr="00EB6E33">
        <w:rPr>
          <w:lang w:val="en-GB"/>
        </w:rPr>
        <w:t>Iimori</w:t>
      </w:r>
      <w:proofErr w:type="spellEnd"/>
      <w:r w:rsidRPr="00EB6E33">
        <w:rPr>
          <w:lang w:val="en-GB"/>
        </w:rPr>
        <w:t xml:space="preserve">, Kyushu, Japan and </w:t>
      </w:r>
      <w:proofErr w:type="spellStart"/>
      <w:r w:rsidRPr="00EB6E33">
        <w:rPr>
          <w:lang w:val="en-GB"/>
        </w:rPr>
        <w:t>Lienhard</w:t>
      </w:r>
      <w:proofErr w:type="spellEnd"/>
      <w:r w:rsidRPr="00EB6E33">
        <w:rPr>
          <w:lang w:val="en-GB"/>
        </w:rPr>
        <w:t xml:space="preserve"> Schmitz, Giessen, Germany) </w:t>
      </w:r>
      <w:r w:rsidRPr="00EB6E33">
        <w:rPr>
          <w:noProof/>
          <w:vertAlign w:val="superscript"/>
          <w:lang w:val="en-GB"/>
        </w:rPr>
        <w:t>61</w:t>
      </w:r>
      <w:r w:rsidRPr="00EB6E33">
        <w:rPr>
          <w:lang w:val="en-GB"/>
        </w:rPr>
        <w:t xml:space="preserve">. Single cell clones were selected in medium containing </w:t>
      </w:r>
      <w:r w:rsidRPr="00EB6E33">
        <w:rPr>
          <w:bCs/>
          <w:lang w:val="en-GB"/>
        </w:rPr>
        <w:t xml:space="preserve">300 µg/ml G418 </w:t>
      </w:r>
      <w:r w:rsidRPr="00EB6E33">
        <w:rPr>
          <w:lang w:val="en-GB"/>
        </w:rPr>
        <w:t>(Santa Cruz, USA).</w:t>
      </w:r>
    </w:p>
    <w:p w14:paraId="4919E0C9" w14:textId="77777777" w:rsidR="00225C95" w:rsidRPr="00EB6E33" w:rsidRDefault="00225C95" w:rsidP="00225C95">
      <w:pPr>
        <w:pStyle w:val="NotizEbene1"/>
        <w:numPr>
          <w:ilvl w:val="0"/>
          <w:numId w:val="0"/>
        </w:numPr>
        <w:spacing w:line="360" w:lineRule="auto"/>
        <w:rPr>
          <w:rFonts w:ascii="Arial" w:hAnsi="Arial" w:cs="Arial"/>
          <w:szCs w:val="24"/>
          <w:lang w:val="en-US"/>
        </w:rPr>
      </w:pPr>
    </w:p>
    <w:p w14:paraId="00D16959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szCs w:val="24"/>
          <w:lang w:val="en-US"/>
        </w:rPr>
      </w:pPr>
      <w:r w:rsidRPr="00EB6E33">
        <w:rPr>
          <w:rFonts w:ascii="Arial" w:hAnsi="Arial" w:cs="Arial"/>
          <w:b/>
          <w:szCs w:val="24"/>
          <w:lang w:val="en-US"/>
        </w:rPr>
        <w:t>FACS analyses</w:t>
      </w:r>
    </w:p>
    <w:p w14:paraId="7CC32523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szCs w:val="24"/>
          <w:lang w:val="en-GB"/>
        </w:rPr>
      </w:pPr>
      <w:r w:rsidRPr="00EB6E33">
        <w:rPr>
          <w:rFonts w:ascii="Arial" w:hAnsi="Arial" w:cs="Arial"/>
          <w:szCs w:val="24"/>
          <w:lang w:val="en-GB"/>
        </w:rPr>
        <w:t>Cells were fixed with 70% ethanol at 4°C overnight. To determine the mitotic index of the cell population, mitotic phospho-epitopes were stained with an anti-phospho-</w:t>
      </w:r>
      <w:proofErr w:type="spellStart"/>
      <w:r w:rsidRPr="00EB6E33">
        <w:rPr>
          <w:rFonts w:ascii="Arial" w:hAnsi="Arial" w:cs="Arial"/>
          <w:szCs w:val="24"/>
          <w:lang w:val="en-GB"/>
        </w:rPr>
        <w:t>Ser</w:t>
      </w:r>
      <w:proofErr w:type="spellEnd"/>
      <w:r w:rsidRPr="00EB6E33">
        <w:rPr>
          <w:rFonts w:ascii="Arial" w:hAnsi="Arial" w:cs="Arial"/>
          <w:szCs w:val="24"/>
          <w:lang w:val="en-GB"/>
        </w:rPr>
        <w:t>/</w:t>
      </w:r>
      <w:proofErr w:type="spellStart"/>
      <w:r w:rsidRPr="00EB6E33">
        <w:rPr>
          <w:rFonts w:ascii="Arial" w:hAnsi="Arial" w:cs="Arial"/>
          <w:szCs w:val="24"/>
          <w:lang w:val="en-GB"/>
        </w:rPr>
        <w:t>Thr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-Pro MPM-2 antibody (1:1600, Merck Millipore, Germany, cat no 05-368) and a secondary antibody conjugated to Alexa-Fluor488 (1:2000, Thermo Fisher, USA, cat no A11029) as described previously </w:t>
      </w:r>
      <w:r w:rsidRPr="00EB6E33">
        <w:rPr>
          <w:rFonts w:ascii="Arial" w:hAnsi="Arial" w:cs="Arial"/>
          <w:noProof/>
          <w:szCs w:val="24"/>
          <w:vertAlign w:val="superscript"/>
          <w:lang w:val="en-GB"/>
        </w:rPr>
        <w:t>45</w:t>
      </w:r>
      <w:r w:rsidRPr="00EB6E33">
        <w:rPr>
          <w:rFonts w:ascii="Arial" w:hAnsi="Arial" w:cs="Arial"/>
          <w:szCs w:val="24"/>
          <w:lang w:val="en-GB"/>
        </w:rPr>
        <w:t xml:space="preserve">. To analyse the DNA content and thus the cell cycle phase, cells were stained with the DNA intercalating agent </w:t>
      </w:r>
      <w:proofErr w:type="spellStart"/>
      <w:r w:rsidRPr="00EB6E33">
        <w:rPr>
          <w:rFonts w:ascii="Arial" w:hAnsi="Arial" w:cs="Arial"/>
          <w:szCs w:val="24"/>
          <w:lang w:val="en-GB"/>
        </w:rPr>
        <w:t>propidium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iodide after treatment with 1 µg/ml </w:t>
      </w:r>
      <w:proofErr w:type="spellStart"/>
      <w:r w:rsidRPr="00EB6E33">
        <w:rPr>
          <w:rFonts w:ascii="Arial" w:hAnsi="Arial" w:cs="Arial"/>
          <w:szCs w:val="24"/>
          <w:lang w:val="en-GB"/>
        </w:rPr>
        <w:t>RNaseA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(</w:t>
      </w:r>
      <w:proofErr w:type="spellStart"/>
      <w:r w:rsidRPr="00EB6E33">
        <w:rPr>
          <w:rFonts w:ascii="Arial" w:hAnsi="Arial" w:cs="Arial"/>
          <w:szCs w:val="24"/>
          <w:lang w:val="en-GB"/>
        </w:rPr>
        <w:t>Applichem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, Germany). Cells were measured using a BD </w:t>
      </w:r>
      <w:proofErr w:type="spellStart"/>
      <w:r w:rsidRPr="00EB6E33">
        <w:rPr>
          <w:rFonts w:ascii="Arial" w:hAnsi="Arial" w:cs="Arial"/>
          <w:szCs w:val="24"/>
          <w:lang w:val="en-GB"/>
        </w:rPr>
        <w:t>FACSCanto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II flow cytometer (Becton Dickinson, USA) and data analysis was performed with the software BD </w:t>
      </w:r>
      <w:proofErr w:type="spellStart"/>
      <w:r w:rsidRPr="00EB6E33">
        <w:rPr>
          <w:rFonts w:ascii="Arial" w:hAnsi="Arial" w:cs="Arial"/>
          <w:szCs w:val="24"/>
          <w:lang w:val="en-GB"/>
        </w:rPr>
        <w:t>FACSDiva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(Becton Dickinson, USA). </w:t>
      </w:r>
    </w:p>
    <w:p w14:paraId="6574BD8E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szCs w:val="24"/>
          <w:lang w:val="en-US"/>
        </w:rPr>
      </w:pPr>
    </w:p>
    <w:p w14:paraId="4A98D01F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szCs w:val="24"/>
          <w:lang w:val="en-US"/>
        </w:rPr>
      </w:pPr>
      <w:r w:rsidRPr="00EB6E33">
        <w:rPr>
          <w:rFonts w:ascii="Arial" w:hAnsi="Arial" w:cs="Arial"/>
          <w:b/>
          <w:szCs w:val="24"/>
          <w:lang w:val="en-US"/>
        </w:rPr>
        <w:t>Measurement of microtubule plus end assembly rates</w:t>
      </w:r>
    </w:p>
    <w:p w14:paraId="6374FF70" w14:textId="77777777" w:rsidR="00225C95" w:rsidRPr="00EB6E33" w:rsidRDefault="00225C95" w:rsidP="00225C95">
      <w:pPr>
        <w:pStyle w:val="NotizEbene1"/>
        <w:numPr>
          <w:ilvl w:val="0"/>
          <w:numId w:val="0"/>
        </w:numPr>
        <w:spacing w:line="360" w:lineRule="auto"/>
        <w:rPr>
          <w:rFonts w:ascii="Arial" w:hAnsi="Arial" w:cs="Arial"/>
          <w:szCs w:val="24"/>
          <w:lang w:val="en-GB"/>
        </w:rPr>
      </w:pPr>
      <w:r w:rsidRPr="00EB6E33">
        <w:rPr>
          <w:rFonts w:ascii="Arial" w:hAnsi="Arial" w:cs="Arial"/>
          <w:szCs w:val="24"/>
          <w:lang w:val="en-GB"/>
        </w:rPr>
        <w:t xml:space="preserve">To determine microtubule plus end assembly rates, live-cell microscopy was performed on cells expressing GFP-tagged end-binding protein 3 (EB3), which allows the visualisation of microtubule plus-tips </w:t>
      </w:r>
      <w:r w:rsidRPr="00EB6E33">
        <w:rPr>
          <w:rFonts w:ascii="Arial" w:hAnsi="Arial" w:cs="Arial"/>
          <w:noProof/>
          <w:szCs w:val="24"/>
          <w:vertAlign w:val="superscript"/>
          <w:lang w:val="en-GB"/>
        </w:rPr>
        <w:t>10, 30</w:t>
      </w:r>
      <w:r w:rsidRPr="00EB6E33">
        <w:rPr>
          <w:rFonts w:ascii="Arial" w:hAnsi="Arial" w:cs="Arial"/>
          <w:szCs w:val="24"/>
          <w:lang w:val="en-GB"/>
        </w:rPr>
        <w:t>. Cells were transfected with pEGFP-</w:t>
      </w:r>
      <w:r w:rsidRPr="00EB6E33">
        <w:rPr>
          <w:rFonts w:ascii="Arial" w:hAnsi="Arial" w:cs="Arial"/>
          <w:i/>
          <w:szCs w:val="24"/>
          <w:lang w:val="en-GB"/>
        </w:rPr>
        <w:t>EB3</w:t>
      </w:r>
      <w:r w:rsidRPr="00EB6E33">
        <w:rPr>
          <w:rFonts w:ascii="Arial" w:hAnsi="Arial" w:cs="Arial"/>
          <w:szCs w:val="24"/>
          <w:lang w:val="en-GB"/>
        </w:rPr>
        <w:t xml:space="preserve"> plasmid and 48 hours after transfection, cells were treated with 2 µM </w:t>
      </w:r>
      <w:proofErr w:type="spellStart"/>
      <w:r w:rsidRPr="00EB6E33">
        <w:rPr>
          <w:rFonts w:ascii="Arial" w:hAnsi="Arial" w:cs="Arial"/>
          <w:szCs w:val="24"/>
          <w:lang w:val="en-GB"/>
        </w:rPr>
        <w:t>Dimethylenastron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(DME; </w:t>
      </w:r>
      <w:proofErr w:type="spellStart"/>
      <w:r w:rsidRPr="00EB6E33">
        <w:rPr>
          <w:rFonts w:ascii="Arial" w:hAnsi="Arial" w:cs="Arial"/>
          <w:szCs w:val="24"/>
          <w:lang w:val="en-GB"/>
        </w:rPr>
        <w:t>Calbiochem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, USA) for 1 hour to synchronize cells in prometaphase of mitosis as described </w:t>
      </w:r>
      <w:r w:rsidRPr="00EB6E33">
        <w:rPr>
          <w:rFonts w:ascii="Arial" w:hAnsi="Arial" w:cs="Arial"/>
          <w:noProof/>
          <w:szCs w:val="24"/>
          <w:vertAlign w:val="superscript"/>
          <w:lang w:val="en-GB"/>
        </w:rPr>
        <w:t>10-12</w:t>
      </w:r>
      <w:r w:rsidRPr="00EB6E33">
        <w:rPr>
          <w:rFonts w:ascii="Arial" w:hAnsi="Arial" w:cs="Arial"/>
          <w:szCs w:val="24"/>
          <w:lang w:val="en-GB"/>
        </w:rPr>
        <w:t xml:space="preserve">. Live cells were recorded using a </w:t>
      </w:r>
      <w:proofErr w:type="spellStart"/>
      <w:r w:rsidRPr="00EB6E33">
        <w:rPr>
          <w:rFonts w:ascii="Arial" w:hAnsi="Arial" w:cs="Arial"/>
          <w:szCs w:val="24"/>
          <w:lang w:val="en-GB"/>
        </w:rPr>
        <w:t>DeltaVision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Elite microscope (GE Healthcare, UK) equipped with a PCO Edge </w:t>
      </w:r>
      <w:proofErr w:type="spellStart"/>
      <w:r w:rsidRPr="00EB6E33">
        <w:rPr>
          <w:rFonts w:ascii="Arial" w:hAnsi="Arial" w:cs="Arial"/>
          <w:color w:val="000000" w:themeColor="text1"/>
          <w:szCs w:val="24"/>
          <w:lang w:val="en-GB"/>
        </w:rPr>
        <w:t>sCMOS</w:t>
      </w:r>
      <w:proofErr w:type="spellEnd"/>
      <w:r w:rsidRPr="00EB6E33">
        <w:rPr>
          <w:rFonts w:ascii="Arial" w:hAnsi="Arial" w:cs="Arial"/>
          <w:color w:val="000000" w:themeColor="text1"/>
          <w:szCs w:val="24"/>
          <w:lang w:val="en-GB"/>
        </w:rPr>
        <w:t xml:space="preserve"> camera (PCO, Germany) and the </w:t>
      </w:r>
      <w:proofErr w:type="spellStart"/>
      <w:r w:rsidRPr="00EB6E33">
        <w:rPr>
          <w:rFonts w:ascii="Arial" w:hAnsi="Arial" w:cs="Arial"/>
          <w:color w:val="000000" w:themeColor="text1"/>
          <w:szCs w:val="24"/>
          <w:lang w:val="en-GB"/>
        </w:rPr>
        <w:t>softWoRx</w:t>
      </w:r>
      <w:proofErr w:type="spellEnd"/>
      <w:r w:rsidRPr="00EB6E33">
        <w:rPr>
          <w:rFonts w:ascii="Arial" w:hAnsi="Arial" w:cs="Arial"/>
          <w:color w:val="000000" w:themeColor="text1"/>
          <w:szCs w:val="24"/>
          <w:lang w:val="en-GB"/>
        </w:rPr>
        <w:t>® 6.0 Software Suite (GE</w:t>
      </w:r>
      <w:r w:rsidRPr="00EB6E33">
        <w:rPr>
          <w:rFonts w:ascii="Arial" w:hAnsi="Arial" w:cs="Arial"/>
          <w:szCs w:val="24"/>
          <w:lang w:val="en-GB"/>
        </w:rPr>
        <w:t xml:space="preserve"> Healthcare, USA). Images were taken every 2 seconds for 30 seconds in total. During image acquisition, cells were incubated at 37°C and 5% CO</w:t>
      </w:r>
      <w:r w:rsidRPr="00EB6E33">
        <w:rPr>
          <w:rFonts w:ascii="Arial" w:hAnsi="Arial" w:cs="Arial"/>
          <w:szCs w:val="24"/>
          <w:vertAlign w:val="subscript"/>
          <w:lang w:val="en-GB"/>
        </w:rPr>
        <w:t>2</w:t>
      </w:r>
      <w:r w:rsidRPr="00EB6E33">
        <w:rPr>
          <w:rFonts w:ascii="Arial" w:hAnsi="Arial" w:cs="Arial"/>
          <w:szCs w:val="24"/>
          <w:lang w:val="en-GB"/>
        </w:rPr>
        <w:t xml:space="preserve">. Images were </w:t>
      </w:r>
      <w:proofErr w:type="spellStart"/>
      <w:r w:rsidRPr="00EB6E33">
        <w:rPr>
          <w:rFonts w:ascii="Arial" w:hAnsi="Arial" w:cs="Arial"/>
          <w:color w:val="000000" w:themeColor="text1"/>
          <w:szCs w:val="24"/>
          <w:lang w:val="en-GB"/>
        </w:rPr>
        <w:t>deconvolved</w:t>
      </w:r>
      <w:proofErr w:type="spellEnd"/>
      <w:r w:rsidRPr="00EB6E33">
        <w:rPr>
          <w:rFonts w:ascii="Arial" w:hAnsi="Arial" w:cs="Arial"/>
          <w:color w:val="000000" w:themeColor="text1"/>
          <w:szCs w:val="24"/>
          <w:lang w:val="en-GB"/>
        </w:rPr>
        <w:t xml:space="preserve"> and analysed using the </w:t>
      </w:r>
      <w:proofErr w:type="spellStart"/>
      <w:r w:rsidRPr="00EB6E33">
        <w:rPr>
          <w:rFonts w:ascii="Arial" w:hAnsi="Arial" w:cs="Arial"/>
          <w:color w:val="000000" w:themeColor="text1"/>
          <w:szCs w:val="24"/>
          <w:lang w:val="en-GB"/>
        </w:rPr>
        <w:t>softWoRx</w:t>
      </w:r>
      <w:proofErr w:type="spellEnd"/>
      <w:r w:rsidRPr="00EB6E33">
        <w:rPr>
          <w:rFonts w:ascii="Arial" w:hAnsi="Arial" w:cs="Arial"/>
          <w:color w:val="000000" w:themeColor="text1"/>
          <w:szCs w:val="24"/>
          <w:lang w:val="en-GB"/>
        </w:rPr>
        <w:t>® 6.0 Software Suite (GE Healthcare,</w:t>
      </w:r>
      <w:r w:rsidRPr="00EB6E33">
        <w:rPr>
          <w:rFonts w:ascii="Arial" w:hAnsi="Arial" w:cs="Arial"/>
          <w:szCs w:val="24"/>
          <w:lang w:val="en-GB"/>
        </w:rPr>
        <w:t xml:space="preserve"> USA). Average microtubule plus end growth rates were calculated from 10-30 cells with 20 microtubules measured per cell. </w:t>
      </w:r>
    </w:p>
    <w:p w14:paraId="1A786526" w14:textId="77777777" w:rsidR="00225C95" w:rsidRPr="00EB6E33" w:rsidRDefault="00225C95" w:rsidP="00225C95">
      <w:pPr>
        <w:pStyle w:val="NotizEbene1"/>
        <w:numPr>
          <w:ilvl w:val="0"/>
          <w:numId w:val="0"/>
        </w:numPr>
        <w:spacing w:line="360" w:lineRule="auto"/>
        <w:rPr>
          <w:rFonts w:ascii="Arial" w:hAnsi="Arial" w:cs="Arial"/>
          <w:szCs w:val="24"/>
          <w:lang w:val="en-US"/>
        </w:rPr>
      </w:pPr>
    </w:p>
    <w:p w14:paraId="17CD2724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szCs w:val="24"/>
          <w:lang w:val="en-US"/>
        </w:rPr>
      </w:pPr>
      <w:r w:rsidRPr="00EB6E33">
        <w:rPr>
          <w:rFonts w:ascii="Arial" w:hAnsi="Arial" w:cs="Arial"/>
          <w:b/>
          <w:szCs w:val="24"/>
          <w:lang w:val="en-US"/>
        </w:rPr>
        <w:t xml:space="preserve">Detection of lagging chromosomes </w:t>
      </w:r>
    </w:p>
    <w:p w14:paraId="34635CBB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bCs/>
          <w:szCs w:val="24"/>
          <w:lang w:val="en-GB"/>
        </w:rPr>
      </w:pPr>
      <w:r w:rsidRPr="00EB6E33">
        <w:rPr>
          <w:rFonts w:ascii="Arial" w:hAnsi="Arial" w:cs="Arial"/>
          <w:szCs w:val="24"/>
          <w:lang w:val="en-GB"/>
        </w:rPr>
        <w:t xml:space="preserve">To accumulate cells in anaphase, cells were synchronised with a double thymidine block and released into fresh growth medium for 8.5-9 hours as described </w:t>
      </w:r>
      <w:r w:rsidRPr="00EB6E33">
        <w:rPr>
          <w:rFonts w:ascii="Arial" w:hAnsi="Arial" w:cs="Arial"/>
          <w:noProof/>
          <w:szCs w:val="24"/>
          <w:vertAlign w:val="superscript"/>
          <w:lang w:val="en-GB"/>
        </w:rPr>
        <w:t>10, 12</w:t>
      </w:r>
      <w:r w:rsidRPr="00EB6E33">
        <w:rPr>
          <w:rFonts w:ascii="Arial" w:hAnsi="Arial" w:cs="Arial"/>
          <w:szCs w:val="24"/>
          <w:lang w:val="en-GB"/>
        </w:rPr>
        <w:t>. Cells were fixed with 2% PFA for 5 minutes at room temperature and then with 100% methanol for 5 minutes at -20°C. Subsequently, the samples were blocked with 5% FBS in PBS for 25 minutes. To detect the mitotic spindle, centromeres, and DNA, cells were stained with anti-α-tubulin (</w:t>
      </w:r>
      <w:r w:rsidRPr="00EB6E33">
        <w:rPr>
          <w:rFonts w:ascii="Arial" w:hAnsi="Arial" w:cs="Arial"/>
          <w:bCs/>
          <w:szCs w:val="24"/>
          <w:lang w:val="en-GB"/>
        </w:rPr>
        <w:t>1:700, B-5-1-2, Santa Cruz, USA, cat no sc-23948), anti-CENP-C (1:1000, MBL International Corporation, USA, cat no PD030), secondary antibodies conjugated to Alexa-Fluor488 and Alexa-Fluor594 (</w:t>
      </w:r>
      <w:r w:rsidRPr="00EB6E33">
        <w:rPr>
          <w:rFonts w:ascii="Arial" w:hAnsi="Arial" w:cs="Arial"/>
          <w:szCs w:val="24"/>
          <w:lang w:val="en-GB"/>
        </w:rPr>
        <w:t>1:1000, Thermo Fisher, USA, cat no A11029, A11076</w:t>
      </w:r>
      <w:r w:rsidRPr="00EB6E33">
        <w:rPr>
          <w:rFonts w:ascii="Arial" w:hAnsi="Arial" w:cs="Arial"/>
          <w:bCs/>
          <w:szCs w:val="24"/>
          <w:lang w:val="en-GB"/>
        </w:rPr>
        <w:t xml:space="preserve">), and Hoechst33342 (1:15000, </w:t>
      </w:r>
      <w:r w:rsidRPr="00EB6E33">
        <w:rPr>
          <w:rFonts w:ascii="Arial" w:hAnsi="Arial" w:cs="Arial"/>
          <w:szCs w:val="24"/>
          <w:lang w:val="en-GB"/>
        </w:rPr>
        <w:t>Thermo Fisher Scientific</w:t>
      </w:r>
      <w:r w:rsidRPr="00EB6E33">
        <w:rPr>
          <w:rFonts w:ascii="Arial" w:hAnsi="Arial" w:cs="Arial"/>
          <w:bCs/>
          <w:szCs w:val="24"/>
          <w:lang w:val="en-GB"/>
        </w:rPr>
        <w:t xml:space="preserve">, USA). To determine the proportion of anaphase cells exhibiting lagging chromosomes, at least 300 anaphase cells were analysed from 3 independent experiments using a </w:t>
      </w:r>
      <w:r w:rsidRPr="00EB6E33">
        <w:rPr>
          <w:rFonts w:ascii="Arial" w:eastAsia="ArialMT" w:hAnsi="Arial" w:cs="Arial"/>
          <w:szCs w:val="24"/>
          <w:lang w:val="en-GB"/>
        </w:rPr>
        <w:t>Leica</w:t>
      </w:r>
      <w:r w:rsidRPr="00EB6E33">
        <w:rPr>
          <w:rFonts w:ascii="Arial" w:eastAsia="ArialMT" w:hAnsi="Arial" w:cs="Arial"/>
          <w:color w:val="000000" w:themeColor="text1"/>
          <w:szCs w:val="24"/>
          <w:lang w:val="en-GB"/>
        </w:rPr>
        <w:t xml:space="preserve"> DMI6000B </w:t>
      </w:r>
      <w:r w:rsidRPr="00EB6E33">
        <w:rPr>
          <w:rFonts w:ascii="Arial" w:eastAsia="ArialMT" w:hAnsi="Arial" w:cs="Arial"/>
          <w:szCs w:val="24"/>
          <w:lang w:val="en-GB"/>
        </w:rPr>
        <w:t xml:space="preserve">fluorescence microscope (Leica, Germany) equipped with </w:t>
      </w:r>
      <w:r w:rsidRPr="00EB6E33">
        <w:rPr>
          <w:rFonts w:ascii="Arial" w:eastAsia="ArialMT" w:hAnsi="Arial" w:cs="Arial"/>
          <w:color w:val="000000" w:themeColor="text1"/>
          <w:szCs w:val="24"/>
          <w:lang w:val="en-GB"/>
        </w:rPr>
        <w:t>a Leica DFC360 FX c</w:t>
      </w:r>
      <w:r w:rsidRPr="00EB6E33">
        <w:rPr>
          <w:rFonts w:ascii="Arial" w:eastAsia="ArialMT" w:hAnsi="Arial" w:cs="Arial"/>
          <w:szCs w:val="24"/>
          <w:lang w:val="en-GB"/>
        </w:rPr>
        <w:t>amera (Leica, Germany) and the Leica LAS AF software (Leica, Germany). Only chromosomes, which were stained with both Hoechst33342 and anti-CENP-C and were clearly separated from the two DNA masses in anaphase, were defined as lagging.</w:t>
      </w:r>
    </w:p>
    <w:p w14:paraId="62E944CD" w14:textId="77777777" w:rsidR="00225C95" w:rsidRPr="00EB6E33" w:rsidRDefault="00225C95" w:rsidP="00225C95">
      <w:pPr>
        <w:pStyle w:val="NotizEbene1"/>
        <w:numPr>
          <w:ilvl w:val="0"/>
          <w:numId w:val="0"/>
        </w:numPr>
        <w:spacing w:line="360" w:lineRule="auto"/>
        <w:rPr>
          <w:rFonts w:ascii="Arial" w:hAnsi="Arial" w:cs="Arial"/>
          <w:szCs w:val="24"/>
          <w:lang w:val="en-US"/>
        </w:rPr>
      </w:pPr>
    </w:p>
    <w:p w14:paraId="2A0168A1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szCs w:val="24"/>
          <w:u w:val="single"/>
          <w:lang w:val="en-US"/>
        </w:rPr>
      </w:pPr>
      <w:r w:rsidRPr="00EB6E33">
        <w:rPr>
          <w:rFonts w:ascii="Arial" w:hAnsi="Arial" w:cs="Arial"/>
          <w:b/>
          <w:szCs w:val="24"/>
          <w:lang w:val="en-US"/>
        </w:rPr>
        <w:t>Generation of single cell clones and W-CIN analysis</w:t>
      </w:r>
    </w:p>
    <w:p w14:paraId="1317C182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szCs w:val="24"/>
          <w:lang w:val="en-GB"/>
        </w:rPr>
      </w:pPr>
      <w:r w:rsidRPr="00EB6E33">
        <w:rPr>
          <w:rFonts w:ascii="Arial" w:hAnsi="Arial" w:cs="Arial"/>
          <w:szCs w:val="24"/>
          <w:lang w:val="en-GB"/>
        </w:rPr>
        <w:t xml:space="preserve">To analyse induction or suppression of W-CIN, single cell clones were grown for 30 cell cycles and the evolved chromosome number variability was determined on a single cell level. To analyse the effect of </w:t>
      </w:r>
      <w:r w:rsidRPr="00EB6E33">
        <w:rPr>
          <w:rFonts w:ascii="Arial" w:hAnsi="Arial" w:cs="Arial"/>
          <w:i/>
          <w:szCs w:val="24"/>
          <w:lang w:val="en-GB"/>
        </w:rPr>
        <w:t>DNp73</w:t>
      </w:r>
      <w:r w:rsidRPr="00EB6E33">
        <w:rPr>
          <w:rFonts w:ascii="Arial" w:hAnsi="Arial" w:cs="Arial"/>
          <w:szCs w:val="24"/>
          <w:lang w:val="en-GB"/>
        </w:rPr>
        <w:t xml:space="preserve"> expression, doxycycline-inducible HCT116 cells were seeded at low density in the absence or presence of </w:t>
      </w:r>
      <w:proofErr w:type="gramStart"/>
      <w:r w:rsidRPr="00EB6E33">
        <w:rPr>
          <w:rFonts w:ascii="Arial" w:hAnsi="Arial" w:cs="Arial"/>
          <w:szCs w:val="24"/>
          <w:lang w:val="en-GB"/>
        </w:rPr>
        <w:t xml:space="preserve">200 </w:t>
      </w:r>
      <w:proofErr w:type="spellStart"/>
      <w:r w:rsidRPr="00EB6E33">
        <w:rPr>
          <w:rFonts w:ascii="Arial" w:hAnsi="Arial" w:cs="Arial"/>
          <w:szCs w:val="24"/>
          <w:lang w:val="en-GB"/>
        </w:rPr>
        <w:t>ng</w:t>
      </w:r>
      <w:proofErr w:type="spellEnd"/>
      <w:r w:rsidRPr="00EB6E33">
        <w:rPr>
          <w:rFonts w:ascii="Arial" w:hAnsi="Arial" w:cs="Arial"/>
          <w:szCs w:val="24"/>
          <w:lang w:val="en-GB"/>
        </w:rPr>
        <w:t>/</w:t>
      </w:r>
      <w:proofErr w:type="gramEnd"/>
      <w:r w:rsidRPr="00EB6E33">
        <w:rPr>
          <w:rFonts w:ascii="Arial" w:hAnsi="Arial" w:cs="Arial"/>
          <w:szCs w:val="24"/>
          <w:lang w:val="en-GB"/>
        </w:rPr>
        <w:t xml:space="preserve">ml doxycycline (Sigma-Aldrich, Germany) and single cell clones were analysed after 30 days. To investigate the effect of restoration of proper microtubule growth rates, single cell clones were grown in the presence of 0.2 </w:t>
      </w:r>
      <w:proofErr w:type="spellStart"/>
      <w:r w:rsidRPr="00EB6E33">
        <w:rPr>
          <w:rFonts w:ascii="Arial" w:hAnsi="Arial" w:cs="Arial"/>
          <w:szCs w:val="24"/>
          <w:lang w:val="en-GB"/>
        </w:rPr>
        <w:t>nM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Taxol for 30 generations. Similarly, single cell clones were generated in the absence or presence of 0.5 µM RO-3306 (CDK1 inhibitor) or after expression of </w:t>
      </w:r>
      <w:r w:rsidRPr="00EB6E33">
        <w:rPr>
          <w:rFonts w:ascii="Arial" w:hAnsi="Arial" w:cs="Arial"/>
          <w:i/>
          <w:szCs w:val="24"/>
          <w:lang w:val="en-GB"/>
        </w:rPr>
        <w:t>CDK1-AF</w:t>
      </w:r>
      <w:r w:rsidRPr="00EB6E33">
        <w:rPr>
          <w:rFonts w:ascii="Arial" w:hAnsi="Arial" w:cs="Arial"/>
          <w:szCs w:val="24"/>
          <w:lang w:val="en-GB"/>
        </w:rPr>
        <w:t xml:space="preserve"> or </w:t>
      </w:r>
      <w:r w:rsidRPr="00EB6E33">
        <w:rPr>
          <w:rFonts w:ascii="Arial" w:hAnsi="Arial" w:cs="Arial"/>
          <w:i/>
          <w:szCs w:val="24"/>
          <w:lang w:val="en-GB"/>
        </w:rPr>
        <w:t>CDK1-DN</w:t>
      </w:r>
      <w:r w:rsidRPr="00EB6E33">
        <w:rPr>
          <w:rFonts w:ascii="Arial" w:hAnsi="Arial" w:cs="Arial"/>
          <w:szCs w:val="24"/>
          <w:lang w:val="en-GB"/>
        </w:rPr>
        <w:t xml:space="preserve">. Mitotic chromosome spreads were obtained upon treatment with 2 µM </w:t>
      </w:r>
      <w:proofErr w:type="spellStart"/>
      <w:r w:rsidRPr="00EB6E33">
        <w:rPr>
          <w:rFonts w:ascii="Arial" w:hAnsi="Arial" w:cs="Arial"/>
          <w:szCs w:val="24"/>
          <w:lang w:val="en-GB"/>
        </w:rPr>
        <w:t>Dimethylenastron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(DME; </w:t>
      </w:r>
      <w:proofErr w:type="spellStart"/>
      <w:r w:rsidRPr="00EB6E33">
        <w:rPr>
          <w:rFonts w:ascii="Arial" w:hAnsi="Arial" w:cs="Arial"/>
          <w:szCs w:val="24"/>
          <w:lang w:val="en-GB"/>
        </w:rPr>
        <w:t>Calbiochem</w:t>
      </w:r>
      <w:proofErr w:type="spellEnd"/>
      <w:r w:rsidRPr="00EB6E33">
        <w:rPr>
          <w:rFonts w:ascii="Arial" w:hAnsi="Arial" w:cs="Arial"/>
          <w:szCs w:val="24"/>
          <w:lang w:val="en-GB"/>
        </w:rPr>
        <w:t>, USA) for 4 hours to accumulate mitotic cells. Cells were harvested, incubated in hypotonic solution (40% RPMI1640 + 60% ddH</w:t>
      </w:r>
      <w:r w:rsidRPr="00EB6E33">
        <w:rPr>
          <w:rFonts w:ascii="Arial" w:hAnsi="Arial" w:cs="Arial"/>
          <w:szCs w:val="24"/>
          <w:vertAlign w:val="subscript"/>
          <w:lang w:val="en-GB"/>
        </w:rPr>
        <w:t>2</w:t>
      </w:r>
      <w:r w:rsidRPr="00EB6E33">
        <w:rPr>
          <w:rFonts w:ascii="Arial" w:hAnsi="Arial" w:cs="Arial"/>
          <w:szCs w:val="24"/>
          <w:lang w:val="en-GB"/>
        </w:rPr>
        <w:t xml:space="preserve">O) and fixed in ice-cold 75% methanol + 25% acetic acid. Subsequently, cells were </w:t>
      </w:r>
      <w:proofErr w:type="spellStart"/>
      <w:r w:rsidRPr="00EB6E33">
        <w:rPr>
          <w:rFonts w:ascii="Arial" w:hAnsi="Arial" w:cs="Arial"/>
          <w:szCs w:val="24"/>
          <w:lang w:val="en-GB"/>
        </w:rPr>
        <w:t>resuspended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in 100% acetic acid and carefully dropped onto pre-cooled glass slides as described previously </w:t>
      </w:r>
      <w:r w:rsidRPr="00EB6E33">
        <w:rPr>
          <w:rFonts w:ascii="Arial" w:hAnsi="Arial" w:cs="Arial"/>
          <w:noProof/>
          <w:szCs w:val="24"/>
          <w:vertAlign w:val="superscript"/>
          <w:lang w:val="en-GB"/>
        </w:rPr>
        <w:t>10, 12</w:t>
      </w:r>
      <w:r w:rsidRPr="00EB6E33">
        <w:rPr>
          <w:rFonts w:ascii="Arial" w:hAnsi="Arial" w:cs="Arial"/>
          <w:szCs w:val="24"/>
          <w:lang w:val="en-GB"/>
        </w:rPr>
        <w:t xml:space="preserve">. After drying, cells were stained with </w:t>
      </w:r>
      <w:proofErr w:type="spellStart"/>
      <w:r w:rsidRPr="00EB6E33">
        <w:rPr>
          <w:rFonts w:ascii="Arial" w:hAnsi="Arial" w:cs="Arial"/>
          <w:szCs w:val="24"/>
          <w:lang w:val="en-GB"/>
        </w:rPr>
        <w:t>Giemsa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solution (Sigma-Aldrich, Germany). For each condition, the chromosome number of 50 metaphase spreads was counted using a Zeiss </w:t>
      </w:r>
      <w:proofErr w:type="spellStart"/>
      <w:r w:rsidRPr="00EB6E33">
        <w:rPr>
          <w:rFonts w:ascii="Arial" w:hAnsi="Arial" w:cs="Arial"/>
          <w:szCs w:val="24"/>
          <w:lang w:val="en-GB"/>
        </w:rPr>
        <w:t>Axioscope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FS microscope (Zeiss, Germany) equipped with a Hamamatsu digital camera C4742-95 (Hamamatsu Photonics, Japan) and the </w:t>
      </w:r>
      <w:proofErr w:type="spellStart"/>
      <w:r w:rsidRPr="00EB6E33">
        <w:rPr>
          <w:rFonts w:ascii="Arial" w:hAnsi="Arial" w:cs="Arial"/>
          <w:szCs w:val="24"/>
          <w:lang w:val="en-GB"/>
        </w:rPr>
        <w:t>Hokawo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Launcher 2.1 software (Hamamatsu Photonics, Japan).</w:t>
      </w:r>
    </w:p>
    <w:p w14:paraId="1167439D" w14:textId="77777777" w:rsidR="00225C95" w:rsidRPr="00EB6E33" w:rsidRDefault="00225C95" w:rsidP="00225C95">
      <w:pPr>
        <w:pStyle w:val="NotizEbene1"/>
        <w:numPr>
          <w:ilvl w:val="0"/>
          <w:numId w:val="0"/>
        </w:numPr>
        <w:spacing w:line="360" w:lineRule="auto"/>
        <w:rPr>
          <w:rFonts w:ascii="Arial" w:hAnsi="Arial" w:cs="Arial"/>
          <w:szCs w:val="24"/>
          <w:lang w:val="en-US"/>
        </w:rPr>
      </w:pPr>
    </w:p>
    <w:p w14:paraId="41999808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szCs w:val="24"/>
          <w:lang w:val="en-US"/>
        </w:rPr>
      </w:pPr>
      <w:r w:rsidRPr="00EB6E33">
        <w:rPr>
          <w:rFonts w:ascii="Arial" w:hAnsi="Arial" w:cs="Arial"/>
          <w:b/>
          <w:szCs w:val="24"/>
          <w:lang w:val="en-US"/>
        </w:rPr>
        <w:t>Western blotting</w:t>
      </w:r>
    </w:p>
    <w:p w14:paraId="3C6A3503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bCs/>
          <w:szCs w:val="24"/>
          <w:lang w:val="en-GB"/>
        </w:rPr>
      </w:pPr>
      <w:r w:rsidRPr="00EB6E33">
        <w:rPr>
          <w:rFonts w:ascii="Arial" w:hAnsi="Arial" w:cs="Arial"/>
          <w:bCs/>
          <w:szCs w:val="24"/>
          <w:lang w:val="en-GB"/>
        </w:rPr>
        <w:t xml:space="preserve">Cells were lysed in </w:t>
      </w:r>
      <w:proofErr w:type="spellStart"/>
      <w:r w:rsidRPr="00EB6E33">
        <w:rPr>
          <w:rFonts w:ascii="Arial" w:hAnsi="Arial" w:cs="Arial"/>
          <w:bCs/>
          <w:szCs w:val="24"/>
          <w:lang w:val="en-GB"/>
        </w:rPr>
        <w:t>lysis</w:t>
      </w:r>
      <w:proofErr w:type="spellEnd"/>
      <w:r w:rsidRPr="00EB6E33">
        <w:rPr>
          <w:rFonts w:ascii="Arial" w:hAnsi="Arial" w:cs="Arial"/>
          <w:bCs/>
          <w:szCs w:val="24"/>
          <w:lang w:val="en-GB"/>
        </w:rPr>
        <w:t xml:space="preserve"> buffer (</w:t>
      </w:r>
      <w:r w:rsidRPr="00EB6E33">
        <w:rPr>
          <w:rFonts w:ascii="Arial" w:hAnsi="Arial" w:cs="Arial"/>
          <w:szCs w:val="24"/>
          <w:lang w:val="en-GB"/>
        </w:rPr>
        <w:t xml:space="preserve">50 </w:t>
      </w:r>
      <w:proofErr w:type="spellStart"/>
      <w:r w:rsidRPr="00EB6E33">
        <w:rPr>
          <w:rFonts w:ascii="Arial" w:hAnsi="Arial" w:cs="Arial"/>
          <w:szCs w:val="24"/>
          <w:lang w:val="en-GB"/>
        </w:rPr>
        <w:t>mM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</w:t>
      </w:r>
      <w:proofErr w:type="spellStart"/>
      <w:r w:rsidRPr="00EB6E33">
        <w:rPr>
          <w:rFonts w:ascii="Arial" w:hAnsi="Arial" w:cs="Arial"/>
          <w:szCs w:val="24"/>
          <w:lang w:val="en-GB"/>
        </w:rPr>
        <w:t>Tris-HCl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, pH 7.4, 150 </w:t>
      </w:r>
      <w:proofErr w:type="spellStart"/>
      <w:r w:rsidRPr="00EB6E33">
        <w:rPr>
          <w:rFonts w:ascii="Arial" w:hAnsi="Arial" w:cs="Arial"/>
          <w:szCs w:val="24"/>
          <w:lang w:val="en-GB"/>
        </w:rPr>
        <w:t>mM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</w:t>
      </w:r>
      <w:proofErr w:type="spellStart"/>
      <w:r w:rsidRPr="00EB6E33">
        <w:rPr>
          <w:rFonts w:ascii="Arial" w:hAnsi="Arial" w:cs="Arial"/>
          <w:szCs w:val="24"/>
          <w:lang w:val="en-GB"/>
        </w:rPr>
        <w:t>NaCl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, 5 </w:t>
      </w:r>
      <w:proofErr w:type="spellStart"/>
      <w:r w:rsidRPr="00EB6E33">
        <w:rPr>
          <w:rFonts w:ascii="Arial" w:hAnsi="Arial" w:cs="Arial"/>
          <w:szCs w:val="24"/>
          <w:lang w:val="en-GB"/>
        </w:rPr>
        <w:t>mM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EDTA, 5 </w:t>
      </w:r>
      <w:proofErr w:type="spellStart"/>
      <w:r w:rsidRPr="00EB6E33">
        <w:rPr>
          <w:rFonts w:ascii="Arial" w:hAnsi="Arial" w:cs="Arial"/>
          <w:szCs w:val="24"/>
          <w:lang w:val="en-GB"/>
        </w:rPr>
        <w:t>mM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EGTA, 1% (v/v) NP-40, 0.1% (w/v) SDS, 0.1% (w/v) sodium </w:t>
      </w:r>
      <w:proofErr w:type="spellStart"/>
      <w:r w:rsidRPr="00EB6E33">
        <w:rPr>
          <w:rFonts w:ascii="Arial" w:hAnsi="Arial" w:cs="Arial"/>
          <w:szCs w:val="24"/>
          <w:lang w:val="en-GB"/>
        </w:rPr>
        <w:t>deoxycholate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, phosphatase inhibitor cocktail (25 </w:t>
      </w:r>
      <w:proofErr w:type="spellStart"/>
      <w:r w:rsidRPr="00EB6E33">
        <w:rPr>
          <w:rFonts w:ascii="Arial" w:hAnsi="Arial" w:cs="Arial"/>
          <w:szCs w:val="24"/>
          <w:lang w:val="en-GB"/>
        </w:rPr>
        <w:t>mM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β-</w:t>
      </w:r>
      <w:proofErr w:type="spellStart"/>
      <w:r w:rsidRPr="00EB6E33">
        <w:rPr>
          <w:rFonts w:ascii="Arial" w:hAnsi="Arial" w:cs="Arial"/>
          <w:szCs w:val="24"/>
          <w:lang w:val="en-GB"/>
        </w:rPr>
        <w:t>glycerophosphate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, 50 </w:t>
      </w:r>
      <w:proofErr w:type="spellStart"/>
      <w:r w:rsidRPr="00EB6E33">
        <w:rPr>
          <w:rFonts w:ascii="Arial" w:hAnsi="Arial" w:cs="Arial"/>
          <w:szCs w:val="24"/>
          <w:lang w:val="en-GB"/>
        </w:rPr>
        <w:t>mM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</w:t>
      </w:r>
      <w:proofErr w:type="spellStart"/>
      <w:r w:rsidRPr="00EB6E33">
        <w:rPr>
          <w:rFonts w:ascii="Arial" w:hAnsi="Arial" w:cs="Arial"/>
          <w:szCs w:val="24"/>
          <w:lang w:val="en-GB"/>
        </w:rPr>
        <w:t>NaF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, 5 </w:t>
      </w:r>
      <w:proofErr w:type="spellStart"/>
      <w:r w:rsidRPr="00EB6E33">
        <w:rPr>
          <w:rFonts w:ascii="Arial" w:hAnsi="Arial" w:cs="Arial"/>
          <w:szCs w:val="24"/>
          <w:lang w:val="en-GB"/>
        </w:rPr>
        <w:t>mM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Na</w:t>
      </w:r>
      <w:r w:rsidRPr="00EB6E33">
        <w:rPr>
          <w:rFonts w:ascii="Arial" w:hAnsi="Arial" w:cs="Arial"/>
          <w:szCs w:val="24"/>
          <w:vertAlign w:val="subscript"/>
          <w:lang w:val="en-GB"/>
        </w:rPr>
        <w:t>2</w:t>
      </w:r>
      <w:r w:rsidRPr="00EB6E33">
        <w:rPr>
          <w:rFonts w:ascii="Arial" w:hAnsi="Arial" w:cs="Arial"/>
          <w:szCs w:val="24"/>
          <w:lang w:val="en-GB"/>
        </w:rPr>
        <w:t>MoO</w:t>
      </w:r>
      <w:r w:rsidRPr="00EB6E33">
        <w:rPr>
          <w:rFonts w:ascii="Arial" w:hAnsi="Arial" w:cs="Arial"/>
          <w:szCs w:val="24"/>
          <w:vertAlign w:val="subscript"/>
          <w:lang w:val="en-GB"/>
        </w:rPr>
        <w:t>4</w:t>
      </w:r>
      <w:r w:rsidRPr="00EB6E33">
        <w:rPr>
          <w:rFonts w:ascii="Arial" w:hAnsi="Arial" w:cs="Arial"/>
          <w:szCs w:val="24"/>
          <w:lang w:val="en-GB"/>
        </w:rPr>
        <w:t xml:space="preserve">, 0.2 </w:t>
      </w:r>
      <w:proofErr w:type="spellStart"/>
      <w:r w:rsidRPr="00EB6E33">
        <w:rPr>
          <w:rFonts w:ascii="Arial" w:hAnsi="Arial" w:cs="Arial"/>
          <w:szCs w:val="24"/>
          <w:lang w:val="en-GB"/>
        </w:rPr>
        <w:t>mM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Na</w:t>
      </w:r>
      <w:r w:rsidRPr="00EB6E33">
        <w:rPr>
          <w:rFonts w:ascii="Arial" w:hAnsi="Arial" w:cs="Arial"/>
          <w:szCs w:val="24"/>
          <w:vertAlign w:val="subscript"/>
          <w:lang w:val="en-GB"/>
        </w:rPr>
        <w:t>3</w:t>
      </w:r>
      <w:r w:rsidRPr="00EB6E33">
        <w:rPr>
          <w:rFonts w:ascii="Arial" w:hAnsi="Arial" w:cs="Arial"/>
          <w:szCs w:val="24"/>
          <w:lang w:val="en-GB"/>
        </w:rPr>
        <w:t>VO</w:t>
      </w:r>
      <w:r w:rsidRPr="00EB6E33">
        <w:rPr>
          <w:rFonts w:ascii="Arial" w:hAnsi="Arial" w:cs="Arial"/>
          <w:szCs w:val="24"/>
          <w:vertAlign w:val="subscript"/>
          <w:lang w:val="en-GB"/>
        </w:rPr>
        <w:t>4</w:t>
      </w:r>
      <w:r w:rsidRPr="00EB6E33">
        <w:rPr>
          <w:rFonts w:ascii="Arial" w:hAnsi="Arial" w:cs="Arial"/>
          <w:szCs w:val="24"/>
          <w:lang w:val="en-GB"/>
        </w:rPr>
        <w:t xml:space="preserve">, 5 </w:t>
      </w:r>
      <w:proofErr w:type="spellStart"/>
      <w:r w:rsidRPr="00EB6E33">
        <w:rPr>
          <w:rFonts w:ascii="Arial" w:hAnsi="Arial" w:cs="Arial"/>
          <w:szCs w:val="24"/>
          <w:lang w:val="en-GB"/>
        </w:rPr>
        <w:t>mM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 EDTA, 0.5 µM </w:t>
      </w:r>
      <w:proofErr w:type="spellStart"/>
      <w:r w:rsidRPr="00EB6E33">
        <w:rPr>
          <w:rFonts w:ascii="Arial" w:hAnsi="Arial" w:cs="Arial"/>
          <w:szCs w:val="24"/>
          <w:lang w:val="en-GB"/>
        </w:rPr>
        <w:t>microcystin</w:t>
      </w:r>
      <w:proofErr w:type="spellEnd"/>
      <w:r w:rsidRPr="00EB6E33">
        <w:rPr>
          <w:rFonts w:ascii="Arial" w:hAnsi="Arial" w:cs="Arial"/>
          <w:szCs w:val="24"/>
          <w:lang w:val="en-GB"/>
        </w:rPr>
        <w:t xml:space="preserve">), </w:t>
      </w:r>
      <w:r w:rsidRPr="00EB6E33">
        <w:rPr>
          <w:rFonts w:ascii="Arial" w:hAnsi="Arial" w:cs="Arial"/>
          <w:bCs/>
          <w:szCs w:val="24"/>
          <w:lang w:val="en-GB"/>
        </w:rPr>
        <w:t xml:space="preserve">protease inhibitor cocktail (Roche, Switzerland)). Proteins were separated on 7% or 11% SDS polyacrylamide gels and transferred to nitrocellulose membranes. The following antibodies were used in the indicated dilutions: anti-α-tubulin (1:1000, B-5-1-2, Santa Cruz, USA, cat no sc-23948), anti-β-actin (1:10000, AC-15, Sigma-Aldrich, Germany, cat no A5441), anti-CDK1 (1:500, Santa-Cruz, USA, cat no sc-54), anti-phospho-Y15-CDK1 (1:1000, Cell </w:t>
      </w:r>
      <w:proofErr w:type="spellStart"/>
      <w:r w:rsidRPr="00EB6E33">
        <w:rPr>
          <w:rFonts w:ascii="Arial" w:hAnsi="Arial" w:cs="Arial"/>
          <w:bCs/>
          <w:szCs w:val="24"/>
          <w:lang w:val="en-GB"/>
        </w:rPr>
        <w:t>Signaling</w:t>
      </w:r>
      <w:proofErr w:type="spellEnd"/>
      <w:r w:rsidRPr="00EB6E33">
        <w:rPr>
          <w:rFonts w:ascii="Arial" w:hAnsi="Arial" w:cs="Arial"/>
          <w:bCs/>
          <w:szCs w:val="24"/>
          <w:lang w:val="en-GB"/>
        </w:rPr>
        <w:t xml:space="preserve"> Technology, USA, cat no #9111), anti-</w:t>
      </w:r>
      <w:proofErr w:type="spellStart"/>
      <w:r w:rsidRPr="00EB6E33">
        <w:rPr>
          <w:rFonts w:ascii="Arial" w:hAnsi="Arial" w:cs="Arial"/>
          <w:bCs/>
          <w:szCs w:val="24"/>
          <w:lang w:val="en-GB"/>
        </w:rPr>
        <w:t>ch</w:t>
      </w:r>
      <w:proofErr w:type="spellEnd"/>
      <w:r w:rsidRPr="00EB6E33">
        <w:rPr>
          <w:rFonts w:ascii="Arial" w:hAnsi="Arial" w:cs="Arial"/>
          <w:bCs/>
          <w:szCs w:val="24"/>
          <w:lang w:val="en-GB"/>
        </w:rPr>
        <w:t xml:space="preserve">-TOG (1:300, H-4, Santa Cruz, USA, cat no sc-374394), anti-FLAG (1:500, M2, Sigma-Aldrich, Germany, cat no F3165), anti-p21 (1:1000, DCS60, Cell </w:t>
      </w:r>
      <w:proofErr w:type="spellStart"/>
      <w:r w:rsidRPr="00EB6E33">
        <w:rPr>
          <w:rFonts w:ascii="Arial" w:hAnsi="Arial" w:cs="Arial"/>
          <w:bCs/>
          <w:szCs w:val="24"/>
          <w:lang w:val="en-GB"/>
        </w:rPr>
        <w:t>Signaling</w:t>
      </w:r>
      <w:proofErr w:type="spellEnd"/>
      <w:r w:rsidRPr="00EB6E33">
        <w:rPr>
          <w:rFonts w:ascii="Arial" w:hAnsi="Arial" w:cs="Arial"/>
          <w:bCs/>
          <w:szCs w:val="24"/>
          <w:lang w:val="en-GB"/>
        </w:rPr>
        <w:t xml:space="preserve"> Technology, USA, cat no #2946), anti-p53 (1:500, DO-1, Santa Cruz, USA, cat no sc-126), anti-p73 (1:1000, EP436Y, </w:t>
      </w:r>
      <w:proofErr w:type="spellStart"/>
      <w:r w:rsidRPr="00EB6E33">
        <w:rPr>
          <w:rFonts w:ascii="Arial" w:hAnsi="Arial" w:cs="Arial"/>
          <w:bCs/>
          <w:szCs w:val="24"/>
          <w:lang w:val="en-GB"/>
        </w:rPr>
        <w:t>Abcam</w:t>
      </w:r>
      <w:proofErr w:type="spellEnd"/>
      <w:r w:rsidRPr="00EB6E33">
        <w:rPr>
          <w:rFonts w:ascii="Arial" w:hAnsi="Arial" w:cs="Arial"/>
          <w:bCs/>
          <w:szCs w:val="24"/>
          <w:lang w:val="en-GB"/>
        </w:rPr>
        <w:t xml:space="preserve">, UK, cat no ab40658), secondary antibodies conjugated to horseradish peroxidase (1:10000, Jackson </w:t>
      </w:r>
      <w:proofErr w:type="spellStart"/>
      <w:r w:rsidRPr="00EB6E33">
        <w:rPr>
          <w:rFonts w:ascii="Arial" w:hAnsi="Arial" w:cs="Arial"/>
          <w:bCs/>
          <w:szCs w:val="24"/>
          <w:lang w:val="en-GB"/>
        </w:rPr>
        <w:t>ImmunoResearch</w:t>
      </w:r>
      <w:proofErr w:type="spellEnd"/>
      <w:r w:rsidRPr="00EB6E33">
        <w:rPr>
          <w:rFonts w:ascii="Arial" w:hAnsi="Arial" w:cs="Arial"/>
          <w:bCs/>
          <w:szCs w:val="24"/>
          <w:lang w:val="en-GB"/>
        </w:rPr>
        <w:t xml:space="preserve">, USA, cat no </w:t>
      </w:r>
      <w:r w:rsidRPr="00EB6E33">
        <w:rPr>
          <w:rFonts w:ascii="Arial" w:hAnsi="Arial"/>
          <w:color w:val="000000"/>
        </w:rPr>
        <w:t>115-035-146, 111-035-144</w:t>
      </w:r>
      <w:r w:rsidRPr="00EB6E33">
        <w:rPr>
          <w:rFonts w:ascii="Arial" w:hAnsi="Arial" w:cs="Arial"/>
          <w:bCs/>
          <w:szCs w:val="24"/>
          <w:lang w:val="en-GB"/>
        </w:rPr>
        <w:t xml:space="preserve">). Proteins were detected by enhanced </w:t>
      </w:r>
      <w:proofErr w:type="spellStart"/>
      <w:r w:rsidRPr="00EB6E33">
        <w:rPr>
          <w:rFonts w:ascii="Arial" w:hAnsi="Arial" w:cs="Arial"/>
          <w:bCs/>
          <w:szCs w:val="24"/>
          <w:lang w:val="en-GB"/>
        </w:rPr>
        <w:t>chemiluminescence</w:t>
      </w:r>
      <w:proofErr w:type="spellEnd"/>
      <w:r w:rsidRPr="00EB6E33">
        <w:rPr>
          <w:rFonts w:ascii="Arial" w:hAnsi="Arial" w:cs="Arial"/>
          <w:bCs/>
          <w:szCs w:val="24"/>
          <w:lang w:val="en-GB"/>
        </w:rPr>
        <w:t>.</w:t>
      </w:r>
    </w:p>
    <w:p w14:paraId="51808037" w14:textId="77777777" w:rsidR="00225C95" w:rsidRPr="00EB6E33" w:rsidRDefault="00225C95" w:rsidP="00225C95">
      <w:pPr>
        <w:pStyle w:val="NotizEbene1"/>
        <w:spacing w:line="360" w:lineRule="auto"/>
        <w:rPr>
          <w:rFonts w:ascii="Arial" w:hAnsi="Arial" w:cs="Arial"/>
          <w:szCs w:val="24"/>
          <w:lang w:val="en-GB"/>
        </w:rPr>
      </w:pPr>
    </w:p>
    <w:p w14:paraId="49C3ACCD" w14:textId="77777777" w:rsidR="00225C95" w:rsidRDefault="00225C95" w:rsidP="00225C95">
      <w:pPr>
        <w:pStyle w:val="NotizEbene1"/>
        <w:numPr>
          <w:ilvl w:val="0"/>
          <w:numId w:val="0"/>
        </w:numPr>
        <w:spacing w:line="360" w:lineRule="auto"/>
        <w:rPr>
          <w:rFonts w:ascii="Arial" w:hAnsi="Arial" w:cs="Arial"/>
          <w:szCs w:val="24"/>
          <w:lang w:val="en-US"/>
        </w:rPr>
      </w:pPr>
    </w:p>
    <w:p w14:paraId="72C900BF" w14:textId="77777777" w:rsidR="00146DB1" w:rsidRDefault="00146DB1" w:rsidP="00146DB1">
      <w:pPr>
        <w:spacing w:line="360" w:lineRule="auto"/>
        <w:rPr>
          <w:b/>
          <w:color w:val="000000" w:themeColor="text1"/>
          <w:lang w:val="en-US"/>
        </w:rPr>
      </w:pPr>
    </w:p>
    <w:p w14:paraId="242E9C25" w14:textId="77777777" w:rsidR="00146DB1" w:rsidRDefault="00146DB1" w:rsidP="00146DB1">
      <w:pPr>
        <w:spacing w:line="360" w:lineRule="auto"/>
        <w:rPr>
          <w:b/>
          <w:color w:val="000000" w:themeColor="text1"/>
          <w:lang w:val="en-US"/>
        </w:rPr>
      </w:pPr>
    </w:p>
    <w:p w14:paraId="2B28FB8E" w14:textId="77777777" w:rsidR="00146DB1" w:rsidRPr="00146DB1" w:rsidRDefault="00146DB1" w:rsidP="00146DB1">
      <w:pPr>
        <w:spacing w:line="360" w:lineRule="auto"/>
        <w:rPr>
          <w:b/>
          <w:color w:val="000000" w:themeColor="text1"/>
          <w:lang w:val="en-US"/>
        </w:rPr>
      </w:pPr>
      <w:bookmarkStart w:id="0" w:name="_GoBack"/>
      <w:bookmarkEnd w:id="0"/>
      <w:r>
        <w:rPr>
          <w:b/>
          <w:color w:val="000000" w:themeColor="text1"/>
          <w:lang w:val="en-US"/>
        </w:rPr>
        <w:t xml:space="preserve">Supplementary </w:t>
      </w:r>
      <w:r>
        <w:rPr>
          <w:b/>
          <w:color w:val="000000" w:themeColor="text1"/>
          <w:lang w:val="en-US"/>
        </w:rPr>
        <w:t>references</w:t>
      </w:r>
    </w:p>
    <w:p w14:paraId="5E472E55" w14:textId="77777777" w:rsidR="00146DB1" w:rsidRPr="00EB6E33" w:rsidRDefault="00146DB1" w:rsidP="00146DB1">
      <w:pPr>
        <w:pStyle w:val="EndNoteBibliography"/>
        <w:spacing w:line="360" w:lineRule="auto"/>
        <w:rPr>
          <w:noProof/>
        </w:rPr>
      </w:pPr>
      <w:r w:rsidRPr="00EB6E33">
        <w:rPr>
          <w:noProof/>
        </w:rPr>
        <w:t>61. Seibert M, Kruger M, Watson NA, Sen O, Daum JR, Slotman JA</w:t>
      </w:r>
      <w:r w:rsidRPr="00EB6E33">
        <w:rPr>
          <w:i/>
          <w:noProof/>
        </w:rPr>
        <w:t xml:space="preserve"> et al</w:t>
      </w:r>
      <w:r w:rsidRPr="00EB6E33">
        <w:rPr>
          <w:noProof/>
        </w:rPr>
        <w:t xml:space="preserve">. CDK1-mediated phosphorylation at H2B serine 6 is required for mitotic chromosome segregation. </w:t>
      </w:r>
      <w:r w:rsidRPr="00EB6E33">
        <w:rPr>
          <w:i/>
          <w:noProof/>
        </w:rPr>
        <w:t>J Cell Biol</w:t>
      </w:r>
      <w:r w:rsidRPr="00EB6E33">
        <w:rPr>
          <w:noProof/>
        </w:rPr>
        <w:t xml:space="preserve"> 2019; </w:t>
      </w:r>
      <w:r w:rsidRPr="00EB6E33">
        <w:rPr>
          <w:b/>
          <w:noProof/>
        </w:rPr>
        <w:t>218</w:t>
      </w:r>
      <w:r w:rsidRPr="00EB6E33">
        <w:rPr>
          <w:noProof/>
        </w:rPr>
        <w:t>: 1164-1181.</w:t>
      </w:r>
    </w:p>
    <w:p w14:paraId="6BC9521C" w14:textId="77777777" w:rsidR="00146DB1" w:rsidRPr="008353EF" w:rsidRDefault="00146DB1" w:rsidP="00225C95">
      <w:pPr>
        <w:pStyle w:val="NotizEbene1"/>
        <w:numPr>
          <w:ilvl w:val="0"/>
          <w:numId w:val="0"/>
        </w:numPr>
        <w:spacing w:line="360" w:lineRule="auto"/>
        <w:rPr>
          <w:rFonts w:ascii="Arial" w:hAnsi="Arial" w:cs="Arial"/>
          <w:szCs w:val="24"/>
          <w:lang w:val="en-US"/>
        </w:rPr>
      </w:pPr>
    </w:p>
    <w:p w14:paraId="255FF735" w14:textId="77777777" w:rsidR="00225C95" w:rsidRDefault="00225C95" w:rsidP="00225C95"/>
    <w:p w14:paraId="6D9B699E" w14:textId="77777777" w:rsidR="001A4498" w:rsidRDefault="001A4498"/>
    <w:sectPr w:rsidR="001A4498" w:rsidSect="0018673C">
      <w:footerReference w:type="even" r:id="rId8"/>
      <w:footerReference w:type="default" r:id="rId9"/>
      <w:pgSz w:w="11900" w:h="16840"/>
      <w:pgMar w:top="1418" w:right="1418" w:bottom="1134" w:left="1418" w:header="709" w:footer="1083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347312" w14:textId="77777777" w:rsidR="00000000" w:rsidRDefault="00146DB1">
      <w:r>
        <w:separator/>
      </w:r>
    </w:p>
  </w:endnote>
  <w:endnote w:type="continuationSeparator" w:id="0">
    <w:p w14:paraId="663C43C6" w14:textId="77777777" w:rsidR="00000000" w:rsidRDefault="00146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5A3BE" w14:textId="77777777" w:rsidR="00EA0F7E" w:rsidRDefault="00225C95" w:rsidP="00FE184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146DB1">
      <w:rPr>
        <w:rStyle w:val="Seitenzahl"/>
        <w:noProof/>
      </w:rPr>
      <w:t>4</w:t>
    </w:r>
    <w:r>
      <w:rPr>
        <w:rStyle w:val="Seitenzahl"/>
      </w:rPr>
      <w:fldChar w:fldCharType="end"/>
    </w:r>
  </w:p>
  <w:p w14:paraId="03876CDF" w14:textId="77777777" w:rsidR="00EA0F7E" w:rsidRDefault="00146DB1" w:rsidP="002D610D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78E0B5" w14:textId="77777777" w:rsidR="00EA0F7E" w:rsidRDefault="00225C95" w:rsidP="00FE184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146DB1">
      <w:rPr>
        <w:rStyle w:val="Seitenzahl"/>
        <w:noProof/>
      </w:rPr>
      <w:t>5</w:t>
    </w:r>
    <w:r>
      <w:rPr>
        <w:rStyle w:val="Seitenzahl"/>
      </w:rPr>
      <w:fldChar w:fldCharType="end"/>
    </w:r>
  </w:p>
  <w:p w14:paraId="4C515698" w14:textId="77777777" w:rsidR="00EA0F7E" w:rsidRDefault="00146DB1" w:rsidP="002D610D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2FC988" w14:textId="77777777" w:rsidR="00000000" w:rsidRDefault="00146DB1">
      <w:r>
        <w:separator/>
      </w:r>
    </w:p>
  </w:footnote>
  <w:footnote w:type="continuationSeparator" w:id="0">
    <w:p w14:paraId="3B804CD6" w14:textId="77777777" w:rsidR="00000000" w:rsidRDefault="00146D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1881404"/>
    <w:lvl w:ilvl="0">
      <w:start w:val="1"/>
      <w:numFmt w:val="bullet"/>
      <w:pStyle w:val="NotizEbene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izEbene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izEbene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Wingdings" w:hint="default"/>
      </w:rPr>
    </w:lvl>
    <w:lvl w:ilvl="3">
      <w:start w:val="1"/>
      <w:numFmt w:val="bullet"/>
      <w:pStyle w:val="NotizEbene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izEbene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izEbene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izEbene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Wingdings" w:hint="default"/>
      </w:rPr>
    </w:lvl>
    <w:lvl w:ilvl="7">
      <w:start w:val="1"/>
      <w:numFmt w:val="bullet"/>
      <w:pStyle w:val="NotizEbene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izEbene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mirrorMargins/>
  <w:proofState w:spelling="clean" w:grammar="clean"/>
  <w:defaultTabStop w:val="708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C95"/>
    <w:rsid w:val="00146DB1"/>
    <w:rsid w:val="001A4498"/>
    <w:rsid w:val="00225C95"/>
    <w:rsid w:val="008147DE"/>
    <w:rsid w:val="00E318FE"/>
    <w:rsid w:val="00E715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FA8F5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iPriority="0"/>
    <w:lsdException w:name="Note Level 2" w:uiPriority="0"/>
    <w:lsdException w:name="Note Level 3" w:uiPriority="0"/>
    <w:lsdException w:name="Note Level 4" w:uiPriority="0"/>
    <w:lsdException w:name="Note Level 5" w:uiPriority="0"/>
    <w:lsdException w:name="Note Level 6" w:uiPriority="0"/>
    <w:lsdException w:name="Note Level 7" w:uiPriority="0"/>
    <w:lsdException w:name="Note Level 8" w:uiPriority="0"/>
    <w:lsdException w:name="Note Level 9" w:uiPriority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25C95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unhideWhenUsed/>
    <w:rsid w:val="00225C95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225C95"/>
  </w:style>
  <w:style w:type="character" w:styleId="Seitenzahl">
    <w:name w:val="page number"/>
    <w:basedOn w:val="Absatzstandardschriftart"/>
    <w:uiPriority w:val="99"/>
    <w:semiHidden/>
    <w:unhideWhenUsed/>
    <w:rsid w:val="00225C95"/>
  </w:style>
  <w:style w:type="paragraph" w:styleId="NotizEbene1">
    <w:name w:val="Note Level 1"/>
    <w:basedOn w:val="Standard"/>
    <w:rsid w:val="00225C95"/>
    <w:pPr>
      <w:keepNext/>
      <w:numPr>
        <w:numId w:val="1"/>
      </w:numPr>
      <w:contextualSpacing/>
      <w:outlineLvl w:val="0"/>
    </w:pPr>
    <w:rPr>
      <w:rFonts w:ascii="Verdana" w:eastAsia="Times" w:hAnsi="Verdana" w:cs="Times New Roman"/>
      <w:szCs w:val="20"/>
      <w:lang w:eastAsia="en-US"/>
    </w:rPr>
  </w:style>
  <w:style w:type="paragraph" w:styleId="NotizEbene2">
    <w:name w:val="Note Level 2"/>
    <w:basedOn w:val="Standard"/>
    <w:rsid w:val="00225C95"/>
    <w:pPr>
      <w:keepNext/>
      <w:numPr>
        <w:ilvl w:val="1"/>
        <w:numId w:val="1"/>
      </w:numPr>
      <w:contextualSpacing/>
      <w:outlineLvl w:val="1"/>
    </w:pPr>
    <w:rPr>
      <w:rFonts w:ascii="Verdana" w:eastAsia="Times" w:hAnsi="Verdana" w:cs="Times New Roman"/>
      <w:szCs w:val="20"/>
      <w:lang w:eastAsia="en-US"/>
    </w:rPr>
  </w:style>
  <w:style w:type="paragraph" w:styleId="NotizEbene3">
    <w:name w:val="Note Level 3"/>
    <w:basedOn w:val="Standard"/>
    <w:rsid w:val="00225C95"/>
    <w:pPr>
      <w:keepNext/>
      <w:numPr>
        <w:ilvl w:val="2"/>
        <w:numId w:val="1"/>
      </w:numPr>
      <w:contextualSpacing/>
      <w:outlineLvl w:val="2"/>
    </w:pPr>
    <w:rPr>
      <w:rFonts w:ascii="Verdana" w:eastAsia="Times" w:hAnsi="Verdana" w:cs="Times New Roman"/>
      <w:szCs w:val="20"/>
      <w:lang w:eastAsia="en-US"/>
    </w:rPr>
  </w:style>
  <w:style w:type="paragraph" w:styleId="NotizEbene4">
    <w:name w:val="Note Level 4"/>
    <w:basedOn w:val="Standard"/>
    <w:rsid w:val="00225C95"/>
    <w:pPr>
      <w:keepNext/>
      <w:numPr>
        <w:ilvl w:val="3"/>
        <w:numId w:val="1"/>
      </w:numPr>
      <w:contextualSpacing/>
      <w:outlineLvl w:val="3"/>
    </w:pPr>
    <w:rPr>
      <w:rFonts w:ascii="Verdana" w:eastAsia="Times" w:hAnsi="Verdana" w:cs="Times New Roman"/>
      <w:szCs w:val="20"/>
      <w:lang w:eastAsia="en-US"/>
    </w:rPr>
  </w:style>
  <w:style w:type="paragraph" w:styleId="NotizEbene5">
    <w:name w:val="Note Level 5"/>
    <w:basedOn w:val="Standard"/>
    <w:rsid w:val="00225C95"/>
    <w:pPr>
      <w:keepNext/>
      <w:numPr>
        <w:ilvl w:val="4"/>
        <w:numId w:val="1"/>
      </w:numPr>
      <w:contextualSpacing/>
      <w:outlineLvl w:val="4"/>
    </w:pPr>
    <w:rPr>
      <w:rFonts w:ascii="Verdana" w:eastAsia="Times" w:hAnsi="Verdana" w:cs="Times New Roman"/>
      <w:szCs w:val="20"/>
      <w:lang w:eastAsia="en-US"/>
    </w:rPr>
  </w:style>
  <w:style w:type="paragraph" w:styleId="NotizEbene6">
    <w:name w:val="Note Level 6"/>
    <w:basedOn w:val="Standard"/>
    <w:rsid w:val="00225C95"/>
    <w:pPr>
      <w:keepNext/>
      <w:numPr>
        <w:ilvl w:val="5"/>
        <w:numId w:val="1"/>
      </w:numPr>
      <w:contextualSpacing/>
      <w:outlineLvl w:val="5"/>
    </w:pPr>
    <w:rPr>
      <w:rFonts w:ascii="Verdana" w:eastAsia="Times" w:hAnsi="Verdana" w:cs="Times New Roman"/>
      <w:szCs w:val="20"/>
      <w:lang w:eastAsia="en-US"/>
    </w:rPr>
  </w:style>
  <w:style w:type="paragraph" w:styleId="NotizEbene7">
    <w:name w:val="Note Level 7"/>
    <w:basedOn w:val="Standard"/>
    <w:rsid w:val="00225C95"/>
    <w:pPr>
      <w:keepNext/>
      <w:numPr>
        <w:ilvl w:val="6"/>
        <w:numId w:val="1"/>
      </w:numPr>
      <w:contextualSpacing/>
      <w:outlineLvl w:val="6"/>
    </w:pPr>
    <w:rPr>
      <w:rFonts w:ascii="Verdana" w:eastAsia="Times" w:hAnsi="Verdana" w:cs="Times New Roman"/>
      <w:szCs w:val="20"/>
      <w:lang w:eastAsia="en-US"/>
    </w:rPr>
  </w:style>
  <w:style w:type="paragraph" w:styleId="NotizEbene8">
    <w:name w:val="Note Level 8"/>
    <w:basedOn w:val="Standard"/>
    <w:rsid w:val="00225C95"/>
    <w:pPr>
      <w:keepNext/>
      <w:numPr>
        <w:ilvl w:val="7"/>
        <w:numId w:val="1"/>
      </w:numPr>
      <w:contextualSpacing/>
      <w:outlineLvl w:val="7"/>
    </w:pPr>
    <w:rPr>
      <w:rFonts w:ascii="Verdana" w:eastAsia="Times" w:hAnsi="Verdana" w:cs="Times New Roman"/>
      <w:szCs w:val="20"/>
      <w:lang w:eastAsia="en-US"/>
    </w:rPr>
  </w:style>
  <w:style w:type="paragraph" w:styleId="NotizEbene9">
    <w:name w:val="Note Level 9"/>
    <w:basedOn w:val="Standard"/>
    <w:rsid w:val="00225C95"/>
    <w:pPr>
      <w:keepNext/>
      <w:numPr>
        <w:ilvl w:val="8"/>
        <w:numId w:val="1"/>
      </w:numPr>
      <w:contextualSpacing/>
      <w:outlineLvl w:val="8"/>
    </w:pPr>
    <w:rPr>
      <w:rFonts w:ascii="Verdana" w:eastAsia="Times" w:hAnsi="Verdana" w:cs="Times New Roman"/>
      <w:szCs w:val="20"/>
      <w:lang w:eastAsia="en-US"/>
    </w:rPr>
  </w:style>
  <w:style w:type="paragraph" w:customStyle="1" w:styleId="EndNoteBibliography">
    <w:name w:val="EndNote Bibliography"/>
    <w:basedOn w:val="Standard"/>
    <w:rsid w:val="00146DB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iPriority="0"/>
    <w:lsdException w:name="Note Level 2" w:uiPriority="0"/>
    <w:lsdException w:name="Note Level 3" w:uiPriority="0"/>
    <w:lsdException w:name="Note Level 4" w:uiPriority="0"/>
    <w:lsdException w:name="Note Level 5" w:uiPriority="0"/>
    <w:lsdException w:name="Note Level 6" w:uiPriority="0"/>
    <w:lsdException w:name="Note Level 7" w:uiPriority="0"/>
    <w:lsdException w:name="Note Level 8" w:uiPriority="0"/>
    <w:lsdException w:name="Note Level 9" w:uiPriority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25C95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unhideWhenUsed/>
    <w:rsid w:val="00225C95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225C95"/>
  </w:style>
  <w:style w:type="character" w:styleId="Seitenzahl">
    <w:name w:val="page number"/>
    <w:basedOn w:val="Absatzstandardschriftart"/>
    <w:uiPriority w:val="99"/>
    <w:semiHidden/>
    <w:unhideWhenUsed/>
    <w:rsid w:val="00225C95"/>
  </w:style>
  <w:style w:type="paragraph" w:styleId="NotizEbene1">
    <w:name w:val="Note Level 1"/>
    <w:basedOn w:val="Standard"/>
    <w:rsid w:val="00225C95"/>
    <w:pPr>
      <w:keepNext/>
      <w:numPr>
        <w:numId w:val="1"/>
      </w:numPr>
      <w:contextualSpacing/>
      <w:outlineLvl w:val="0"/>
    </w:pPr>
    <w:rPr>
      <w:rFonts w:ascii="Verdana" w:eastAsia="Times" w:hAnsi="Verdana" w:cs="Times New Roman"/>
      <w:szCs w:val="20"/>
      <w:lang w:eastAsia="en-US"/>
    </w:rPr>
  </w:style>
  <w:style w:type="paragraph" w:styleId="NotizEbene2">
    <w:name w:val="Note Level 2"/>
    <w:basedOn w:val="Standard"/>
    <w:rsid w:val="00225C95"/>
    <w:pPr>
      <w:keepNext/>
      <w:numPr>
        <w:ilvl w:val="1"/>
        <w:numId w:val="1"/>
      </w:numPr>
      <w:contextualSpacing/>
      <w:outlineLvl w:val="1"/>
    </w:pPr>
    <w:rPr>
      <w:rFonts w:ascii="Verdana" w:eastAsia="Times" w:hAnsi="Verdana" w:cs="Times New Roman"/>
      <w:szCs w:val="20"/>
      <w:lang w:eastAsia="en-US"/>
    </w:rPr>
  </w:style>
  <w:style w:type="paragraph" w:styleId="NotizEbene3">
    <w:name w:val="Note Level 3"/>
    <w:basedOn w:val="Standard"/>
    <w:rsid w:val="00225C95"/>
    <w:pPr>
      <w:keepNext/>
      <w:numPr>
        <w:ilvl w:val="2"/>
        <w:numId w:val="1"/>
      </w:numPr>
      <w:contextualSpacing/>
      <w:outlineLvl w:val="2"/>
    </w:pPr>
    <w:rPr>
      <w:rFonts w:ascii="Verdana" w:eastAsia="Times" w:hAnsi="Verdana" w:cs="Times New Roman"/>
      <w:szCs w:val="20"/>
      <w:lang w:eastAsia="en-US"/>
    </w:rPr>
  </w:style>
  <w:style w:type="paragraph" w:styleId="NotizEbene4">
    <w:name w:val="Note Level 4"/>
    <w:basedOn w:val="Standard"/>
    <w:rsid w:val="00225C95"/>
    <w:pPr>
      <w:keepNext/>
      <w:numPr>
        <w:ilvl w:val="3"/>
        <w:numId w:val="1"/>
      </w:numPr>
      <w:contextualSpacing/>
      <w:outlineLvl w:val="3"/>
    </w:pPr>
    <w:rPr>
      <w:rFonts w:ascii="Verdana" w:eastAsia="Times" w:hAnsi="Verdana" w:cs="Times New Roman"/>
      <w:szCs w:val="20"/>
      <w:lang w:eastAsia="en-US"/>
    </w:rPr>
  </w:style>
  <w:style w:type="paragraph" w:styleId="NotizEbene5">
    <w:name w:val="Note Level 5"/>
    <w:basedOn w:val="Standard"/>
    <w:rsid w:val="00225C95"/>
    <w:pPr>
      <w:keepNext/>
      <w:numPr>
        <w:ilvl w:val="4"/>
        <w:numId w:val="1"/>
      </w:numPr>
      <w:contextualSpacing/>
      <w:outlineLvl w:val="4"/>
    </w:pPr>
    <w:rPr>
      <w:rFonts w:ascii="Verdana" w:eastAsia="Times" w:hAnsi="Verdana" w:cs="Times New Roman"/>
      <w:szCs w:val="20"/>
      <w:lang w:eastAsia="en-US"/>
    </w:rPr>
  </w:style>
  <w:style w:type="paragraph" w:styleId="NotizEbene6">
    <w:name w:val="Note Level 6"/>
    <w:basedOn w:val="Standard"/>
    <w:rsid w:val="00225C95"/>
    <w:pPr>
      <w:keepNext/>
      <w:numPr>
        <w:ilvl w:val="5"/>
        <w:numId w:val="1"/>
      </w:numPr>
      <w:contextualSpacing/>
      <w:outlineLvl w:val="5"/>
    </w:pPr>
    <w:rPr>
      <w:rFonts w:ascii="Verdana" w:eastAsia="Times" w:hAnsi="Verdana" w:cs="Times New Roman"/>
      <w:szCs w:val="20"/>
      <w:lang w:eastAsia="en-US"/>
    </w:rPr>
  </w:style>
  <w:style w:type="paragraph" w:styleId="NotizEbene7">
    <w:name w:val="Note Level 7"/>
    <w:basedOn w:val="Standard"/>
    <w:rsid w:val="00225C95"/>
    <w:pPr>
      <w:keepNext/>
      <w:numPr>
        <w:ilvl w:val="6"/>
        <w:numId w:val="1"/>
      </w:numPr>
      <w:contextualSpacing/>
      <w:outlineLvl w:val="6"/>
    </w:pPr>
    <w:rPr>
      <w:rFonts w:ascii="Verdana" w:eastAsia="Times" w:hAnsi="Verdana" w:cs="Times New Roman"/>
      <w:szCs w:val="20"/>
      <w:lang w:eastAsia="en-US"/>
    </w:rPr>
  </w:style>
  <w:style w:type="paragraph" w:styleId="NotizEbene8">
    <w:name w:val="Note Level 8"/>
    <w:basedOn w:val="Standard"/>
    <w:rsid w:val="00225C95"/>
    <w:pPr>
      <w:keepNext/>
      <w:numPr>
        <w:ilvl w:val="7"/>
        <w:numId w:val="1"/>
      </w:numPr>
      <w:contextualSpacing/>
      <w:outlineLvl w:val="7"/>
    </w:pPr>
    <w:rPr>
      <w:rFonts w:ascii="Verdana" w:eastAsia="Times" w:hAnsi="Verdana" w:cs="Times New Roman"/>
      <w:szCs w:val="20"/>
      <w:lang w:eastAsia="en-US"/>
    </w:rPr>
  </w:style>
  <w:style w:type="paragraph" w:styleId="NotizEbene9">
    <w:name w:val="Note Level 9"/>
    <w:basedOn w:val="Standard"/>
    <w:rsid w:val="00225C95"/>
    <w:pPr>
      <w:keepNext/>
      <w:numPr>
        <w:ilvl w:val="8"/>
        <w:numId w:val="1"/>
      </w:numPr>
      <w:contextualSpacing/>
      <w:outlineLvl w:val="8"/>
    </w:pPr>
    <w:rPr>
      <w:rFonts w:ascii="Verdana" w:eastAsia="Times" w:hAnsi="Verdana" w:cs="Times New Roman"/>
      <w:szCs w:val="20"/>
      <w:lang w:eastAsia="en-US"/>
    </w:rPr>
  </w:style>
  <w:style w:type="paragraph" w:customStyle="1" w:styleId="EndNoteBibliography">
    <w:name w:val="EndNote Bibliography"/>
    <w:basedOn w:val="Standard"/>
    <w:rsid w:val="00146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1346</Words>
  <Characters>8480</Characters>
  <Application>Microsoft Macintosh Word</Application>
  <DocSecurity>0</DocSecurity>
  <Lines>70</Lines>
  <Paragraphs>19</Paragraphs>
  <ScaleCrop>false</ScaleCrop>
  <Company>IMT</Company>
  <LinksUpToDate>false</LinksUpToDate>
  <CharactersWithSpaces>9807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Holger Bastians</dc:creator>
  <cp:keywords/>
  <dc:description/>
  <cp:lastModifiedBy>Holger Bastians</cp:lastModifiedBy>
  <cp:revision>2</cp:revision>
  <dcterms:created xsi:type="dcterms:W3CDTF">2020-09-29T09:03:00Z</dcterms:created>
  <dcterms:modified xsi:type="dcterms:W3CDTF">2020-11-04T13:09:00Z</dcterms:modified>
</cp:coreProperties>
</file>