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US"/>
        </w:rPr>
      </w:pPr>
      <w:r w:rsidRPr="00EB6E33">
        <w:rPr>
          <w:b/>
          <w:color w:val="000000" w:themeColor="text1"/>
          <w:lang w:val="en-US"/>
        </w:rPr>
        <w:t>Supplemental Figure legends</w:t>
      </w: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US"/>
        </w:rPr>
      </w:pP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 xml:space="preserve">Figure S1. </w:t>
      </w:r>
      <w:proofErr w:type="gramStart"/>
      <w:r w:rsidRPr="00EB6E33">
        <w:rPr>
          <w:b/>
          <w:color w:val="000000" w:themeColor="text1"/>
          <w:lang w:val="en-GB"/>
        </w:rPr>
        <w:t xml:space="preserve">Suppression of increased microtubule polymerization rates and of the generation of lagging chromosomes upon partial depletion of </w:t>
      </w:r>
      <w:r w:rsidRPr="00EB6E33">
        <w:rPr>
          <w:b/>
          <w:i/>
          <w:color w:val="000000" w:themeColor="text1"/>
          <w:lang w:val="en-GB"/>
        </w:rPr>
        <w:t>CKAP5</w:t>
      </w:r>
      <w:r w:rsidRPr="00EB6E33">
        <w:rPr>
          <w:b/>
          <w:color w:val="000000" w:themeColor="text1"/>
          <w:lang w:val="en-GB"/>
        </w:rPr>
        <w:t xml:space="preserve"> (</w:t>
      </w:r>
      <w:proofErr w:type="spellStart"/>
      <w:r w:rsidRPr="00EB6E33">
        <w:rPr>
          <w:b/>
          <w:color w:val="000000" w:themeColor="text1"/>
          <w:lang w:val="en-GB"/>
        </w:rPr>
        <w:t>ch</w:t>
      </w:r>
      <w:proofErr w:type="spellEnd"/>
      <w:r w:rsidRPr="00EB6E33">
        <w:rPr>
          <w:b/>
          <w:color w:val="000000" w:themeColor="text1"/>
          <w:lang w:val="en-GB"/>
        </w:rPr>
        <w:t>-TOG).</w:t>
      </w:r>
      <w:proofErr w:type="gramEnd"/>
      <w:r w:rsidRPr="00EB6E33">
        <w:rPr>
          <w:b/>
          <w:color w:val="000000" w:themeColor="text1"/>
          <w:lang w:val="en-GB"/>
        </w:rPr>
        <w:t xml:space="preserve"> </w:t>
      </w: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 xml:space="preserve">(A) </w:t>
      </w:r>
      <w:r w:rsidRPr="00EB6E33">
        <w:rPr>
          <w:color w:val="000000" w:themeColor="text1"/>
          <w:lang w:val="en-GB"/>
        </w:rPr>
        <w:t xml:space="preserve">Partial siRNA mediated </w:t>
      </w:r>
      <w:proofErr w:type="spellStart"/>
      <w:r w:rsidRPr="00EB6E33">
        <w:rPr>
          <w:color w:val="000000" w:themeColor="text1"/>
          <w:lang w:val="en-GB"/>
        </w:rPr>
        <w:t>downregulation</w:t>
      </w:r>
      <w:proofErr w:type="spellEnd"/>
      <w:r w:rsidRPr="00EB6E33">
        <w:rPr>
          <w:color w:val="000000" w:themeColor="text1"/>
          <w:lang w:val="en-GB"/>
        </w:rPr>
        <w:t xml:space="preserve"> of </w:t>
      </w:r>
      <w:r w:rsidRPr="00EB6E33">
        <w:rPr>
          <w:i/>
          <w:color w:val="000000" w:themeColor="text1"/>
          <w:lang w:val="en-GB"/>
        </w:rPr>
        <w:t>CKAP5</w:t>
      </w:r>
      <w:r w:rsidRPr="00EB6E33">
        <w:rPr>
          <w:color w:val="000000" w:themeColor="text1"/>
          <w:lang w:val="en-GB"/>
        </w:rPr>
        <w:t xml:space="preserve"> in control and </w:t>
      </w:r>
      <w:r w:rsidRPr="00EB6E33">
        <w:rPr>
          <w:i/>
          <w:color w:val="000000" w:themeColor="text1"/>
          <w:lang w:val="en-GB"/>
        </w:rPr>
        <w:t>TP53/TP73</w:t>
      </w:r>
      <w:r w:rsidRPr="00EB6E33">
        <w:rPr>
          <w:color w:val="000000" w:themeColor="text1"/>
          <w:lang w:val="en-GB"/>
        </w:rPr>
        <w:t>-deficient HCT116 cells. A representative western blot is shown.</w:t>
      </w:r>
      <w:r w:rsidRPr="00EB6E33">
        <w:rPr>
          <w:b/>
          <w:color w:val="000000" w:themeColor="text1"/>
          <w:lang w:val="en-GB"/>
        </w:rPr>
        <w:t xml:space="preserve"> (B)</w:t>
      </w:r>
      <w:r w:rsidRPr="00EB6E33">
        <w:rPr>
          <w:color w:val="000000" w:themeColor="text1"/>
          <w:lang w:val="en-GB"/>
        </w:rPr>
        <w:t xml:space="preserve"> Mitotic microtubule plus end assembly rates in parental HCT116 and HCT116 cells with loss of </w:t>
      </w:r>
      <w:r w:rsidRPr="00EB6E33">
        <w:rPr>
          <w:i/>
          <w:color w:val="000000" w:themeColor="text1"/>
          <w:lang w:val="en-GB"/>
        </w:rPr>
        <w:t>TP53/TP73</w:t>
      </w:r>
      <w:r w:rsidRPr="00EB6E33">
        <w:rPr>
          <w:color w:val="000000" w:themeColor="text1"/>
          <w:lang w:val="en-GB"/>
        </w:rPr>
        <w:t xml:space="preserve"> after partial depletion of </w:t>
      </w:r>
      <w:r w:rsidRPr="00EB6E33">
        <w:rPr>
          <w:i/>
          <w:color w:val="000000" w:themeColor="text1"/>
          <w:lang w:val="en-GB"/>
        </w:rPr>
        <w:t>CKAP5</w:t>
      </w:r>
      <w:r w:rsidRPr="00EB6E33">
        <w:rPr>
          <w:color w:val="000000" w:themeColor="text1"/>
          <w:lang w:val="en-GB"/>
        </w:rPr>
        <w:t xml:space="preserve">. Scatter dot plots show average microtubule polymerization rates (20 microtubules/cell, n = 30 mitotic cells from 3 independent experiments, mean </w:t>
      </w:r>
      <w:r w:rsidRPr="00EB6E33">
        <w:rPr>
          <w:color w:val="000000" w:themeColor="text1"/>
          <w:lang w:val="en-GB"/>
        </w:rPr>
        <w:softHyphen/>
      </w:r>
      <w:r w:rsidRPr="00EB6E33">
        <w:rPr>
          <w:color w:val="000000" w:themeColor="text1"/>
          <w:lang w:val="en-GB"/>
        </w:rPr>
        <w:softHyphen/>
        <w:t xml:space="preserve">± SD, </w:t>
      </w:r>
      <w:r w:rsidRPr="00EB6E33">
        <w:rPr>
          <w:i/>
          <w:color w:val="000000" w:themeColor="text1"/>
          <w:lang w:val="en-GB"/>
        </w:rPr>
        <w:t>t</w:t>
      </w:r>
      <w:r w:rsidRPr="00EB6E33">
        <w:rPr>
          <w:color w:val="000000" w:themeColor="text1"/>
          <w:lang w:val="en-GB"/>
        </w:rPr>
        <w:t xml:space="preserve">-test). </w:t>
      </w:r>
      <w:r w:rsidRPr="00EB6E33">
        <w:rPr>
          <w:b/>
          <w:color w:val="000000" w:themeColor="text1"/>
          <w:lang w:val="en-GB"/>
        </w:rPr>
        <w:t xml:space="preserve">(C) </w:t>
      </w:r>
      <w:r w:rsidRPr="00EB6E33">
        <w:rPr>
          <w:bCs/>
          <w:color w:val="000000" w:themeColor="text1"/>
          <w:lang w:val="en-GB"/>
        </w:rPr>
        <w:t xml:space="preserve">Proportion of cells exhibiting lagging chromosomes after loss of </w:t>
      </w:r>
      <w:r w:rsidRPr="00EB6E33">
        <w:rPr>
          <w:bCs/>
          <w:i/>
          <w:color w:val="000000" w:themeColor="text1"/>
          <w:lang w:val="en-GB"/>
        </w:rPr>
        <w:t>TP53/TP73</w:t>
      </w:r>
      <w:r w:rsidRPr="00EB6E33">
        <w:rPr>
          <w:bCs/>
          <w:color w:val="000000" w:themeColor="text1"/>
          <w:lang w:val="en-GB"/>
        </w:rPr>
        <w:t xml:space="preserve"> and after partial depletion of </w:t>
      </w:r>
      <w:r w:rsidRPr="00EB6E33">
        <w:rPr>
          <w:bCs/>
          <w:i/>
          <w:color w:val="000000" w:themeColor="text1"/>
          <w:lang w:val="en-GB"/>
        </w:rPr>
        <w:t>CKAP5</w:t>
      </w:r>
      <w:r w:rsidRPr="00EB6E33">
        <w:rPr>
          <w:bCs/>
          <w:color w:val="000000" w:themeColor="text1"/>
          <w:lang w:val="en-GB"/>
        </w:rPr>
        <w:t xml:space="preserve"> </w:t>
      </w:r>
      <w:r w:rsidRPr="00EB6E33">
        <w:rPr>
          <w:color w:val="000000" w:themeColor="text1"/>
          <w:lang w:val="en-GB"/>
        </w:rPr>
        <w:t xml:space="preserve">(n = 300 anaphase cells from 3 independent experiments, mean ± SD, </w:t>
      </w:r>
      <w:r w:rsidRPr="00EB6E33">
        <w:rPr>
          <w:i/>
          <w:color w:val="000000" w:themeColor="text1"/>
          <w:lang w:val="en-GB"/>
        </w:rPr>
        <w:t>t</w:t>
      </w:r>
      <w:r w:rsidRPr="00EB6E33">
        <w:rPr>
          <w:color w:val="000000" w:themeColor="text1"/>
          <w:lang w:val="en-GB"/>
        </w:rPr>
        <w:t>-test).</w:t>
      </w: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 xml:space="preserve">Figure S2. </w:t>
      </w:r>
      <w:proofErr w:type="gramStart"/>
      <w:r w:rsidRPr="00EB6E33">
        <w:rPr>
          <w:b/>
          <w:color w:val="000000" w:themeColor="text1"/>
          <w:lang w:val="en-GB"/>
        </w:rPr>
        <w:t xml:space="preserve">Induction of chromosome number variability upon loss of </w:t>
      </w:r>
      <w:r w:rsidRPr="00EB6E33">
        <w:rPr>
          <w:b/>
          <w:i/>
          <w:color w:val="000000" w:themeColor="text1"/>
          <w:lang w:val="en-GB"/>
        </w:rPr>
        <w:t>TP53</w:t>
      </w:r>
      <w:r w:rsidRPr="00EB6E33">
        <w:rPr>
          <w:b/>
          <w:color w:val="000000" w:themeColor="text1"/>
          <w:lang w:val="en-GB"/>
        </w:rPr>
        <w:t xml:space="preserve"> and </w:t>
      </w:r>
      <w:r w:rsidRPr="00EB6E33">
        <w:rPr>
          <w:b/>
          <w:i/>
          <w:color w:val="000000" w:themeColor="text1"/>
          <w:lang w:val="en-GB"/>
        </w:rPr>
        <w:t>TP73</w:t>
      </w:r>
      <w:r w:rsidRPr="00EB6E33">
        <w:rPr>
          <w:b/>
          <w:color w:val="000000" w:themeColor="text1"/>
          <w:lang w:val="en-GB"/>
        </w:rPr>
        <w:t>.</w:t>
      </w:r>
      <w:proofErr w:type="gramEnd"/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  <w:proofErr w:type="gramStart"/>
      <w:r w:rsidRPr="00EB6E33">
        <w:rPr>
          <w:color w:val="000000" w:themeColor="text1"/>
          <w:lang w:val="en-GB"/>
        </w:rPr>
        <w:t>Proportion of cells harbouring the indicated chromosome numbers per cell (n = 50 metaphase spreads for each single cell clone as indicated).</w:t>
      </w:r>
      <w:proofErr w:type="gramEnd"/>
      <w:r w:rsidRPr="00EB6E33">
        <w:rPr>
          <w:color w:val="000000" w:themeColor="text1"/>
          <w:lang w:val="en-GB"/>
        </w:rPr>
        <w:t xml:space="preserve"> This figure refers to Figure 2D.</w:t>
      </w: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 xml:space="preserve">Figure S3. </w:t>
      </w:r>
      <w:proofErr w:type="gramStart"/>
      <w:r w:rsidRPr="00EB6E33">
        <w:rPr>
          <w:b/>
          <w:color w:val="000000" w:themeColor="text1"/>
          <w:lang w:val="en-GB"/>
        </w:rPr>
        <w:t xml:space="preserve">Induction of increased mitotic microtubule growth rates and chromosome number variability upon loss of </w:t>
      </w:r>
      <w:r w:rsidRPr="00EB6E33">
        <w:rPr>
          <w:b/>
          <w:i/>
          <w:color w:val="000000" w:themeColor="text1"/>
          <w:lang w:val="en-GB"/>
        </w:rPr>
        <w:t>CDKN1A.</w:t>
      </w:r>
      <w:proofErr w:type="gramEnd"/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 xml:space="preserve">(A) </w:t>
      </w:r>
      <w:r w:rsidRPr="00EB6E33">
        <w:rPr>
          <w:color w:val="000000" w:themeColor="text1"/>
          <w:lang w:val="en-GB"/>
        </w:rPr>
        <w:t>Loss of p21</w:t>
      </w:r>
      <w:r w:rsidRPr="00EB6E33">
        <w:rPr>
          <w:color w:val="000000" w:themeColor="text1"/>
          <w:vertAlign w:val="superscript"/>
          <w:lang w:val="en-GB"/>
        </w:rPr>
        <w:t>CIP1</w:t>
      </w:r>
      <w:r w:rsidRPr="00EB6E33">
        <w:rPr>
          <w:color w:val="000000" w:themeColor="text1"/>
          <w:lang w:val="en-GB"/>
        </w:rPr>
        <w:t xml:space="preserve"> protein levels in HCT116-</w:t>
      </w:r>
      <w:r w:rsidRPr="00EB6E33">
        <w:rPr>
          <w:i/>
          <w:color w:val="000000" w:themeColor="text1"/>
          <w:lang w:val="en-GB"/>
        </w:rPr>
        <w:t>CDKN1A</w:t>
      </w:r>
      <w:r w:rsidRPr="00EB6E33">
        <w:rPr>
          <w:color w:val="000000" w:themeColor="text1"/>
          <w:vertAlign w:val="superscript"/>
          <w:lang w:val="en-GB"/>
        </w:rPr>
        <w:t>-/-</w:t>
      </w:r>
      <w:r w:rsidRPr="00EB6E33">
        <w:rPr>
          <w:color w:val="000000" w:themeColor="text1"/>
          <w:lang w:val="en-GB"/>
        </w:rPr>
        <w:t xml:space="preserve"> cells. A representative western blot detecting p21</w:t>
      </w:r>
      <w:r w:rsidRPr="00EB6E33">
        <w:rPr>
          <w:color w:val="000000" w:themeColor="text1"/>
          <w:vertAlign w:val="superscript"/>
          <w:lang w:val="en-GB"/>
        </w:rPr>
        <w:t>CIP1</w:t>
      </w:r>
      <w:r w:rsidRPr="00EB6E33">
        <w:rPr>
          <w:color w:val="000000" w:themeColor="text1"/>
          <w:lang w:val="en-GB"/>
        </w:rPr>
        <w:t xml:space="preserve"> protein levels in HCT116 and HCT116-</w:t>
      </w:r>
      <w:r w:rsidRPr="00EB6E33">
        <w:rPr>
          <w:i/>
          <w:color w:val="000000" w:themeColor="text1"/>
          <w:lang w:val="en-GB"/>
        </w:rPr>
        <w:t>CDKN1A</w:t>
      </w:r>
      <w:r w:rsidRPr="00EB6E33">
        <w:rPr>
          <w:color w:val="000000" w:themeColor="text1"/>
          <w:vertAlign w:val="superscript"/>
          <w:lang w:val="en-GB"/>
        </w:rPr>
        <w:t>-/-</w:t>
      </w:r>
      <w:r w:rsidRPr="00EB6E33">
        <w:rPr>
          <w:color w:val="000000" w:themeColor="text1"/>
          <w:lang w:val="en-GB"/>
        </w:rPr>
        <w:t xml:space="preserve"> cells is shown. </w:t>
      </w:r>
      <w:r w:rsidRPr="00EB6E33">
        <w:rPr>
          <w:b/>
          <w:color w:val="000000" w:themeColor="text1"/>
          <w:lang w:val="en-GB"/>
        </w:rPr>
        <w:t xml:space="preserve">(B) </w:t>
      </w:r>
      <w:r w:rsidRPr="00EB6E33">
        <w:rPr>
          <w:color w:val="000000" w:themeColor="text1"/>
          <w:lang w:val="en-GB"/>
        </w:rPr>
        <w:t>Microtubule plus end assembly rates in mitotic HCT116 and HCT116-</w:t>
      </w:r>
      <w:r w:rsidRPr="00EB6E33">
        <w:rPr>
          <w:i/>
          <w:color w:val="000000" w:themeColor="text1"/>
          <w:lang w:val="en-GB"/>
        </w:rPr>
        <w:t>CDKN1A</w:t>
      </w:r>
      <w:r w:rsidRPr="00EB6E33">
        <w:rPr>
          <w:color w:val="000000" w:themeColor="text1"/>
          <w:vertAlign w:val="superscript"/>
          <w:lang w:val="en-GB"/>
        </w:rPr>
        <w:t>-/-</w:t>
      </w:r>
      <w:r w:rsidRPr="00EB6E33">
        <w:rPr>
          <w:color w:val="000000" w:themeColor="text1"/>
          <w:lang w:val="en-GB"/>
        </w:rPr>
        <w:t xml:space="preserve"> cells in the absence or presence of low-dose Taxol. Average microtubule polymerisation rates are shown in the scatter dot plots.</w:t>
      </w:r>
      <w:r w:rsidRPr="00EB6E33">
        <w:rPr>
          <w:b/>
          <w:color w:val="000000" w:themeColor="text1"/>
          <w:lang w:val="en-GB"/>
        </w:rPr>
        <w:t xml:space="preserve"> </w:t>
      </w:r>
      <w:r w:rsidRPr="00EB6E33">
        <w:rPr>
          <w:color w:val="000000" w:themeColor="text1"/>
          <w:lang w:val="en-GB"/>
        </w:rPr>
        <w:t xml:space="preserve">(20 microtubules/cell, n = 30 mitotic cells from 3 independent experiments, mean </w:t>
      </w:r>
      <w:r w:rsidRPr="00EB6E33">
        <w:rPr>
          <w:color w:val="000000" w:themeColor="text1"/>
          <w:lang w:val="en-GB"/>
        </w:rPr>
        <w:softHyphen/>
      </w:r>
      <w:r w:rsidRPr="00EB6E33">
        <w:rPr>
          <w:color w:val="000000" w:themeColor="text1"/>
          <w:lang w:val="en-GB"/>
        </w:rPr>
        <w:softHyphen/>
        <w:t xml:space="preserve">± SD, </w:t>
      </w:r>
      <w:r w:rsidRPr="00EB6E33">
        <w:rPr>
          <w:i/>
          <w:color w:val="000000" w:themeColor="text1"/>
          <w:lang w:val="en-GB"/>
        </w:rPr>
        <w:t>t</w:t>
      </w:r>
      <w:r w:rsidRPr="00EB6E33">
        <w:rPr>
          <w:color w:val="000000" w:themeColor="text1"/>
          <w:lang w:val="en-GB"/>
        </w:rPr>
        <w:t>-test).</w:t>
      </w:r>
      <w:r w:rsidRPr="00EB6E33">
        <w:rPr>
          <w:b/>
          <w:color w:val="000000" w:themeColor="text1"/>
          <w:lang w:val="en-GB"/>
        </w:rPr>
        <w:t xml:space="preserve"> (C) </w:t>
      </w:r>
      <w:proofErr w:type="spellStart"/>
      <w:r w:rsidRPr="00EB6E33">
        <w:rPr>
          <w:color w:val="000000" w:themeColor="text1"/>
          <w:lang w:val="en-GB"/>
        </w:rPr>
        <w:t>Downregulation</w:t>
      </w:r>
      <w:proofErr w:type="spellEnd"/>
      <w:r w:rsidRPr="00EB6E33">
        <w:rPr>
          <w:color w:val="000000" w:themeColor="text1"/>
          <w:lang w:val="en-GB"/>
        </w:rPr>
        <w:t xml:space="preserve"> of p21</w:t>
      </w:r>
      <w:r w:rsidRPr="00EB6E33">
        <w:rPr>
          <w:color w:val="000000" w:themeColor="text1"/>
          <w:vertAlign w:val="superscript"/>
          <w:lang w:val="en-GB"/>
        </w:rPr>
        <w:t>CIP</w:t>
      </w:r>
      <w:r w:rsidRPr="00EB6E33">
        <w:rPr>
          <w:color w:val="000000" w:themeColor="text1"/>
          <w:lang w:val="en-GB"/>
        </w:rPr>
        <w:t xml:space="preserve"> protein levels after acute depletion of p53 and p73. HCT116 cells were treated with control or </w:t>
      </w:r>
      <w:r w:rsidRPr="00EB6E33">
        <w:rPr>
          <w:i/>
          <w:color w:val="000000" w:themeColor="text1"/>
          <w:lang w:val="en-GB"/>
        </w:rPr>
        <w:t>TP53/TP73</w:t>
      </w:r>
      <w:r w:rsidRPr="00EB6E33">
        <w:rPr>
          <w:color w:val="000000" w:themeColor="text1"/>
          <w:lang w:val="en-GB"/>
        </w:rPr>
        <w:t xml:space="preserve"> siRNAs and protein levels for p53, p73 and p21</w:t>
      </w:r>
      <w:r w:rsidRPr="00EB6E33">
        <w:rPr>
          <w:color w:val="000000" w:themeColor="text1"/>
          <w:vertAlign w:val="superscript"/>
          <w:lang w:val="en-GB"/>
        </w:rPr>
        <w:t>CIP1</w:t>
      </w:r>
      <w:r w:rsidRPr="00EB6E33">
        <w:rPr>
          <w:color w:val="000000" w:themeColor="text1"/>
          <w:lang w:val="en-GB"/>
        </w:rPr>
        <w:t xml:space="preserve"> were detected by western blotting. A representative western blot is shown.</w:t>
      </w:r>
      <w:r w:rsidRPr="00EB6E33">
        <w:rPr>
          <w:b/>
          <w:color w:val="000000" w:themeColor="text1"/>
          <w:lang w:val="en-GB"/>
        </w:rPr>
        <w:t xml:space="preserve"> (D) </w:t>
      </w:r>
      <w:r w:rsidRPr="00EB6E33">
        <w:rPr>
          <w:color w:val="000000" w:themeColor="text1"/>
          <w:lang w:val="en-GB"/>
        </w:rPr>
        <w:t xml:space="preserve">Microtubule plus end assembly rates after acute depletion of p53 and p73. HCT116 </w:t>
      </w:r>
      <w:r w:rsidRPr="00EB6E33">
        <w:rPr>
          <w:color w:val="000000" w:themeColor="text1"/>
          <w:lang w:val="en-GB"/>
        </w:rPr>
        <w:lastRenderedPageBreak/>
        <w:t xml:space="preserve">were treated with control or </w:t>
      </w:r>
      <w:r w:rsidRPr="00EB6E33">
        <w:rPr>
          <w:i/>
          <w:color w:val="000000" w:themeColor="text1"/>
          <w:lang w:val="en-GB"/>
        </w:rPr>
        <w:t>TP53/TP73</w:t>
      </w:r>
      <w:r w:rsidRPr="00EB6E33">
        <w:rPr>
          <w:color w:val="000000" w:themeColor="text1"/>
          <w:lang w:val="en-GB"/>
        </w:rPr>
        <w:t xml:space="preserve"> siRNAs and average microtubule polymerisation rates were determined after 48 hours. Results are shown in the scatter dot plots.</w:t>
      </w:r>
      <w:r w:rsidRPr="00EB6E33">
        <w:rPr>
          <w:b/>
          <w:color w:val="000000" w:themeColor="text1"/>
          <w:lang w:val="en-GB"/>
        </w:rPr>
        <w:t xml:space="preserve"> </w:t>
      </w:r>
      <w:r w:rsidRPr="00EB6E33">
        <w:rPr>
          <w:color w:val="000000" w:themeColor="text1"/>
          <w:lang w:val="en-GB"/>
        </w:rPr>
        <w:t xml:space="preserve">(20 microtubules/cell, n = 30 mitotic cells from 3 independent experiments, mean </w:t>
      </w:r>
      <w:r w:rsidRPr="00EB6E33">
        <w:rPr>
          <w:color w:val="000000" w:themeColor="text1"/>
          <w:lang w:val="en-GB"/>
        </w:rPr>
        <w:softHyphen/>
      </w:r>
      <w:r w:rsidRPr="00EB6E33">
        <w:rPr>
          <w:color w:val="000000" w:themeColor="text1"/>
          <w:lang w:val="en-GB"/>
        </w:rPr>
        <w:softHyphen/>
        <w:t xml:space="preserve">± SD, </w:t>
      </w:r>
      <w:r w:rsidRPr="00EB6E33">
        <w:rPr>
          <w:i/>
          <w:color w:val="000000" w:themeColor="text1"/>
          <w:lang w:val="en-GB"/>
        </w:rPr>
        <w:t>t</w:t>
      </w:r>
      <w:r w:rsidRPr="00EB6E33">
        <w:rPr>
          <w:color w:val="000000" w:themeColor="text1"/>
          <w:lang w:val="en-GB"/>
        </w:rPr>
        <w:t>-test).</w:t>
      </w:r>
      <w:r w:rsidRPr="00EB6E33">
        <w:rPr>
          <w:b/>
          <w:color w:val="000000" w:themeColor="text1"/>
          <w:lang w:val="en-GB"/>
        </w:rPr>
        <w:t xml:space="preserve"> (E) </w:t>
      </w:r>
      <w:r w:rsidRPr="00EB6E33">
        <w:rPr>
          <w:color w:val="000000" w:themeColor="text1"/>
          <w:lang w:val="en-GB"/>
        </w:rPr>
        <w:t>Mitotic microtubule polymerisation rates in</w:t>
      </w:r>
      <w:r w:rsidRPr="00EB6E33">
        <w:rPr>
          <w:b/>
          <w:color w:val="000000" w:themeColor="text1"/>
          <w:lang w:val="en-GB"/>
        </w:rPr>
        <w:t xml:space="preserve"> </w:t>
      </w:r>
      <w:r w:rsidRPr="00EB6E33">
        <w:rPr>
          <w:color w:val="000000" w:themeColor="text1"/>
          <w:lang w:val="en-GB"/>
        </w:rPr>
        <w:t>single cell clones derived from DLD-1 and DLD-1-</w:t>
      </w:r>
      <w:r w:rsidRPr="00EB6E33">
        <w:rPr>
          <w:i/>
          <w:color w:val="000000" w:themeColor="text1"/>
          <w:lang w:val="en-GB"/>
        </w:rPr>
        <w:t>CDKN1A</w:t>
      </w:r>
      <w:r w:rsidRPr="00EB6E33">
        <w:rPr>
          <w:color w:val="000000" w:themeColor="text1"/>
          <w:vertAlign w:val="superscript"/>
          <w:lang w:val="en-GB"/>
        </w:rPr>
        <w:t>-/-</w:t>
      </w:r>
      <w:r w:rsidRPr="00EB6E33">
        <w:rPr>
          <w:color w:val="000000" w:themeColor="text1"/>
          <w:lang w:val="en-GB"/>
        </w:rPr>
        <w:t xml:space="preserve"> treated with either DMSO or 0.2 </w:t>
      </w:r>
      <w:proofErr w:type="spellStart"/>
      <w:r w:rsidRPr="00EB6E33">
        <w:rPr>
          <w:color w:val="000000" w:themeColor="text1"/>
          <w:lang w:val="en-GB"/>
        </w:rPr>
        <w:t>nM</w:t>
      </w:r>
      <w:proofErr w:type="spellEnd"/>
      <w:r w:rsidRPr="00EB6E33">
        <w:rPr>
          <w:color w:val="000000" w:themeColor="text1"/>
          <w:lang w:val="en-GB"/>
        </w:rPr>
        <w:t xml:space="preserve"> Taxol for 30 generations. Scatter dot plots show average microtubule polymerisation rates (20 microtubules/cell, n = 10 mitotic cells, mean </w:t>
      </w:r>
      <w:r w:rsidRPr="00EB6E33">
        <w:rPr>
          <w:color w:val="000000" w:themeColor="text1"/>
          <w:lang w:val="en-GB"/>
        </w:rPr>
        <w:softHyphen/>
      </w:r>
      <w:r w:rsidRPr="00EB6E33">
        <w:rPr>
          <w:color w:val="000000" w:themeColor="text1"/>
          <w:lang w:val="en-GB"/>
        </w:rPr>
        <w:softHyphen/>
        <w:t xml:space="preserve">± SD, </w:t>
      </w:r>
      <w:r w:rsidRPr="00EB6E33">
        <w:rPr>
          <w:i/>
          <w:color w:val="000000" w:themeColor="text1"/>
          <w:lang w:val="en-GB"/>
        </w:rPr>
        <w:t>t</w:t>
      </w:r>
      <w:r w:rsidRPr="00EB6E33">
        <w:rPr>
          <w:color w:val="000000" w:themeColor="text1"/>
          <w:lang w:val="en-GB"/>
        </w:rPr>
        <w:t xml:space="preserve">-test). </w:t>
      </w:r>
      <w:r w:rsidRPr="00EB6E33">
        <w:rPr>
          <w:b/>
          <w:color w:val="000000" w:themeColor="text1"/>
          <w:lang w:val="en-GB"/>
        </w:rPr>
        <w:t>(F)</w:t>
      </w:r>
      <w:r w:rsidRPr="00EB6E33">
        <w:rPr>
          <w:color w:val="000000" w:themeColor="text1"/>
          <w:lang w:val="en-GB"/>
        </w:rPr>
        <w:t xml:space="preserve"> Proportion of cells harbouring the indicated chromosome numbers per cell (n = 50 metaphase spreads for each single cell clones as indicated). This figure refers to Figure 3D.</w:t>
      </w: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 xml:space="preserve">Figure S4. </w:t>
      </w:r>
      <w:proofErr w:type="gramStart"/>
      <w:r w:rsidRPr="00EB6E33">
        <w:rPr>
          <w:b/>
          <w:color w:val="000000" w:themeColor="text1"/>
          <w:lang w:val="en-GB"/>
        </w:rPr>
        <w:t xml:space="preserve">Induced expression of </w:t>
      </w:r>
      <w:r w:rsidRPr="00EB6E33">
        <w:rPr>
          <w:b/>
          <w:i/>
          <w:color w:val="000000" w:themeColor="text1"/>
          <w:lang w:val="en-GB"/>
        </w:rPr>
        <w:t>CDKN1A</w:t>
      </w:r>
      <w:r w:rsidRPr="00EB6E33">
        <w:rPr>
          <w:b/>
          <w:color w:val="000000" w:themeColor="text1"/>
          <w:lang w:val="en-GB"/>
        </w:rPr>
        <w:t xml:space="preserve"> in chromosomally stable RKO cells.</w:t>
      </w:r>
      <w:proofErr w:type="gramEnd"/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 xml:space="preserve">(A) </w:t>
      </w:r>
      <w:proofErr w:type="spellStart"/>
      <w:r w:rsidRPr="00EB6E33">
        <w:rPr>
          <w:color w:val="000000" w:themeColor="text1"/>
          <w:lang w:val="en-GB"/>
        </w:rPr>
        <w:t>Ponasterone</w:t>
      </w:r>
      <w:proofErr w:type="spellEnd"/>
      <w:r w:rsidRPr="00EB6E33">
        <w:rPr>
          <w:color w:val="000000" w:themeColor="text1"/>
          <w:lang w:val="en-GB"/>
        </w:rPr>
        <w:t xml:space="preserve">-A-inducible expression of </w:t>
      </w:r>
      <w:r w:rsidRPr="00EB6E33">
        <w:rPr>
          <w:i/>
          <w:color w:val="000000" w:themeColor="text1"/>
          <w:lang w:val="en-GB"/>
        </w:rPr>
        <w:t>CDKN1A</w:t>
      </w:r>
      <w:r w:rsidRPr="00EB6E33">
        <w:rPr>
          <w:color w:val="000000" w:themeColor="text1"/>
          <w:lang w:val="en-GB"/>
        </w:rPr>
        <w:t xml:space="preserve"> (encoding for p21</w:t>
      </w:r>
      <w:r w:rsidRPr="00EB6E33">
        <w:rPr>
          <w:color w:val="000000" w:themeColor="text1"/>
          <w:vertAlign w:val="superscript"/>
          <w:lang w:val="en-GB"/>
        </w:rPr>
        <w:t>CIP1</w:t>
      </w:r>
      <w:r w:rsidRPr="00EB6E33">
        <w:rPr>
          <w:color w:val="000000" w:themeColor="text1"/>
          <w:lang w:val="en-GB"/>
        </w:rPr>
        <w:t xml:space="preserve">) in RKO-p21-Pon cells. Cells were treated with increasing concentrations of </w:t>
      </w:r>
      <w:proofErr w:type="spellStart"/>
      <w:r w:rsidRPr="00EB6E33">
        <w:rPr>
          <w:color w:val="000000" w:themeColor="text1"/>
          <w:lang w:val="en-GB"/>
        </w:rPr>
        <w:t>ponasterone</w:t>
      </w:r>
      <w:proofErr w:type="spellEnd"/>
      <w:r w:rsidRPr="00EB6E33">
        <w:rPr>
          <w:color w:val="000000" w:themeColor="text1"/>
          <w:lang w:val="en-GB"/>
        </w:rPr>
        <w:t xml:space="preserve"> A for 24 hours and expression of </w:t>
      </w:r>
      <w:r w:rsidRPr="00EB6E33">
        <w:rPr>
          <w:i/>
          <w:color w:val="000000" w:themeColor="text1"/>
          <w:lang w:val="en-GB"/>
        </w:rPr>
        <w:t>CDKN1A</w:t>
      </w:r>
      <w:r w:rsidRPr="00EB6E33">
        <w:rPr>
          <w:color w:val="000000" w:themeColor="text1"/>
          <w:lang w:val="en-GB"/>
        </w:rPr>
        <w:t xml:space="preserve"> was assessed. A representative western blot is shown.</w:t>
      </w:r>
      <w:r w:rsidRPr="00EB6E33">
        <w:rPr>
          <w:b/>
          <w:color w:val="000000" w:themeColor="text1"/>
          <w:lang w:val="en-GB"/>
        </w:rPr>
        <w:t xml:space="preserve"> (B) </w:t>
      </w:r>
      <w:r w:rsidRPr="00EB6E33">
        <w:rPr>
          <w:color w:val="000000" w:themeColor="text1"/>
          <w:lang w:val="en-GB"/>
        </w:rPr>
        <w:t xml:space="preserve">High level expression of </w:t>
      </w:r>
      <w:r w:rsidRPr="00EB6E33">
        <w:rPr>
          <w:i/>
          <w:color w:val="000000" w:themeColor="text1"/>
          <w:lang w:val="en-GB"/>
        </w:rPr>
        <w:t>CDKN1A</w:t>
      </w:r>
      <w:r w:rsidRPr="00EB6E33">
        <w:rPr>
          <w:color w:val="000000" w:themeColor="text1"/>
          <w:lang w:val="en-GB"/>
        </w:rPr>
        <w:t xml:space="preserve"> causes cell cycle arrest. RKO-p21-Pon cells were treated with increasing concentrations of </w:t>
      </w:r>
      <w:proofErr w:type="spellStart"/>
      <w:r w:rsidRPr="00EB6E33">
        <w:rPr>
          <w:color w:val="000000" w:themeColor="text1"/>
          <w:lang w:val="en-GB"/>
        </w:rPr>
        <w:t>ponasterone</w:t>
      </w:r>
      <w:proofErr w:type="spellEnd"/>
      <w:r w:rsidRPr="00EB6E33">
        <w:rPr>
          <w:color w:val="000000" w:themeColor="text1"/>
          <w:lang w:val="en-GB"/>
        </w:rPr>
        <w:t xml:space="preserve"> A for 24 hours to induce </w:t>
      </w:r>
      <w:r w:rsidRPr="00EB6E33">
        <w:rPr>
          <w:i/>
          <w:color w:val="000000" w:themeColor="text1"/>
          <w:lang w:val="en-GB"/>
        </w:rPr>
        <w:t>CDKN1A</w:t>
      </w:r>
      <w:r w:rsidRPr="00EB6E33">
        <w:rPr>
          <w:color w:val="000000" w:themeColor="text1"/>
          <w:lang w:val="en-GB"/>
        </w:rPr>
        <w:t xml:space="preserve"> expression and FACS analysis was performed. Representative flow </w:t>
      </w:r>
      <w:proofErr w:type="spellStart"/>
      <w:r w:rsidRPr="00EB6E33">
        <w:rPr>
          <w:color w:val="000000" w:themeColor="text1"/>
          <w:lang w:val="en-GB"/>
        </w:rPr>
        <w:t>cytometry</w:t>
      </w:r>
      <w:proofErr w:type="spellEnd"/>
      <w:r w:rsidRPr="00EB6E33">
        <w:rPr>
          <w:color w:val="000000" w:themeColor="text1"/>
          <w:lang w:val="en-GB"/>
        </w:rPr>
        <w:t xml:space="preserve"> profiles are shown.</w:t>
      </w: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 xml:space="preserve">Figure S5. Severe inhibition of CDK1 causes cell cycle arrest in G2 and </w:t>
      </w:r>
      <w:r w:rsidRPr="00EB6E33">
        <w:rPr>
          <w:b/>
          <w:i/>
          <w:color w:val="000000" w:themeColor="text1"/>
          <w:lang w:val="en-GB"/>
        </w:rPr>
        <w:t>CDKN1A</w:t>
      </w:r>
      <w:r w:rsidRPr="00EB6E33">
        <w:rPr>
          <w:b/>
          <w:color w:val="000000" w:themeColor="text1"/>
          <w:lang w:val="en-GB"/>
        </w:rPr>
        <w:t xml:space="preserve"> deficient HCT116 cells exhibit </w:t>
      </w:r>
      <w:proofErr w:type="spellStart"/>
      <w:r w:rsidRPr="00EB6E33">
        <w:rPr>
          <w:b/>
          <w:color w:val="000000" w:themeColor="text1"/>
          <w:lang w:val="en-GB"/>
        </w:rPr>
        <w:t>inceased</w:t>
      </w:r>
      <w:proofErr w:type="spellEnd"/>
      <w:r w:rsidRPr="00EB6E33">
        <w:rPr>
          <w:b/>
          <w:color w:val="000000" w:themeColor="text1"/>
          <w:lang w:val="en-GB"/>
        </w:rPr>
        <w:t xml:space="preserve"> mitotic microtubule growth rates that are suppressed upon CDK1 </w:t>
      </w:r>
      <w:proofErr w:type="spellStart"/>
      <w:r w:rsidRPr="00EB6E33">
        <w:rPr>
          <w:b/>
          <w:color w:val="000000" w:themeColor="text1"/>
          <w:lang w:val="en-GB"/>
        </w:rPr>
        <w:t>inhbition</w:t>
      </w:r>
      <w:proofErr w:type="spellEnd"/>
      <w:r w:rsidRPr="00EB6E33">
        <w:rPr>
          <w:b/>
          <w:color w:val="000000" w:themeColor="text1"/>
          <w:lang w:val="en-GB"/>
        </w:rPr>
        <w:t>.</w:t>
      </w:r>
      <w:r w:rsidRPr="00EB6E33">
        <w:rPr>
          <w:b/>
          <w:color w:val="000000" w:themeColor="text1"/>
          <w:lang w:val="en-GB"/>
        </w:rPr>
        <w:br/>
        <w:t>(A)</w:t>
      </w:r>
      <w:r w:rsidRPr="00EB6E33">
        <w:rPr>
          <w:color w:val="000000" w:themeColor="text1"/>
          <w:lang w:val="en-GB"/>
        </w:rPr>
        <w:t xml:space="preserve"> Asynchronously growing control HCT116 and </w:t>
      </w:r>
      <w:r w:rsidRPr="00EB6E33">
        <w:rPr>
          <w:i/>
          <w:color w:val="000000" w:themeColor="text1"/>
          <w:lang w:val="en-GB"/>
        </w:rPr>
        <w:t>TP53/TP73</w:t>
      </w:r>
      <w:r w:rsidRPr="00EB6E33">
        <w:rPr>
          <w:color w:val="000000" w:themeColor="text1"/>
          <w:lang w:val="en-GB"/>
        </w:rPr>
        <w:t xml:space="preserve">-deficient HCT116 cells were incubated with increasing concentrations of RO-3306 for 16 hours. The DNA content was determined by FACS analyses. Representative flow </w:t>
      </w:r>
      <w:proofErr w:type="spellStart"/>
      <w:r w:rsidRPr="00EB6E33">
        <w:rPr>
          <w:color w:val="000000" w:themeColor="text1"/>
          <w:lang w:val="en-GB"/>
        </w:rPr>
        <w:t>cytometry</w:t>
      </w:r>
      <w:proofErr w:type="spellEnd"/>
      <w:r w:rsidRPr="00EB6E33">
        <w:rPr>
          <w:color w:val="000000" w:themeColor="text1"/>
          <w:lang w:val="en-GB"/>
        </w:rPr>
        <w:t xml:space="preserve"> profiles are shown. </w:t>
      </w:r>
      <w:r w:rsidRPr="00EB6E33">
        <w:rPr>
          <w:b/>
          <w:color w:val="000000" w:themeColor="text1"/>
          <w:lang w:val="en-GB"/>
        </w:rPr>
        <w:t>(B)</w:t>
      </w:r>
      <w:r w:rsidRPr="00EB6E33">
        <w:rPr>
          <w:color w:val="000000" w:themeColor="text1"/>
          <w:lang w:val="en-GB"/>
        </w:rPr>
        <w:t xml:space="preserve"> Mitotic microtubule polymerisation rates in</w:t>
      </w:r>
      <w:r w:rsidRPr="00EB6E33">
        <w:rPr>
          <w:b/>
          <w:color w:val="000000" w:themeColor="text1"/>
          <w:lang w:val="en-GB"/>
        </w:rPr>
        <w:t xml:space="preserve"> </w:t>
      </w:r>
      <w:r w:rsidRPr="00EB6E33">
        <w:rPr>
          <w:color w:val="000000" w:themeColor="text1"/>
          <w:lang w:val="en-GB"/>
        </w:rPr>
        <w:t>HCT116 and HCT116-</w:t>
      </w:r>
      <w:r w:rsidRPr="00EB6E33">
        <w:rPr>
          <w:i/>
          <w:color w:val="000000" w:themeColor="text1"/>
          <w:lang w:val="en-GB"/>
        </w:rPr>
        <w:t>CDKN1A</w:t>
      </w:r>
      <w:r w:rsidRPr="00EB6E33">
        <w:rPr>
          <w:color w:val="000000" w:themeColor="text1"/>
          <w:vertAlign w:val="superscript"/>
          <w:lang w:val="en-GB"/>
        </w:rPr>
        <w:t xml:space="preserve">-/- </w:t>
      </w:r>
      <w:r w:rsidRPr="00EB6E33">
        <w:rPr>
          <w:color w:val="000000" w:themeColor="text1"/>
          <w:lang w:val="en-GB"/>
        </w:rPr>
        <w:t xml:space="preserve">cells in the absence or presence of 0.25 – 1.0 µM RO-3306 or 0.2 </w:t>
      </w:r>
      <w:proofErr w:type="spellStart"/>
      <w:r w:rsidRPr="00EB6E33">
        <w:rPr>
          <w:color w:val="000000" w:themeColor="text1"/>
          <w:lang w:val="en-GB"/>
        </w:rPr>
        <w:t>nM</w:t>
      </w:r>
      <w:proofErr w:type="spellEnd"/>
      <w:r w:rsidRPr="00EB6E33">
        <w:rPr>
          <w:color w:val="000000" w:themeColor="text1"/>
          <w:lang w:val="en-GB"/>
        </w:rPr>
        <w:t xml:space="preserve"> Taxol. Scatter dot plots show average microtubule polymerisation rates (20 microtubules/cell, n = 30 mitotic cells, mean </w:t>
      </w:r>
      <w:r w:rsidRPr="00EB6E33">
        <w:rPr>
          <w:color w:val="000000" w:themeColor="text1"/>
          <w:lang w:val="en-GB"/>
        </w:rPr>
        <w:softHyphen/>
      </w:r>
      <w:r w:rsidRPr="00EB6E33">
        <w:rPr>
          <w:color w:val="000000" w:themeColor="text1"/>
          <w:lang w:val="en-GB"/>
        </w:rPr>
        <w:softHyphen/>
        <w:t xml:space="preserve">± SD, </w:t>
      </w:r>
      <w:r w:rsidRPr="00EB6E33">
        <w:rPr>
          <w:i/>
          <w:color w:val="000000" w:themeColor="text1"/>
          <w:lang w:val="en-GB"/>
        </w:rPr>
        <w:t>t</w:t>
      </w:r>
      <w:r w:rsidRPr="00EB6E33">
        <w:rPr>
          <w:color w:val="000000" w:themeColor="text1"/>
          <w:lang w:val="en-GB"/>
        </w:rPr>
        <w:t>-test).</w:t>
      </w: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 xml:space="preserve">Figure S6. Induction of chromosome number variability upon loss of </w:t>
      </w:r>
      <w:r w:rsidRPr="00EB6E33">
        <w:rPr>
          <w:b/>
          <w:i/>
          <w:color w:val="000000" w:themeColor="text1"/>
          <w:lang w:val="en-GB"/>
        </w:rPr>
        <w:t>TP53/TP73</w:t>
      </w:r>
      <w:r w:rsidRPr="00EB6E33">
        <w:rPr>
          <w:b/>
          <w:color w:val="000000" w:themeColor="text1"/>
          <w:lang w:val="en-GB"/>
        </w:rPr>
        <w:t xml:space="preserve"> or </w:t>
      </w:r>
      <w:r w:rsidRPr="00EB6E33">
        <w:rPr>
          <w:b/>
          <w:i/>
          <w:color w:val="000000" w:themeColor="text1"/>
          <w:lang w:val="en-GB"/>
        </w:rPr>
        <w:t>CDKN1A</w:t>
      </w:r>
      <w:r w:rsidRPr="00EB6E33">
        <w:rPr>
          <w:b/>
          <w:color w:val="000000" w:themeColor="text1"/>
          <w:lang w:val="en-GB"/>
        </w:rPr>
        <w:t xml:space="preserve"> is suppressed by low-level CDK1 inhibition.</w:t>
      </w:r>
      <w:r w:rsidRPr="00EB6E33">
        <w:rPr>
          <w:b/>
          <w:color w:val="000000" w:themeColor="text1"/>
          <w:lang w:val="en-GB"/>
        </w:rPr>
        <w:br/>
        <w:t>(A)</w:t>
      </w:r>
      <w:r w:rsidRPr="00EB6E33">
        <w:rPr>
          <w:color w:val="000000" w:themeColor="text1"/>
          <w:lang w:val="en-GB"/>
        </w:rPr>
        <w:t xml:space="preserve"> Proportion of control or </w:t>
      </w:r>
      <w:r w:rsidRPr="00EB6E33">
        <w:rPr>
          <w:i/>
          <w:color w:val="000000" w:themeColor="text1"/>
          <w:lang w:val="en-GB"/>
        </w:rPr>
        <w:t>TP53/TP73</w:t>
      </w:r>
      <w:r w:rsidRPr="00EB6E33">
        <w:rPr>
          <w:color w:val="000000" w:themeColor="text1"/>
          <w:lang w:val="en-GB"/>
        </w:rPr>
        <w:t xml:space="preserve"> deficient HCT116 cells harbouring the indicated chromosome numbers per cell (n = 50 metaphase spreads for each single cell clone as indicated). This figure refers to Figure 4G. </w:t>
      </w:r>
      <w:r w:rsidRPr="00EB6E33">
        <w:rPr>
          <w:b/>
          <w:color w:val="000000" w:themeColor="text1"/>
          <w:lang w:val="en-GB"/>
        </w:rPr>
        <w:t>(B)</w:t>
      </w:r>
      <w:r w:rsidRPr="00EB6E33">
        <w:rPr>
          <w:color w:val="000000" w:themeColor="text1"/>
          <w:lang w:val="en-GB"/>
        </w:rPr>
        <w:t xml:space="preserve"> Proportion of control or </w:t>
      </w:r>
      <w:r w:rsidRPr="00EB6E33">
        <w:rPr>
          <w:i/>
          <w:color w:val="000000" w:themeColor="text1"/>
          <w:lang w:val="en-GB"/>
        </w:rPr>
        <w:t>CDKN1A</w:t>
      </w:r>
      <w:r w:rsidRPr="00EB6E33">
        <w:rPr>
          <w:color w:val="000000" w:themeColor="text1"/>
          <w:lang w:val="en-GB"/>
        </w:rPr>
        <w:t xml:space="preserve"> deficient DLD-1 cells harbouring the indicated chromosome numbers per cell (n = 50 metaphase spreads for each single cell clone as indicated). This figure refers to Figure 4H.</w:t>
      </w: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 xml:space="preserve">Figure S7. </w:t>
      </w:r>
      <w:proofErr w:type="gramStart"/>
      <w:r w:rsidRPr="00EB6E33">
        <w:rPr>
          <w:b/>
          <w:color w:val="000000" w:themeColor="text1"/>
          <w:lang w:val="en-GB"/>
        </w:rPr>
        <w:t xml:space="preserve">Induction of CDK1 </w:t>
      </w:r>
      <w:proofErr w:type="spellStart"/>
      <w:r w:rsidRPr="00EB6E33">
        <w:rPr>
          <w:b/>
          <w:color w:val="000000" w:themeColor="text1"/>
          <w:lang w:val="en-GB"/>
        </w:rPr>
        <w:t>dephosphorylation</w:t>
      </w:r>
      <w:proofErr w:type="spellEnd"/>
      <w:r w:rsidRPr="00EB6E33">
        <w:rPr>
          <w:b/>
          <w:color w:val="000000" w:themeColor="text1"/>
          <w:lang w:val="en-GB"/>
        </w:rPr>
        <w:t xml:space="preserve"> and activation by wee1 inhibition.</w:t>
      </w:r>
      <w:proofErr w:type="gramEnd"/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  <w:r w:rsidRPr="00EB6E33">
        <w:rPr>
          <w:color w:val="000000" w:themeColor="text1"/>
          <w:lang w:val="en-GB"/>
        </w:rPr>
        <w:t xml:space="preserve">Western blot detecting phosphorylated (inactive) CDK1 in response to treatment with increasing concentrations of the wee1 inhibitor MK-1775 in HCT116 cells. </w:t>
      </w: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  <w:r w:rsidRPr="00EB6E33">
        <w:rPr>
          <w:color w:val="000000" w:themeColor="text1"/>
          <w:lang w:val="en-GB"/>
        </w:rPr>
        <w:t>A representative western blot is shown.</w:t>
      </w: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  <w:bookmarkStart w:id="0" w:name="_GoBack"/>
      <w:bookmarkEnd w:id="0"/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 xml:space="preserve">Figure S8. </w:t>
      </w:r>
      <w:proofErr w:type="gramStart"/>
      <w:r w:rsidRPr="00EB6E33">
        <w:rPr>
          <w:b/>
          <w:color w:val="000000" w:themeColor="text1"/>
          <w:lang w:val="en-GB"/>
        </w:rPr>
        <w:t>Induction of chromosome number variability upon increasing CDK1.</w:t>
      </w:r>
      <w:proofErr w:type="gramEnd"/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  <w:r w:rsidRPr="00EB6E33">
        <w:rPr>
          <w:color w:val="000000" w:themeColor="text1"/>
          <w:lang w:val="en-GB"/>
        </w:rPr>
        <w:t xml:space="preserve">Proportion of control or </w:t>
      </w:r>
      <w:r w:rsidRPr="00EB6E33">
        <w:rPr>
          <w:i/>
          <w:color w:val="000000" w:themeColor="text1"/>
          <w:lang w:val="en-GB"/>
        </w:rPr>
        <w:t>CDK1-AF</w:t>
      </w:r>
      <w:r w:rsidRPr="00EB6E33">
        <w:rPr>
          <w:color w:val="000000" w:themeColor="text1"/>
          <w:lang w:val="en-GB"/>
        </w:rPr>
        <w:t xml:space="preserve"> or </w:t>
      </w:r>
      <w:r w:rsidRPr="00EB6E33">
        <w:rPr>
          <w:i/>
          <w:color w:val="000000" w:themeColor="text1"/>
          <w:lang w:val="en-GB"/>
        </w:rPr>
        <w:t>CDK1-DN</w:t>
      </w:r>
      <w:r w:rsidRPr="00EB6E33">
        <w:rPr>
          <w:color w:val="000000" w:themeColor="text1"/>
          <w:lang w:val="en-GB"/>
        </w:rPr>
        <w:t xml:space="preserve"> expressing HCT116 cells harbouring the indicated chromosome numbers (n = 50 metaphase spreads for each single cell clone as indicated). This figure refers to Figure 5I. </w:t>
      </w: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b/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>Figure S9. P53, p73, CDK1 and p21</w:t>
      </w:r>
      <w:r w:rsidRPr="00EB6E33">
        <w:rPr>
          <w:b/>
          <w:color w:val="000000" w:themeColor="text1"/>
          <w:vertAlign w:val="superscript"/>
          <w:lang w:val="en-GB"/>
        </w:rPr>
        <w:t>CIP1</w:t>
      </w:r>
      <w:r w:rsidRPr="00EB6E33">
        <w:rPr>
          <w:b/>
          <w:color w:val="000000" w:themeColor="text1"/>
          <w:lang w:val="en-GB"/>
        </w:rPr>
        <w:t xml:space="preserve"> protein levels in MIN/MSI and W-CIN cell lines.</w:t>
      </w: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  <w:r w:rsidRPr="00EB6E33">
        <w:rPr>
          <w:color w:val="000000" w:themeColor="text1"/>
          <w:lang w:val="en-GB"/>
        </w:rPr>
        <w:t>A representative western blot detecting p53, p73, CDK1 and p21</w:t>
      </w:r>
      <w:r w:rsidRPr="00EB6E33">
        <w:rPr>
          <w:color w:val="000000" w:themeColor="text1"/>
          <w:vertAlign w:val="superscript"/>
          <w:lang w:val="en-GB"/>
        </w:rPr>
        <w:t>CIP1</w:t>
      </w:r>
      <w:r w:rsidRPr="00EB6E33">
        <w:rPr>
          <w:color w:val="000000" w:themeColor="text1"/>
          <w:lang w:val="en-GB"/>
        </w:rPr>
        <w:t xml:space="preserve"> protein levels in the indicated chromosomally stable (MIN/MSI) or unstable (W-CIN) cell lines.</w:t>
      </w: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rPr>
          <w:color w:val="000000" w:themeColor="text1"/>
          <w:lang w:val="en-GB"/>
        </w:rPr>
      </w:pPr>
    </w:p>
    <w:p w:rsidR="00E52B9A" w:rsidRPr="00EB6E33" w:rsidRDefault="00E52B9A" w:rsidP="00E52B9A">
      <w:pPr>
        <w:spacing w:line="360" w:lineRule="auto"/>
        <w:jc w:val="both"/>
        <w:rPr>
          <w:b/>
          <w:color w:val="000000" w:themeColor="text1"/>
          <w:lang w:val="en-GB"/>
        </w:rPr>
      </w:pPr>
      <w:r w:rsidRPr="00EB6E33">
        <w:rPr>
          <w:b/>
          <w:color w:val="000000" w:themeColor="text1"/>
          <w:lang w:val="en-GB"/>
        </w:rPr>
        <w:t xml:space="preserve">Figure S10. </w:t>
      </w:r>
      <w:proofErr w:type="gramStart"/>
      <w:r w:rsidRPr="00EB6E33">
        <w:rPr>
          <w:b/>
          <w:color w:val="000000" w:themeColor="text1"/>
          <w:lang w:val="en-GB"/>
        </w:rPr>
        <w:t xml:space="preserve">Relevance of the </w:t>
      </w:r>
      <w:r w:rsidRPr="00EB6E33">
        <w:rPr>
          <w:b/>
          <w:i/>
          <w:color w:val="000000" w:themeColor="text1"/>
          <w:lang w:val="en-GB"/>
        </w:rPr>
        <w:t>TP53</w:t>
      </w:r>
      <w:r w:rsidRPr="00EB6E33">
        <w:rPr>
          <w:b/>
          <w:color w:val="000000" w:themeColor="text1"/>
          <w:lang w:val="en-GB"/>
        </w:rPr>
        <w:t xml:space="preserve">, </w:t>
      </w:r>
      <w:r w:rsidRPr="00EB6E33">
        <w:rPr>
          <w:b/>
          <w:i/>
          <w:color w:val="000000" w:themeColor="text1"/>
          <w:lang w:val="en-GB"/>
        </w:rPr>
        <w:t>TP73</w:t>
      </w:r>
      <w:r w:rsidRPr="00EB6E33">
        <w:rPr>
          <w:b/>
          <w:color w:val="000000" w:themeColor="text1"/>
          <w:lang w:val="en-GB"/>
        </w:rPr>
        <w:t xml:space="preserve"> and </w:t>
      </w:r>
      <w:r w:rsidRPr="00EB6E33">
        <w:rPr>
          <w:b/>
          <w:i/>
          <w:color w:val="000000" w:themeColor="text1"/>
          <w:lang w:val="en-GB"/>
        </w:rPr>
        <w:t>CDKN1A</w:t>
      </w:r>
      <w:r w:rsidRPr="00EB6E33">
        <w:rPr>
          <w:b/>
          <w:color w:val="000000" w:themeColor="text1"/>
          <w:lang w:val="en-GB"/>
        </w:rPr>
        <w:t xml:space="preserve"> status to chromosomal instability in breast cancer.</w:t>
      </w:r>
      <w:proofErr w:type="gramEnd"/>
    </w:p>
    <w:p w:rsidR="00E52B9A" w:rsidRPr="00EB6E33" w:rsidRDefault="00E52B9A" w:rsidP="00E52B9A">
      <w:pPr>
        <w:spacing w:line="360" w:lineRule="auto"/>
        <w:jc w:val="both"/>
        <w:rPr>
          <w:shd w:val="clear" w:color="auto" w:fill="FFFFFF"/>
        </w:rPr>
      </w:pPr>
      <w:r w:rsidRPr="00EB6E33">
        <w:rPr>
          <w:b/>
          <w:color w:val="000000" w:themeColor="text1"/>
          <w:lang w:val="en-GB"/>
        </w:rPr>
        <w:t xml:space="preserve">(A) </w:t>
      </w:r>
      <w:r w:rsidRPr="00EB6E33">
        <w:rPr>
          <w:color w:val="000000" w:themeColor="text1"/>
          <w:lang w:val="en-GB"/>
        </w:rPr>
        <w:t xml:space="preserve">Relationship between </w:t>
      </w:r>
      <w:r w:rsidRPr="00EB6E33">
        <w:rPr>
          <w:i/>
          <w:color w:val="000000" w:themeColor="text1"/>
          <w:lang w:val="en-GB"/>
        </w:rPr>
        <w:t>TP53</w:t>
      </w:r>
      <w:r w:rsidRPr="00EB6E33">
        <w:rPr>
          <w:color w:val="000000" w:themeColor="text1"/>
          <w:lang w:val="en-GB"/>
        </w:rPr>
        <w:t xml:space="preserve"> and </w:t>
      </w:r>
      <w:r w:rsidRPr="00EB6E33">
        <w:rPr>
          <w:i/>
          <w:color w:val="000000" w:themeColor="text1"/>
          <w:lang w:val="en-GB"/>
        </w:rPr>
        <w:t>TP73</w:t>
      </w:r>
      <w:r w:rsidRPr="00EB6E33">
        <w:rPr>
          <w:color w:val="000000" w:themeColor="text1"/>
          <w:lang w:val="en-GB"/>
        </w:rPr>
        <w:t xml:space="preserve"> status to </w:t>
      </w:r>
      <w:r w:rsidRPr="00EB6E33">
        <w:rPr>
          <w:i/>
          <w:color w:val="000000" w:themeColor="text1"/>
          <w:lang w:val="en-GB"/>
        </w:rPr>
        <w:t>CDKN1A</w:t>
      </w:r>
      <w:r w:rsidRPr="00EB6E33">
        <w:rPr>
          <w:color w:val="000000" w:themeColor="text1"/>
          <w:lang w:val="en-GB"/>
        </w:rPr>
        <w:t xml:space="preserve"> expression levels in breast carcinomas. </w:t>
      </w:r>
      <w:r w:rsidRPr="00EB6E33">
        <w:rPr>
          <w:bCs/>
          <w:color w:val="000000" w:themeColor="text1"/>
          <w:lang w:val="en-GB"/>
        </w:rPr>
        <w:t xml:space="preserve">972 human tumour samples from The Cancer Genome Atlas (TCGA) were analysed for their </w:t>
      </w:r>
      <w:r w:rsidRPr="00EB6E33">
        <w:rPr>
          <w:bCs/>
          <w:i/>
          <w:color w:val="000000" w:themeColor="text1"/>
          <w:lang w:val="en-GB"/>
        </w:rPr>
        <w:t>TP53</w:t>
      </w:r>
      <w:r w:rsidRPr="00EB6E33">
        <w:rPr>
          <w:bCs/>
          <w:color w:val="000000" w:themeColor="text1"/>
          <w:lang w:val="en-GB"/>
        </w:rPr>
        <w:t xml:space="preserve"> mutational status and </w:t>
      </w:r>
      <w:r w:rsidRPr="00EB6E33">
        <w:rPr>
          <w:bCs/>
          <w:i/>
          <w:color w:val="000000" w:themeColor="text1"/>
          <w:lang w:val="en-GB"/>
        </w:rPr>
        <w:t>TP73</w:t>
      </w:r>
      <w:r w:rsidRPr="00EB6E33">
        <w:rPr>
          <w:bCs/>
          <w:color w:val="000000" w:themeColor="text1"/>
          <w:lang w:val="en-GB"/>
        </w:rPr>
        <w:t xml:space="preserve"> expression level status and its association with </w:t>
      </w:r>
      <w:r w:rsidRPr="00EB6E33">
        <w:rPr>
          <w:bCs/>
          <w:i/>
          <w:color w:val="000000" w:themeColor="text1"/>
          <w:lang w:val="en-GB"/>
        </w:rPr>
        <w:t>CDKN1A</w:t>
      </w:r>
      <w:r w:rsidRPr="00EB6E33">
        <w:rPr>
          <w:bCs/>
          <w:color w:val="000000" w:themeColor="text1"/>
          <w:lang w:val="en-GB"/>
        </w:rPr>
        <w:t xml:space="preserve"> expression.</w:t>
      </w:r>
      <w:r w:rsidRPr="00EB6E33">
        <w:rPr>
          <w:b/>
          <w:color w:val="000000" w:themeColor="text1"/>
          <w:lang w:val="en-GB"/>
        </w:rPr>
        <w:t xml:space="preserve"> </w:t>
      </w:r>
      <w:proofErr w:type="spellStart"/>
      <w:r w:rsidRPr="00EB6E33">
        <w:rPr>
          <w:shd w:val="clear" w:color="auto" w:fill="FFFFFF"/>
        </w:rPr>
        <w:t>Wilcoxon</w:t>
      </w:r>
      <w:proofErr w:type="spellEnd"/>
      <w:r w:rsidRPr="00EB6E33">
        <w:rPr>
          <w:shd w:val="clear" w:color="auto" w:fill="FFFFFF"/>
        </w:rPr>
        <w:t xml:space="preserve"> p-</w:t>
      </w:r>
      <w:proofErr w:type="spellStart"/>
      <w:r w:rsidRPr="00EB6E33">
        <w:rPr>
          <w:shd w:val="clear" w:color="auto" w:fill="FFFFFF"/>
        </w:rPr>
        <w:t>values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were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calculated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for</w:t>
      </w:r>
      <w:proofErr w:type="spellEnd"/>
      <w:r w:rsidRPr="00EB6E33">
        <w:rPr>
          <w:shd w:val="clear" w:color="auto" w:fill="FFFFFF"/>
        </w:rPr>
        <w:t xml:space="preserve"> pair-</w:t>
      </w:r>
      <w:proofErr w:type="spellStart"/>
      <w:r w:rsidRPr="00EB6E33">
        <w:rPr>
          <w:shd w:val="clear" w:color="auto" w:fill="FFFFFF"/>
        </w:rPr>
        <w:t>wise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comparisons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and</w:t>
      </w:r>
      <w:proofErr w:type="spellEnd"/>
      <w:r w:rsidRPr="00EB6E33">
        <w:rPr>
          <w:shd w:val="clear" w:color="auto" w:fill="FFFFFF"/>
        </w:rPr>
        <w:t xml:space="preserve"> Kruskal-Wallis p-</w:t>
      </w:r>
      <w:proofErr w:type="spellStart"/>
      <w:r w:rsidRPr="00EB6E33">
        <w:rPr>
          <w:shd w:val="clear" w:color="auto" w:fill="FFFFFF"/>
        </w:rPr>
        <w:t>value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for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overall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differences</w:t>
      </w:r>
      <w:proofErr w:type="spellEnd"/>
      <w:r w:rsidRPr="00EB6E33">
        <w:rPr>
          <w:shd w:val="clear" w:color="auto" w:fill="FFFFFF"/>
        </w:rPr>
        <w:t>.</w:t>
      </w:r>
      <w:r w:rsidRPr="00EB6E33">
        <w:rPr>
          <w:b/>
          <w:color w:val="000000" w:themeColor="text1"/>
          <w:lang w:val="en-GB"/>
        </w:rPr>
        <w:t xml:space="preserve"> (B) </w:t>
      </w:r>
      <w:r w:rsidRPr="00EB6E33">
        <w:rPr>
          <w:color w:val="000000" w:themeColor="text1"/>
          <w:lang w:val="en-GB"/>
        </w:rPr>
        <w:t xml:space="preserve">Relationship between </w:t>
      </w:r>
      <w:r w:rsidRPr="00EB6E33">
        <w:rPr>
          <w:i/>
          <w:color w:val="000000" w:themeColor="text1"/>
          <w:lang w:val="en-GB"/>
        </w:rPr>
        <w:t xml:space="preserve">CDKN1A </w:t>
      </w:r>
      <w:r w:rsidRPr="00EB6E33">
        <w:rPr>
          <w:color w:val="000000" w:themeColor="text1"/>
          <w:lang w:val="en-GB"/>
        </w:rPr>
        <w:t xml:space="preserve">expression and chromosomal instability (weighted Genome Integrity Index). </w:t>
      </w:r>
      <w:r w:rsidRPr="00EB6E33">
        <w:rPr>
          <w:bCs/>
          <w:color w:val="000000" w:themeColor="text1"/>
          <w:lang w:val="en-GB"/>
        </w:rPr>
        <w:t xml:space="preserve">972 breast carcinoma samples from The Cancer Genome Atlas (TCGA) were categorized into low and high CIN groups and aligned to their expression level of </w:t>
      </w:r>
      <w:r w:rsidRPr="00EB6E33">
        <w:rPr>
          <w:bCs/>
          <w:i/>
          <w:color w:val="000000" w:themeColor="text1"/>
          <w:lang w:val="en-GB"/>
        </w:rPr>
        <w:t>CDKN1A</w:t>
      </w:r>
      <w:r w:rsidRPr="00EB6E33">
        <w:rPr>
          <w:bCs/>
          <w:color w:val="000000" w:themeColor="text1"/>
          <w:lang w:val="en-GB"/>
        </w:rPr>
        <w:t>.</w:t>
      </w:r>
      <w:r w:rsidRPr="00EB6E33">
        <w:rPr>
          <w:b/>
          <w:color w:val="000000" w:themeColor="text1"/>
          <w:lang w:val="en-GB"/>
        </w:rPr>
        <w:t xml:space="preserve"> </w:t>
      </w:r>
      <w:r w:rsidRPr="00EB6E33">
        <w:rPr>
          <w:shd w:val="clear" w:color="auto" w:fill="FFFFFF"/>
        </w:rPr>
        <w:t xml:space="preserve">The </w:t>
      </w:r>
      <w:proofErr w:type="spellStart"/>
      <w:r w:rsidRPr="00EB6E33">
        <w:rPr>
          <w:shd w:val="clear" w:color="auto" w:fill="FFFFFF"/>
        </w:rPr>
        <w:t>combined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histogram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and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density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plot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displays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the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distribution</w:t>
      </w:r>
      <w:proofErr w:type="spellEnd"/>
      <w:r w:rsidRPr="00EB6E33">
        <w:rPr>
          <w:shd w:val="clear" w:color="auto" w:fill="FFFFFF"/>
        </w:rPr>
        <w:t xml:space="preserve"> of </w:t>
      </w:r>
      <w:r w:rsidRPr="00EB6E33">
        <w:rPr>
          <w:i/>
          <w:shd w:val="clear" w:color="auto" w:fill="FFFFFF"/>
        </w:rPr>
        <w:t>CDKN1A</w:t>
      </w:r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expression</w:t>
      </w:r>
      <w:proofErr w:type="spellEnd"/>
      <w:r w:rsidRPr="00EB6E33">
        <w:rPr>
          <w:shd w:val="clear" w:color="auto" w:fill="FFFFFF"/>
        </w:rPr>
        <w:t xml:space="preserve"> in </w:t>
      </w:r>
      <w:proofErr w:type="spellStart"/>
      <w:r w:rsidRPr="00EB6E33">
        <w:rPr>
          <w:shd w:val="clear" w:color="auto" w:fill="FFFFFF"/>
        </w:rPr>
        <w:t>the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low</w:t>
      </w:r>
      <w:proofErr w:type="spellEnd"/>
      <w:r w:rsidRPr="00EB6E33">
        <w:rPr>
          <w:shd w:val="clear" w:color="auto" w:fill="FFFFFF"/>
        </w:rPr>
        <w:t xml:space="preserve"> </w:t>
      </w:r>
      <w:proofErr w:type="spellStart"/>
      <w:r w:rsidRPr="00EB6E33">
        <w:rPr>
          <w:shd w:val="clear" w:color="auto" w:fill="FFFFFF"/>
        </w:rPr>
        <w:t>and</w:t>
      </w:r>
      <w:proofErr w:type="spellEnd"/>
      <w:r w:rsidRPr="00EB6E33">
        <w:rPr>
          <w:shd w:val="clear" w:color="auto" w:fill="FFFFFF"/>
        </w:rPr>
        <w:t xml:space="preserve"> high CIN </w:t>
      </w:r>
      <w:proofErr w:type="spellStart"/>
      <w:r w:rsidRPr="00EB6E33">
        <w:rPr>
          <w:shd w:val="clear" w:color="auto" w:fill="FFFFFF"/>
        </w:rPr>
        <w:t>groups</w:t>
      </w:r>
      <w:proofErr w:type="spellEnd"/>
      <w:r w:rsidRPr="00EB6E33">
        <w:rPr>
          <w:shd w:val="clear" w:color="auto" w:fill="FFFFFF"/>
        </w:rPr>
        <w:t xml:space="preserve">. </w:t>
      </w:r>
    </w:p>
    <w:p w:rsidR="001A4498" w:rsidRDefault="001A4498"/>
    <w:sectPr w:rsidR="001A4498" w:rsidSect="00E318FE">
      <w:pgSz w:w="11900" w:h="16840"/>
      <w:pgMar w:top="1418" w:right="1418" w:bottom="1134" w:left="1418" w:header="709" w:footer="1083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mirrorMargins/>
  <w:proofState w:spelling="clean" w:grammar="clean"/>
  <w:defaultTabStop w:val="708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B9A"/>
    <w:rsid w:val="001A4498"/>
    <w:rsid w:val="008147DE"/>
    <w:rsid w:val="00E318FE"/>
    <w:rsid w:val="00E52B9A"/>
    <w:rsid w:val="00E715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D0F07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52B9A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52B9A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5488</Characters>
  <Application>Microsoft Macintosh Word</Application>
  <DocSecurity>0</DocSecurity>
  <Lines>45</Lines>
  <Paragraphs>12</Paragraphs>
  <ScaleCrop>false</ScaleCrop>
  <Company>IMT</Company>
  <LinksUpToDate>false</LinksUpToDate>
  <CharactersWithSpaces>6347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 Bastians</dc:creator>
  <cp:keywords/>
  <dc:description/>
  <cp:lastModifiedBy>Holger Bastians</cp:lastModifiedBy>
  <cp:revision>1</cp:revision>
  <dcterms:created xsi:type="dcterms:W3CDTF">2020-09-29T09:04:00Z</dcterms:created>
  <dcterms:modified xsi:type="dcterms:W3CDTF">2020-09-29T09:04:00Z</dcterms:modified>
</cp:coreProperties>
</file>