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72BC8" w14:textId="7D665654" w:rsidR="00FA6284" w:rsidRDefault="00FA6284" w:rsidP="00FA6284">
      <w:pPr>
        <w:widowControl w:val="0"/>
        <w:spacing w:line="480" w:lineRule="auto"/>
        <w:jc w:val="both"/>
        <w:rPr>
          <w:rFonts w:ascii="Arial" w:eastAsia="Arial" w:hAnsi="Arial" w:cs="Arial"/>
          <w:b/>
          <w:color w:val="000000" w:themeColor="text1"/>
          <w:sz w:val="22"/>
          <w:szCs w:val="22"/>
        </w:rPr>
      </w:pPr>
      <w:r w:rsidRPr="00D05760">
        <w:rPr>
          <w:rFonts w:ascii="Arial" w:eastAsia="Arial" w:hAnsi="Arial" w:cs="Arial"/>
          <w:b/>
          <w:color w:val="000000" w:themeColor="text1"/>
          <w:sz w:val="22"/>
          <w:szCs w:val="22"/>
        </w:rPr>
        <w:t>Figure S1</w:t>
      </w:r>
      <w:bookmarkStart w:id="0" w:name="_GoBack"/>
      <w:bookmarkEnd w:id="0"/>
    </w:p>
    <w:p w14:paraId="7C69B1FC" w14:textId="77777777" w:rsidR="006A06F7" w:rsidRPr="00D05760" w:rsidRDefault="006A06F7" w:rsidP="006A06F7">
      <w:pPr>
        <w:spacing w:line="480" w:lineRule="auto"/>
        <w:rPr>
          <w:rFonts w:ascii="Arial" w:eastAsia="Arial" w:hAnsi="Arial" w:cs="Arial"/>
          <w:color w:val="000000" w:themeColor="text1"/>
          <w:sz w:val="22"/>
          <w:szCs w:val="22"/>
        </w:rPr>
      </w:pPr>
      <w:r w:rsidRPr="00FA6284">
        <w:rPr>
          <w:rFonts w:ascii="Arial" w:eastAsia="Arial" w:hAnsi="Arial" w:cs="Arial"/>
          <w:b/>
          <w:bCs/>
          <w:color w:val="000000" w:themeColor="text1"/>
          <w:sz w:val="22"/>
          <w:szCs w:val="22"/>
        </w:rPr>
        <w:t>Generation of stable MDA-CBFβ-ER cell lines and MDA- pcDNA3.1/H cell line.</w:t>
      </w:r>
      <w:r>
        <w:rPr>
          <w:rFonts w:ascii="Arial" w:eastAsia="Arial" w:hAnsi="Arial" w:cs="Arial"/>
          <w:b/>
          <w:bCs/>
          <w:color w:val="000000" w:themeColor="text1"/>
          <w:sz w:val="22"/>
          <w:szCs w:val="22"/>
        </w:rPr>
        <w:t xml:space="preserve"> </w:t>
      </w:r>
      <w:r w:rsidRPr="00D05760">
        <w:rPr>
          <w:rFonts w:ascii="Arial" w:eastAsia="Arial" w:hAnsi="Arial" w:cs="Arial"/>
          <w:color w:val="000000" w:themeColor="text1"/>
          <w:sz w:val="22"/>
          <w:szCs w:val="22"/>
        </w:rPr>
        <w:t>(A) Western blot showing CBFβ-ER and CBFβ expression. The total cell lysates were derived from wild type MDA-MB-231 cells and six clones of MDA-CBFβ-ER cells followed by western blots against an anti-CBFβ antibody. The upper panel showed the CBFβ-ER and the middle panel presented endogenous CBFβ. Clone numbers 2, 4 and 6 all had the expression of CBFβ-ER fusion protein and only the wild</w:t>
      </w:r>
      <w:r>
        <w:rPr>
          <w:rFonts w:ascii="Arial" w:eastAsia="Arial" w:hAnsi="Arial" w:cs="Arial"/>
          <w:color w:val="000000" w:themeColor="text1"/>
          <w:sz w:val="22"/>
          <w:szCs w:val="22"/>
        </w:rPr>
        <w:t>-</w:t>
      </w:r>
      <w:r w:rsidRPr="00D05760">
        <w:rPr>
          <w:rFonts w:ascii="Arial" w:eastAsia="Arial" w:hAnsi="Arial" w:cs="Arial"/>
          <w:color w:val="000000" w:themeColor="text1"/>
          <w:sz w:val="22"/>
          <w:szCs w:val="22"/>
        </w:rPr>
        <w:t xml:space="preserve">type cells showed the endogenous CBFβ protein. Clone 6 was selected for subsequent experiments. (B) Expression of CBFβ-ER was </w:t>
      </w:r>
      <w:proofErr w:type="spellStart"/>
      <w:r w:rsidRPr="00D05760">
        <w:rPr>
          <w:rFonts w:ascii="Arial" w:eastAsia="Arial" w:hAnsi="Arial" w:cs="Arial"/>
          <w:color w:val="000000" w:themeColor="text1"/>
          <w:sz w:val="22"/>
          <w:szCs w:val="22"/>
        </w:rPr>
        <w:t>analyzed</w:t>
      </w:r>
      <w:proofErr w:type="spellEnd"/>
      <w:r w:rsidRPr="00D05760">
        <w:rPr>
          <w:rFonts w:ascii="Arial" w:eastAsia="Arial" w:hAnsi="Arial" w:cs="Arial"/>
          <w:color w:val="000000" w:themeColor="text1"/>
          <w:sz w:val="22"/>
          <w:szCs w:val="22"/>
        </w:rPr>
        <w:t xml:space="preserve"> by western blots using CBFβ antibody in total cell lysates from seven clones of control cell line MDA-pcDNA3.1/H.  There was no CBFβ-ER band in the control cell lines. Clone number 1 was selected for further ana</w:t>
      </w:r>
      <w:r>
        <w:rPr>
          <w:rFonts w:ascii="Arial" w:eastAsia="Arial" w:hAnsi="Arial" w:cs="Arial"/>
          <w:color w:val="000000" w:themeColor="text1"/>
          <w:sz w:val="22"/>
          <w:szCs w:val="22"/>
        </w:rPr>
        <w:t xml:space="preserve">lysis. </w:t>
      </w:r>
      <w:r w:rsidRPr="00D05760">
        <w:rPr>
          <w:rFonts w:ascii="Arial" w:eastAsia="Arial" w:hAnsi="Arial" w:cs="Arial"/>
          <w:color w:val="000000" w:themeColor="text1"/>
          <w:sz w:val="22"/>
          <w:szCs w:val="22"/>
        </w:rPr>
        <w:t>β-Tubulin was used as a loading control.</w:t>
      </w:r>
    </w:p>
    <w:p w14:paraId="44983D89" w14:textId="77777777" w:rsidR="006A06F7" w:rsidRDefault="006A06F7" w:rsidP="006A06F7">
      <w:pPr>
        <w:widowControl w:val="0"/>
        <w:spacing w:line="480" w:lineRule="auto"/>
        <w:jc w:val="both"/>
        <w:rPr>
          <w:rFonts w:ascii="Arial" w:eastAsia="Arial" w:hAnsi="Arial" w:cs="Arial"/>
          <w:b/>
          <w:color w:val="000000" w:themeColor="text1"/>
          <w:sz w:val="22"/>
          <w:szCs w:val="22"/>
        </w:rPr>
      </w:pPr>
    </w:p>
    <w:p w14:paraId="49AE7916" w14:textId="2E58130D" w:rsidR="006A06F7" w:rsidRDefault="006A06F7" w:rsidP="006A06F7">
      <w:pPr>
        <w:widowControl w:val="0"/>
        <w:spacing w:line="480" w:lineRule="auto"/>
        <w:jc w:val="both"/>
        <w:rPr>
          <w:rFonts w:ascii="Arial" w:eastAsia="Arial" w:hAnsi="Arial" w:cs="Arial"/>
          <w:b/>
          <w:color w:val="000000" w:themeColor="text1"/>
          <w:sz w:val="22"/>
          <w:szCs w:val="22"/>
        </w:rPr>
      </w:pPr>
      <w:r w:rsidRPr="00D05760">
        <w:rPr>
          <w:rFonts w:ascii="Arial" w:eastAsia="Arial" w:hAnsi="Arial" w:cs="Arial"/>
          <w:b/>
          <w:color w:val="000000" w:themeColor="text1"/>
          <w:sz w:val="22"/>
          <w:szCs w:val="22"/>
        </w:rPr>
        <w:t>Figure S</w:t>
      </w:r>
      <w:r>
        <w:rPr>
          <w:rFonts w:ascii="Arial" w:eastAsia="Arial" w:hAnsi="Arial" w:cs="Arial"/>
          <w:b/>
          <w:color w:val="000000" w:themeColor="text1"/>
          <w:sz w:val="22"/>
          <w:szCs w:val="22"/>
        </w:rPr>
        <w:t>2</w:t>
      </w:r>
    </w:p>
    <w:p w14:paraId="24B1BF53" w14:textId="16D62D33" w:rsidR="00FA6284" w:rsidRPr="00CB7147" w:rsidRDefault="00FA6284" w:rsidP="00FA6284">
      <w:pPr>
        <w:spacing w:line="480" w:lineRule="auto"/>
        <w:jc w:val="both"/>
        <w:rPr>
          <w:rFonts w:ascii="Arial" w:eastAsia="Arial" w:hAnsi="Arial" w:cs="Arial"/>
          <w:color w:val="000000" w:themeColor="text1"/>
          <w:sz w:val="22"/>
          <w:szCs w:val="22"/>
        </w:rPr>
      </w:pPr>
      <w:r w:rsidRPr="00D05760">
        <w:rPr>
          <w:rStyle w:val="FigureChar"/>
          <w:rFonts w:ascii="Arial" w:hAnsi="Arial" w:cs="Arial"/>
          <w:bCs/>
          <w:color w:val="000000" w:themeColor="text1"/>
          <w:sz w:val="22"/>
        </w:rPr>
        <w:t>Depletion of CBF</w:t>
      </w:r>
      <w:r w:rsidRPr="00D05760">
        <w:rPr>
          <w:rStyle w:val="FigureChar"/>
          <w:rFonts w:ascii="Arial" w:hAnsi="Arial" w:cs="Arial"/>
          <w:bCs/>
          <w:color w:val="000000" w:themeColor="text1"/>
          <w:sz w:val="22"/>
        </w:rPr>
        <w:sym w:font="Symbol" w:char="F062"/>
      </w:r>
      <w:r w:rsidRPr="00D05760">
        <w:rPr>
          <w:rStyle w:val="FigureChar"/>
          <w:rFonts w:ascii="Arial" w:hAnsi="Arial" w:cs="Arial"/>
          <w:bCs/>
          <w:color w:val="000000" w:themeColor="text1"/>
          <w:sz w:val="22"/>
        </w:rPr>
        <w:t xml:space="preserve"> or RUNX1 in MDA-MB-468 inhibits invasion.</w:t>
      </w:r>
      <w:r w:rsidRPr="00D05760">
        <w:rPr>
          <w:rStyle w:val="FigureChar"/>
          <w:rFonts w:ascii="Arial" w:hAnsi="Arial" w:cs="Arial"/>
          <w:color w:val="000000" w:themeColor="text1"/>
          <w:sz w:val="22"/>
        </w:rPr>
        <w:t xml:space="preserve"> </w:t>
      </w:r>
      <w:r w:rsidRPr="00D05760">
        <w:rPr>
          <w:rFonts w:ascii="Arial" w:hAnsi="Arial" w:cs="Arial"/>
          <w:color w:val="000000" w:themeColor="text1"/>
          <w:kern w:val="24"/>
          <w:sz w:val="22"/>
          <w:szCs w:val="22"/>
          <w:lang w:val="en-US"/>
        </w:rPr>
        <w:t xml:space="preserve">Cells were transfected with </w:t>
      </w:r>
      <w:proofErr w:type="spellStart"/>
      <w:r w:rsidRPr="00D05760">
        <w:rPr>
          <w:rFonts w:ascii="Arial" w:hAnsi="Arial" w:cs="Arial"/>
          <w:color w:val="000000" w:themeColor="text1"/>
          <w:kern w:val="24"/>
          <w:sz w:val="22"/>
          <w:szCs w:val="22"/>
          <w:lang w:val="en-US"/>
        </w:rPr>
        <w:t>siCBF</w:t>
      </w:r>
      <w:proofErr w:type="spellEnd"/>
      <w:r w:rsidRPr="00D05760">
        <w:rPr>
          <w:rFonts w:ascii="Arial" w:hAnsi="Arial" w:cs="Arial"/>
          <w:color w:val="000000" w:themeColor="text1"/>
          <w:kern w:val="24"/>
          <w:sz w:val="22"/>
          <w:szCs w:val="22"/>
          <w:lang w:val="en-US"/>
        </w:rPr>
        <w:sym w:font="Symbol" w:char="F062"/>
      </w:r>
      <w:r w:rsidRPr="00D05760">
        <w:rPr>
          <w:rFonts w:ascii="Arial" w:hAnsi="Arial" w:cs="Arial"/>
          <w:color w:val="000000" w:themeColor="text1"/>
          <w:kern w:val="24"/>
          <w:sz w:val="22"/>
          <w:szCs w:val="22"/>
          <w:lang w:val="en-US"/>
        </w:rPr>
        <w:t xml:space="preserve"> siRUNX1 or </w:t>
      </w:r>
      <w:proofErr w:type="spellStart"/>
      <w:r w:rsidRPr="00D05760">
        <w:rPr>
          <w:rFonts w:ascii="Arial" w:hAnsi="Arial" w:cs="Arial"/>
          <w:color w:val="000000" w:themeColor="text1"/>
          <w:kern w:val="24"/>
          <w:sz w:val="22"/>
          <w:szCs w:val="22"/>
          <w:lang w:val="en-US"/>
        </w:rPr>
        <w:t>siNS</w:t>
      </w:r>
      <w:proofErr w:type="spellEnd"/>
      <w:r w:rsidRPr="00D05760">
        <w:rPr>
          <w:rFonts w:ascii="Arial" w:hAnsi="Arial" w:cs="Arial"/>
          <w:color w:val="000000" w:themeColor="text1"/>
          <w:kern w:val="24"/>
          <w:sz w:val="22"/>
          <w:szCs w:val="22"/>
          <w:lang w:val="en-US"/>
        </w:rPr>
        <w:t xml:space="preserve">.  </w:t>
      </w:r>
      <w:r w:rsidRPr="00D05760">
        <w:rPr>
          <w:rFonts w:ascii="Arial" w:eastAsia="Arial" w:hAnsi="Arial" w:cs="Arial"/>
          <w:color w:val="000000" w:themeColor="text1"/>
          <w:sz w:val="22"/>
          <w:szCs w:val="22"/>
        </w:rPr>
        <w:t xml:space="preserve">48 hours after transfection, mRNA levels of CBFβ and RUNX1 were quantified (A) and protein (B) to confirm knockdown. (C) Knockdown of CBFβ or RUNX1 leads to a decrease in invasion. (D) </w:t>
      </w:r>
      <w:proofErr w:type="spellStart"/>
      <w:r w:rsidRPr="00D05760">
        <w:rPr>
          <w:rFonts w:ascii="Arial" w:hAnsi="Arial" w:cs="Arial"/>
          <w:color w:val="000000" w:themeColor="text1"/>
          <w:kern w:val="24"/>
          <w:sz w:val="22"/>
          <w:szCs w:val="22"/>
          <w:lang w:val="en-US"/>
        </w:rPr>
        <w:t>qRT</w:t>
      </w:r>
      <w:proofErr w:type="spellEnd"/>
      <w:r w:rsidRPr="00D05760">
        <w:rPr>
          <w:rFonts w:ascii="Arial" w:hAnsi="Arial" w:cs="Arial"/>
          <w:color w:val="000000" w:themeColor="text1"/>
          <w:kern w:val="24"/>
          <w:sz w:val="22"/>
          <w:szCs w:val="22"/>
          <w:lang w:val="en-US"/>
        </w:rPr>
        <w:t xml:space="preserve">-PCR analysis was performed on EMT marker genes 72 hours after transfection.  Data is presented as mean ± SEM from three independent experiments performed in triplicates. </w:t>
      </w:r>
      <w:r w:rsidRPr="00D05760">
        <w:rPr>
          <w:rFonts w:ascii="Arial" w:hAnsi="Arial" w:cs="Arial"/>
          <w:color w:val="000000" w:themeColor="text1"/>
          <w:sz w:val="22"/>
          <w:szCs w:val="22"/>
        </w:rPr>
        <w:t xml:space="preserve">NS (p&gt;0.05) indicates none significant differences, </w:t>
      </w:r>
      <w:r w:rsidRPr="00D05760">
        <w:rPr>
          <w:rFonts w:ascii="Arial" w:hAnsi="Arial" w:cs="Arial"/>
          <w:color w:val="000000" w:themeColor="text1"/>
          <w:kern w:val="24"/>
          <w:sz w:val="22"/>
          <w:szCs w:val="22"/>
          <w:lang w:val="en-US"/>
        </w:rPr>
        <w:t xml:space="preserve">*(p&lt;0.05) and *** (p&lt;0.001) </w:t>
      </w:r>
      <w:r w:rsidRPr="00D05760">
        <w:rPr>
          <w:rFonts w:ascii="Arial" w:hAnsi="Arial" w:cs="Arial"/>
          <w:color w:val="000000" w:themeColor="text1"/>
          <w:sz w:val="22"/>
          <w:szCs w:val="22"/>
        </w:rPr>
        <w:t xml:space="preserve">indicate significant differences compared to the non-specific control analysed by the Student’s t-test. </w:t>
      </w:r>
    </w:p>
    <w:p w14:paraId="1A5E5CF2" w14:textId="77777777" w:rsidR="00CB7147" w:rsidRDefault="00CB7147" w:rsidP="00FA6284">
      <w:pPr>
        <w:spacing w:line="480" w:lineRule="auto"/>
        <w:jc w:val="both"/>
        <w:rPr>
          <w:rFonts w:ascii="Arial" w:eastAsia="Arial" w:hAnsi="Arial" w:cs="Arial"/>
          <w:b/>
          <w:color w:val="000000" w:themeColor="text1"/>
          <w:sz w:val="22"/>
          <w:szCs w:val="22"/>
        </w:rPr>
      </w:pPr>
    </w:p>
    <w:p w14:paraId="4685977A" w14:textId="77777777" w:rsidR="00CB7147" w:rsidRDefault="00CB7147" w:rsidP="00FA6284">
      <w:pPr>
        <w:spacing w:line="480" w:lineRule="auto"/>
        <w:jc w:val="both"/>
        <w:rPr>
          <w:rFonts w:ascii="Arial" w:eastAsia="Arial" w:hAnsi="Arial" w:cs="Arial"/>
          <w:b/>
          <w:color w:val="000000" w:themeColor="text1"/>
          <w:sz w:val="22"/>
          <w:szCs w:val="22"/>
        </w:rPr>
      </w:pPr>
    </w:p>
    <w:p w14:paraId="3DCF93ED" w14:textId="77777777" w:rsidR="00CB7147" w:rsidRDefault="00CB7147" w:rsidP="00FA6284">
      <w:pPr>
        <w:spacing w:line="480" w:lineRule="auto"/>
        <w:jc w:val="both"/>
        <w:rPr>
          <w:rFonts w:ascii="Arial" w:eastAsia="Arial" w:hAnsi="Arial" w:cs="Arial"/>
          <w:b/>
          <w:color w:val="000000" w:themeColor="text1"/>
          <w:sz w:val="22"/>
          <w:szCs w:val="22"/>
        </w:rPr>
      </w:pPr>
    </w:p>
    <w:p w14:paraId="1FE967A7" w14:textId="77777777" w:rsidR="00CB7147" w:rsidRDefault="00CB7147" w:rsidP="00FA6284">
      <w:pPr>
        <w:spacing w:line="480" w:lineRule="auto"/>
        <w:jc w:val="both"/>
        <w:rPr>
          <w:rFonts w:ascii="Arial" w:eastAsia="Arial" w:hAnsi="Arial" w:cs="Arial"/>
          <w:b/>
          <w:color w:val="000000" w:themeColor="text1"/>
          <w:sz w:val="22"/>
          <w:szCs w:val="22"/>
        </w:rPr>
      </w:pPr>
    </w:p>
    <w:p w14:paraId="4BD1F58A" w14:textId="77777777" w:rsidR="00CB7147" w:rsidRDefault="00CB7147" w:rsidP="00FA6284">
      <w:pPr>
        <w:spacing w:line="480" w:lineRule="auto"/>
        <w:jc w:val="both"/>
        <w:rPr>
          <w:rFonts w:ascii="Arial" w:eastAsia="Arial" w:hAnsi="Arial" w:cs="Arial"/>
          <w:b/>
          <w:color w:val="000000" w:themeColor="text1"/>
          <w:sz w:val="22"/>
          <w:szCs w:val="22"/>
        </w:rPr>
      </w:pPr>
    </w:p>
    <w:p w14:paraId="487763D9" w14:textId="77777777" w:rsidR="00CB7147" w:rsidRDefault="00CB7147" w:rsidP="00FA6284">
      <w:pPr>
        <w:spacing w:line="480" w:lineRule="auto"/>
        <w:jc w:val="both"/>
        <w:rPr>
          <w:rFonts w:ascii="Arial" w:eastAsia="Arial" w:hAnsi="Arial" w:cs="Arial"/>
          <w:b/>
          <w:color w:val="000000" w:themeColor="text1"/>
          <w:sz w:val="22"/>
          <w:szCs w:val="22"/>
        </w:rPr>
      </w:pPr>
    </w:p>
    <w:p w14:paraId="5205AA5E" w14:textId="50C59F26" w:rsidR="00FA6284" w:rsidRPr="00D05760" w:rsidRDefault="00FA6284" w:rsidP="00FA6284">
      <w:pPr>
        <w:spacing w:line="480" w:lineRule="auto"/>
        <w:jc w:val="both"/>
        <w:rPr>
          <w:rFonts w:ascii="Arial" w:eastAsia="Arial" w:hAnsi="Arial" w:cs="Arial"/>
          <w:b/>
          <w:color w:val="000000" w:themeColor="text1"/>
          <w:sz w:val="22"/>
          <w:szCs w:val="22"/>
        </w:rPr>
      </w:pPr>
      <w:r w:rsidRPr="00D05760">
        <w:rPr>
          <w:rFonts w:ascii="Arial" w:eastAsia="Arial" w:hAnsi="Arial" w:cs="Arial"/>
          <w:b/>
          <w:color w:val="000000" w:themeColor="text1"/>
          <w:sz w:val="22"/>
          <w:szCs w:val="22"/>
        </w:rPr>
        <w:lastRenderedPageBreak/>
        <w:t>Figure S</w:t>
      </w:r>
      <w:r w:rsidR="006A06F7">
        <w:rPr>
          <w:rFonts w:ascii="Arial" w:eastAsia="Arial" w:hAnsi="Arial" w:cs="Arial"/>
          <w:b/>
          <w:color w:val="000000" w:themeColor="text1"/>
          <w:sz w:val="22"/>
          <w:szCs w:val="22"/>
        </w:rPr>
        <w:t>3</w:t>
      </w:r>
    </w:p>
    <w:p w14:paraId="3E65C279" w14:textId="77777777" w:rsidR="00FA6284" w:rsidRPr="00D05760" w:rsidRDefault="00FA6284" w:rsidP="00FA6284">
      <w:pPr>
        <w:keepNext/>
        <w:widowControl w:val="0"/>
        <w:spacing w:line="480" w:lineRule="auto"/>
        <w:jc w:val="both"/>
        <w:rPr>
          <w:rFonts w:ascii="Arial" w:eastAsia="Arial" w:hAnsi="Arial" w:cs="Arial"/>
          <w:color w:val="000000" w:themeColor="text1"/>
          <w:sz w:val="22"/>
          <w:szCs w:val="22"/>
        </w:rPr>
      </w:pPr>
      <w:r w:rsidRPr="00CB7147">
        <w:rPr>
          <w:rFonts w:ascii="Arial" w:eastAsia="Arial" w:hAnsi="Arial" w:cs="Arial"/>
          <w:b/>
          <w:bCs/>
          <w:color w:val="000000" w:themeColor="text1"/>
          <w:sz w:val="22"/>
          <w:szCs w:val="22"/>
        </w:rPr>
        <w:t>Additional controls for tamoxifen inducible system.</w:t>
      </w:r>
      <w:r w:rsidRPr="00D05760">
        <w:rPr>
          <w:rFonts w:ascii="Arial" w:eastAsia="Arial" w:hAnsi="Arial" w:cs="Arial"/>
          <w:color w:val="000000" w:themeColor="text1"/>
          <w:sz w:val="22"/>
          <w:szCs w:val="22"/>
        </w:rPr>
        <w:t xml:space="preserve"> Induction of CBFβ-ER with 4OH-T restores the mesenchymal phenotype in 3D culture but no effect is seen in pcDNA3.1/H control cells. The GFP expressing cells were visualised by fluorescence microscopy and DAPI staining. Scale bars are 200μm.</w:t>
      </w:r>
    </w:p>
    <w:p w14:paraId="60E26C21" w14:textId="77777777" w:rsidR="00FA6284" w:rsidRPr="00D05760" w:rsidRDefault="00FA6284" w:rsidP="00FA6284">
      <w:pPr>
        <w:spacing w:line="480" w:lineRule="auto"/>
        <w:jc w:val="both"/>
        <w:rPr>
          <w:rFonts w:ascii="Arial" w:eastAsia="Arial" w:hAnsi="Arial" w:cs="Arial"/>
          <w:color w:val="000000" w:themeColor="text1"/>
          <w:sz w:val="22"/>
          <w:szCs w:val="22"/>
        </w:rPr>
      </w:pPr>
    </w:p>
    <w:p w14:paraId="695B1576" w14:textId="1CF90D00" w:rsidR="00FA6284" w:rsidRPr="00D05760" w:rsidRDefault="00FA6284" w:rsidP="00FA6284">
      <w:pPr>
        <w:spacing w:line="480" w:lineRule="auto"/>
        <w:jc w:val="both"/>
        <w:rPr>
          <w:rFonts w:ascii="Arial" w:eastAsia="Arial" w:hAnsi="Arial" w:cs="Arial"/>
          <w:b/>
          <w:color w:val="000000" w:themeColor="text1"/>
          <w:sz w:val="22"/>
          <w:szCs w:val="22"/>
        </w:rPr>
      </w:pPr>
      <w:r w:rsidRPr="00D05760">
        <w:rPr>
          <w:rFonts w:ascii="Arial" w:eastAsia="Arial" w:hAnsi="Arial" w:cs="Arial"/>
          <w:b/>
          <w:color w:val="000000" w:themeColor="text1"/>
          <w:sz w:val="22"/>
          <w:szCs w:val="22"/>
        </w:rPr>
        <w:t>Figure S</w:t>
      </w:r>
      <w:r w:rsidR="006A06F7">
        <w:rPr>
          <w:rFonts w:ascii="Arial" w:eastAsia="Arial" w:hAnsi="Arial" w:cs="Arial"/>
          <w:b/>
          <w:color w:val="000000" w:themeColor="text1"/>
          <w:sz w:val="22"/>
          <w:szCs w:val="22"/>
        </w:rPr>
        <w:t>4</w:t>
      </w:r>
    </w:p>
    <w:p w14:paraId="66534A26" w14:textId="77777777" w:rsidR="00FA6284" w:rsidRPr="00D05760" w:rsidRDefault="00FA6284" w:rsidP="00FA6284">
      <w:pPr>
        <w:spacing w:line="480" w:lineRule="auto"/>
        <w:jc w:val="both"/>
        <w:rPr>
          <w:rFonts w:ascii="Arial" w:eastAsia="Arial" w:hAnsi="Arial" w:cs="Arial"/>
          <w:b/>
          <w:color w:val="000000" w:themeColor="text1"/>
          <w:sz w:val="22"/>
          <w:szCs w:val="22"/>
        </w:rPr>
      </w:pPr>
      <w:r w:rsidRPr="00FA6284">
        <w:rPr>
          <w:rFonts w:ascii="Arial" w:eastAsia="Arial" w:hAnsi="Arial" w:cs="Arial"/>
          <w:b/>
          <w:bCs/>
          <w:color w:val="000000" w:themeColor="text1"/>
          <w:sz w:val="22"/>
          <w:szCs w:val="22"/>
        </w:rPr>
        <w:t>RUNX1 knockout leads to a loss of the mesenchymal phenotype in MDA-MB-231 cells.</w:t>
      </w:r>
      <w:r w:rsidRPr="00D05760">
        <w:rPr>
          <w:rFonts w:ascii="Arial" w:eastAsia="Arial" w:hAnsi="Arial" w:cs="Arial"/>
          <w:color w:val="000000" w:themeColor="text1"/>
          <w:sz w:val="22"/>
          <w:szCs w:val="22"/>
        </w:rPr>
        <w:t xml:space="preserve"> (A) A double </w:t>
      </w:r>
      <w:proofErr w:type="spellStart"/>
      <w:r w:rsidRPr="00D05760">
        <w:rPr>
          <w:rFonts w:ascii="Arial" w:eastAsia="Arial" w:hAnsi="Arial" w:cs="Arial"/>
          <w:color w:val="000000" w:themeColor="text1"/>
          <w:sz w:val="22"/>
          <w:szCs w:val="22"/>
        </w:rPr>
        <w:t>nickase</w:t>
      </w:r>
      <w:proofErr w:type="spellEnd"/>
      <w:r w:rsidRPr="00D05760">
        <w:rPr>
          <w:rFonts w:ascii="Arial" w:eastAsia="Arial" w:hAnsi="Arial" w:cs="Arial"/>
          <w:color w:val="000000" w:themeColor="text1"/>
          <w:sz w:val="22"/>
          <w:szCs w:val="22"/>
        </w:rPr>
        <w:t xml:space="preserve"> CRISPR-Cas9 system was used to knockout the start of the RUNX1 gene in MDA-MB-231 cells</w:t>
      </w:r>
      <w:r w:rsidRPr="00D05760">
        <w:rPr>
          <w:rFonts w:ascii="Arial" w:eastAsia="Arial" w:hAnsi="Arial" w:cs="Arial"/>
          <w:color w:val="000000" w:themeColor="text1"/>
          <w:sz w:val="22"/>
          <w:szCs w:val="22"/>
          <w:vertAlign w:val="superscript"/>
        </w:rPr>
        <w:t>23</w:t>
      </w:r>
      <w:r w:rsidRPr="00D05760">
        <w:rPr>
          <w:rFonts w:ascii="Arial" w:eastAsia="Arial" w:hAnsi="Arial" w:cs="Arial"/>
          <w:color w:val="000000" w:themeColor="text1"/>
          <w:sz w:val="22"/>
          <w:szCs w:val="22"/>
        </w:rPr>
        <w:t>. Two clones with complete RUNX1 loss were generated and a western blot shows the levels of RUNX1, RUNX2 and CBFβ in these cells with β-tubulin used as a loading control. (B) RUNX1 knockout leads to a loss of the mesenchymal phenotype of MDA-MB-231 cells. WT-MDA-MB-231 and RUNX1</w:t>
      </w:r>
      <w:r w:rsidRPr="00D05760">
        <w:rPr>
          <w:rFonts w:ascii="Arial" w:eastAsia="Arial" w:hAnsi="Arial" w:cs="Arial"/>
          <w:color w:val="000000" w:themeColor="text1"/>
          <w:sz w:val="22"/>
          <w:szCs w:val="22"/>
          <w:vertAlign w:val="superscript"/>
        </w:rPr>
        <w:t>-/-</w:t>
      </w:r>
      <w:r w:rsidRPr="00D05760">
        <w:rPr>
          <w:rFonts w:ascii="Arial" w:eastAsia="Arial" w:hAnsi="Arial" w:cs="Arial"/>
          <w:color w:val="000000" w:themeColor="text1"/>
          <w:sz w:val="22"/>
          <w:szCs w:val="22"/>
        </w:rPr>
        <w:t xml:space="preserve"> cells were grown in a 3D Matrigel. Cells were fixed after 14 days and nuclei stained with DAPI (blue) and phalloidin (red). The parental cells showed the stellate mesenchymal pattern after 14 day. RUNX1</w:t>
      </w:r>
      <w:r w:rsidRPr="00D05760">
        <w:rPr>
          <w:rFonts w:ascii="Arial" w:eastAsia="Arial" w:hAnsi="Arial" w:cs="Arial"/>
          <w:color w:val="000000" w:themeColor="text1"/>
          <w:sz w:val="22"/>
          <w:szCs w:val="22"/>
          <w:vertAlign w:val="superscript"/>
        </w:rPr>
        <w:t>-/-</w:t>
      </w:r>
      <w:r w:rsidRPr="00D05760">
        <w:rPr>
          <w:rFonts w:ascii="Arial" w:eastAsia="Arial" w:hAnsi="Arial" w:cs="Arial"/>
          <w:color w:val="000000" w:themeColor="text1"/>
          <w:sz w:val="22"/>
          <w:szCs w:val="22"/>
        </w:rPr>
        <w:t xml:space="preserve"> cells formed discrete clusters. A decrease in invasive capacity of RUNX1 knockout cells was determined using a Boyden chamber Matrigel assay. Scale bars are 50μm (C) A decrease in invasive capacity of RUNX1 knockout cells was determined using a Boyden chamber Matrigel assay. (D) </w:t>
      </w:r>
      <w:proofErr w:type="spellStart"/>
      <w:r w:rsidRPr="00D05760">
        <w:rPr>
          <w:rFonts w:ascii="Arial" w:eastAsia="Arial" w:hAnsi="Arial" w:cs="Arial"/>
          <w:color w:val="000000" w:themeColor="text1"/>
          <w:sz w:val="22"/>
          <w:szCs w:val="22"/>
        </w:rPr>
        <w:t>Mammosphere</w:t>
      </w:r>
      <w:proofErr w:type="spellEnd"/>
      <w:r w:rsidRPr="00D05760">
        <w:rPr>
          <w:rFonts w:ascii="Arial" w:eastAsia="Arial" w:hAnsi="Arial" w:cs="Arial"/>
          <w:color w:val="000000" w:themeColor="text1"/>
          <w:sz w:val="22"/>
          <w:szCs w:val="22"/>
        </w:rPr>
        <w:t xml:space="preserve"> forming efficiency was decreased in RUNX1 knockout cells. </w:t>
      </w:r>
      <w:proofErr w:type="spellStart"/>
      <w:r w:rsidRPr="00D05760">
        <w:rPr>
          <w:rFonts w:ascii="Arial" w:eastAsia="Arial" w:hAnsi="Arial" w:cs="Arial"/>
          <w:color w:val="000000" w:themeColor="text1"/>
          <w:sz w:val="22"/>
          <w:szCs w:val="22"/>
        </w:rPr>
        <w:t>Mammospheres</w:t>
      </w:r>
      <w:proofErr w:type="spellEnd"/>
      <w:r w:rsidRPr="00D05760">
        <w:rPr>
          <w:rFonts w:ascii="Arial" w:eastAsia="Arial" w:hAnsi="Arial" w:cs="Arial"/>
          <w:color w:val="000000" w:themeColor="text1"/>
          <w:sz w:val="22"/>
          <w:szCs w:val="22"/>
        </w:rPr>
        <w:t xml:space="preserve"> were counted after 5 days growth in non-adherent culture. (E) Loss of RUNX1 causes a reduction in mesenchymal markers and increased expression of epithelial markers. RNA from parental MDA-MB-231 and RUNX1</w:t>
      </w:r>
      <w:r w:rsidRPr="00D05760">
        <w:rPr>
          <w:rFonts w:ascii="Arial" w:eastAsia="Arial" w:hAnsi="Arial" w:cs="Arial"/>
          <w:color w:val="000000" w:themeColor="text1"/>
          <w:sz w:val="22"/>
          <w:szCs w:val="22"/>
          <w:vertAlign w:val="superscript"/>
        </w:rPr>
        <w:t>-/-</w:t>
      </w:r>
      <w:r w:rsidRPr="00D05760">
        <w:rPr>
          <w:rFonts w:ascii="Arial" w:eastAsia="Arial" w:hAnsi="Arial" w:cs="Arial"/>
          <w:color w:val="000000" w:themeColor="text1"/>
          <w:sz w:val="22"/>
          <w:szCs w:val="22"/>
        </w:rPr>
        <w:t xml:space="preserve"> cells were subject to </w:t>
      </w:r>
      <w:proofErr w:type="spellStart"/>
      <w:r w:rsidRPr="00D05760">
        <w:rPr>
          <w:rFonts w:ascii="Arial" w:eastAsia="Arial" w:hAnsi="Arial" w:cs="Arial"/>
          <w:color w:val="000000" w:themeColor="text1"/>
          <w:sz w:val="22"/>
          <w:szCs w:val="22"/>
        </w:rPr>
        <w:t>qRT</w:t>
      </w:r>
      <w:proofErr w:type="spellEnd"/>
      <w:r w:rsidRPr="00D05760">
        <w:rPr>
          <w:rFonts w:ascii="Arial" w:eastAsia="Arial" w:hAnsi="Arial" w:cs="Arial"/>
          <w:color w:val="000000" w:themeColor="text1"/>
          <w:sz w:val="22"/>
          <w:szCs w:val="22"/>
        </w:rPr>
        <w:t>-PCR. Acidic ribosomal phosphoprotein P0 (RPLO) mRNA was used for normalisation and relative values of each marker gene mRNA levels are shown.</w:t>
      </w:r>
    </w:p>
    <w:p w14:paraId="24507E6E" w14:textId="273E5D04" w:rsidR="00FA6284" w:rsidRDefault="00FA6284" w:rsidP="00FA6284">
      <w:pPr>
        <w:spacing w:line="480" w:lineRule="auto"/>
        <w:jc w:val="both"/>
        <w:rPr>
          <w:rFonts w:ascii="Arial" w:eastAsia="Arial" w:hAnsi="Arial" w:cs="Arial"/>
          <w:color w:val="000000" w:themeColor="text1"/>
          <w:sz w:val="22"/>
          <w:szCs w:val="22"/>
        </w:rPr>
      </w:pPr>
    </w:p>
    <w:p w14:paraId="1E832C7C" w14:textId="294E5635" w:rsidR="00CB7147" w:rsidRDefault="00CB7147" w:rsidP="00FA6284">
      <w:pPr>
        <w:spacing w:line="480" w:lineRule="auto"/>
        <w:jc w:val="both"/>
        <w:rPr>
          <w:rFonts w:ascii="Arial" w:eastAsia="Arial" w:hAnsi="Arial" w:cs="Arial"/>
          <w:color w:val="000000" w:themeColor="text1"/>
          <w:sz w:val="22"/>
          <w:szCs w:val="22"/>
        </w:rPr>
      </w:pPr>
    </w:p>
    <w:p w14:paraId="3D4DFBD5" w14:textId="73C2E647" w:rsidR="00CB7147" w:rsidRDefault="00CB7147" w:rsidP="00FA6284">
      <w:pPr>
        <w:spacing w:line="480" w:lineRule="auto"/>
        <w:jc w:val="both"/>
        <w:rPr>
          <w:rFonts w:ascii="Arial" w:eastAsia="Arial" w:hAnsi="Arial" w:cs="Arial"/>
          <w:color w:val="000000" w:themeColor="text1"/>
          <w:sz w:val="22"/>
          <w:szCs w:val="22"/>
        </w:rPr>
      </w:pPr>
    </w:p>
    <w:p w14:paraId="17093213" w14:textId="77777777" w:rsidR="00CB7147" w:rsidRPr="00D05760" w:rsidRDefault="00CB7147" w:rsidP="00FA6284">
      <w:pPr>
        <w:spacing w:line="480" w:lineRule="auto"/>
        <w:jc w:val="both"/>
        <w:rPr>
          <w:rFonts w:ascii="Arial" w:eastAsia="Arial" w:hAnsi="Arial" w:cs="Arial"/>
          <w:color w:val="000000" w:themeColor="text1"/>
          <w:sz w:val="22"/>
          <w:szCs w:val="22"/>
        </w:rPr>
      </w:pPr>
    </w:p>
    <w:p w14:paraId="3F0F07A5" w14:textId="7D6BA6ED" w:rsidR="00FA6284" w:rsidRPr="00D05760" w:rsidRDefault="00FA6284" w:rsidP="00FA6284">
      <w:pPr>
        <w:spacing w:line="480" w:lineRule="auto"/>
        <w:jc w:val="both"/>
        <w:rPr>
          <w:rFonts w:ascii="Arial" w:eastAsia="Arial" w:hAnsi="Arial" w:cs="Arial"/>
          <w:b/>
          <w:color w:val="000000" w:themeColor="text1"/>
          <w:sz w:val="22"/>
          <w:szCs w:val="22"/>
        </w:rPr>
      </w:pPr>
      <w:r w:rsidRPr="00D05760">
        <w:rPr>
          <w:rFonts w:ascii="Arial" w:eastAsia="Arial" w:hAnsi="Arial" w:cs="Arial"/>
          <w:b/>
          <w:color w:val="000000" w:themeColor="text1"/>
          <w:sz w:val="22"/>
          <w:szCs w:val="22"/>
        </w:rPr>
        <w:lastRenderedPageBreak/>
        <w:t>Figure S</w:t>
      </w:r>
      <w:r w:rsidR="006A06F7">
        <w:rPr>
          <w:rFonts w:ascii="Arial" w:eastAsia="Arial" w:hAnsi="Arial" w:cs="Arial"/>
          <w:b/>
          <w:color w:val="000000" w:themeColor="text1"/>
          <w:sz w:val="22"/>
          <w:szCs w:val="22"/>
        </w:rPr>
        <w:t>5</w:t>
      </w:r>
    </w:p>
    <w:p w14:paraId="3EA51BEF" w14:textId="77777777" w:rsidR="00FA6284" w:rsidRPr="00D05760" w:rsidRDefault="00FA6284" w:rsidP="00FA6284">
      <w:pPr>
        <w:spacing w:line="480" w:lineRule="auto"/>
        <w:jc w:val="both"/>
        <w:rPr>
          <w:rFonts w:ascii="Arial" w:eastAsia="Arial" w:hAnsi="Arial" w:cs="Arial"/>
          <w:color w:val="000000" w:themeColor="text1"/>
          <w:sz w:val="22"/>
          <w:szCs w:val="22"/>
        </w:rPr>
      </w:pPr>
      <w:r w:rsidRPr="00FA6284">
        <w:rPr>
          <w:rFonts w:ascii="Arial" w:eastAsia="Arial" w:hAnsi="Arial" w:cs="Arial"/>
          <w:b/>
          <w:bCs/>
          <w:color w:val="000000" w:themeColor="text1"/>
          <w:sz w:val="22"/>
          <w:szCs w:val="22"/>
        </w:rPr>
        <w:t>RUNX2 depletion leads to a loss of the mesenchymal phenotype in MDA-MB-231 cells.</w:t>
      </w:r>
      <w:r w:rsidRPr="00D05760">
        <w:rPr>
          <w:rFonts w:ascii="Arial" w:eastAsia="Arial" w:hAnsi="Arial" w:cs="Arial"/>
          <w:color w:val="000000" w:themeColor="text1"/>
          <w:sz w:val="22"/>
          <w:szCs w:val="22"/>
        </w:rPr>
        <w:t xml:space="preserve"> A) Western blot showing levels of RUNX2, RUNX1 and CBFβ in RUNX2 depleted MDA-MB-231 cells. HeLa cells used as a Runx1/Runx2 low cell line control. </w:t>
      </w:r>
      <w:proofErr w:type="spellStart"/>
      <w:r w:rsidRPr="00D05760">
        <w:rPr>
          <w:rFonts w:ascii="Arial" w:eastAsia="Arial" w:hAnsi="Arial" w:cs="Arial"/>
          <w:color w:val="000000" w:themeColor="text1"/>
          <w:sz w:val="22"/>
          <w:szCs w:val="22"/>
        </w:rPr>
        <w:t>Lamin</w:t>
      </w:r>
      <w:proofErr w:type="spellEnd"/>
      <w:r w:rsidRPr="00D05760">
        <w:rPr>
          <w:rFonts w:ascii="Arial" w:eastAsia="Arial" w:hAnsi="Arial" w:cs="Arial"/>
          <w:color w:val="000000" w:themeColor="text1"/>
          <w:sz w:val="22"/>
          <w:szCs w:val="22"/>
        </w:rPr>
        <w:t xml:space="preserve"> B1 was used as a loading control. (B) WT-MDA-MB-231 and MDA-shRUNX2 cells were grown in 3D Matrigel. Cells were fixed after 14 days and nuclei stained with DAPI (blue). GFP (green) was stably expressed in all cell lines. The parental cells showed the stellate mesenchymal pattern after 14 day. MDA-shRUNX2 cells formed discrete clusters. (C) Scratch assays showing inhibition of migration in MDA-shRUNX2. Live images were taken every 20 mins for 48 hours.</w:t>
      </w:r>
    </w:p>
    <w:p w14:paraId="3AF98F46" w14:textId="25C21938" w:rsidR="00FA6284" w:rsidRDefault="00FA6284" w:rsidP="00FA6284">
      <w:pPr>
        <w:spacing w:line="480" w:lineRule="auto"/>
        <w:jc w:val="both"/>
        <w:rPr>
          <w:rFonts w:ascii="Arial" w:eastAsia="Arial" w:hAnsi="Arial" w:cs="Arial"/>
          <w:color w:val="000000" w:themeColor="text1"/>
          <w:sz w:val="22"/>
          <w:szCs w:val="22"/>
        </w:rPr>
      </w:pPr>
      <w:r w:rsidRPr="00D05760">
        <w:rPr>
          <w:rFonts w:ascii="Arial" w:eastAsia="Arial" w:hAnsi="Arial" w:cs="Arial"/>
          <w:color w:val="000000" w:themeColor="text1"/>
          <w:sz w:val="22"/>
          <w:szCs w:val="22"/>
        </w:rPr>
        <w:t>(D)</w:t>
      </w:r>
      <w:r w:rsidRPr="00D05760">
        <w:rPr>
          <w:rFonts w:ascii="Arial" w:eastAsia="Arial" w:hAnsi="Arial" w:cs="Arial"/>
          <w:b/>
          <w:color w:val="000000" w:themeColor="text1"/>
          <w:sz w:val="22"/>
          <w:szCs w:val="22"/>
        </w:rPr>
        <w:t xml:space="preserve"> </w:t>
      </w:r>
      <w:r w:rsidRPr="00D05760">
        <w:rPr>
          <w:rFonts w:ascii="Arial" w:eastAsia="Arial" w:hAnsi="Arial" w:cs="Arial"/>
          <w:color w:val="000000" w:themeColor="text1"/>
          <w:sz w:val="22"/>
          <w:szCs w:val="22"/>
        </w:rPr>
        <w:t xml:space="preserve">Invasive capacity was reduced in shRUNX2 cells. Matrigel invasion assay showing the invasion rates following loss of RUNX2 after 24 hours culture. (E) </w:t>
      </w:r>
      <w:proofErr w:type="spellStart"/>
      <w:r w:rsidRPr="00D05760">
        <w:rPr>
          <w:rFonts w:ascii="Arial" w:eastAsia="Arial" w:hAnsi="Arial" w:cs="Arial"/>
          <w:color w:val="000000" w:themeColor="text1"/>
          <w:sz w:val="22"/>
          <w:szCs w:val="22"/>
        </w:rPr>
        <w:t>Mammosphere</w:t>
      </w:r>
      <w:proofErr w:type="spellEnd"/>
      <w:r w:rsidRPr="00D05760">
        <w:rPr>
          <w:rFonts w:ascii="Arial" w:eastAsia="Arial" w:hAnsi="Arial" w:cs="Arial"/>
          <w:color w:val="000000" w:themeColor="text1"/>
          <w:sz w:val="22"/>
          <w:szCs w:val="22"/>
        </w:rPr>
        <w:t xml:space="preserve"> forming efficiency was also reduced in shRUNX2 cells compared to control cells. </w:t>
      </w:r>
      <w:proofErr w:type="spellStart"/>
      <w:r w:rsidRPr="00D05760">
        <w:rPr>
          <w:rFonts w:ascii="Arial" w:eastAsia="Arial" w:hAnsi="Arial" w:cs="Arial"/>
          <w:color w:val="000000" w:themeColor="text1"/>
          <w:sz w:val="22"/>
          <w:szCs w:val="22"/>
        </w:rPr>
        <w:t>Mammospheres</w:t>
      </w:r>
      <w:proofErr w:type="spellEnd"/>
      <w:r w:rsidRPr="00D05760">
        <w:rPr>
          <w:rFonts w:ascii="Arial" w:eastAsia="Arial" w:hAnsi="Arial" w:cs="Arial"/>
          <w:color w:val="000000" w:themeColor="text1"/>
          <w:sz w:val="22"/>
          <w:szCs w:val="22"/>
        </w:rPr>
        <w:t xml:space="preserve"> were counted after 5 days growth in non-adherent culture. (F) Loss of RUNX2 causes a reduction in mesenchymal markers and increased expression of epithelial markers. </w:t>
      </w:r>
      <w:proofErr w:type="spellStart"/>
      <w:r w:rsidRPr="00D05760">
        <w:rPr>
          <w:rFonts w:ascii="Arial" w:eastAsia="Arial" w:hAnsi="Arial" w:cs="Arial"/>
          <w:color w:val="000000" w:themeColor="text1"/>
          <w:sz w:val="22"/>
          <w:szCs w:val="22"/>
        </w:rPr>
        <w:t>qRT</w:t>
      </w:r>
      <w:proofErr w:type="spellEnd"/>
      <w:r w:rsidRPr="00D05760">
        <w:rPr>
          <w:rFonts w:ascii="Arial" w:eastAsia="Arial" w:hAnsi="Arial" w:cs="Arial"/>
          <w:color w:val="000000" w:themeColor="text1"/>
          <w:sz w:val="22"/>
          <w:szCs w:val="22"/>
        </w:rPr>
        <w:t>-PCR was performed for epithelial and mesenchymal markers in MDA-</w:t>
      </w:r>
      <w:proofErr w:type="spellStart"/>
      <w:r w:rsidRPr="00D05760">
        <w:rPr>
          <w:rFonts w:ascii="Arial" w:eastAsia="Arial" w:hAnsi="Arial" w:cs="Arial"/>
          <w:color w:val="000000" w:themeColor="text1"/>
          <w:sz w:val="22"/>
          <w:szCs w:val="22"/>
        </w:rPr>
        <w:t>shNS</w:t>
      </w:r>
      <w:proofErr w:type="spellEnd"/>
      <w:r w:rsidRPr="00D05760">
        <w:rPr>
          <w:rFonts w:ascii="Arial" w:eastAsia="Arial" w:hAnsi="Arial" w:cs="Arial"/>
          <w:color w:val="000000" w:themeColor="text1"/>
          <w:sz w:val="22"/>
          <w:szCs w:val="22"/>
        </w:rPr>
        <w:t xml:space="preserve"> or MDA-shRUNX2. Acidic ribosomal phosphoprotein P0 (RPLO) mRNA was used for normalisation and relative values of each marker gene mRNA levels are shown.</w:t>
      </w:r>
    </w:p>
    <w:p w14:paraId="224E4EB0" w14:textId="77777777" w:rsidR="006A06F7" w:rsidRPr="006A06F7" w:rsidRDefault="006A06F7" w:rsidP="00FA6284">
      <w:pPr>
        <w:spacing w:line="480" w:lineRule="auto"/>
        <w:jc w:val="both"/>
        <w:rPr>
          <w:rFonts w:ascii="Arial" w:eastAsia="Arial" w:hAnsi="Arial" w:cs="Arial"/>
          <w:color w:val="000000" w:themeColor="text1"/>
          <w:sz w:val="22"/>
          <w:szCs w:val="22"/>
        </w:rPr>
      </w:pPr>
    </w:p>
    <w:p w14:paraId="50F72DCD" w14:textId="7B9D4EB7" w:rsidR="00FA6284" w:rsidRPr="00D05760" w:rsidRDefault="00FA6284" w:rsidP="00FA6284">
      <w:pPr>
        <w:spacing w:line="480" w:lineRule="auto"/>
        <w:jc w:val="both"/>
        <w:rPr>
          <w:rFonts w:ascii="Arial" w:eastAsia="Arial" w:hAnsi="Arial" w:cs="Arial"/>
          <w:b/>
          <w:color w:val="000000" w:themeColor="text1"/>
          <w:sz w:val="22"/>
          <w:szCs w:val="22"/>
        </w:rPr>
      </w:pPr>
      <w:r w:rsidRPr="00D05760">
        <w:rPr>
          <w:rFonts w:ascii="Arial" w:eastAsia="Arial" w:hAnsi="Arial" w:cs="Arial"/>
          <w:b/>
          <w:color w:val="000000" w:themeColor="text1"/>
          <w:sz w:val="22"/>
          <w:szCs w:val="22"/>
        </w:rPr>
        <w:t>Figure S</w:t>
      </w:r>
      <w:r w:rsidR="006A06F7">
        <w:rPr>
          <w:rFonts w:ascii="Arial" w:eastAsia="Arial" w:hAnsi="Arial" w:cs="Arial"/>
          <w:b/>
          <w:color w:val="000000" w:themeColor="text1"/>
          <w:sz w:val="22"/>
          <w:szCs w:val="22"/>
        </w:rPr>
        <w:t>6</w:t>
      </w:r>
    </w:p>
    <w:p w14:paraId="35A4F01C" w14:textId="5CE1B99D" w:rsidR="00FA6284" w:rsidRPr="00D05760" w:rsidRDefault="00FA6284" w:rsidP="00FA6284">
      <w:pPr>
        <w:spacing w:line="480" w:lineRule="auto"/>
        <w:jc w:val="both"/>
        <w:rPr>
          <w:rFonts w:ascii="Arial" w:eastAsia="Arial" w:hAnsi="Arial" w:cs="Arial"/>
          <w:color w:val="000000" w:themeColor="text1"/>
          <w:sz w:val="22"/>
          <w:szCs w:val="22"/>
        </w:rPr>
      </w:pPr>
      <w:r>
        <w:rPr>
          <w:rFonts w:ascii="Arial" w:eastAsia="Arial" w:hAnsi="Arial" w:cs="Arial"/>
          <w:b/>
          <w:bCs/>
          <w:color w:val="000000" w:themeColor="text1"/>
          <w:sz w:val="22"/>
          <w:szCs w:val="22"/>
        </w:rPr>
        <w:t xml:space="preserve">Generation </w:t>
      </w:r>
      <w:r w:rsidRPr="00FA6284">
        <w:rPr>
          <w:rFonts w:ascii="Arial" w:eastAsia="Arial" w:hAnsi="Arial" w:cs="Arial"/>
          <w:b/>
          <w:bCs/>
          <w:color w:val="000000" w:themeColor="text1"/>
          <w:sz w:val="22"/>
          <w:szCs w:val="22"/>
        </w:rPr>
        <w:t>CBFβ</w:t>
      </w:r>
      <w:r>
        <w:rPr>
          <w:rFonts w:ascii="Arial" w:eastAsia="Arial" w:hAnsi="Arial" w:cs="Arial"/>
          <w:b/>
          <w:bCs/>
          <w:color w:val="000000" w:themeColor="text1"/>
          <w:sz w:val="22"/>
          <w:szCs w:val="22"/>
        </w:rPr>
        <w:t>-negative MDA-MB231 using</w:t>
      </w:r>
      <w:r w:rsidRPr="00FA6284">
        <w:rPr>
          <w:rFonts w:ascii="Arial" w:eastAsia="Arial" w:hAnsi="Arial" w:cs="Arial"/>
          <w:b/>
          <w:bCs/>
          <w:color w:val="000000" w:themeColor="text1"/>
          <w:sz w:val="22"/>
          <w:szCs w:val="22"/>
        </w:rPr>
        <w:t xml:space="preserve"> CRISPR</w:t>
      </w:r>
      <w:r>
        <w:rPr>
          <w:rFonts w:ascii="Arial" w:eastAsia="Arial" w:hAnsi="Arial" w:cs="Arial"/>
          <w:color w:val="000000" w:themeColor="text1"/>
          <w:sz w:val="22"/>
          <w:szCs w:val="22"/>
        </w:rPr>
        <w:t xml:space="preserve">. </w:t>
      </w:r>
      <w:r w:rsidRPr="00D05760">
        <w:rPr>
          <w:rFonts w:ascii="Arial" w:eastAsia="Arial" w:hAnsi="Arial" w:cs="Arial"/>
          <w:color w:val="000000" w:themeColor="text1"/>
          <w:sz w:val="22"/>
          <w:szCs w:val="22"/>
        </w:rPr>
        <w:t xml:space="preserve">(A) A double </w:t>
      </w:r>
      <w:proofErr w:type="spellStart"/>
      <w:r w:rsidRPr="00D05760">
        <w:rPr>
          <w:rFonts w:ascii="Arial" w:eastAsia="Arial" w:hAnsi="Arial" w:cs="Arial"/>
          <w:color w:val="000000" w:themeColor="text1"/>
          <w:sz w:val="22"/>
          <w:szCs w:val="22"/>
        </w:rPr>
        <w:t>nickase</w:t>
      </w:r>
      <w:proofErr w:type="spellEnd"/>
      <w:r w:rsidRPr="00D05760">
        <w:rPr>
          <w:rFonts w:ascii="Arial" w:eastAsia="Arial" w:hAnsi="Arial" w:cs="Arial"/>
          <w:color w:val="000000" w:themeColor="text1"/>
          <w:sz w:val="22"/>
          <w:szCs w:val="22"/>
        </w:rPr>
        <w:t xml:space="preserve"> CRISPR-Cas9 system was used to knockout the start of the CBFβ gene in MDA-MB-231 cells. One clone was generated with complete CBFβ loss and CBFβ-Flag was then re-expressed in this as a rescue. A western blot shows the levels CBFβ in these cells with β-tubulin used as a loading control. (B) CBFβ loss leads to a loss of the mesenchymal phenotype of these cells, which can be rescued </w:t>
      </w:r>
      <w:r w:rsidRPr="00D05760">
        <w:rPr>
          <w:rFonts w:ascii="Arial" w:eastAsia="Arial" w:hAnsi="Arial" w:cs="Arial"/>
          <w:i/>
          <w:color w:val="000000" w:themeColor="text1"/>
          <w:sz w:val="22"/>
          <w:szCs w:val="22"/>
        </w:rPr>
        <w:t xml:space="preserve">via </w:t>
      </w:r>
      <w:r w:rsidRPr="00D05760">
        <w:rPr>
          <w:rFonts w:ascii="Arial" w:eastAsia="Arial" w:hAnsi="Arial" w:cs="Arial"/>
          <w:color w:val="000000" w:themeColor="text1"/>
          <w:sz w:val="22"/>
          <w:szCs w:val="22"/>
        </w:rPr>
        <w:t>CBFβ-Flag re-expression. Cells were grown for 14 days and then imaged using a brightfield microscope. Scale bars are 100μm (C) A decrease in invasive capacity of CBFβ</w:t>
      </w:r>
      <w:r w:rsidRPr="00D05760">
        <w:rPr>
          <w:rFonts w:ascii="Arial" w:eastAsia="Arial" w:hAnsi="Arial" w:cs="Arial"/>
          <w:color w:val="000000" w:themeColor="text1"/>
          <w:sz w:val="22"/>
          <w:szCs w:val="22"/>
          <w:vertAlign w:val="superscript"/>
        </w:rPr>
        <w:t xml:space="preserve">-/- </w:t>
      </w:r>
      <w:r w:rsidRPr="00D05760">
        <w:rPr>
          <w:rFonts w:ascii="Arial" w:eastAsia="Arial" w:hAnsi="Arial" w:cs="Arial"/>
          <w:color w:val="000000" w:themeColor="text1"/>
          <w:sz w:val="22"/>
          <w:szCs w:val="22"/>
        </w:rPr>
        <w:t xml:space="preserve">cells was determined using a Boyden chamber Matrigel assay. This can be rescued via CBFβ-Flag re-expression. (D) </w:t>
      </w:r>
      <w:proofErr w:type="spellStart"/>
      <w:r w:rsidRPr="00D05760">
        <w:rPr>
          <w:rFonts w:ascii="Arial" w:eastAsia="Arial" w:hAnsi="Arial" w:cs="Arial"/>
          <w:color w:val="000000" w:themeColor="text1"/>
          <w:sz w:val="22"/>
          <w:szCs w:val="22"/>
        </w:rPr>
        <w:t>Mammosphere</w:t>
      </w:r>
      <w:proofErr w:type="spellEnd"/>
      <w:r w:rsidRPr="00D05760">
        <w:rPr>
          <w:rFonts w:ascii="Arial" w:eastAsia="Arial" w:hAnsi="Arial" w:cs="Arial"/>
          <w:color w:val="000000" w:themeColor="text1"/>
          <w:sz w:val="22"/>
          <w:szCs w:val="22"/>
        </w:rPr>
        <w:t xml:space="preserve"> forming efficiency was also </w:t>
      </w:r>
      <w:r w:rsidRPr="00D05760">
        <w:rPr>
          <w:rFonts w:ascii="Arial" w:eastAsia="Arial" w:hAnsi="Arial" w:cs="Arial"/>
          <w:color w:val="000000" w:themeColor="text1"/>
          <w:sz w:val="22"/>
          <w:szCs w:val="22"/>
        </w:rPr>
        <w:lastRenderedPageBreak/>
        <w:t>decreased in CBFβ</w:t>
      </w:r>
      <w:r w:rsidRPr="00D05760">
        <w:rPr>
          <w:rFonts w:ascii="Arial" w:eastAsia="Arial" w:hAnsi="Arial" w:cs="Arial"/>
          <w:color w:val="000000" w:themeColor="text1"/>
          <w:sz w:val="22"/>
          <w:szCs w:val="22"/>
          <w:vertAlign w:val="superscript"/>
        </w:rPr>
        <w:t>-/-</w:t>
      </w:r>
      <w:r w:rsidRPr="00D05760">
        <w:rPr>
          <w:rFonts w:ascii="Arial" w:eastAsia="Arial" w:hAnsi="Arial" w:cs="Arial"/>
          <w:color w:val="000000" w:themeColor="text1"/>
          <w:sz w:val="22"/>
          <w:szCs w:val="22"/>
        </w:rPr>
        <w:t xml:space="preserve"> cells and was rescued with re-expression of CBFβ-FLAG. </w:t>
      </w:r>
      <w:proofErr w:type="spellStart"/>
      <w:r w:rsidRPr="00D05760">
        <w:rPr>
          <w:rFonts w:ascii="Arial" w:eastAsia="Arial" w:hAnsi="Arial" w:cs="Arial"/>
          <w:color w:val="000000" w:themeColor="text1"/>
          <w:sz w:val="22"/>
          <w:szCs w:val="22"/>
        </w:rPr>
        <w:t>Mammospheres</w:t>
      </w:r>
      <w:proofErr w:type="spellEnd"/>
      <w:r w:rsidRPr="00D05760">
        <w:rPr>
          <w:rFonts w:ascii="Arial" w:eastAsia="Arial" w:hAnsi="Arial" w:cs="Arial"/>
          <w:color w:val="000000" w:themeColor="text1"/>
          <w:sz w:val="22"/>
          <w:szCs w:val="22"/>
        </w:rPr>
        <w:t xml:space="preserve"> were counted after 5 days growth in non-adherent culture. (E) Loss of CBFβ causes a reduction in mesenchymal markers. RNA from MDA-MB-231 control and CBFβ</w:t>
      </w:r>
      <w:r w:rsidRPr="00D05760">
        <w:rPr>
          <w:rFonts w:ascii="Arial" w:eastAsia="Arial" w:hAnsi="Arial" w:cs="Arial"/>
          <w:color w:val="000000" w:themeColor="text1"/>
          <w:sz w:val="22"/>
          <w:szCs w:val="22"/>
          <w:vertAlign w:val="superscript"/>
        </w:rPr>
        <w:t xml:space="preserve">-/- </w:t>
      </w:r>
      <w:r w:rsidRPr="00D05760">
        <w:rPr>
          <w:rFonts w:ascii="Arial" w:eastAsia="Arial" w:hAnsi="Arial" w:cs="Arial"/>
          <w:color w:val="000000" w:themeColor="text1"/>
          <w:sz w:val="22"/>
          <w:szCs w:val="22"/>
        </w:rPr>
        <w:t xml:space="preserve">cells were subject to </w:t>
      </w:r>
      <w:proofErr w:type="spellStart"/>
      <w:r w:rsidRPr="00D05760">
        <w:rPr>
          <w:rFonts w:ascii="Arial" w:eastAsia="Arial" w:hAnsi="Arial" w:cs="Arial"/>
          <w:color w:val="000000" w:themeColor="text1"/>
          <w:sz w:val="22"/>
          <w:szCs w:val="22"/>
        </w:rPr>
        <w:t>qRT</w:t>
      </w:r>
      <w:proofErr w:type="spellEnd"/>
      <w:r w:rsidRPr="00D05760">
        <w:rPr>
          <w:rFonts w:ascii="Arial" w:eastAsia="Arial" w:hAnsi="Arial" w:cs="Arial"/>
          <w:color w:val="000000" w:themeColor="text1"/>
          <w:sz w:val="22"/>
          <w:szCs w:val="22"/>
        </w:rPr>
        <w:t>-PCR. Acidic ribosomal phosphoprotein P0 (RPLO) mRNA was used for normalisation and relative values of each marker gene mRNA levels are shown.</w:t>
      </w:r>
    </w:p>
    <w:p w14:paraId="00DB72A1" w14:textId="518E57B4" w:rsidR="00A65F75" w:rsidRPr="00FA6284" w:rsidRDefault="00A65F75" w:rsidP="00FA6284">
      <w:pPr>
        <w:spacing w:line="480" w:lineRule="auto"/>
        <w:rPr>
          <w:rFonts w:ascii="Arial" w:eastAsia="Arial" w:hAnsi="Arial" w:cs="Arial"/>
          <w:b/>
          <w:bCs/>
          <w:color w:val="000000" w:themeColor="text1"/>
          <w:sz w:val="22"/>
          <w:szCs w:val="22"/>
        </w:rPr>
      </w:pPr>
    </w:p>
    <w:sectPr w:rsidR="00A65F75" w:rsidRPr="00FA6284" w:rsidSect="00D11FB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284"/>
    <w:rsid w:val="000203F0"/>
    <w:rsid w:val="00071CFA"/>
    <w:rsid w:val="000804FA"/>
    <w:rsid w:val="000A5755"/>
    <w:rsid w:val="000C1ACE"/>
    <w:rsid w:val="000C39E1"/>
    <w:rsid w:val="000E2B1B"/>
    <w:rsid w:val="000F4AD8"/>
    <w:rsid w:val="001119A3"/>
    <w:rsid w:val="0012292F"/>
    <w:rsid w:val="0016198B"/>
    <w:rsid w:val="00164C97"/>
    <w:rsid w:val="0016765B"/>
    <w:rsid w:val="001A7300"/>
    <w:rsid w:val="001B5A9A"/>
    <w:rsid w:val="001E2E6C"/>
    <w:rsid w:val="002017F7"/>
    <w:rsid w:val="0020512A"/>
    <w:rsid w:val="00224531"/>
    <w:rsid w:val="00234277"/>
    <w:rsid w:val="00237B61"/>
    <w:rsid w:val="0026755D"/>
    <w:rsid w:val="002C43D2"/>
    <w:rsid w:val="002D33A7"/>
    <w:rsid w:val="002E0C2E"/>
    <w:rsid w:val="002E6398"/>
    <w:rsid w:val="00335F9B"/>
    <w:rsid w:val="00340856"/>
    <w:rsid w:val="00343D0F"/>
    <w:rsid w:val="00351029"/>
    <w:rsid w:val="00357D34"/>
    <w:rsid w:val="00373994"/>
    <w:rsid w:val="00377FD5"/>
    <w:rsid w:val="003A6E3B"/>
    <w:rsid w:val="003B6871"/>
    <w:rsid w:val="003D2527"/>
    <w:rsid w:val="003D55FF"/>
    <w:rsid w:val="003D74EE"/>
    <w:rsid w:val="00400F0E"/>
    <w:rsid w:val="00402C31"/>
    <w:rsid w:val="004174E5"/>
    <w:rsid w:val="0043263F"/>
    <w:rsid w:val="004C258D"/>
    <w:rsid w:val="004C7609"/>
    <w:rsid w:val="004D315C"/>
    <w:rsid w:val="00502ABA"/>
    <w:rsid w:val="00522796"/>
    <w:rsid w:val="00522CEA"/>
    <w:rsid w:val="00544288"/>
    <w:rsid w:val="00550184"/>
    <w:rsid w:val="00562D75"/>
    <w:rsid w:val="00574938"/>
    <w:rsid w:val="00580261"/>
    <w:rsid w:val="005B0E36"/>
    <w:rsid w:val="005C239B"/>
    <w:rsid w:val="005C6E8B"/>
    <w:rsid w:val="005C75E7"/>
    <w:rsid w:val="005E357F"/>
    <w:rsid w:val="005E4963"/>
    <w:rsid w:val="00607CBC"/>
    <w:rsid w:val="00613273"/>
    <w:rsid w:val="00620759"/>
    <w:rsid w:val="006668A8"/>
    <w:rsid w:val="006A06F7"/>
    <w:rsid w:val="006B417A"/>
    <w:rsid w:val="006C2E8A"/>
    <w:rsid w:val="007065DE"/>
    <w:rsid w:val="0071178B"/>
    <w:rsid w:val="0072641F"/>
    <w:rsid w:val="00731372"/>
    <w:rsid w:val="00743A91"/>
    <w:rsid w:val="00757CDA"/>
    <w:rsid w:val="00792774"/>
    <w:rsid w:val="00795D1B"/>
    <w:rsid w:val="007A43AC"/>
    <w:rsid w:val="007D201E"/>
    <w:rsid w:val="007F2AD5"/>
    <w:rsid w:val="007F2BC3"/>
    <w:rsid w:val="00840828"/>
    <w:rsid w:val="00854A0F"/>
    <w:rsid w:val="00876D53"/>
    <w:rsid w:val="00877EF7"/>
    <w:rsid w:val="008D642E"/>
    <w:rsid w:val="008D6ADA"/>
    <w:rsid w:val="008E0A8A"/>
    <w:rsid w:val="00927AE0"/>
    <w:rsid w:val="00935AC3"/>
    <w:rsid w:val="00941E32"/>
    <w:rsid w:val="0094730C"/>
    <w:rsid w:val="00982A68"/>
    <w:rsid w:val="009E22DA"/>
    <w:rsid w:val="009E33B9"/>
    <w:rsid w:val="009E7FA4"/>
    <w:rsid w:val="009F4DFE"/>
    <w:rsid w:val="00A01B89"/>
    <w:rsid w:val="00A05A26"/>
    <w:rsid w:val="00A074A2"/>
    <w:rsid w:val="00A10A29"/>
    <w:rsid w:val="00A24EBC"/>
    <w:rsid w:val="00A31BA4"/>
    <w:rsid w:val="00A40936"/>
    <w:rsid w:val="00A65CB9"/>
    <w:rsid w:val="00A65F75"/>
    <w:rsid w:val="00A801E7"/>
    <w:rsid w:val="00A85489"/>
    <w:rsid w:val="00AA4888"/>
    <w:rsid w:val="00AA716E"/>
    <w:rsid w:val="00AB5AC0"/>
    <w:rsid w:val="00AE565C"/>
    <w:rsid w:val="00AF3598"/>
    <w:rsid w:val="00AF52B7"/>
    <w:rsid w:val="00B11784"/>
    <w:rsid w:val="00B21BEC"/>
    <w:rsid w:val="00B376D2"/>
    <w:rsid w:val="00B530A5"/>
    <w:rsid w:val="00B651E4"/>
    <w:rsid w:val="00B77C78"/>
    <w:rsid w:val="00BA67E6"/>
    <w:rsid w:val="00BD1CD2"/>
    <w:rsid w:val="00C06DDE"/>
    <w:rsid w:val="00C0747C"/>
    <w:rsid w:val="00C2204C"/>
    <w:rsid w:val="00C31D3D"/>
    <w:rsid w:val="00C3724C"/>
    <w:rsid w:val="00C553FF"/>
    <w:rsid w:val="00C8160A"/>
    <w:rsid w:val="00C92BA7"/>
    <w:rsid w:val="00CA2929"/>
    <w:rsid w:val="00CB3921"/>
    <w:rsid w:val="00CB7147"/>
    <w:rsid w:val="00CC0130"/>
    <w:rsid w:val="00CC1F6E"/>
    <w:rsid w:val="00CE383F"/>
    <w:rsid w:val="00CE6F81"/>
    <w:rsid w:val="00D1156C"/>
    <w:rsid w:val="00D11FB7"/>
    <w:rsid w:val="00D14F5E"/>
    <w:rsid w:val="00D2297B"/>
    <w:rsid w:val="00D36430"/>
    <w:rsid w:val="00D426A0"/>
    <w:rsid w:val="00D43BF4"/>
    <w:rsid w:val="00D55C16"/>
    <w:rsid w:val="00D77C5E"/>
    <w:rsid w:val="00DB4321"/>
    <w:rsid w:val="00E40DDD"/>
    <w:rsid w:val="00E96D2F"/>
    <w:rsid w:val="00EA5175"/>
    <w:rsid w:val="00ED3C3B"/>
    <w:rsid w:val="00ED51B8"/>
    <w:rsid w:val="00ED78D0"/>
    <w:rsid w:val="00F14F96"/>
    <w:rsid w:val="00F25F49"/>
    <w:rsid w:val="00F45343"/>
    <w:rsid w:val="00F62EC3"/>
    <w:rsid w:val="00F63242"/>
    <w:rsid w:val="00F75443"/>
    <w:rsid w:val="00F75605"/>
    <w:rsid w:val="00F77A25"/>
    <w:rsid w:val="00FA1161"/>
    <w:rsid w:val="00FA6284"/>
    <w:rsid w:val="00FE405E"/>
    <w:rsid w:val="00FF5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A864BA"/>
  <w15:chartTrackingRefBased/>
  <w15:docId w15:val="{77CC90C8-9839-E549-AB71-94B4560A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6284"/>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TableofFigures"/>
    <w:link w:val="FigureChar"/>
    <w:qFormat/>
    <w:rsid w:val="00FA6284"/>
    <w:pPr>
      <w:spacing w:line="480" w:lineRule="auto"/>
      <w:jc w:val="both"/>
    </w:pPr>
    <w:rPr>
      <w:rFonts w:eastAsiaTheme="minorHAnsi" w:cstheme="minorBidi"/>
      <w:b/>
      <w:sz w:val="18"/>
      <w:szCs w:val="22"/>
      <w:lang w:val="en-MY"/>
    </w:rPr>
  </w:style>
  <w:style w:type="character" w:customStyle="1" w:styleId="FigureChar">
    <w:name w:val="Figure Char"/>
    <w:basedOn w:val="DefaultParagraphFont"/>
    <w:link w:val="Figure"/>
    <w:rsid w:val="00FA6284"/>
    <w:rPr>
      <w:rFonts w:ascii="Cambria" w:hAnsi="Cambria"/>
      <w:b/>
      <w:sz w:val="18"/>
      <w:szCs w:val="22"/>
      <w:lang w:val="en-MY"/>
    </w:rPr>
  </w:style>
  <w:style w:type="paragraph" w:styleId="TableofFigures">
    <w:name w:val="table of figures"/>
    <w:basedOn w:val="Normal"/>
    <w:next w:val="Normal"/>
    <w:uiPriority w:val="99"/>
    <w:semiHidden/>
    <w:unhideWhenUsed/>
    <w:rsid w:val="00FA6284"/>
  </w:style>
  <w:style w:type="paragraph" w:styleId="BalloonText">
    <w:name w:val="Balloon Text"/>
    <w:basedOn w:val="Normal"/>
    <w:link w:val="BalloonTextChar"/>
    <w:uiPriority w:val="99"/>
    <w:semiHidden/>
    <w:unhideWhenUsed/>
    <w:rsid w:val="006A06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06F7"/>
    <w:rPr>
      <w:rFonts w:ascii="Times New Roman" w:eastAsia="Cambr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871</Words>
  <Characters>4970</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Shore</dc:creator>
  <cp:keywords/>
  <dc:description/>
  <cp:lastModifiedBy>Paul Shore</cp:lastModifiedBy>
  <cp:revision>5</cp:revision>
  <dcterms:created xsi:type="dcterms:W3CDTF">2019-12-12T12:09:00Z</dcterms:created>
  <dcterms:modified xsi:type="dcterms:W3CDTF">2019-12-23T17:22:00Z</dcterms:modified>
</cp:coreProperties>
</file>