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6D0E7" w14:textId="77777777" w:rsidR="006B578E" w:rsidRPr="00BC18D3" w:rsidRDefault="006B578E" w:rsidP="002404FD">
      <w:pPr>
        <w:spacing w:after="0" w:line="480" w:lineRule="auto"/>
        <w:jc w:val="both"/>
        <w:rPr>
          <w:rFonts w:ascii="Arial" w:eastAsia="Times New Roman" w:hAnsi="Arial" w:cs="Arial"/>
          <w:b/>
          <w:color w:val="0070C0"/>
          <w:sz w:val="24"/>
          <w:szCs w:val="24"/>
        </w:rPr>
      </w:pPr>
      <w:r w:rsidRPr="002404FD">
        <w:rPr>
          <w:rFonts w:ascii="Arial" w:eastAsia="Times New Roman" w:hAnsi="Arial" w:cs="Arial"/>
          <w:b/>
          <w:color w:val="0070C0"/>
          <w:sz w:val="24"/>
          <w:szCs w:val="24"/>
        </w:rPr>
        <w:t xml:space="preserve">SUPPLEMENTARY </w:t>
      </w:r>
      <w:r w:rsidRPr="00BC18D3">
        <w:rPr>
          <w:rFonts w:ascii="Arial" w:eastAsia="Times New Roman" w:hAnsi="Arial" w:cs="Arial"/>
          <w:b/>
          <w:color w:val="0070C0"/>
          <w:sz w:val="24"/>
          <w:szCs w:val="24"/>
        </w:rPr>
        <w:t>FIGURE LEGENDS</w:t>
      </w:r>
    </w:p>
    <w:p w14:paraId="2898EBA9" w14:textId="77777777" w:rsidR="006B578E" w:rsidRPr="00BC18D3" w:rsidRDefault="006B578E" w:rsidP="00623187">
      <w:pPr>
        <w:spacing w:after="0" w:line="480" w:lineRule="auto"/>
        <w:jc w:val="both"/>
        <w:rPr>
          <w:rFonts w:ascii="Arial" w:eastAsia="Times New Roman" w:hAnsi="Arial" w:cs="Arial"/>
          <w:sz w:val="24"/>
          <w:szCs w:val="24"/>
        </w:rPr>
      </w:pPr>
    </w:p>
    <w:p w14:paraId="0D957FA6" w14:textId="240EF951" w:rsidR="006B578E" w:rsidRPr="00BC18D3" w:rsidRDefault="00684E10" w:rsidP="00623187">
      <w:pPr>
        <w:spacing w:after="0" w:line="480" w:lineRule="auto"/>
        <w:jc w:val="both"/>
        <w:rPr>
          <w:rFonts w:ascii="Arial" w:eastAsia="Times New Roman" w:hAnsi="Arial" w:cs="Arial"/>
          <w:sz w:val="24"/>
          <w:szCs w:val="24"/>
          <w:lang w:eastAsia="en-GB"/>
        </w:rPr>
      </w:pPr>
      <w:r>
        <w:rPr>
          <w:rFonts w:ascii="Arial" w:eastAsiaTheme="minorEastAsia" w:hAnsi="Arial" w:cs="Arial"/>
          <w:b/>
          <w:bCs/>
          <w:color w:val="000000" w:themeColor="text1"/>
          <w:kern w:val="24"/>
          <w:sz w:val="24"/>
          <w:szCs w:val="24"/>
          <w:lang w:eastAsia="en-GB"/>
        </w:rPr>
        <w:t>F</w:t>
      </w:r>
      <w:r w:rsidR="006B578E" w:rsidRPr="00BC18D3">
        <w:rPr>
          <w:rFonts w:ascii="Arial" w:eastAsiaTheme="minorEastAsia" w:hAnsi="Arial" w:cs="Arial"/>
          <w:b/>
          <w:bCs/>
          <w:color w:val="000000" w:themeColor="text1"/>
          <w:kern w:val="24"/>
          <w:sz w:val="24"/>
          <w:szCs w:val="24"/>
          <w:lang w:eastAsia="en-GB"/>
        </w:rPr>
        <w:t xml:space="preserve">igure </w:t>
      </w:r>
      <w:r>
        <w:rPr>
          <w:rFonts w:ascii="Arial" w:eastAsiaTheme="minorEastAsia" w:hAnsi="Arial" w:cs="Arial"/>
          <w:b/>
          <w:bCs/>
          <w:color w:val="000000" w:themeColor="text1"/>
          <w:kern w:val="24"/>
          <w:sz w:val="24"/>
          <w:szCs w:val="24"/>
          <w:lang w:eastAsia="en-GB"/>
        </w:rPr>
        <w:t>S</w:t>
      </w:r>
      <w:r w:rsidR="006B578E" w:rsidRPr="00BC18D3">
        <w:rPr>
          <w:rFonts w:ascii="Arial" w:eastAsiaTheme="minorEastAsia" w:hAnsi="Arial" w:cs="Arial"/>
          <w:b/>
          <w:bCs/>
          <w:color w:val="000000" w:themeColor="text1"/>
          <w:kern w:val="24"/>
          <w:sz w:val="24"/>
          <w:szCs w:val="24"/>
          <w:lang w:eastAsia="en-GB"/>
        </w:rPr>
        <w:t>1</w:t>
      </w:r>
    </w:p>
    <w:p w14:paraId="3B4EC132" w14:textId="77777777" w:rsidR="006B578E" w:rsidRPr="002E2E48" w:rsidRDefault="002E2E48" w:rsidP="002E2E48">
      <w:pPr>
        <w:numPr>
          <w:ilvl w:val="0"/>
          <w:numId w:val="10"/>
        </w:numPr>
        <w:spacing w:after="0" w:line="480" w:lineRule="auto"/>
        <w:ind w:left="0" w:firstLine="0"/>
        <w:contextualSpacing/>
        <w:jc w:val="both"/>
        <w:rPr>
          <w:rFonts w:ascii="Arial" w:eastAsia="Verdana" w:hAnsi="Arial" w:cs="Arial"/>
          <w:kern w:val="24"/>
          <w:sz w:val="24"/>
          <w:szCs w:val="24"/>
          <w:lang w:eastAsia="en-GB"/>
        </w:rPr>
      </w:pPr>
      <w:r w:rsidRPr="002E2E48">
        <w:rPr>
          <w:rFonts w:ascii="Arial" w:eastAsia="Verdana" w:hAnsi="Arial" w:cs="Arial"/>
          <w:kern w:val="24"/>
          <w:sz w:val="24"/>
          <w:szCs w:val="24"/>
          <w:lang w:eastAsia="en-GB"/>
        </w:rPr>
        <w:t xml:space="preserve">Graphic representation </w:t>
      </w:r>
      <w:r>
        <w:rPr>
          <w:rFonts w:ascii="Arial" w:eastAsia="Verdana" w:hAnsi="Arial" w:cs="Arial"/>
          <w:kern w:val="24"/>
          <w:sz w:val="24"/>
          <w:szCs w:val="24"/>
          <w:lang w:eastAsia="en-GB"/>
        </w:rPr>
        <w:t>of chemical structure of SFX-01 showing s</w:t>
      </w:r>
      <w:r w:rsidRPr="002E2E48">
        <w:rPr>
          <w:rFonts w:ascii="Arial" w:eastAsia="Verdana" w:hAnsi="Arial" w:cs="Arial"/>
          <w:kern w:val="24"/>
          <w:sz w:val="24"/>
          <w:szCs w:val="24"/>
          <w:lang w:eastAsia="en-GB"/>
        </w:rPr>
        <w:t xml:space="preserve">ynthetic </w:t>
      </w:r>
      <w:proofErr w:type="spellStart"/>
      <w:r w:rsidRPr="002E2E48">
        <w:rPr>
          <w:rFonts w:ascii="Arial" w:eastAsia="Verdana" w:hAnsi="Arial" w:cs="Arial"/>
          <w:kern w:val="24"/>
          <w:sz w:val="24"/>
          <w:szCs w:val="24"/>
          <w:lang w:eastAsia="en-GB"/>
        </w:rPr>
        <w:t>sulphoraphane</w:t>
      </w:r>
      <w:proofErr w:type="spellEnd"/>
      <w:r w:rsidRPr="002E2E48">
        <w:rPr>
          <w:rFonts w:ascii="Arial" w:eastAsia="Verdana" w:hAnsi="Arial" w:cs="Arial"/>
          <w:kern w:val="24"/>
          <w:sz w:val="24"/>
          <w:szCs w:val="24"/>
          <w:lang w:eastAsia="en-GB"/>
        </w:rPr>
        <w:t xml:space="preserve"> molecule stabilised in an alpha-cyclodextrin complex.</w:t>
      </w:r>
    </w:p>
    <w:p w14:paraId="5756765A" w14:textId="77777777" w:rsidR="006B578E" w:rsidRPr="00BC18D3" w:rsidRDefault="006B578E" w:rsidP="00623187">
      <w:pPr>
        <w:numPr>
          <w:ilvl w:val="0"/>
          <w:numId w:val="10"/>
        </w:numPr>
        <w:spacing w:after="0" w:line="480" w:lineRule="auto"/>
        <w:ind w:left="0" w:firstLine="0"/>
        <w:contextualSpacing/>
        <w:jc w:val="both"/>
        <w:rPr>
          <w:rFonts w:ascii="Arial" w:eastAsia="Times New Roman" w:hAnsi="Arial" w:cs="Arial"/>
          <w:sz w:val="24"/>
          <w:szCs w:val="24"/>
          <w:lang w:eastAsia="en-GB"/>
        </w:rPr>
      </w:pPr>
      <w:proofErr w:type="spellStart"/>
      <w:r w:rsidRPr="00BC18D3">
        <w:rPr>
          <w:rFonts w:ascii="Arial" w:eastAsiaTheme="minorEastAsia" w:hAnsi="Arial" w:cs="Arial"/>
          <w:color w:val="000000" w:themeColor="text1"/>
          <w:kern w:val="24"/>
          <w:sz w:val="24"/>
          <w:szCs w:val="24"/>
          <w:lang w:eastAsia="en-GB"/>
        </w:rPr>
        <w:t>Mammosphere</w:t>
      </w:r>
      <w:proofErr w:type="spellEnd"/>
      <w:r w:rsidRPr="00BC18D3">
        <w:rPr>
          <w:rFonts w:ascii="Arial" w:eastAsiaTheme="minorEastAsia" w:hAnsi="Arial" w:cs="Arial"/>
          <w:color w:val="000000" w:themeColor="text1"/>
          <w:kern w:val="24"/>
          <w:sz w:val="24"/>
          <w:szCs w:val="24"/>
          <w:lang w:eastAsia="en-GB"/>
        </w:rPr>
        <w:t xml:space="preserve"> formation efficiency of MCF-7, T47D and ZR75-1 cells. Cells were pre-treated in adherence with ethanol (Control), </w:t>
      </w:r>
      <w:proofErr w:type="spellStart"/>
      <w:r w:rsidRPr="00BC18D3">
        <w:rPr>
          <w:rFonts w:ascii="Arial" w:eastAsiaTheme="minorEastAsia" w:hAnsi="Arial" w:cs="Arial"/>
          <w:color w:val="000000" w:themeColor="text1"/>
          <w:kern w:val="24"/>
          <w:sz w:val="24"/>
          <w:szCs w:val="24"/>
          <w:lang w:eastAsia="en-GB"/>
        </w:rPr>
        <w:t>tamoxifen</w:t>
      </w:r>
      <w:proofErr w:type="spellEnd"/>
      <w:r w:rsidRPr="00BC18D3">
        <w:rPr>
          <w:rFonts w:ascii="Arial" w:eastAsiaTheme="minorEastAsia" w:hAnsi="Arial" w:cs="Arial"/>
          <w:color w:val="000000" w:themeColor="text1"/>
          <w:kern w:val="24"/>
          <w:sz w:val="24"/>
          <w:szCs w:val="24"/>
          <w:lang w:eastAsia="en-GB"/>
        </w:rPr>
        <w:t xml:space="preserve"> (1 </w:t>
      </w:r>
      <w:proofErr w:type="spellStart"/>
      <w:r w:rsidRPr="00BC18D3">
        <w:rPr>
          <w:rFonts w:ascii="Arial" w:eastAsiaTheme="minorEastAsia" w:hAnsi="Arial" w:cs="Arial"/>
          <w:color w:val="000000" w:themeColor="text1"/>
          <w:kern w:val="24"/>
          <w:sz w:val="24"/>
          <w:szCs w:val="24"/>
          <w:lang w:eastAsia="en-GB"/>
        </w:rPr>
        <w:t>μM</w:t>
      </w:r>
      <w:proofErr w:type="spellEnd"/>
      <w:r w:rsidRPr="00BC18D3">
        <w:rPr>
          <w:rFonts w:ascii="Arial" w:eastAsiaTheme="minorEastAsia" w:hAnsi="Arial" w:cs="Arial"/>
          <w:color w:val="000000" w:themeColor="text1"/>
          <w:kern w:val="24"/>
          <w:sz w:val="24"/>
          <w:szCs w:val="24"/>
          <w:lang w:eastAsia="en-GB"/>
        </w:rPr>
        <w:t xml:space="preserve">) or </w:t>
      </w:r>
      <w:proofErr w:type="spellStart"/>
      <w:r w:rsidRPr="00BC18D3">
        <w:rPr>
          <w:rFonts w:ascii="Arial" w:eastAsiaTheme="minorEastAsia" w:hAnsi="Arial" w:cs="Arial"/>
          <w:color w:val="000000" w:themeColor="text1"/>
          <w:kern w:val="24"/>
          <w:sz w:val="24"/>
          <w:szCs w:val="24"/>
          <w:lang w:eastAsia="en-GB"/>
        </w:rPr>
        <w:t>Fulvestrant</w:t>
      </w:r>
      <w:proofErr w:type="spellEnd"/>
      <w:r w:rsidRPr="00BC18D3">
        <w:rPr>
          <w:rFonts w:ascii="Arial" w:eastAsiaTheme="minorEastAsia" w:hAnsi="Arial" w:cs="Arial"/>
          <w:color w:val="000000" w:themeColor="text1"/>
          <w:kern w:val="24"/>
          <w:sz w:val="24"/>
          <w:szCs w:val="24"/>
          <w:lang w:eastAsia="en-GB"/>
        </w:rPr>
        <w:t xml:space="preserve"> (0.1 </w:t>
      </w:r>
      <w:proofErr w:type="spellStart"/>
      <w:r w:rsidRPr="00BC18D3">
        <w:rPr>
          <w:rFonts w:ascii="Arial" w:eastAsiaTheme="minorEastAsia" w:hAnsi="Arial" w:cs="Arial"/>
          <w:color w:val="000000" w:themeColor="text1"/>
          <w:kern w:val="24"/>
          <w:sz w:val="24"/>
          <w:szCs w:val="24"/>
          <w:lang w:eastAsia="en-GB"/>
        </w:rPr>
        <w:t>μM</w:t>
      </w:r>
      <w:proofErr w:type="spellEnd"/>
      <w:r w:rsidRPr="00BC18D3">
        <w:rPr>
          <w:rFonts w:ascii="Arial" w:eastAsiaTheme="minorEastAsia" w:hAnsi="Arial" w:cs="Arial"/>
          <w:color w:val="000000" w:themeColor="text1"/>
          <w:kern w:val="24"/>
          <w:sz w:val="24"/>
          <w:szCs w:val="24"/>
          <w:lang w:eastAsia="en-GB"/>
        </w:rPr>
        <w:t xml:space="preserve">) in the presence of SFX-01 (5 </w:t>
      </w:r>
      <w:proofErr w:type="spellStart"/>
      <w:r w:rsidRPr="00BC18D3">
        <w:rPr>
          <w:rFonts w:ascii="Arial" w:eastAsiaTheme="minorEastAsia" w:hAnsi="Arial" w:cs="Arial"/>
          <w:color w:val="000000" w:themeColor="text1"/>
          <w:kern w:val="24"/>
          <w:sz w:val="24"/>
          <w:szCs w:val="24"/>
          <w:lang w:eastAsia="en-GB"/>
        </w:rPr>
        <w:t>μM</w:t>
      </w:r>
      <w:proofErr w:type="spellEnd"/>
      <w:r w:rsidRPr="00BC18D3">
        <w:rPr>
          <w:rFonts w:ascii="Arial" w:eastAsiaTheme="minorEastAsia" w:hAnsi="Arial" w:cs="Arial"/>
          <w:color w:val="000000" w:themeColor="text1"/>
          <w:kern w:val="24"/>
          <w:sz w:val="24"/>
          <w:szCs w:val="24"/>
          <w:lang w:eastAsia="en-GB"/>
        </w:rPr>
        <w:t>) or water for 72 hours, and then plated at low density (200 cells/cm</w:t>
      </w:r>
      <w:r w:rsidRPr="00BC18D3">
        <w:rPr>
          <w:rFonts w:ascii="Arial" w:eastAsiaTheme="minorEastAsia" w:hAnsi="Arial" w:cs="Arial"/>
          <w:color w:val="000000" w:themeColor="text1"/>
          <w:kern w:val="24"/>
          <w:sz w:val="24"/>
          <w:szCs w:val="24"/>
          <w:vertAlign w:val="superscript"/>
          <w:lang w:eastAsia="en-GB"/>
        </w:rPr>
        <w:t>2</w:t>
      </w:r>
      <w:r w:rsidRPr="00BC18D3">
        <w:rPr>
          <w:rFonts w:ascii="Arial" w:eastAsiaTheme="minorEastAsia" w:hAnsi="Arial" w:cs="Arial"/>
          <w:color w:val="000000" w:themeColor="text1"/>
          <w:kern w:val="24"/>
          <w:sz w:val="24"/>
          <w:szCs w:val="24"/>
          <w:lang w:eastAsia="en-GB"/>
        </w:rPr>
        <w:t xml:space="preserve">) into 6-well plates and allowed to grow in suspension for 5 days. </w:t>
      </w:r>
      <w:proofErr w:type="spellStart"/>
      <w:r w:rsidRPr="00BC18D3">
        <w:rPr>
          <w:rFonts w:ascii="Arial" w:eastAsiaTheme="minorEastAsia" w:hAnsi="Arial" w:cs="Arial"/>
          <w:color w:val="000000" w:themeColor="text1"/>
          <w:kern w:val="24"/>
          <w:sz w:val="24"/>
          <w:szCs w:val="24"/>
          <w:lang w:eastAsia="en-GB"/>
        </w:rPr>
        <w:t>Mammosphere</w:t>
      </w:r>
      <w:proofErr w:type="spellEnd"/>
      <w:r w:rsidRPr="00BC18D3">
        <w:rPr>
          <w:rFonts w:ascii="Arial" w:eastAsiaTheme="minorEastAsia" w:hAnsi="Arial" w:cs="Arial"/>
          <w:color w:val="000000" w:themeColor="text1"/>
          <w:kern w:val="24"/>
          <w:sz w:val="24"/>
          <w:szCs w:val="24"/>
          <w:lang w:eastAsia="en-GB"/>
        </w:rPr>
        <w:t xml:space="preserve"> formation efficiency was calculated by dividing the number of </w:t>
      </w:r>
      <w:proofErr w:type="spellStart"/>
      <w:r w:rsidRPr="00BC18D3">
        <w:rPr>
          <w:rFonts w:ascii="Arial" w:eastAsiaTheme="minorEastAsia" w:hAnsi="Arial" w:cs="Arial"/>
          <w:color w:val="000000" w:themeColor="text1"/>
          <w:kern w:val="24"/>
          <w:sz w:val="24"/>
          <w:szCs w:val="24"/>
          <w:lang w:eastAsia="en-GB"/>
        </w:rPr>
        <w:t>mammospheres</w:t>
      </w:r>
      <w:proofErr w:type="spellEnd"/>
      <w:r w:rsidRPr="00BC18D3">
        <w:rPr>
          <w:rFonts w:ascii="Arial" w:eastAsiaTheme="minorEastAsia" w:hAnsi="Arial" w:cs="Arial"/>
          <w:color w:val="000000" w:themeColor="text1"/>
          <w:kern w:val="24"/>
          <w:sz w:val="24"/>
          <w:szCs w:val="24"/>
          <w:lang w:eastAsia="en-GB"/>
        </w:rPr>
        <w:t xml:space="preserve"> formed (≥ 50μm diameter) by the original number of single cells seeded and is expressed as the mean percentage of </w:t>
      </w:r>
      <w:proofErr w:type="spellStart"/>
      <w:r w:rsidRPr="00BC18D3">
        <w:rPr>
          <w:rFonts w:ascii="Arial" w:eastAsiaTheme="minorEastAsia" w:hAnsi="Arial" w:cs="Arial"/>
          <w:color w:val="000000" w:themeColor="text1"/>
          <w:kern w:val="24"/>
          <w:sz w:val="24"/>
          <w:szCs w:val="24"/>
          <w:lang w:eastAsia="en-GB"/>
        </w:rPr>
        <w:t>mammosphere</w:t>
      </w:r>
      <w:proofErr w:type="spellEnd"/>
      <w:r w:rsidRPr="00BC18D3">
        <w:rPr>
          <w:rFonts w:ascii="Arial" w:eastAsiaTheme="minorEastAsia" w:hAnsi="Arial" w:cs="Arial"/>
          <w:color w:val="000000" w:themeColor="text1"/>
          <w:kern w:val="24"/>
          <w:sz w:val="24"/>
          <w:szCs w:val="24"/>
          <w:lang w:eastAsia="en-GB"/>
        </w:rPr>
        <w:t xml:space="preserve"> formation ± standard deviation. </w:t>
      </w:r>
    </w:p>
    <w:p w14:paraId="2B0736B5" w14:textId="77777777" w:rsidR="006B578E" w:rsidRPr="00BC18D3" w:rsidRDefault="006B578E" w:rsidP="00623187">
      <w:pPr>
        <w:numPr>
          <w:ilvl w:val="0"/>
          <w:numId w:val="10"/>
        </w:numPr>
        <w:spacing w:after="0" w:line="480" w:lineRule="auto"/>
        <w:ind w:left="0" w:firstLine="0"/>
        <w:contextualSpacing/>
        <w:jc w:val="both"/>
        <w:rPr>
          <w:rFonts w:ascii="Arial" w:eastAsia="Times New Roman" w:hAnsi="Arial" w:cs="Arial"/>
          <w:sz w:val="24"/>
          <w:szCs w:val="24"/>
          <w:lang w:eastAsia="en-GB"/>
        </w:rPr>
      </w:pPr>
      <w:r w:rsidRPr="00BC18D3">
        <w:rPr>
          <w:rFonts w:ascii="Arial" w:eastAsiaTheme="minorEastAsia" w:hAnsi="Arial" w:cs="Arial"/>
          <w:color w:val="000000" w:themeColor="text1"/>
          <w:kern w:val="24"/>
          <w:sz w:val="24"/>
          <w:szCs w:val="24"/>
          <w:lang w:eastAsia="en-GB"/>
        </w:rPr>
        <w:t xml:space="preserve">FACS analysis of ALDH1 enzymatic activity assessed by the ALDEFLUOR assay in MCF-7, T47D and ZR75-1 cells. Graphs show the mean percentage of ALDH-positive cells (± standard deviation) for each cell line grown and treated as in A). After 72 hours of treatment, ALDEFLUOR assay was performed. </w:t>
      </w:r>
    </w:p>
    <w:p w14:paraId="4ECA99B1" w14:textId="77777777" w:rsidR="006B578E" w:rsidRPr="00BC18D3" w:rsidRDefault="006B578E" w:rsidP="00623187">
      <w:pPr>
        <w:spacing w:after="0" w:line="480" w:lineRule="auto"/>
        <w:jc w:val="both"/>
        <w:rPr>
          <w:rFonts w:ascii="Arial" w:eastAsia="Times New Roman" w:hAnsi="Arial" w:cs="Arial"/>
          <w:sz w:val="24"/>
          <w:szCs w:val="24"/>
          <w:lang w:eastAsia="en-GB"/>
        </w:rPr>
      </w:pPr>
      <w:r w:rsidRPr="00BC18D3">
        <w:rPr>
          <w:rFonts w:ascii="Arial" w:eastAsiaTheme="minorEastAsia" w:hAnsi="Arial" w:cs="Arial"/>
          <w:color w:val="000000" w:themeColor="text1"/>
          <w:kern w:val="24"/>
          <w:sz w:val="24"/>
          <w:szCs w:val="24"/>
          <w:lang w:val="en-US" w:eastAsia="en-GB"/>
        </w:rPr>
        <w:t>p values refer to SFX-01 treatment compared to respective non-SFX-01 bars,</w:t>
      </w:r>
      <w:r w:rsidRPr="00BC18D3">
        <w:rPr>
          <w:rFonts w:ascii="Arial" w:eastAsiaTheme="minorEastAsia" w:hAnsi="Arial" w:cs="Arial"/>
          <w:color w:val="000000" w:themeColor="text1"/>
          <w:kern w:val="24"/>
          <w:sz w:val="24"/>
          <w:szCs w:val="24"/>
          <w:lang w:eastAsia="en-GB"/>
        </w:rPr>
        <w:t xml:space="preserve"> * p &lt; 0.05, ** p &lt; 0.01</w:t>
      </w:r>
    </w:p>
    <w:p w14:paraId="4D76F045" w14:textId="77777777" w:rsidR="006B578E" w:rsidRPr="00BC18D3" w:rsidRDefault="006B578E" w:rsidP="00623187">
      <w:pPr>
        <w:spacing w:after="0" w:line="480" w:lineRule="auto"/>
        <w:jc w:val="both"/>
        <w:rPr>
          <w:rFonts w:ascii="Arial" w:eastAsia="Times New Roman" w:hAnsi="Arial" w:cs="Arial"/>
          <w:sz w:val="24"/>
          <w:szCs w:val="24"/>
        </w:rPr>
      </w:pPr>
    </w:p>
    <w:p w14:paraId="66EC6027" w14:textId="4E104CE4" w:rsidR="006B578E" w:rsidRPr="00BC18D3" w:rsidRDefault="00684E10" w:rsidP="00623187">
      <w:pPr>
        <w:spacing w:after="0" w:line="480" w:lineRule="auto"/>
        <w:jc w:val="both"/>
        <w:rPr>
          <w:rFonts w:ascii="Arial" w:eastAsia="Times New Roman" w:hAnsi="Arial" w:cs="Arial"/>
          <w:sz w:val="24"/>
          <w:szCs w:val="24"/>
          <w:lang w:eastAsia="en-GB"/>
        </w:rPr>
      </w:pPr>
      <w:r>
        <w:rPr>
          <w:rFonts w:ascii="Arial" w:eastAsiaTheme="minorEastAsia" w:hAnsi="Arial" w:cs="Arial"/>
          <w:b/>
          <w:bCs/>
          <w:color w:val="000000" w:themeColor="text1"/>
          <w:kern w:val="24"/>
          <w:sz w:val="24"/>
          <w:szCs w:val="24"/>
          <w:lang w:eastAsia="en-GB"/>
        </w:rPr>
        <w:t>F</w:t>
      </w:r>
      <w:r w:rsidR="006B578E" w:rsidRPr="00BC18D3">
        <w:rPr>
          <w:rFonts w:ascii="Arial" w:eastAsiaTheme="minorEastAsia" w:hAnsi="Arial" w:cs="Arial"/>
          <w:b/>
          <w:bCs/>
          <w:color w:val="000000" w:themeColor="text1"/>
          <w:kern w:val="24"/>
          <w:sz w:val="24"/>
          <w:szCs w:val="24"/>
          <w:lang w:eastAsia="en-GB"/>
        </w:rPr>
        <w:t xml:space="preserve">igure </w:t>
      </w:r>
      <w:r>
        <w:rPr>
          <w:rFonts w:ascii="Arial" w:eastAsiaTheme="minorEastAsia" w:hAnsi="Arial" w:cs="Arial"/>
          <w:b/>
          <w:bCs/>
          <w:color w:val="000000" w:themeColor="text1"/>
          <w:kern w:val="24"/>
          <w:sz w:val="24"/>
          <w:szCs w:val="24"/>
          <w:lang w:eastAsia="en-GB"/>
        </w:rPr>
        <w:t>S</w:t>
      </w:r>
      <w:r w:rsidR="006B578E" w:rsidRPr="00BC18D3">
        <w:rPr>
          <w:rFonts w:ascii="Arial" w:eastAsiaTheme="minorEastAsia" w:hAnsi="Arial" w:cs="Arial"/>
          <w:b/>
          <w:bCs/>
          <w:color w:val="000000" w:themeColor="text1"/>
          <w:kern w:val="24"/>
          <w:sz w:val="24"/>
          <w:szCs w:val="24"/>
          <w:lang w:eastAsia="en-GB"/>
        </w:rPr>
        <w:t>2</w:t>
      </w:r>
    </w:p>
    <w:p w14:paraId="1531B740" w14:textId="77777777" w:rsidR="006B578E" w:rsidRPr="00BC18D3" w:rsidRDefault="006B578E" w:rsidP="00623187">
      <w:pPr>
        <w:numPr>
          <w:ilvl w:val="0"/>
          <w:numId w:val="11"/>
        </w:numPr>
        <w:spacing w:after="0" w:line="480" w:lineRule="auto"/>
        <w:ind w:left="0" w:firstLine="0"/>
        <w:contextualSpacing/>
        <w:jc w:val="both"/>
        <w:rPr>
          <w:rFonts w:ascii="Arial" w:eastAsia="Times New Roman" w:hAnsi="Arial" w:cs="Arial"/>
          <w:sz w:val="24"/>
          <w:szCs w:val="24"/>
          <w:lang w:eastAsia="en-GB"/>
        </w:rPr>
      </w:pPr>
      <w:r w:rsidRPr="00BC18D3">
        <w:rPr>
          <w:rFonts w:ascii="Arial" w:eastAsiaTheme="minorEastAsia" w:hAnsi="Arial" w:cs="Arial"/>
          <w:color w:val="000000" w:themeColor="text1"/>
          <w:kern w:val="24"/>
          <w:sz w:val="24"/>
          <w:szCs w:val="24"/>
          <w:lang w:val="en-US" w:eastAsia="en-GB"/>
        </w:rPr>
        <w:t xml:space="preserve">Early (HBCx34) and metastatic (BB3RC31) PDXs tumor size variation over 14 </w:t>
      </w:r>
      <w:proofErr w:type="gramStart"/>
      <w:r w:rsidRPr="00BC18D3">
        <w:rPr>
          <w:rFonts w:ascii="Arial" w:eastAsiaTheme="minorEastAsia" w:hAnsi="Arial" w:cs="Arial"/>
          <w:color w:val="000000" w:themeColor="text1"/>
          <w:kern w:val="24"/>
          <w:sz w:val="24"/>
          <w:szCs w:val="24"/>
          <w:lang w:val="en-US" w:eastAsia="en-GB"/>
        </w:rPr>
        <w:t>days</w:t>
      </w:r>
      <w:proofErr w:type="gramEnd"/>
      <w:r w:rsidRPr="00BC18D3">
        <w:rPr>
          <w:rFonts w:ascii="Arial" w:eastAsiaTheme="minorEastAsia" w:hAnsi="Arial" w:cs="Arial"/>
          <w:color w:val="000000" w:themeColor="text1"/>
          <w:kern w:val="24"/>
          <w:sz w:val="24"/>
          <w:szCs w:val="24"/>
          <w:lang w:val="en-US" w:eastAsia="en-GB"/>
        </w:rPr>
        <w:t xml:space="preserve"> </w:t>
      </w:r>
      <w:r w:rsidRPr="00645DE2">
        <w:rPr>
          <w:rFonts w:ascii="Arial" w:eastAsiaTheme="minorEastAsia" w:hAnsi="Arial" w:cs="Arial"/>
          <w:i/>
          <w:iCs/>
          <w:color w:val="000000" w:themeColor="text1"/>
          <w:kern w:val="24"/>
          <w:sz w:val="24"/>
          <w:szCs w:val="24"/>
          <w:lang w:val="en-US" w:eastAsia="en-GB"/>
        </w:rPr>
        <w:t>in vivo</w:t>
      </w:r>
      <w:r w:rsidRPr="00BC18D3">
        <w:rPr>
          <w:rFonts w:ascii="Arial" w:eastAsiaTheme="minorEastAsia" w:hAnsi="Arial" w:cs="Arial"/>
          <w:color w:val="000000" w:themeColor="text1"/>
          <w:kern w:val="24"/>
          <w:sz w:val="24"/>
          <w:szCs w:val="24"/>
          <w:lang w:val="en-US" w:eastAsia="en-GB"/>
        </w:rPr>
        <w:t xml:space="preserve"> treatments with SFX-01 (300mg/kg/day, oral gavage) in the presence or absence of tamoxifen (10mg/kg/day, oral gavage). Tumor size was determined every </w:t>
      </w:r>
      <w:r w:rsidRPr="00BC18D3">
        <w:rPr>
          <w:rFonts w:ascii="Arial" w:eastAsiaTheme="minorEastAsia" w:hAnsi="Arial" w:cs="Arial"/>
          <w:color w:val="000000" w:themeColor="text1"/>
          <w:kern w:val="24"/>
          <w:sz w:val="24"/>
          <w:szCs w:val="24"/>
          <w:lang w:val="en-US" w:eastAsia="en-GB"/>
        </w:rPr>
        <w:lastRenderedPageBreak/>
        <w:t>3-4 days and averaged for each week. Fold change was calculated by dividing the tumor size by the size of the respective tumor at day 0.</w:t>
      </w:r>
    </w:p>
    <w:p w14:paraId="2F4FC820" w14:textId="5279B88D" w:rsidR="006B578E" w:rsidRPr="00BC18D3" w:rsidRDefault="006B578E" w:rsidP="00623187">
      <w:pPr>
        <w:numPr>
          <w:ilvl w:val="0"/>
          <w:numId w:val="11"/>
        </w:numPr>
        <w:spacing w:after="0" w:line="480" w:lineRule="auto"/>
        <w:ind w:left="0" w:firstLine="0"/>
        <w:contextualSpacing/>
        <w:jc w:val="both"/>
        <w:rPr>
          <w:rFonts w:ascii="Arial" w:eastAsia="Times New Roman" w:hAnsi="Arial" w:cs="Arial"/>
          <w:sz w:val="24"/>
          <w:szCs w:val="24"/>
          <w:lang w:eastAsia="en-GB"/>
        </w:rPr>
      </w:pPr>
      <w:r w:rsidRPr="00BC18D3">
        <w:rPr>
          <w:rFonts w:ascii="Arial" w:eastAsiaTheme="minorEastAsia" w:hAnsi="Arial" w:cs="Arial"/>
          <w:color w:val="000000" w:themeColor="text1"/>
          <w:kern w:val="24"/>
          <w:sz w:val="24"/>
          <w:szCs w:val="24"/>
          <w:lang w:val="en-US" w:eastAsia="en-GB"/>
        </w:rPr>
        <w:t xml:space="preserve">Graphs representing tumor size at day 90 after cell injection for each cell number tested. HBCx34 cells were pre-treated </w:t>
      </w:r>
      <w:r w:rsidRPr="00645DE2">
        <w:rPr>
          <w:rFonts w:ascii="Arial" w:eastAsiaTheme="minorEastAsia" w:hAnsi="Arial" w:cs="Arial"/>
          <w:i/>
          <w:iCs/>
          <w:color w:val="000000" w:themeColor="text1"/>
          <w:kern w:val="24"/>
          <w:sz w:val="24"/>
          <w:szCs w:val="24"/>
          <w:lang w:val="en-US" w:eastAsia="en-GB"/>
        </w:rPr>
        <w:t>in vivo</w:t>
      </w:r>
      <w:r w:rsidRPr="00BC18D3">
        <w:rPr>
          <w:rFonts w:ascii="Arial" w:eastAsiaTheme="minorEastAsia" w:hAnsi="Arial" w:cs="Arial"/>
          <w:color w:val="000000" w:themeColor="text1"/>
          <w:kern w:val="24"/>
          <w:sz w:val="24"/>
          <w:szCs w:val="24"/>
          <w:lang w:val="en-US" w:eastAsia="en-GB"/>
        </w:rPr>
        <w:t xml:space="preserve"> for 14 days. Experiments (N=4 per condition) were carried out in NSG mice injected subcutaneously with 500</w:t>
      </w:r>
      <w:r w:rsidR="00C25A15">
        <w:rPr>
          <w:rFonts w:ascii="Arial" w:eastAsiaTheme="minorEastAsia" w:hAnsi="Arial" w:cs="Arial"/>
          <w:color w:val="000000" w:themeColor="text1"/>
          <w:kern w:val="24"/>
          <w:sz w:val="24"/>
          <w:szCs w:val="24"/>
          <w:lang w:val="en-US" w:eastAsia="en-GB"/>
        </w:rPr>
        <w:t xml:space="preserve"> </w:t>
      </w:r>
      <w:r w:rsidRPr="00BC18D3">
        <w:rPr>
          <w:rFonts w:ascii="Arial" w:eastAsiaTheme="minorEastAsia" w:hAnsi="Arial" w:cs="Arial"/>
          <w:color w:val="000000" w:themeColor="text1"/>
          <w:kern w:val="24"/>
          <w:sz w:val="24"/>
          <w:szCs w:val="24"/>
          <w:lang w:val="en-US" w:eastAsia="en-GB"/>
        </w:rPr>
        <w:t>000, 100</w:t>
      </w:r>
      <w:r w:rsidR="00C25A15">
        <w:rPr>
          <w:rFonts w:ascii="Arial" w:eastAsiaTheme="minorEastAsia" w:hAnsi="Arial" w:cs="Arial"/>
          <w:color w:val="000000" w:themeColor="text1"/>
          <w:kern w:val="24"/>
          <w:sz w:val="24"/>
          <w:szCs w:val="24"/>
          <w:lang w:val="en-US" w:eastAsia="en-GB"/>
        </w:rPr>
        <w:t xml:space="preserve"> </w:t>
      </w:r>
      <w:r w:rsidRPr="00BC18D3">
        <w:rPr>
          <w:rFonts w:ascii="Arial" w:eastAsiaTheme="minorEastAsia" w:hAnsi="Arial" w:cs="Arial"/>
          <w:color w:val="000000" w:themeColor="text1"/>
          <w:kern w:val="24"/>
          <w:sz w:val="24"/>
          <w:szCs w:val="24"/>
          <w:lang w:val="en-US" w:eastAsia="en-GB"/>
        </w:rPr>
        <w:t>000, 20</w:t>
      </w:r>
      <w:r w:rsidR="00C25A15">
        <w:rPr>
          <w:rFonts w:ascii="Arial" w:eastAsiaTheme="minorEastAsia" w:hAnsi="Arial" w:cs="Arial"/>
          <w:color w:val="000000" w:themeColor="text1"/>
          <w:kern w:val="24"/>
          <w:sz w:val="24"/>
          <w:szCs w:val="24"/>
          <w:lang w:val="en-US" w:eastAsia="en-GB"/>
        </w:rPr>
        <w:t xml:space="preserve"> </w:t>
      </w:r>
      <w:r w:rsidRPr="00BC18D3">
        <w:rPr>
          <w:rFonts w:ascii="Arial" w:eastAsiaTheme="minorEastAsia" w:hAnsi="Arial" w:cs="Arial"/>
          <w:color w:val="000000" w:themeColor="text1"/>
          <w:kern w:val="24"/>
          <w:sz w:val="24"/>
          <w:szCs w:val="24"/>
          <w:lang w:val="en-US" w:eastAsia="en-GB"/>
        </w:rPr>
        <w:t>000 and 4</w:t>
      </w:r>
      <w:r w:rsidR="00C25A15">
        <w:rPr>
          <w:rFonts w:ascii="Arial" w:eastAsiaTheme="minorEastAsia" w:hAnsi="Arial" w:cs="Arial"/>
          <w:color w:val="000000" w:themeColor="text1"/>
          <w:kern w:val="24"/>
          <w:sz w:val="24"/>
          <w:szCs w:val="24"/>
          <w:lang w:val="en-US" w:eastAsia="en-GB"/>
        </w:rPr>
        <w:t xml:space="preserve"> </w:t>
      </w:r>
      <w:r w:rsidRPr="00BC18D3">
        <w:rPr>
          <w:rFonts w:ascii="Arial" w:eastAsiaTheme="minorEastAsia" w:hAnsi="Arial" w:cs="Arial"/>
          <w:color w:val="000000" w:themeColor="text1"/>
          <w:kern w:val="24"/>
          <w:sz w:val="24"/>
          <w:szCs w:val="24"/>
          <w:lang w:val="en-US" w:eastAsia="en-GB"/>
        </w:rPr>
        <w:t>000 cells. 90-day slow release estrogen pellets were implanted subcutaneously into mice two days before cell injection (0.72 mg, Innovative Research of America). Positive tumor growth was assessed by determining the mice bearing a tumor greater than 75 mm</w:t>
      </w:r>
      <w:r w:rsidRPr="00BC18D3">
        <w:rPr>
          <w:rFonts w:ascii="Arial" w:eastAsiaTheme="minorEastAsia" w:hAnsi="Arial" w:cs="Arial"/>
          <w:color w:val="000000" w:themeColor="text1"/>
          <w:kern w:val="24"/>
          <w:sz w:val="24"/>
          <w:szCs w:val="24"/>
          <w:vertAlign w:val="superscript"/>
          <w:lang w:val="en-US" w:eastAsia="en-GB"/>
        </w:rPr>
        <w:t>3</w:t>
      </w:r>
      <w:r w:rsidRPr="00BC18D3">
        <w:rPr>
          <w:rFonts w:ascii="Arial" w:eastAsiaTheme="minorEastAsia" w:hAnsi="Arial" w:cs="Arial"/>
          <w:color w:val="000000" w:themeColor="text1"/>
          <w:kern w:val="24"/>
          <w:sz w:val="24"/>
          <w:szCs w:val="24"/>
          <w:lang w:val="en-US" w:eastAsia="en-GB"/>
        </w:rPr>
        <w:t xml:space="preserve"> and is represented as mice positive for growth/mice tested. </w:t>
      </w:r>
    </w:p>
    <w:p w14:paraId="22BD3E1B" w14:textId="77777777" w:rsidR="006B578E" w:rsidRPr="00BC18D3" w:rsidRDefault="006B578E" w:rsidP="00623187">
      <w:pPr>
        <w:spacing w:after="0" w:line="480" w:lineRule="auto"/>
        <w:jc w:val="both"/>
        <w:rPr>
          <w:rFonts w:ascii="Arial" w:eastAsia="Times New Roman" w:hAnsi="Arial" w:cs="Arial"/>
          <w:sz w:val="24"/>
          <w:szCs w:val="24"/>
          <w:lang w:eastAsia="en-GB"/>
        </w:rPr>
      </w:pPr>
      <w:r w:rsidRPr="00BC18D3">
        <w:rPr>
          <w:rFonts w:ascii="Arial" w:eastAsiaTheme="minorEastAsia" w:hAnsi="Arial" w:cs="Arial"/>
          <w:color w:val="000000"/>
          <w:kern w:val="24"/>
          <w:sz w:val="24"/>
          <w:szCs w:val="24"/>
          <w:lang w:eastAsia="en-GB"/>
        </w:rPr>
        <w:t>** p &lt; 0.01</w:t>
      </w:r>
    </w:p>
    <w:p w14:paraId="51045A6A" w14:textId="77777777" w:rsidR="006B578E" w:rsidRPr="00BC18D3" w:rsidRDefault="006B578E" w:rsidP="00623187">
      <w:pPr>
        <w:spacing w:after="0" w:line="480" w:lineRule="auto"/>
        <w:jc w:val="both"/>
        <w:rPr>
          <w:rFonts w:ascii="Arial" w:eastAsia="Times New Roman" w:hAnsi="Arial" w:cs="Arial"/>
          <w:sz w:val="24"/>
          <w:szCs w:val="24"/>
        </w:rPr>
      </w:pPr>
    </w:p>
    <w:p w14:paraId="2F0D6EB9" w14:textId="4DD4E84A" w:rsidR="006B578E" w:rsidRPr="00BC18D3" w:rsidRDefault="00684E10" w:rsidP="00623187">
      <w:pPr>
        <w:spacing w:after="0" w:line="480" w:lineRule="auto"/>
        <w:jc w:val="both"/>
        <w:rPr>
          <w:rFonts w:ascii="Arial" w:eastAsia="Times New Roman" w:hAnsi="Arial" w:cs="Arial"/>
          <w:sz w:val="24"/>
          <w:szCs w:val="24"/>
          <w:lang w:eastAsia="en-GB"/>
        </w:rPr>
      </w:pPr>
      <w:r>
        <w:rPr>
          <w:rFonts w:ascii="Arial" w:eastAsiaTheme="minorEastAsia" w:hAnsi="Arial" w:cs="Arial"/>
          <w:b/>
          <w:bCs/>
          <w:color w:val="000000" w:themeColor="text1"/>
          <w:kern w:val="24"/>
          <w:sz w:val="24"/>
          <w:szCs w:val="24"/>
          <w:lang w:eastAsia="en-GB"/>
        </w:rPr>
        <w:t>F</w:t>
      </w:r>
      <w:r w:rsidR="006B578E" w:rsidRPr="00BC18D3">
        <w:rPr>
          <w:rFonts w:ascii="Arial" w:eastAsiaTheme="minorEastAsia" w:hAnsi="Arial" w:cs="Arial"/>
          <w:b/>
          <w:bCs/>
          <w:color w:val="000000" w:themeColor="text1"/>
          <w:kern w:val="24"/>
          <w:sz w:val="24"/>
          <w:szCs w:val="24"/>
          <w:lang w:eastAsia="en-GB"/>
        </w:rPr>
        <w:t xml:space="preserve">igure </w:t>
      </w:r>
      <w:r>
        <w:rPr>
          <w:rFonts w:ascii="Arial" w:eastAsiaTheme="minorEastAsia" w:hAnsi="Arial" w:cs="Arial"/>
          <w:b/>
          <w:bCs/>
          <w:color w:val="000000" w:themeColor="text1"/>
          <w:kern w:val="24"/>
          <w:sz w:val="24"/>
          <w:szCs w:val="24"/>
          <w:lang w:eastAsia="en-GB"/>
        </w:rPr>
        <w:t>S</w:t>
      </w:r>
      <w:r w:rsidR="006B578E" w:rsidRPr="00BC18D3">
        <w:rPr>
          <w:rFonts w:ascii="Arial" w:eastAsiaTheme="minorEastAsia" w:hAnsi="Arial" w:cs="Arial"/>
          <w:b/>
          <w:bCs/>
          <w:color w:val="000000" w:themeColor="text1"/>
          <w:kern w:val="24"/>
          <w:sz w:val="24"/>
          <w:szCs w:val="24"/>
          <w:lang w:eastAsia="en-GB"/>
        </w:rPr>
        <w:t>3</w:t>
      </w:r>
    </w:p>
    <w:p w14:paraId="315D7D5C" w14:textId="77777777" w:rsidR="006B578E" w:rsidRPr="00BC18D3" w:rsidRDefault="006B578E" w:rsidP="00623187">
      <w:pPr>
        <w:spacing w:after="0" w:line="480" w:lineRule="auto"/>
        <w:jc w:val="both"/>
        <w:rPr>
          <w:rFonts w:ascii="Arial" w:eastAsia="Times New Roman" w:hAnsi="Arial" w:cs="Arial"/>
          <w:sz w:val="24"/>
          <w:szCs w:val="24"/>
          <w:lang w:eastAsia="en-GB"/>
        </w:rPr>
      </w:pPr>
      <w:r w:rsidRPr="00BC18D3">
        <w:rPr>
          <w:rFonts w:ascii="Arial" w:eastAsiaTheme="minorEastAsia" w:hAnsi="Arial" w:cs="Arial"/>
          <w:color w:val="000000"/>
          <w:kern w:val="24"/>
          <w:sz w:val="24"/>
          <w:szCs w:val="24"/>
          <w:lang w:val="en-US" w:eastAsia="en-GB"/>
        </w:rPr>
        <w:t xml:space="preserve">BB3RC31 PDX treated </w:t>
      </w:r>
      <w:r w:rsidRPr="00645DE2">
        <w:rPr>
          <w:rFonts w:ascii="Arial" w:eastAsiaTheme="minorEastAsia" w:hAnsi="Arial" w:cs="Arial"/>
          <w:i/>
          <w:iCs/>
          <w:color w:val="000000"/>
          <w:kern w:val="24"/>
          <w:sz w:val="24"/>
          <w:szCs w:val="24"/>
          <w:lang w:val="en-US" w:eastAsia="en-GB"/>
        </w:rPr>
        <w:t>in vivo</w:t>
      </w:r>
      <w:r w:rsidRPr="00BC18D3">
        <w:rPr>
          <w:rFonts w:ascii="Arial" w:eastAsiaTheme="minorEastAsia" w:hAnsi="Arial" w:cs="Arial"/>
          <w:color w:val="000000"/>
          <w:kern w:val="24"/>
          <w:sz w:val="24"/>
          <w:szCs w:val="24"/>
          <w:lang w:val="en-US" w:eastAsia="en-GB"/>
        </w:rPr>
        <w:t xml:space="preserve"> for 56 days with tamoxifen (10mg/kg/day, oral gavage) or </w:t>
      </w:r>
      <w:proofErr w:type="spellStart"/>
      <w:r w:rsidRPr="00BC18D3">
        <w:rPr>
          <w:rFonts w:ascii="Arial" w:eastAsiaTheme="minorEastAsia" w:hAnsi="Arial" w:cs="Arial"/>
          <w:color w:val="000000"/>
          <w:kern w:val="24"/>
          <w:sz w:val="24"/>
          <w:szCs w:val="24"/>
          <w:lang w:val="en-US" w:eastAsia="en-GB"/>
        </w:rPr>
        <w:t>fulvestrant</w:t>
      </w:r>
      <w:proofErr w:type="spellEnd"/>
      <w:r w:rsidRPr="00BC18D3">
        <w:rPr>
          <w:rFonts w:ascii="Arial" w:eastAsiaTheme="minorEastAsia" w:hAnsi="Arial" w:cs="Arial"/>
          <w:color w:val="000000"/>
          <w:kern w:val="24"/>
          <w:sz w:val="24"/>
          <w:szCs w:val="24"/>
          <w:lang w:val="en-US" w:eastAsia="en-GB"/>
        </w:rPr>
        <w:t xml:space="preserve"> (200mg/kg/week, subcutaneous injection) in the presence or absence of SFX-01 (300mg/kg/day, oral gavage).</w:t>
      </w:r>
      <w:r w:rsidRPr="00BC18D3">
        <w:rPr>
          <w:rFonts w:ascii="Arial" w:eastAsiaTheme="minorEastAsia" w:hAnsi="Arial" w:cs="Arial"/>
          <w:color w:val="000000"/>
          <w:kern w:val="24"/>
          <w:sz w:val="24"/>
          <w:szCs w:val="24"/>
          <w:lang w:eastAsia="en-GB"/>
        </w:rPr>
        <w:t xml:space="preserve"> </w:t>
      </w:r>
    </w:p>
    <w:p w14:paraId="6A9EF734" w14:textId="77777777" w:rsidR="006B578E" w:rsidRPr="00BC18D3" w:rsidRDefault="006B578E" w:rsidP="00623187">
      <w:pPr>
        <w:numPr>
          <w:ilvl w:val="0"/>
          <w:numId w:val="12"/>
        </w:numPr>
        <w:spacing w:after="0" w:line="480" w:lineRule="auto"/>
        <w:ind w:left="0" w:firstLine="0"/>
        <w:contextualSpacing/>
        <w:jc w:val="both"/>
        <w:rPr>
          <w:rFonts w:ascii="Arial" w:eastAsia="Times New Roman" w:hAnsi="Arial" w:cs="Arial"/>
          <w:sz w:val="24"/>
          <w:szCs w:val="24"/>
          <w:lang w:eastAsia="en-GB"/>
        </w:rPr>
      </w:pPr>
      <w:r w:rsidRPr="00BC18D3">
        <w:rPr>
          <w:rFonts w:ascii="Arial" w:eastAsiaTheme="minorEastAsia" w:hAnsi="Arial" w:cs="Arial"/>
          <w:color w:val="000000"/>
          <w:kern w:val="24"/>
          <w:sz w:val="24"/>
          <w:szCs w:val="24"/>
          <w:lang w:eastAsia="en-GB"/>
        </w:rPr>
        <w:t xml:space="preserve">Percentage of ALDH-positive cells was determined with ALDEFLUOR assay. ALDH-positive cells were discriminated from ALDH-negative cells using the ALDH inhibitor, DEAB. </w:t>
      </w:r>
    </w:p>
    <w:p w14:paraId="6F7E7C5A" w14:textId="77777777" w:rsidR="006B578E" w:rsidRPr="00BC18D3" w:rsidRDefault="006B578E" w:rsidP="00623187">
      <w:pPr>
        <w:numPr>
          <w:ilvl w:val="0"/>
          <w:numId w:val="12"/>
        </w:numPr>
        <w:spacing w:after="0" w:line="480" w:lineRule="auto"/>
        <w:ind w:left="0" w:firstLine="0"/>
        <w:contextualSpacing/>
        <w:jc w:val="both"/>
        <w:rPr>
          <w:rFonts w:ascii="Arial" w:eastAsia="Times New Roman" w:hAnsi="Arial" w:cs="Arial"/>
          <w:sz w:val="24"/>
          <w:szCs w:val="24"/>
          <w:lang w:eastAsia="en-GB"/>
        </w:rPr>
      </w:pPr>
      <w:proofErr w:type="spellStart"/>
      <w:r w:rsidRPr="00BC18D3">
        <w:rPr>
          <w:rFonts w:ascii="Arial" w:eastAsiaTheme="minorEastAsia" w:hAnsi="Arial" w:cs="Arial"/>
          <w:color w:val="000000"/>
          <w:kern w:val="24"/>
          <w:sz w:val="24"/>
          <w:szCs w:val="24"/>
          <w:lang w:eastAsia="en-GB"/>
        </w:rPr>
        <w:t>Mammosphere</w:t>
      </w:r>
      <w:proofErr w:type="spellEnd"/>
      <w:r w:rsidRPr="00BC18D3">
        <w:rPr>
          <w:rFonts w:ascii="Arial" w:eastAsiaTheme="minorEastAsia" w:hAnsi="Arial" w:cs="Arial"/>
          <w:color w:val="000000"/>
          <w:kern w:val="24"/>
          <w:sz w:val="24"/>
          <w:szCs w:val="24"/>
          <w:lang w:eastAsia="en-GB"/>
        </w:rPr>
        <w:t xml:space="preserve"> formation efficiency was determined on day 7-9 and calculated by dividing the number of </w:t>
      </w:r>
      <w:proofErr w:type="spellStart"/>
      <w:r w:rsidRPr="00BC18D3">
        <w:rPr>
          <w:rFonts w:ascii="Arial" w:eastAsiaTheme="minorEastAsia" w:hAnsi="Arial" w:cs="Arial"/>
          <w:color w:val="000000"/>
          <w:kern w:val="24"/>
          <w:sz w:val="24"/>
          <w:szCs w:val="24"/>
          <w:lang w:eastAsia="en-GB"/>
        </w:rPr>
        <w:t>mammospheres</w:t>
      </w:r>
      <w:proofErr w:type="spellEnd"/>
      <w:r w:rsidRPr="00BC18D3">
        <w:rPr>
          <w:rFonts w:ascii="Arial" w:eastAsiaTheme="minorEastAsia" w:hAnsi="Arial" w:cs="Arial"/>
          <w:color w:val="000000"/>
          <w:kern w:val="24"/>
          <w:sz w:val="24"/>
          <w:szCs w:val="24"/>
          <w:lang w:eastAsia="en-GB"/>
        </w:rPr>
        <w:t xml:space="preserve"> formed (≥ 50μm diameter) by the original number of single cells seeded (500 cells/cm</w:t>
      </w:r>
      <w:r w:rsidRPr="00BC18D3">
        <w:rPr>
          <w:rFonts w:ascii="Arial" w:eastAsiaTheme="minorEastAsia" w:hAnsi="Arial" w:cs="Arial"/>
          <w:color w:val="000000"/>
          <w:kern w:val="24"/>
          <w:sz w:val="24"/>
          <w:szCs w:val="24"/>
          <w:vertAlign w:val="superscript"/>
          <w:lang w:eastAsia="en-GB"/>
        </w:rPr>
        <w:t>2</w:t>
      </w:r>
      <w:r w:rsidRPr="00BC18D3">
        <w:rPr>
          <w:rFonts w:ascii="Arial" w:eastAsiaTheme="minorEastAsia" w:hAnsi="Arial" w:cs="Arial"/>
          <w:color w:val="000000"/>
          <w:kern w:val="24"/>
          <w:sz w:val="24"/>
          <w:szCs w:val="24"/>
          <w:lang w:eastAsia="en-GB"/>
        </w:rPr>
        <w:t xml:space="preserve">) and is expressed as the mean percentage of </w:t>
      </w:r>
      <w:proofErr w:type="spellStart"/>
      <w:r w:rsidRPr="00BC18D3">
        <w:rPr>
          <w:rFonts w:ascii="Arial" w:eastAsiaTheme="minorEastAsia" w:hAnsi="Arial" w:cs="Arial"/>
          <w:color w:val="000000"/>
          <w:kern w:val="24"/>
          <w:sz w:val="24"/>
          <w:szCs w:val="24"/>
          <w:lang w:eastAsia="en-GB"/>
        </w:rPr>
        <w:t>mammosphere</w:t>
      </w:r>
      <w:proofErr w:type="spellEnd"/>
      <w:r w:rsidRPr="00BC18D3">
        <w:rPr>
          <w:rFonts w:ascii="Arial" w:eastAsiaTheme="minorEastAsia" w:hAnsi="Arial" w:cs="Arial"/>
          <w:color w:val="000000"/>
          <w:kern w:val="24"/>
          <w:sz w:val="24"/>
          <w:szCs w:val="24"/>
          <w:lang w:eastAsia="en-GB"/>
        </w:rPr>
        <w:t xml:space="preserve"> formation.</w:t>
      </w:r>
    </w:p>
    <w:p w14:paraId="62756934" w14:textId="52267F00" w:rsidR="006B578E" w:rsidRPr="00BC18D3" w:rsidRDefault="00A0632A" w:rsidP="00623187">
      <w:pPr>
        <w:spacing w:after="0" w:line="480" w:lineRule="auto"/>
        <w:jc w:val="both"/>
        <w:rPr>
          <w:rFonts w:ascii="Arial" w:eastAsia="Times New Roman" w:hAnsi="Arial" w:cs="Arial"/>
          <w:sz w:val="24"/>
          <w:szCs w:val="24"/>
          <w:lang w:eastAsia="en-GB"/>
        </w:rPr>
      </w:pPr>
      <w:proofErr w:type="gramStart"/>
      <w:r w:rsidRPr="00A0632A">
        <w:rPr>
          <w:rFonts w:ascii="Arial" w:eastAsiaTheme="minorEastAsia" w:hAnsi="Arial" w:cs="Arial"/>
          <w:b/>
          <w:color w:val="000000"/>
          <w:sz w:val="24"/>
          <w:szCs w:val="24"/>
          <w:lang w:eastAsia="en-GB"/>
        </w:rPr>
        <w:t>c</w:t>
      </w:r>
      <w:r w:rsidRPr="00A0632A">
        <w:rPr>
          <w:rFonts w:ascii="Arial" w:eastAsiaTheme="minorEastAsia" w:hAnsi="Arial" w:cs="Arial"/>
          <w:b/>
          <w:color w:val="000000"/>
          <w:sz w:val="24"/>
          <w:szCs w:val="24"/>
          <w:lang w:val="en-US" w:eastAsia="en-GB"/>
        </w:rPr>
        <w:t>-d</w:t>
      </w:r>
      <w:proofErr w:type="gramEnd"/>
      <w:r w:rsidR="006B578E" w:rsidRPr="00BC18D3">
        <w:rPr>
          <w:rFonts w:ascii="Arial" w:eastAsiaTheme="minorEastAsia" w:hAnsi="Arial" w:cs="Arial"/>
          <w:color w:val="000000"/>
          <w:sz w:val="24"/>
          <w:szCs w:val="24"/>
          <w:lang w:val="en-US" w:eastAsia="en-GB"/>
        </w:rPr>
        <w:tab/>
      </w:r>
      <w:r w:rsidR="006B578E" w:rsidRPr="00BC18D3">
        <w:rPr>
          <w:rFonts w:ascii="Arial" w:eastAsiaTheme="minorEastAsia" w:hAnsi="Arial" w:cs="Arial"/>
          <w:color w:val="000000"/>
          <w:sz w:val="24"/>
          <w:szCs w:val="24"/>
          <w:lang w:eastAsia="en-GB"/>
        </w:rPr>
        <w:t xml:space="preserve">Mice lungs were stained </w:t>
      </w:r>
      <w:r w:rsidR="006B578E" w:rsidRPr="00BC18D3">
        <w:rPr>
          <w:rFonts w:ascii="Arial" w:eastAsiaTheme="minorEastAsia" w:hAnsi="Arial" w:cs="Arial"/>
          <w:color w:val="000000"/>
          <w:kern w:val="24"/>
          <w:sz w:val="24"/>
          <w:szCs w:val="24"/>
          <w:lang w:eastAsia="en-GB"/>
        </w:rPr>
        <w:t xml:space="preserve">with anti-human mitochondrial antibody and </w:t>
      </w:r>
      <w:proofErr w:type="spellStart"/>
      <w:r w:rsidR="006B578E" w:rsidRPr="00BC18D3">
        <w:rPr>
          <w:rFonts w:ascii="Arial" w:eastAsiaTheme="minorEastAsia" w:hAnsi="Arial" w:cs="Arial"/>
          <w:color w:val="000000"/>
          <w:kern w:val="24"/>
          <w:sz w:val="24"/>
          <w:szCs w:val="24"/>
          <w:lang w:eastAsia="en-GB"/>
        </w:rPr>
        <w:t>micrometastases</w:t>
      </w:r>
      <w:proofErr w:type="spellEnd"/>
      <w:r w:rsidR="006B578E" w:rsidRPr="00BC18D3">
        <w:rPr>
          <w:rFonts w:ascii="Arial" w:eastAsiaTheme="minorEastAsia" w:hAnsi="Arial" w:cs="Arial"/>
          <w:color w:val="000000"/>
          <w:kern w:val="24"/>
          <w:sz w:val="24"/>
          <w:szCs w:val="24"/>
          <w:lang w:eastAsia="en-GB"/>
        </w:rPr>
        <w:t xml:space="preserve"> </w:t>
      </w:r>
      <w:r w:rsidR="006B578E" w:rsidRPr="00BC18D3">
        <w:rPr>
          <w:rFonts w:ascii="Arial" w:eastAsiaTheme="minorEastAsia" w:hAnsi="Arial" w:cs="Arial"/>
          <w:color w:val="000000"/>
          <w:kern w:val="24"/>
          <w:sz w:val="24"/>
          <w:szCs w:val="24"/>
          <w:lang w:val="en-US" w:eastAsia="en-GB"/>
        </w:rPr>
        <w:t xml:space="preserve">with at least 10 cells were counted. Percentage of mice bearing </w:t>
      </w:r>
      <w:proofErr w:type="spellStart"/>
      <w:r w:rsidR="006B578E" w:rsidRPr="00BC18D3">
        <w:rPr>
          <w:rFonts w:ascii="Arial" w:eastAsiaTheme="minorEastAsia" w:hAnsi="Arial" w:cs="Arial"/>
          <w:color w:val="000000"/>
          <w:kern w:val="24"/>
          <w:sz w:val="24"/>
          <w:szCs w:val="24"/>
          <w:lang w:val="en-US" w:eastAsia="en-GB"/>
        </w:rPr>
        <w:lastRenderedPageBreak/>
        <w:t>micrometastases</w:t>
      </w:r>
      <w:proofErr w:type="spellEnd"/>
      <w:r w:rsidR="006B578E" w:rsidRPr="00BC18D3">
        <w:rPr>
          <w:rFonts w:ascii="Arial" w:eastAsiaTheme="minorEastAsia" w:hAnsi="Arial" w:cs="Arial"/>
          <w:color w:val="000000"/>
          <w:kern w:val="24"/>
          <w:sz w:val="24"/>
          <w:szCs w:val="24"/>
          <w:lang w:val="en-US" w:eastAsia="en-GB"/>
        </w:rPr>
        <w:t xml:space="preserve"> for each </w:t>
      </w:r>
      <w:proofErr w:type="spellStart"/>
      <w:r w:rsidR="006B578E" w:rsidRPr="00BC18D3">
        <w:rPr>
          <w:rFonts w:ascii="Arial" w:eastAsiaTheme="minorEastAsia" w:hAnsi="Arial" w:cs="Arial"/>
          <w:color w:val="000000"/>
          <w:kern w:val="24"/>
          <w:sz w:val="24"/>
          <w:szCs w:val="24"/>
          <w:lang w:val="en-US" w:eastAsia="en-GB"/>
        </w:rPr>
        <w:t>tamoxifen</w:t>
      </w:r>
      <w:proofErr w:type="spellEnd"/>
      <w:r w:rsidR="006B578E" w:rsidRPr="00BC18D3">
        <w:rPr>
          <w:rFonts w:ascii="Arial" w:eastAsiaTheme="minorEastAsia" w:hAnsi="Arial" w:cs="Arial"/>
          <w:color w:val="000000"/>
          <w:kern w:val="24"/>
          <w:sz w:val="24"/>
          <w:szCs w:val="24"/>
          <w:lang w:val="en-US" w:eastAsia="en-GB"/>
        </w:rPr>
        <w:t xml:space="preserve"> (C) and </w:t>
      </w:r>
      <w:proofErr w:type="spellStart"/>
      <w:r w:rsidR="006B578E" w:rsidRPr="00BC18D3">
        <w:rPr>
          <w:rFonts w:ascii="Arial" w:eastAsiaTheme="minorEastAsia" w:hAnsi="Arial" w:cs="Arial"/>
          <w:color w:val="000000"/>
          <w:kern w:val="24"/>
          <w:sz w:val="24"/>
          <w:szCs w:val="24"/>
          <w:lang w:val="en-US" w:eastAsia="en-GB"/>
        </w:rPr>
        <w:t>fulvestrant</w:t>
      </w:r>
      <w:proofErr w:type="spellEnd"/>
      <w:r w:rsidR="006B578E" w:rsidRPr="00BC18D3">
        <w:rPr>
          <w:rFonts w:ascii="Arial" w:eastAsiaTheme="minorEastAsia" w:hAnsi="Arial" w:cs="Arial"/>
          <w:color w:val="000000"/>
          <w:kern w:val="24"/>
          <w:sz w:val="24"/>
          <w:szCs w:val="24"/>
          <w:lang w:val="en-US" w:eastAsia="en-GB"/>
        </w:rPr>
        <w:t xml:space="preserve"> (D) treatment group is shown.</w:t>
      </w:r>
    </w:p>
    <w:p w14:paraId="4D51C7EE" w14:textId="77777777" w:rsidR="006B578E" w:rsidRPr="00BC18D3" w:rsidRDefault="006B578E" w:rsidP="00623187">
      <w:pPr>
        <w:spacing w:after="0" w:line="480" w:lineRule="auto"/>
        <w:jc w:val="both"/>
        <w:rPr>
          <w:rFonts w:ascii="Arial" w:eastAsia="Times New Roman" w:hAnsi="Arial" w:cs="Arial"/>
          <w:sz w:val="24"/>
          <w:szCs w:val="24"/>
          <w:lang w:eastAsia="en-GB"/>
        </w:rPr>
      </w:pPr>
      <w:r w:rsidRPr="00BC18D3">
        <w:rPr>
          <w:rFonts w:ascii="Arial" w:eastAsiaTheme="minorEastAsia" w:hAnsi="Arial" w:cs="Arial"/>
          <w:color w:val="000000"/>
          <w:kern w:val="24"/>
          <w:sz w:val="24"/>
          <w:szCs w:val="24"/>
          <w:lang w:val="en-US" w:eastAsia="en-GB"/>
        </w:rPr>
        <w:t>Data is represented as mean ± SEM. * p &lt; 0.05; ** p &lt; 0.01</w:t>
      </w:r>
    </w:p>
    <w:p w14:paraId="556FDFB5" w14:textId="77777777" w:rsidR="006B578E" w:rsidRPr="00BC18D3" w:rsidRDefault="006B578E" w:rsidP="00623187">
      <w:pPr>
        <w:spacing w:after="0" w:line="480" w:lineRule="auto"/>
        <w:jc w:val="both"/>
        <w:rPr>
          <w:rFonts w:ascii="Arial" w:eastAsiaTheme="minorEastAsia" w:hAnsi="Arial" w:cs="Arial"/>
          <w:b/>
          <w:bCs/>
          <w:color w:val="000000" w:themeColor="text1"/>
          <w:kern w:val="24"/>
          <w:sz w:val="24"/>
          <w:szCs w:val="24"/>
          <w:lang w:eastAsia="en-GB"/>
        </w:rPr>
      </w:pPr>
    </w:p>
    <w:p w14:paraId="3FE61253" w14:textId="6A1B44D8" w:rsidR="006B578E" w:rsidRPr="00BC18D3" w:rsidRDefault="00684E10" w:rsidP="00623187">
      <w:pPr>
        <w:spacing w:after="0" w:line="480" w:lineRule="auto"/>
        <w:jc w:val="both"/>
        <w:rPr>
          <w:rFonts w:ascii="Arial" w:eastAsia="Times New Roman" w:hAnsi="Arial" w:cs="Arial"/>
          <w:sz w:val="24"/>
          <w:szCs w:val="24"/>
          <w:lang w:eastAsia="en-GB"/>
        </w:rPr>
      </w:pPr>
      <w:r>
        <w:rPr>
          <w:rFonts w:ascii="Arial" w:eastAsiaTheme="minorEastAsia" w:hAnsi="Arial" w:cs="Arial"/>
          <w:b/>
          <w:bCs/>
          <w:color w:val="000000" w:themeColor="text1"/>
          <w:kern w:val="24"/>
          <w:sz w:val="24"/>
          <w:szCs w:val="24"/>
          <w:lang w:eastAsia="en-GB"/>
        </w:rPr>
        <w:t>F</w:t>
      </w:r>
      <w:r w:rsidR="006B578E" w:rsidRPr="00BC18D3">
        <w:rPr>
          <w:rFonts w:ascii="Arial" w:eastAsiaTheme="minorEastAsia" w:hAnsi="Arial" w:cs="Arial"/>
          <w:b/>
          <w:bCs/>
          <w:color w:val="000000" w:themeColor="text1"/>
          <w:kern w:val="24"/>
          <w:sz w:val="24"/>
          <w:szCs w:val="24"/>
          <w:lang w:eastAsia="en-GB"/>
        </w:rPr>
        <w:t xml:space="preserve">igure </w:t>
      </w:r>
      <w:r>
        <w:rPr>
          <w:rFonts w:ascii="Arial" w:eastAsiaTheme="minorEastAsia" w:hAnsi="Arial" w:cs="Arial"/>
          <w:b/>
          <w:bCs/>
          <w:color w:val="000000" w:themeColor="text1"/>
          <w:kern w:val="24"/>
          <w:sz w:val="24"/>
          <w:szCs w:val="24"/>
          <w:lang w:eastAsia="en-GB"/>
        </w:rPr>
        <w:t>S</w:t>
      </w:r>
      <w:r w:rsidR="006B578E" w:rsidRPr="00BC18D3">
        <w:rPr>
          <w:rFonts w:ascii="Arial" w:eastAsiaTheme="minorEastAsia" w:hAnsi="Arial" w:cs="Arial"/>
          <w:b/>
          <w:bCs/>
          <w:color w:val="000000" w:themeColor="text1"/>
          <w:kern w:val="24"/>
          <w:sz w:val="24"/>
          <w:szCs w:val="24"/>
          <w:lang w:eastAsia="en-GB"/>
        </w:rPr>
        <w:t>4</w:t>
      </w:r>
    </w:p>
    <w:p w14:paraId="7859BF62" w14:textId="041B5120" w:rsidR="006B578E" w:rsidRPr="00BC18D3" w:rsidRDefault="00A0632A" w:rsidP="00623187">
      <w:pPr>
        <w:spacing w:after="0" w:line="480" w:lineRule="auto"/>
        <w:jc w:val="both"/>
        <w:rPr>
          <w:rFonts w:ascii="Arial" w:eastAsia="Times New Roman" w:hAnsi="Arial" w:cs="Arial"/>
          <w:sz w:val="24"/>
          <w:szCs w:val="24"/>
          <w:lang w:eastAsia="en-GB"/>
        </w:rPr>
      </w:pPr>
      <w:proofErr w:type="gramStart"/>
      <w:r w:rsidRPr="00A0632A">
        <w:rPr>
          <w:rFonts w:ascii="Arial" w:eastAsiaTheme="minorEastAsia" w:hAnsi="Arial" w:cs="Arial"/>
          <w:b/>
          <w:color w:val="000000"/>
          <w:sz w:val="24"/>
          <w:szCs w:val="24"/>
          <w:lang w:eastAsia="en-GB"/>
        </w:rPr>
        <w:t>a</w:t>
      </w:r>
      <w:proofErr w:type="gramEnd"/>
      <w:r w:rsidR="006B578E" w:rsidRPr="00A0632A">
        <w:rPr>
          <w:rFonts w:ascii="Arial" w:eastAsiaTheme="minorEastAsia" w:hAnsi="Arial" w:cs="Arial"/>
          <w:b/>
          <w:color w:val="000000"/>
          <w:sz w:val="24"/>
          <w:szCs w:val="24"/>
          <w:lang w:eastAsia="en-GB"/>
        </w:rPr>
        <w:t xml:space="preserve"> </w:t>
      </w:r>
      <w:r w:rsidR="006B578E" w:rsidRPr="00BC18D3">
        <w:rPr>
          <w:rFonts w:ascii="Arial" w:eastAsiaTheme="minorEastAsia" w:hAnsi="Arial" w:cs="Arial"/>
          <w:color w:val="000000"/>
          <w:sz w:val="24"/>
          <w:szCs w:val="24"/>
          <w:lang w:eastAsia="en-GB"/>
        </w:rPr>
        <w:tab/>
      </w:r>
      <w:proofErr w:type="spellStart"/>
      <w:r w:rsidR="006B578E" w:rsidRPr="00BC18D3">
        <w:rPr>
          <w:rFonts w:ascii="Arial" w:eastAsiaTheme="minorEastAsia" w:hAnsi="Arial" w:cs="Arial"/>
          <w:color w:val="000000"/>
          <w:sz w:val="24"/>
          <w:szCs w:val="24"/>
          <w:lang w:eastAsia="en-GB"/>
        </w:rPr>
        <w:t>phospho-NFkB</w:t>
      </w:r>
      <w:proofErr w:type="spellEnd"/>
      <w:r w:rsidR="006B578E" w:rsidRPr="00BC18D3">
        <w:rPr>
          <w:rFonts w:ascii="Arial" w:eastAsiaTheme="minorEastAsia" w:hAnsi="Arial" w:cs="Arial"/>
          <w:color w:val="000000"/>
          <w:sz w:val="24"/>
          <w:szCs w:val="24"/>
          <w:lang w:eastAsia="en-GB"/>
        </w:rPr>
        <w:t xml:space="preserve"> p65 and total </w:t>
      </w:r>
      <w:proofErr w:type="spellStart"/>
      <w:r w:rsidR="006B578E" w:rsidRPr="00BC18D3">
        <w:rPr>
          <w:rFonts w:ascii="Arial" w:eastAsiaTheme="minorEastAsia" w:hAnsi="Arial" w:cs="Arial"/>
          <w:color w:val="000000"/>
          <w:sz w:val="24"/>
          <w:szCs w:val="24"/>
          <w:lang w:eastAsia="en-GB"/>
        </w:rPr>
        <w:t>NFkB</w:t>
      </w:r>
      <w:proofErr w:type="spellEnd"/>
      <w:r w:rsidR="006B578E" w:rsidRPr="00BC18D3">
        <w:rPr>
          <w:rFonts w:ascii="Arial" w:eastAsiaTheme="minorEastAsia" w:hAnsi="Arial" w:cs="Arial"/>
          <w:color w:val="000000"/>
          <w:sz w:val="24"/>
          <w:szCs w:val="24"/>
          <w:lang w:eastAsia="en-GB"/>
        </w:rPr>
        <w:t xml:space="preserve"> p65 protein expression levels determined by Western Blot in HBCx34 PDX treated </w:t>
      </w:r>
      <w:r w:rsidR="006B578E" w:rsidRPr="00BC18D3">
        <w:rPr>
          <w:rFonts w:ascii="Arial" w:eastAsiaTheme="minorEastAsia" w:hAnsi="Arial" w:cs="Arial"/>
          <w:i/>
          <w:iCs/>
          <w:color w:val="000000"/>
          <w:sz w:val="24"/>
          <w:szCs w:val="24"/>
          <w:lang w:eastAsia="en-GB"/>
        </w:rPr>
        <w:t xml:space="preserve">in vivo </w:t>
      </w:r>
      <w:r w:rsidR="006B578E" w:rsidRPr="00BC18D3">
        <w:rPr>
          <w:rFonts w:ascii="Arial" w:eastAsiaTheme="minorEastAsia" w:hAnsi="Arial" w:cs="Arial"/>
          <w:color w:val="000000"/>
          <w:sz w:val="24"/>
          <w:szCs w:val="24"/>
          <w:lang w:eastAsia="en-GB"/>
        </w:rPr>
        <w:t xml:space="preserve">for 56 days with </w:t>
      </w:r>
      <w:proofErr w:type="spellStart"/>
      <w:r w:rsidR="006B578E" w:rsidRPr="00BC18D3">
        <w:rPr>
          <w:rFonts w:ascii="Arial" w:eastAsiaTheme="minorEastAsia" w:hAnsi="Arial" w:cs="Arial"/>
          <w:color w:val="000000"/>
          <w:sz w:val="24"/>
          <w:szCs w:val="24"/>
          <w:lang w:eastAsia="en-GB"/>
        </w:rPr>
        <w:t>tamoxifen</w:t>
      </w:r>
      <w:proofErr w:type="spellEnd"/>
      <w:r w:rsidR="006B578E" w:rsidRPr="00BC18D3">
        <w:rPr>
          <w:rFonts w:ascii="Arial" w:eastAsiaTheme="minorEastAsia" w:hAnsi="Arial" w:cs="Arial"/>
          <w:color w:val="000000"/>
          <w:sz w:val="24"/>
          <w:szCs w:val="24"/>
          <w:lang w:eastAsia="en-GB"/>
        </w:rPr>
        <w:t xml:space="preserve"> or </w:t>
      </w:r>
      <w:proofErr w:type="spellStart"/>
      <w:r w:rsidR="006B578E" w:rsidRPr="00BC18D3">
        <w:rPr>
          <w:rFonts w:ascii="Arial" w:eastAsiaTheme="minorEastAsia" w:hAnsi="Arial" w:cs="Arial"/>
          <w:color w:val="000000"/>
          <w:sz w:val="24"/>
          <w:szCs w:val="24"/>
          <w:lang w:eastAsia="en-GB"/>
        </w:rPr>
        <w:t>fulvestrant</w:t>
      </w:r>
      <w:proofErr w:type="spellEnd"/>
      <w:r w:rsidR="006B578E" w:rsidRPr="00BC18D3">
        <w:rPr>
          <w:rFonts w:ascii="Arial" w:eastAsiaTheme="minorEastAsia" w:hAnsi="Arial" w:cs="Arial"/>
          <w:color w:val="000000"/>
          <w:sz w:val="24"/>
          <w:szCs w:val="24"/>
          <w:lang w:eastAsia="en-GB"/>
        </w:rPr>
        <w:t xml:space="preserve"> in the presence or absence of SFX-01. </w:t>
      </w:r>
      <w:r w:rsidR="006B578E" w:rsidRPr="00BC18D3">
        <w:rPr>
          <w:rFonts w:ascii="Arial" w:eastAsiaTheme="minorEastAsia" w:hAnsi="Arial" w:cs="Arial"/>
          <w:color w:val="000000"/>
          <w:sz w:val="24"/>
          <w:szCs w:val="24"/>
          <w:lang w:val="el-GR" w:eastAsia="en-GB"/>
        </w:rPr>
        <w:t>β-</w:t>
      </w:r>
      <w:r w:rsidR="006B578E" w:rsidRPr="00BC18D3">
        <w:rPr>
          <w:rFonts w:ascii="Arial" w:eastAsiaTheme="minorEastAsia" w:hAnsi="Arial" w:cs="Arial"/>
          <w:color w:val="000000"/>
          <w:sz w:val="24"/>
          <w:szCs w:val="24"/>
          <w:lang w:eastAsia="en-GB"/>
        </w:rPr>
        <w:t>actin was used as a reference for the loading control.</w:t>
      </w:r>
    </w:p>
    <w:p w14:paraId="26100C83" w14:textId="3824C40B" w:rsidR="006B578E" w:rsidRPr="00BC18D3" w:rsidRDefault="00A0632A" w:rsidP="00623187">
      <w:pPr>
        <w:spacing w:after="0" w:line="480" w:lineRule="auto"/>
        <w:jc w:val="both"/>
        <w:rPr>
          <w:rFonts w:ascii="Arial" w:eastAsiaTheme="minorEastAsia" w:hAnsi="Arial" w:cs="Arial"/>
          <w:color w:val="000000"/>
          <w:sz w:val="24"/>
          <w:szCs w:val="24"/>
          <w:lang w:val="en-US" w:eastAsia="en-GB"/>
        </w:rPr>
      </w:pPr>
      <w:proofErr w:type="gramStart"/>
      <w:r w:rsidRPr="00A0632A">
        <w:rPr>
          <w:rFonts w:ascii="Arial" w:eastAsiaTheme="minorEastAsia" w:hAnsi="Arial" w:cs="Arial"/>
          <w:b/>
          <w:color w:val="000000"/>
          <w:sz w:val="24"/>
          <w:szCs w:val="24"/>
          <w:lang w:eastAsia="en-GB"/>
        </w:rPr>
        <w:t>b</w:t>
      </w:r>
      <w:proofErr w:type="gramEnd"/>
      <w:r w:rsidR="006B578E" w:rsidRPr="00BC18D3">
        <w:rPr>
          <w:rFonts w:ascii="Arial" w:eastAsiaTheme="minorEastAsia" w:hAnsi="Arial" w:cs="Arial"/>
          <w:color w:val="000000"/>
          <w:sz w:val="24"/>
          <w:szCs w:val="24"/>
          <w:lang w:eastAsia="en-GB"/>
        </w:rPr>
        <w:t xml:space="preserve"> </w:t>
      </w:r>
      <w:r w:rsidR="006B578E" w:rsidRPr="00BC18D3">
        <w:rPr>
          <w:rFonts w:ascii="Arial" w:eastAsiaTheme="minorEastAsia" w:hAnsi="Arial" w:cs="Arial"/>
          <w:color w:val="000000"/>
          <w:sz w:val="24"/>
          <w:szCs w:val="24"/>
          <w:lang w:eastAsia="en-GB"/>
        </w:rPr>
        <w:tab/>
      </w:r>
      <w:r w:rsidR="006B578E" w:rsidRPr="00BC18D3">
        <w:rPr>
          <w:rFonts w:ascii="Arial" w:eastAsiaTheme="minorEastAsia" w:hAnsi="Arial" w:cs="Arial"/>
          <w:color w:val="000000"/>
          <w:sz w:val="24"/>
          <w:szCs w:val="24"/>
          <w:lang w:val="en-US" w:eastAsia="en-GB"/>
        </w:rPr>
        <w:t xml:space="preserve">phospho-STAT3, total STAT3, </w:t>
      </w:r>
      <w:proofErr w:type="spellStart"/>
      <w:r w:rsidR="006B578E" w:rsidRPr="00BC18D3">
        <w:rPr>
          <w:rFonts w:ascii="Arial" w:eastAsiaTheme="minorEastAsia" w:hAnsi="Arial" w:cs="Arial"/>
          <w:color w:val="000000"/>
          <w:sz w:val="24"/>
          <w:szCs w:val="24"/>
          <w:lang w:val="en-US" w:eastAsia="en-GB"/>
        </w:rPr>
        <w:t>phospho-NFkB</w:t>
      </w:r>
      <w:proofErr w:type="spellEnd"/>
      <w:r w:rsidR="006B578E" w:rsidRPr="00BC18D3">
        <w:rPr>
          <w:rFonts w:ascii="Arial" w:eastAsiaTheme="minorEastAsia" w:hAnsi="Arial" w:cs="Arial"/>
          <w:color w:val="000000"/>
          <w:sz w:val="24"/>
          <w:szCs w:val="24"/>
          <w:lang w:val="en-US" w:eastAsia="en-GB"/>
        </w:rPr>
        <w:t xml:space="preserve"> p65 and total </w:t>
      </w:r>
      <w:proofErr w:type="spellStart"/>
      <w:r w:rsidR="006B578E" w:rsidRPr="00BC18D3">
        <w:rPr>
          <w:rFonts w:ascii="Arial" w:eastAsiaTheme="minorEastAsia" w:hAnsi="Arial" w:cs="Arial"/>
          <w:color w:val="000000"/>
          <w:sz w:val="24"/>
          <w:szCs w:val="24"/>
          <w:lang w:val="en-US" w:eastAsia="en-GB"/>
        </w:rPr>
        <w:t>NFkB</w:t>
      </w:r>
      <w:proofErr w:type="spellEnd"/>
      <w:r w:rsidR="006B578E" w:rsidRPr="00BC18D3">
        <w:rPr>
          <w:rFonts w:ascii="Arial" w:eastAsiaTheme="minorEastAsia" w:hAnsi="Arial" w:cs="Arial"/>
          <w:color w:val="000000"/>
          <w:sz w:val="24"/>
          <w:szCs w:val="24"/>
          <w:lang w:val="en-US" w:eastAsia="en-GB"/>
        </w:rPr>
        <w:t xml:space="preserve"> p65 protein expression levels determined by Western Blot in BB3RC31 PDX treated </w:t>
      </w:r>
      <w:r w:rsidR="006B578E" w:rsidRPr="00645DE2">
        <w:rPr>
          <w:rFonts w:ascii="Arial" w:eastAsiaTheme="minorEastAsia" w:hAnsi="Arial" w:cs="Arial"/>
          <w:i/>
          <w:iCs/>
          <w:color w:val="000000"/>
          <w:sz w:val="24"/>
          <w:szCs w:val="24"/>
          <w:lang w:val="en-US" w:eastAsia="en-GB"/>
        </w:rPr>
        <w:t>in vivo</w:t>
      </w:r>
      <w:r w:rsidR="006B578E" w:rsidRPr="00BC18D3">
        <w:rPr>
          <w:rFonts w:ascii="Arial" w:eastAsiaTheme="minorEastAsia" w:hAnsi="Arial" w:cs="Arial"/>
          <w:color w:val="000000"/>
          <w:sz w:val="24"/>
          <w:szCs w:val="24"/>
          <w:lang w:val="en-US" w:eastAsia="en-GB"/>
        </w:rPr>
        <w:t xml:space="preserve"> for 56 days with </w:t>
      </w:r>
      <w:proofErr w:type="spellStart"/>
      <w:r w:rsidR="006B578E" w:rsidRPr="00BC18D3">
        <w:rPr>
          <w:rFonts w:ascii="Arial" w:eastAsiaTheme="minorEastAsia" w:hAnsi="Arial" w:cs="Arial"/>
          <w:color w:val="000000"/>
          <w:sz w:val="24"/>
          <w:szCs w:val="24"/>
          <w:lang w:val="en-US" w:eastAsia="en-GB"/>
        </w:rPr>
        <w:t>tamoxifen</w:t>
      </w:r>
      <w:proofErr w:type="spellEnd"/>
      <w:r w:rsidR="006B578E" w:rsidRPr="00BC18D3">
        <w:rPr>
          <w:rFonts w:ascii="Arial" w:eastAsiaTheme="minorEastAsia" w:hAnsi="Arial" w:cs="Arial"/>
          <w:color w:val="000000"/>
          <w:sz w:val="24"/>
          <w:szCs w:val="24"/>
          <w:lang w:val="en-US" w:eastAsia="en-GB"/>
        </w:rPr>
        <w:t xml:space="preserve"> or </w:t>
      </w:r>
      <w:proofErr w:type="spellStart"/>
      <w:r w:rsidR="006B578E" w:rsidRPr="00BC18D3">
        <w:rPr>
          <w:rFonts w:ascii="Arial" w:eastAsiaTheme="minorEastAsia" w:hAnsi="Arial" w:cs="Arial"/>
          <w:color w:val="000000"/>
          <w:sz w:val="24"/>
          <w:szCs w:val="24"/>
          <w:lang w:val="en-US" w:eastAsia="en-GB"/>
        </w:rPr>
        <w:t>fulvestrant</w:t>
      </w:r>
      <w:proofErr w:type="spellEnd"/>
      <w:r w:rsidR="006B578E" w:rsidRPr="00BC18D3">
        <w:rPr>
          <w:rFonts w:ascii="Arial" w:eastAsiaTheme="minorEastAsia" w:hAnsi="Arial" w:cs="Arial"/>
          <w:color w:val="000000"/>
          <w:sz w:val="24"/>
          <w:szCs w:val="24"/>
          <w:lang w:val="en-US" w:eastAsia="en-GB"/>
        </w:rPr>
        <w:t xml:space="preserve"> in the presence or absence of SFX-01.</w:t>
      </w:r>
    </w:p>
    <w:p w14:paraId="50BCC572" w14:textId="235B388C" w:rsidR="006B578E" w:rsidRPr="00BC18D3" w:rsidRDefault="00A0632A" w:rsidP="00623187">
      <w:pPr>
        <w:spacing w:after="0" w:line="480" w:lineRule="auto"/>
        <w:jc w:val="both"/>
        <w:rPr>
          <w:rFonts w:ascii="Arial" w:eastAsiaTheme="minorEastAsia" w:hAnsi="Arial" w:cs="Arial"/>
          <w:sz w:val="24"/>
          <w:szCs w:val="24"/>
          <w:lang w:eastAsia="en-GB"/>
        </w:rPr>
      </w:pPr>
      <w:proofErr w:type="gramStart"/>
      <w:r w:rsidRPr="00A0632A">
        <w:rPr>
          <w:rFonts w:ascii="Arial" w:eastAsiaTheme="minorEastAsia" w:hAnsi="Arial" w:cs="Arial"/>
          <w:b/>
          <w:color w:val="000000"/>
          <w:sz w:val="24"/>
          <w:szCs w:val="24"/>
          <w:lang w:val="en-US" w:eastAsia="en-GB"/>
        </w:rPr>
        <w:t>c</w:t>
      </w:r>
      <w:proofErr w:type="gramEnd"/>
      <w:r w:rsidR="006B578E" w:rsidRPr="00A0632A">
        <w:rPr>
          <w:rFonts w:ascii="Arial" w:eastAsiaTheme="minorEastAsia" w:hAnsi="Arial" w:cs="Arial"/>
          <w:b/>
          <w:color w:val="000000"/>
          <w:sz w:val="24"/>
          <w:szCs w:val="24"/>
          <w:lang w:val="en-US" w:eastAsia="en-GB"/>
        </w:rPr>
        <w:t xml:space="preserve"> </w:t>
      </w:r>
      <w:r w:rsidR="006B578E" w:rsidRPr="00BC18D3">
        <w:rPr>
          <w:rFonts w:ascii="Arial" w:eastAsiaTheme="minorEastAsia" w:hAnsi="Arial" w:cs="Arial"/>
          <w:color w:val="000000"/>
          <w:sz w:val="24"/>
          <w:szCs w:val="24"/>
          <w:lang w:val="en-US" w:eastAsia="en-GB"/>
        </w:rPr>
        <w:tab/>
      </w:r>
      <w:r w:rsidR="006B578E" w:rsidRPr="00BC18D3">
        <w:rPr>
          <w:rFonts w:ascii="Arial" w:eastAsiaTheme="minorEastAsia" w:hAnsi="Arial" w:cs="Arial"/>
          <w:sz w:val="24"/>
          <w:szCs w:val="24"/>
          <w:lang w:eastAsia="en-GB"/>
        </w:rPr>
        <w:t>phospho-STAT3 and total STAT3 protein expres</w:t>
      </w:r>
      <w:bookmarkStart w:id="0" w:name="_GoBack"/>
      <w:bookmarkEnd w:id="0"/>
      <w:r w:rsidR="006B578E" w:rsidRPr="00BC18D3">
        <w:rPr>
          <w:rFonts w:ascii="Arial" w:eastAsiaTheme="minorEastAsia" w:hAnsi="Arial" w:cs="Arial"/>
          <w:sz w:val="24"/>
          <w:szCs w:val="24"/>
          <w:lang w:eastAsia="en-GB"/>
        </w:rPr>
        <w:t>sion levels</w:t>
      </w:r>
      <w:r w:rsidR="006B578E" w:rsidRPr="00BC18D3">
        <w:rPr>
          <w:rFonts w:ascii="Arial" w:eastAsia="Times New Roman" w:hAnsi="Arial" w:cs="Arial"/>
          <w:sz w:val="24"/>
          <w:szCs w:val="24"/>
        </w:rPr>
        <w:t xml:space="preserve"> in four metastatic patient-derived samples treated for 72</w:t>
      </w:r>
      <w:r w:rsidR="006B578E">
        <w:rPr>
          <w:rFonts w:ascii="Arial" w:eastAsia="Times New Roman" w:hAnsi="Arial" w:cs="Arial"/>
          <w:sz w:val="24"/>
          <w:szCs w:val="24"/>
        </w:rPr>
        <w:t xml:space="preserve"> h</w:t>
      </w:r>
      <w:r w:rsidR="006B578E" w:rsidRPr="00BC18D3">
        <w:rPr>
          <w:rFonts w:ascii="Arial" w:eastAsia="Times New Roman" w:hAnsi="Arial" w:cs="Arial"/>
          <w:sz w:val="24"/>
          <w:szCs w:val="24"/>
        </w:rPr>
        <w:t xml:space="preserve">ours with </w:t>
      </w:r>
      <w:proofErr w:type="spellStart"/>
      <w:r w:rsidR="006B578E" w:rsidRPr="00BC18D3">
        <w:rPr>
          <w:rFonts w:ascii="Arial" w:eastAsia="Times New Roman" w:hAnsi="Arial" w:cs="Arial"/>
          <w:sz w:val="24"/>
          <w:szCs w:val="24"/>
        </w:rPr>
        <w:t>tamoxifen</w:t>
      </w:r>
      <w:proofErr w:type="spellEnd"/>
      <w:r w:rsidR="006B578E" w:rsidRPr="00BC18D3">
        <w:rPr>
          <w:rFonts w:ascii="Arial" w:eastAsia="Times New Roman" w:hAnsi="Arial" w:cs="Arial"/>
          <w:sz w:val="24"/>
          <w:szCs w:val="24"/>
        </w:rPr>
        <w:t xml:space="preserve"> or </w:t>
      </w:r>
      <w:proofErr w:type="spellStart"/>
      <w:r w:rsidR="006B578E" w:rsidRPr="00BC18D3">
        <w:rPr>
          <w:rFonts w:ascii="Arial" w:eastAsia="Times New Roman" w:hAnsi="Arial" w:cs="Arial"/>
          <w:sz w:val="24"/>
          <w:szCs w:val="24"/>
        </w:rPr>
        <w:t>fulvestrant</w:t>
      </w:r>
      <w:proofErr w:type="spellEnd"/>
      <w:r w:rsidR="006B578E" w:rsidRPr="00BC18D3">
        <w:rPr>
          <w:rFonts w:ascii="Arial" w:eastAsia="Times New Roman" w:hAnsi="Arial" w:cs="Arial"/>
          <w:sz w:val="24"/>
          <w:szCs w:val="24"/>
        </w:rPr>
        <w:t xml:space="preserve"> in the presence or absence of SFX-01.</w:t>
      </w:r>
    </w:p>
    <w:p w14:paraId="74EF87AB" w14:textId="77777777" w:rsidR="006B578E" w:rsidRPr="00BC18D3" w:rsidRDefault="006B578E" w:rsidP="00623187">
      <w:pPr>
        <w:spacing w:after="0" w:line="480" w:lineRule="auto"/>
        <w:jc w:val="both"/>
        <w:rPr>
          <w:rFonts w:ascii="Arial" w:eastAsia="Times New Roman" w:hAnsi="Arial" w:cs="Arial"/>
          <w:sz w:val="24"/>
          <w:szCs w:val="24"/>
        </w:rPr>
      </w:pPr>
    </w:p>
    <w:p w14:paraId="2434A27C" w14:textId="2E06AD46" w:rsidR="006B578E" w:rsidRPr="00BC18D3" w:rsidRDefault="00684E10" w:rsidP="00623187">
      <w:pPr>
        <w:spacing w:after="0" w:line="480" w:lineRule="auto"/>
        <w:jc w:val="both"/>
        <w:rPr>
          <w:rFonts w:ascii="Arial" w:eastAsia="Times New Roman" w:hAnsi="Arial" w:cs="Arial"/>
          <w:sz w:val="24"/>
          <w:szCs w:val="24"/>
          <w:lang w:eastAsia="en-GB"/>
        </w:rPr>
      </w:pPr>
      <w:r>
        <w:rPr>
          <w:rFonts w:ascii="Arial" w:eastAsiaTheme="minorEastAsia" w:hAnsi="Arial" w:cs="Arial"/>
          <w:b/>
          <w:bCs/>
          <w:color w:val="000000" w:themeColor="text1"/>
          <w:kern w:val="24"/>
          <w:sz w:val="24"/>
          <w:szCs w:val="24"/>
          <w:lang w:eastAsia="en-GB"/>
        </w:rPr>
        <w:t>F</w:t>
      </w:r>
      <w:r w:rsidR="006B578E" w:rsidRPr="00BC18D3">
        <w:rPr>
          <w:rFonts w:ascii="Arial" w:eastAsiaTheme="minorEastAsia" w:hAnsi="Arial" w:cs="Arial"/>
          <w:b/>
          <w:bCs/>
          <w:color w:val="000000" w:themeColor="text1"/>
          <w:kern w:val="24"/>
          <w:sz w:val="24"/>
          <w:szCs w:val="24"/>
          <w:lang w:eastAsia="en-GB"/>
        </w:rPr>
        <w:t xml:space="preserve">igure </w:t>
      </w:r>
      <w:r>
        <w:rPr>
          <w:rFonts w:ascii="Arial" w:eastAsiaTheme="minorEastAsia" w:hAnsi="Arial" w:cs="Arial"/>
          <w:b/>
          <w:bCs/>
          <w:color w:val="000000" w:themeColor="text1"/>
          <w:kern w:val="24"/>
          <w:sz w:val="24"/>
          <w:szCs w:val="24"/>
          <w:lang w:eastAsia="en-GB"/>
        </w:rPr>
        <w:t>S</w:t>
      </w:r>
      <w:r w:rsidR="006B578E" w:rsidRPr="00BC18D3">
        <w:rPr>
          <w:rFonts w:ascii="Arial" w:eastAsiaTheme="minorEastAsia" w:hAnsi="Arial" w:cs="Arial"/>
          <w:b/>
          <w:bCs/>
          <w:color w:val="000000" w:themeColor="text1"/>
          <w:kern w:val="24"/>
          <w:sz w:val="24"/>
          <w:szCs w:val="24"/>
          <w:lang w:eastAsia="en-GB"/>
        </w:rPr>
        <w:t>5</w:t>
      </w:r>
    </w:p>
    <w:p w14:paraId="124A302A" w14:textId="77777777" w:rsidR="006B578E" w:rsidRPr="00BC18D3" w:rsidRDefault="006B578E" w:rsidP="00623187">
      <w:pPr>
        <w:numPr>
          <w:ilvl w:val="0"/>
          <w:numId w:val="14"/>
        </w:numPr>
        <w:spacing w:after="0" w:line="480" w:lineRule="auto"/>
        <w:ind w:left="0" w:firstLine="0"/>
        <w:contextualSpacing/>
        <w:jc w:val="both"/>
        <w:rPr>
          <w:rFonts w:ascii="Arial" w:eastAsiaTheme="minorEastAsia" w:hAnsi="Arial" w:cs="Arial"/>
          <w:color w:val="000000"/>
          <w:sz w:val="24"/>
          <w:szCs w:val="24"/>
          <w:lang w:eastAsia="en-GB"/>
        </w:rPr>
      </w:pPr>
      <w:r w:rsidRPr="00BC18D3">
        <w:rPr>
          <w:rFonts w:ascii="Arial" w:eastAsiaTheme="minorEastAsia" w:hAnsi="Arial" w:cs="Arial"/>
          <w:color w:val="000000"/>
          <w:sz w:val="24"/>
          <w:szCs w:val="24"/>
          <w:lang w:eastAsia="en-GB"/>
        </w:rPr>
        <w:t>Schematic overview of the experimental approach used to profile gene expression of ALDH+ and ALDH- cells from metastatic patient samples. Ingenuity Pathway Analysis (IPA) software was employed to determine STAT3-related genes differentially expressed in ALDH+ cells.</w:t>
      </w:r>
    </w:p>
    <w:sectPr w:rsidR="006B578E" w:rsidRPr="00BC18D3" w:rsidSect="00272CCE">
      <w:footerReference w:type="default" r:id="rId9"/>
      <w:pgSz w:w="11900" w:h="16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9A577E" w14:textId="77777777" w:rsidR="007352A9" w:rsidRDefault="007352A9">
      <w:pPr>
        <w:spacing w:after="0" w:line="240" w:lineRule="auto"/>
      </w:pPr>
      <w:r>
        <w:separator/>
      </w:r>
    </w:p>
  </w:endnote>
  <w:endnote w:type="continuationSeparator" w:id="0">
    <w:p w14:paraId="09783D82" w14:textId="77777777" w:rsidR="007352A9" w:rsidRDefault="00735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486690"/>
      <w:docPartObj>
        <w:docPartGallery w:val="Page Numbers (Bottom of Page)"/>
        <w:docPartUnique/>
      </w:docPartObj>
    </w:sdtPr>
    <w:sdtEndPr>
      <w:rPr>
        <w:noProof/>
      </w:rPr>
    </w:sdtEndPr>
    <w:sdtContent>
      <w:p w14:paraId="36BC105B" w14:textId="236713ED" w:rsidR="00DD149C" w:rsidRDefault="00DD149C">
        <w:pPr>
          <w:pStyle w:val="Footer"/>
          <w:jc w:val="right"/>
        </w:pPr>
        <w:r>
          <w:fldChar w:fldCharType="begin"/>
        </w:r>
        <w:r>
          <w:instrText xml:space="preserve"> PAGE   \* MERGEFORMAT </w:instrText>
        </w:r>
        <w:r>
          <w:fldChar w:fldCharType="separate"/>
        </w:r>
        <w:r w:rsidR="00A0632A">
          <w:rPr>
            <w:noProof/>
          </w:rPr>
          <w:t>2</w:t>
        </w:r>
        <w:r>
          <w:rPr>
            <w:noProof/>
          </w:rPr>
          <w:fldChar w:fldCharType="end"/>
        </w:r>
      </w:p>
    </w:sdtContent>
  </w:sdt>
  <w:p w14:paraId="27A0B5CD" w14:textId="77777777" w:rsidR="00DD149C" w:rsidRDefault="00DD14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6AB1E" w14:textId="77777777" w:rsidR="007352A9" w:rsidRDefault="007352A9">
      <w:pPr>
        <w:spacing w:after="0" w:line="240" w:lineRule="auto"/>
      </w:pPr>
      <w:r>
        <w:separator/>
      </w:r>
    </w:p>
  </w:footnote>
  <w:footnote w:type="continuationSeparator" w:id="0">
    <w:p w14:paraId="20EF4CB6" w14:textId="77777777" w:rsidR="007352A9" w:rsidRDefault="007352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351CF"/>
    <w:multiLevelType w:val="hybridMultilevel"/>
    <w:tmpl w:val="85D848C4"/>
    <w:lvl w:ilvl="0" w:tplc="DDE2B796">
      <w:start w:val="1"/>
      <w:numFmt w:val="upperLetter"/>
      <w:lvlText w:val="(%1)"/>
      <w:lvlJc w:val="left"/>
      <w:pPr>
        <w:ind w:left="860" w:hanging="5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BD0E15"/>
    <w:multiLevelType w:val="hybridMultilevel"/>
    <w:tmpl w:val="DA06D81E"/>
    <w:lvl w:ilvl="0" w:tplc="51907F74">
      <w:start w:val="1"/>
      <w:numFmt w:val="lowerLetter"/>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3B12CBF"/>
    <w:multiLevelType w:val="hybridMultilevel"/>
    <w:tmpl w:val="B590F538"/>
    <w:lvl w:ilvl="0" w:tplc="1DA6DB2E">
      <w:start w:val="1"/>
      <w:numFmt w:val="upperLetter"/>
      <w:lvlText w:val="%1)"/>
      <w:lvlJc w:val="left"/>
      <w:pPr>
        <w:tabs>
          <w:tab w:val="num" w:pos="720"/>
        </w:tabs>
        <w:ind w:left="720" w:hanging="360"/>
      </w:pPr>
    </w:lvl>
    <w:lvl w:ilvl="1" w:tplc="2CA07F12" w:tentative="1">
      <w:start w:val="1"/>
      <w:numFmt w:val="upperLetter"/>
      <w:lvlText w:val="%2)"/>
      <w:lvlJc w:val="left"/>
      <w:pPr>
        <w:tabs>
          <w:tab w:val="num" w:pos="1440"/>
        </w:tabs>
        <w:ind w:left="1440" w:hanging="360"/>
      </w:pPr>
    </w:lvl>
    <w:lvl w:ilvl="2" w:tplc="70084AE2" w:tentative="1">
      <w:start w:val="1"/>
      <w:numFmt w:val="upperLetter"/>
      <w:lvlText w:val="%3)"/>
      <w:lvlJc w:val="left"/>
      <w:pPr>
        <w:tabs>
          <w:tab w:val="num" w:pos="2160"/>
        </w:tabs>
        <w:ind w:left="2160" w:hanging="360"/>
      </w:pPr>
    </w:lvl>
    <w:lvl w:ilvl="3" w:tplc="35929FBA" w:tentative="1">
      <w:start w:val="1"/>
      <w:numFmt w:val="upperLetter"/>
      <w:lvlText w:val="%4)"/>
      <w:lvlJc w:val="left"/>
      <w:pPr>
        <w:tabs>
          <w:tab w:val="num" w:pos="2880"/>
        </w:tabs>
        <w:ind w:left="2880" w:hanging="360"/>
      </w:pPr>
    </w:lvl>
    <w:lvl w:ilvl="4" w:tplc="51D6F570" w:tentative="1">
      <w:start w:val="1"/>
      <w:numFmt w:val="upperLetter"/>
      <w:lvlText w:val="%5)"/>
      <w:lvlJc w:val="left"/>
      <w:pPr>
        <w:tabs>
          <w:tab w:val="num" w:pos="3600"/>
        </w:tabs>
        <w:ind w:left="3600" w:hanging="360"/>
      </w:pPr>
    </w:lvl>
    <w:lvl w:ilvl="5" w:tplc="787CCC20" w:tentative="1">
      <w:start w:val="1"/>
      <w:numFmt w:val="upperLetter"/>
      <w:lvlText w:val="%6)"/>
      <w:lvlJc w:val="left"/>
      <w:pPr>
        <w:tabs>
          <w:tab w:val="num" w:pos="4320"/>
        </w:tabs>
        <w:ind w:left="4320" w:hanging="360"/>
      </w:pPr>
    </w:lvl>
    <w:lvl w:ilvl="6" w:tplc="6880518E" w:tentative="1">
      <w:start w:val="1"/>
      <w:numFmt w:val="upperLetter"/>
      <w:lvlText w:val="%7)"/>
      <w:lvlJc w:val="left"/>
      <w:pPr>
        <w:tabs>
          <w:tab w:val="num" w:pos="5040"/>
        </w:tabs>
        <w:ind w:left="5040" w:hanging="360"/>
      </w:pPr>
    </w:lvl>
    <w:lvl w:ilvl="7" w:tplc="1CF68E06" w:tentative="1">
      <w:start w:val="1"/>
      <w:numFmt w:val="upperLetter"/>
      <w:lvlText w:val="%8)"/>
      <w:lvlJc w:val="left"/>
      <w:pPr>
        <w:tabs>
          <w:tab w:val="num" w:pos="5760"/>
        </w:tabs>
        <w:ind w:left="5760" w:hanging="360"/>
      </w:pPr>
    </w:lvl>
    <w:lvl w:ilvl="8" w:tplc="0DA27CE8" w:tentative="1">
      <w:start w:val="1"/>
      <w:numFmt w:val="upperLetter"/>
      <w:lvlText w:val="%9)"/>
      <w:lvlJc w:val="left"/>
      <w:pPr>
        <w:tabs>
          <w:tab w:val="num" w:pos="6480"/>
        </w:tabs>
        <w:ind w:left="6480" w:hanging="360"/>
      </w:pPr>
    </w:lvl>
  </w:abstractNum>
  <w:abstractNum w:abstractNumId="3">
    <w:nsid w:val="16C83A8F"/>
    <w:multiLevelType w:val="hybridMultilevel"/>
    <w:tmpl w:val="DB9A2B2C"/>
    <w:lvl w:ilvl="0" w:tplc="51907F74">
      <w:start w:val="1"/>
      <w:numFmt w:val="lowerLetter"/>
      <w:lvlText w:val="%1"/>
      <w:lvlJc w:val="left"/>
      <w:pPr>
        <w:tabs>
          <w:tab w:val="num" w:pos="720"/>
        </w:tabs>
        <w:ind w:left="720" w:hanging="360"/>
      </w:pPr>
      <w:rPr>
        <w:rFonts w:hint="default"/>
        <w:b/>
      </w:rPr>
    </w:lvl>
    <w:lvl w:ilvl="1" w:tplc="8C90D122" w:tentative="1">
      <w:start w:val="1"/>
      <w:numFmt w:val="upperLetter"/>
      <w:lvlText w:val="%2)"/>
      <w:lvlJc w:val="left"/>
      <w:pPr>
        <w:tabs>
          <w:tab w:val="num" w:pos="1440"/>
        </w:tabs>
        <w:ind w:left="1440" w:hanging="360"/>
      </w:pPr>
    </w:lvl>
    <w:lvl w:ilvl="2" w:tplc="9E70962C" w:tentative="1">
      <w:start w:val="1"/>
      <w:numFmt w:val="upperLetter"/>
      <w:lvlText w:val="%3)"/>
      <w:lvlJc w:val="left"/>
      <w:pPr>
        <w:tabs>
          <w:tab w:val="num" w:pos="2160"/>
        </w:tabs>
        <w:ind w:left="2160" w:hanging="360"/>
      </w:pPr>
    </w:lvl>
    <w:lvl w:ilvl="3" w:tplc="86DE7750" w:tentative="1">
      <w:start w:val="1"/>
      <w:numFmt w:val="upperLetter"/>
      <w:lvlText w:val="%4)"/>
      <w:lvlJc w:val="left"/>
      <w:pPr>
        <w:tabs>
          <w:tab w:val="num" w:pos="2880"/>
        </w:tabs>
        <w:ind w:left="2880" w:hanging="360"/>
      </w:pPr>
    </w:lvl>
    <w:lvl w:ilvl="4" w:tplc="ADF88B2C" w:tentative="1">
      <w:start w:val="1"/>
      <w:numFmt w:val="upperLetter"/>
      <w:lvlText w:val="%5)"/>
      <w:lvlJc w:val="left"/>
      <w:pPr>
        <w:tabs>
          <w:tab w:val="num" w:pos="3600"/>
        </w:tabs>
        <w:ind w:left="3600" w:hanging="360"/>
      </w:pPr>
    </w:lvl>
    <w:lvl w:ilvl="5" w:tplc="8204472E" w:tentative="1">
      <w:start w:val="1"/>
      <w:numFmt w:val="upperLetter"/>
      <w:lvlText w:val="%6)"/>
      <w:lvlJc w:val="left"/>
      <w:pPr>
        <w:tabs>
          <w:tab w:val="num" w:pos="4320"/>
        </w:tabs>
        <w:ind w:left="4320" w:hanging="360"/>
      </w:pPr>
    </w:lvl>
    <w:lvl w:ilvl="6" w:tplc="0AE40CBA" w:tentative="1">
      <w:start w:val="1"/>
      <w:numFmt w:val="upperLetter"/>
      <w:lvlText w:val="%7)"/>
      <w:lvlJc w:val="left"/>
      <w:pPr>
        <w:tabs>
          <w:tab w:val="num" w:pos="5040"/>
        </w:tabs>
        <w:ind w:left="5040" w:hanging="360"/>
      </w:pPr>
    </w:lvl>
    <w:lvl w:ilvl="7" w:tplc="93B4F27A" w:tentative="1">
      <w:start w:val="1"/>
      <w:numFmt w:val="upperLetter"/>
      <w:lvlText w:val="%8)"/>
      <w:lvlJc w:val="left"/>
      <w:pPr>
        <w:tabs>
          <w:tab w:val="num" w:pos="5760"/>
        </w:tabs>
        <w:ind w:left="5760" w:hanging="360"/>
      </w:pPr>
    </w:lvl>
    <w:lvl w:ilvl="8" w:tplc="DA2ECE10" w:tentative="1">
      <w:start w:val="1"/>
      <w:numFmt w:val="upperLetter"/>
      <w:lvlText w:val="%9)"/>
      <w:lvlJc w:val="left"/>
      <w:pPr>
        <w:tabs>
          <w:tab w:val="num" w:pos="6480"/>
        </w:tabs>
        <w:ind w:left="6480" w:hanging="360"/>
      </w:pPr>
    </w:lvl>
  </w:abstractNum>
  <w:abstractNum w:abstractNumId="4">
    <w:nsid w:val="227D598A"/>
    <w:multiLevelType w:val="multilevel"/>
    <w:tmpl w:val="B6D455D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
    <w:nsid w:val="439A3330"/>
    <w:multiLevelType w:val="hybridMultilevel"/>
    <w:tmpl w:val="BB508BA4"/>
    <w:lvl w:ilvl="0" w:tplc="CD32989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E2039F"/>
    <w:multiLevelType w:val="hybridMultilevel"/>
    <w:tmpl w:val="F7D09956"/>
    <w:lvl w:ilvl="0" w:tplc="9DE2919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C84890"/>
    <w:multiLevelType w:val="hybridMultilevel"/>
    <w:tmpl w:val="3776F4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5211B3C"/>
    <w:multiLevelType w:val="hybridMultilevel"/>
    <w:tmpl w:val="063C6B1C"/>
    <w:lvl w:ilvl="0" w:tplc="AF643E0A">
      <w:start w:val="1"/>
      <w:numFmt w:val="upperLetter"/>
      <w:lvlText w:val="%1)"/>
      <w:lvlJc w:val="left"/>
      <w:pPr>
        <w:tabs>
          <w:tab w:val="num" w:pos="720"/>
        </w:tabs>
        <w:ind w:left="720" w:hanging="360"/>
      </w:pPr>
    </w:lvl>
    <w:lvl w:ilvl="1" w:tplc="6402F6C0" w:tentative="1">
      <w:start w:val="1"/>
      <w:numFmt w:val="upperLetter"/>
      <w:lvlText w:val="%2)"/>
      <w:lvlJc w:val="left"/>
      <w:pPr>
        <w:tabs>
          <w:tab w:val="num" w:pos="1440"/>
        </w:tabs>
        <w:ind w:left="1440" w:hanging="360"/>
      </w:pPr>
    </w:lvl>
    <w:lvl w:ilvl="2" w:tplc="B13615E8" w:tentative="1">
      <w:start w:val="1"/>
      <w:numFmt w:val="upperLetter"/>
      <w:lvlText w:val="%3)"/>
      <w:lvlJc w:val="left"/>
      <w:pPr>
        <w:tabs>
          <w:tab w:val="num" w:pos="2160"/>
        </w:tabs>
        <w:ind w:left="2160" w:hanging="360"/>
      </w:pPr>
    </w:lvl>
    <w:lvl w:ilvl="3" w:tplc="AF80776A" w:tentative="1">
      <w:start w:val="1"/>
      <w:numFmt w:val="upperLetter"/>
      <w:lvlText w:val="%4)"/>
      <w:lvlJc w:val="left"/>
      <w:pPr>
        <w:tabs>
          <w:tab w:val="num" w:pos="2880"/>
        </w:tabs>
        <w:ind w:left="2880" w:hanging="360"/>
      </w:pPr>
    </w:lvl>
    <w:lvl w:ilvl="4" w:tplc="9A8A4810" w:tentative="1">
      <w:start w:val="1"/>
      <w:numFmt w:val="upperLetter"/>
      <w:lvlText w:val="%5)"/>
      <w:lvlJc w:val="left"/>
      <w:pPr>
        <w:tabs>
          <w:tab w:val="num" w:pos="3600"/>
        </w:tabs>
        <w:ind w:left="3600" w:hanging="360"/>
      </w:pPr>
    </w:lvl>
    <w:lvl w:ilvl="5" w:tplc="1982E7BE" w:tentative="1">
      <w:start w:val="1"/>
      <w:numFmt w:val="upperLetter"/>
      <w:lvlText w:val="%6)"/>
      <w:lvlJc w:val="left"/>
      <w:pPr>
        <w:tabs>
          <w:tab w:val="num" w:pos="4320"/>
        </w:tabs>
        <w:ind w:left="4320" w:hanging="360"/>
      </w:pPr>
    </w:lvl>
    <w:lvl w:ilvl="6" w:tplc="E56A9D02" w:tentative="1">
      <w:start w:val="1"/>
      <w:numFmt w:val="upperLetter"/>
      <w:lvlText w:val="%7)"/>
      <w:lvlJc w:val="left"/>
      <w:pPr>
        <w:tabs>
          <w:tab w:val="num" w:pos="5040"/>
        </w:tabs>
        <w:ind w:left="5040" w:hanging="360"/>
      </w:pPr>
    </w:lvl>
    <w:lvl w:ilvl="7" w:tplc="E77C2D26" w:tentative="1">
      <w:start w:val="1"/>
      <w:numFmt w:val="upperLetter"/>
      <w:lvlText w:val="%8)"/>
      <w:lvlJc w:val="left"/>
      <w:pPr>
        <w:tabs>
          <w:tab w:val="num" w:pos="5760"/>
        </w:tabs>
        <w:ind w:left="5760" w:hanging="360"/>
      </w:pPr>
    </w:lvl>
    <w:lvl w:ilvl="8" w:tplc="922082A4" w:tentative="1">
      <w:start w:val="1"/>
      <w:numFmt w:val="upperLetter"/>
      <w:lvlText w:val="%9)"/>
      <w:lvlJc w:val="left"/>
      <w:pPr>
        <w:tabs>
          <w:tab w:val="num" w:pos="6480"/>
        </w:tabs>
        <w:ind w:left="6480" w:hanging="360"/>
      </w:pPr>
    </w:lvl>
  </w:abstractNum>
  <w:abstractNum w:abstractNumId="9">
    <w:nsid w:val="5D5C6A71"/>
    <w:multiLevelType w:val="hybridMultilevel"/>
    <w:tmpl w:val="68563880"/>
    <w:lvl w:ilvl="0" w:tplc="51907F74">
      <w:start w:val="1"/>
      <w:numFmt w:val="lowerLetter"/>
      <w:lvlText w:val="%1"/>
      <w:lvlJc w:val="left"/>
      <w:pPr>
        <w:tabs>
          <w:tab w:val="num" w:pos="720"/>
        </w:tabs>
        <w:ind w:left="720" w:hanging="360"/>
      </w:pPr>
      <w:rPr>
        <w:rFonts w:hint="default"/>
        <w:b/>
      </w:rPr>
    </w:lvl>
    <w:lvl w:ilvl="1" w:tplc="9E386E48" w:tentative="1">
      <w:start w:val="1"/>
      <w:numFmt w:val="upperLetter"/>
      <w:lvlText w:val="%2)"/>
      <w:lvlJc w:val="left"/>
      <w:pPr>
        <w:tabs>
          <w:tab w:val="num" w:pos="1440"/>
        </w:tabs>
        <w:ind w:left="1440" w:hanging="360"/>
      </w:pPr>
    </w:lvl>
    <w:lvl w:ilvl="2" w:tplc="2A1831B4" w:tentative="1">
      <w:start w:val="1"/>
      <w:numFmt w:val="upperLetter"/>
      <w:lvlText w:val="%3)"/>
      <w:lvlJc w:val="left"/>
      <w:pPr>
        <w:tabs>
          <w:tab w:val="num" w:pos="2160"/>
        </w:tabs>
        <w:ind w:left="2160" w:hanging="360"/>
      </w:pPr>
    </w:lvl>
    <w:lvl w:ilvl="3" w:tplc="11240FD6" w:tentative="1">
      <w:start w:val="1"/>
      <w:numFmt w:val="upperLetter"/>
      <w:lvlText w:val="%4)"/>
      <w:lvlJc w:val="left"/>
      <w:pPr>
        <w:tabs>
          <w:tab w:val="num" w:pos="2880"/>
        </w:tabs>
        <w:ind w:left="2880" w:hanging="360"/>
      </w:pPr>
    </w:lvl>
    <w:lvl w:ilvl="4" w:tplc="D368E482" w:tentative="1">
      <w:start w:val="1"/>
      <w:numFmt w:val="upperLetter"/>
      <w:lvlText w:val="%5)"/>
      <w:lvlJc w:val="left"/>
      <w:pPr>
        <w:tabs>
          <w:tab w:val="num" w:pos="3600"/>
        </w:tabs>
        <w:ind w:left="3600" w:hanging="360"/>
      </w:pPr>
    </w:lvl>
    <w:lvl w:ilvl="5" w:tplc="F0EADC1E" w:tentative="1">
      <w:start w:val="1"/>
      <w:numFmt w:val="upperLetter"/>
      <w:lvlText w:val="%6)"/>
      <w:lvlJc w:val="left"/>
      <w:pPr>
        <w:tabs>
          <w:tab w:val="num" w:pos="4320"/>
        </w:tabs>
        <w:ind w:left="4320" w:hanging="360"/>
      </w:pPr>
    </w:lvl>
    <w:lvl w:ilvl="6" w:tplc="03820226" w:tentative="1">
      <w:start w:val="1"/>
      <w:numFmt w:val="upperLetter"/>
      <w:lvlText w:val="%7)"/>
      <w:lvlJc w:val="left"/>
      <w:pPr>
        <w:tabs>
          <w:tab w:val="num" w:pos="5040"/>
        </w:tabs>
        <w:ind w:left="5040" w:hanging="360"/>
      </w:pPr>
    </w:lvl>
    <w:lvl w:ilvl="7" w:tplc="C74C5270" w:tentative="1">
      <w:start w:val="1"/>
      <w:numFmt w:val="upperLetter"/>
      <w:lvlText w:val="%8)"/>
      <w:lvlJc w:val="left"/>
      <w:pPr>
        <w:tabs>
          <w:tab w:val="num" w:pos="5760"/>
        </w:tabs>
        <w:ind w:left="5760" w:hanging="360"/>
      </w:pPr>
    </w:lvl>
    <w:lvl w:ilvl="8" w:tplc="152ECA6E" w:tentative="1">
      <w:start w:val="1"/>
      <w:numFmt w:val="upperLetter"/>
      <w:lvlText w:val="%9)"/>
      <w:lvlJc w:val="left"/>
      <w:pPr>
        <w:tabs>
          <w:tab w:val="num" w:pos="6480"/>
        </w:tabs>
        <w:ind w:left="6480" w:hanging="360"/>
      </w:pPr>
    </w:lvl>
  </w:abstractNum>
  <w:abstractNum w:abstractNumId="10">
    <w:nsid w:val="5FE8112E"/>
    <w:multiLevelType w:val="hybridMultilevel"/>
    <w:tmpl w:val="6BF2AC5E"/>
    <w:lvl w:ilvl="0" w:tplc="2586D834">
      <w:start w:val="1"/>
      <w:numFmt w:val="upperLetter"/>
      <w:lvlText w:val="(%1)"/>
      <w:lvlJc w:val="left"/>
      <w:pPr>
        <w:tabs>
          <w:tab w:val="num" w:pos="720"/>
        </w:tabs>
        <w:ind w:left="720" w:hanging="360"/>
      </w:pPr>
    </w:lvl>
    <w:lvl w:ilvl="1" w:tplc="E77C12B0" w:tentative="1">
      <w:start w:val="1"/>
      <w:numFmt w:val="upperLetter"/>
      <w:lvlText w:val="(%2)"/>
      <w:lvlJc w:val="left"/>
      <w:pPr>
        <w:tabs>
          <w:tab w:val="num" w:pos="1440"/>
        </w:tabs>
        <w:ind w:left="1440" w:hanging="360"/>
      </w:pPr>
    </w:lvl>
    <w:lvl w:ilvl="2" w:tplc="523C4FF0" w:tentative="1">
      <w:start w:val="1"/>
      <w:numFmt w:val="upperLetter"/>
      <w:lvlText w:val="(%3)"/>
      <w:lvlJc w:val="left"/>
      <w:pPr>
        <w:tabs>
          <w:tab w:val="num" w:pos="2160"/>
        </w:tabs>
        <w:ind w:left="2160" w:hanging="360"/>
      </w:pPr>
    </w:lvl>
    <w:lvl w:ilvl="3" w:tplc="19A08062" w:tentative="1">
      <w:start w:val="1"/>
      <w:numFmt w:val="upperLetter"/>
      <w:lvlText w:val="(%4)"/>
      <w:lvlJc w:val="left"/>
      <w:pPr>
        <w:tabs>
          <w:tab w:val="num" w:pos="2880"/>
        </w:tabs>
        <w:ind w:left="2880" w:hanging="360"/>
      </w:pPr>
    </w:lvl>
    <w:lvl w:ilvl="4" w:tplc="D51E9BDC" w:tentative="1">
      <w:start w:val="1"/>
      <w:numFmt w:val="upperLetter"/>
      <w:lvlText w:val="(%5)"/>
      <w:lvlJc w:val="left"/>
      <w:pPr>
        <w:tabs>
          <w:tab w:val="num" w:pos="3600"/>
        </w:tabs>
        <w:ind w:left="3600" w:hanging="360"/>
      </w:pPr>
    </w:lvl>
    <w:lvl w:ilvl="5" w:tplc="D7BA7CE6" w:tentative="1">
      <w:start w:val="1"/>
      <w:numFmt w:val="upperLetter"/>
      <w:lvlText w:val="(%6)"/>
      <w:lvlJc w:val="left"/>
      <w:pPr>
        <w:tabs>
          <w:tab w:val="num" w:pos="4320"/>
        </w:tabs>
        <w:ind w:left="4320" w:hanging="360"/>
      </w:pPr>
    </w:lvl>
    <w:lvl w:ilvl="6" w:tplc="FA481ECC" w:tentative="1">
      <w:start w:val="1"/>
      <w:numFmt w:val="upperLetter"/>
      <w:lvlText w:val="(%7)"/>
      <w:lvlJc w:val="left"/>
      <w:pPr>
        <w:tabs>
          <w:tab w:val="num" w:pos="5040"/>
        </w:tabs>
        <w:ind w:left="5040" w:hanging="360"/>
      </w:pPr>
    </w:lvl>
    <w:lvl w:ilvl="7" w:tplc="F7AE7812" w:tentative="1">
      <w:start w:val="1"/>
      <w:numFmt w:val="upperLetter"/>
      <w:lvlText w:val="(%8)"/>
      <w:lvlJc w:val="left"/>
      <w:pPr>
        <w:tabs>
          <w:tab w:val="num" w:pos="5760"/>
        </w:tabs>
        <w:ind w:left="5760" w:hanging="360"/>
      </w:pPr>
    </w:lvl>
    <w:lvl w:ilvl="8" w:tplc="CD4214DA" w:tentative="1">
      <w:start w:val="1"/>
      <w:numFmt w:val="upperLetter"/>
      <w:lvlText w:val="(%9)"/>
      <w:lvlJc w:val="left"/>
      <w:pPr>
        <w:tabs>
          <w:tab w:val="num" w:pos="6480"/>
        </w:tabs>
        <w:ind w:left="6480" w:hanging="360"/>
      </w:pPr>
    </w:lvl>
  </w:abstractNum>
  <w:abstractNum w:abstractNumId="11">
    <w:nsid w:val="60D802F3"/>
    <w:multiLevelType w:val="hybridMultilevel"/>
    <w:tmpl w:val="A14ED0E8"/>
    <w:lvl w:ilvl="0" w:tplc="FC60AA9C">
      <w:start w:val="1"/>
      <w:numFmt w:val="upperLetter"/>
      <w:lvlText w:val="%1)"/>
      <w:lvlJc w:val="left"/>
      <w:pPr>
        <w:tabs>
          <w:tab w:val="num" w:pos="720"/>
        </w:tabs>
        <w:ind w:left="720" w:hanging="360"/>
      </w:pPr>
    </w:lvl>
    <w:lvl w:ilvl="1" w:tplc="ADD8EE00" w:tentative="1">
      <w:start w:val="1"/>
      <w:numFmt w:val="upperLetter"/>
      <w:lvlText w:val="%2)"/>
      <w:lvlJc w:val="left"/>
      <w:pPr>
        <w:tabs>
          <w:tab w:val="num" w:pos="1440"/>
        </w:tabs>
        <w:ind w:left="1440" w:hanging="360"/>
      </w:pPr>
    </w:lvl>
    <w:lvl w:ilvl="2" w:tplc="27AA2D0A" w:tentative="1">
      <w:start w:val="1"/>
      <w:numFmt w:val="upperLetter"/>
      <w:lvlText w:val="%3)"/>
      <w:lvlJc w:val="left"/>
      <w:pPr>
        <w:tabs>
          <w:tab w:val="num" w:pos="2160"/>
        </w:tabs>
        <w:ind w:left="2160" w:hanging="360"/>
      </w:pPr>
    </w:lvl>
    <w:lvl w:ilvl="3" w:tplc="2F262BEC" w:tentative="1">
      <w:start w:val="1"/>
      <w:numFmt w:val="upperLetter"/>
      <w:lvlText w:val="%4)"/>
      <w:lvlJc w:val="left"/>
      <w:pPr>
        <w:tabs>
          <w:tab w:val="num" w:pos="2880"/>
        </w:tabs>
        <w:ind w:left="2880" w:hanging="360"/>
      </w:pPr>
    </w:lvl>
    <w:lvl w:ilvl="4" w:tplc="57B421DC" w:tentative="1">
      <w:start w:val="1"/>
      <w:numFmt w:val="upperLetter"/>
      <w:lvlText w:val="%5)"/>
      <w:lvlJc w:val="left"/>
      <w:pPr>
        <w:tabs>
          <w:tab w:val="num" w:pos="3600"/>
        </w:tabs>
        <w:ind w:left="3600" w:hanging="360"/>
      </w:pPr>
    </w:lvl>
    <w:lvl w:ilvl="5" w:tplc="55423CD4" w:tentative="1">
      <w:start w:val="1"/>
      <w:numFmt w:val="upperLetter"/>
      <w:lvlText w:val="%6)"/>
      <w:lvlJc w:val="left"/>
      <w:pPr>
        <w:tabs>
          <w:tab w:val="num" w:pos="4320"/>
        </w:tabs>
        <w:ind w:left="4320" w:hanging="360"/>
      </w:pPr>
    </w:lvl>
    <w:lvl w:ilvl="6" w:tplc="15FCC99A" w:tentative="1">
      <w:start w:val="1"/>
      <w:numFmt w:val="upperLetter"/>
      <w:lvlText w:val="%7)"/>
      <w:lvlJc w:val="left"/>
      <w:pPr>
        <w:tabs>
          <w:tab w:val="num" w:pos="5040"/>
        </w:tabs>
        <w:ind w:left="5040" w:hanging="360"/>
      </w:pPr>
    </w:lvl>
    <w:lvl w:ilvl="7" w:tplc="9C700240" w:tentative="1">
      <w:start w:val="1"/>
      <w:numFmt w:val="upperLetter"/>
      <w:lvlText w:val="%8)"/>
      <w:lvlJc w:val="left"/>
      <w:pPr>
        <w:tabs>
          <w:tab w:val="num" w:pos="5760"/>
        </w:tabs>
        <w:ind w:left="5760" w:hanging="360"/>
      </w:pPr>
    </w:lvl>
    <w:lvl w:ilvl="8" w:tplc="8C02BDFC" w:tentative="1">
      <w:start w:val="1"/>
      <w:numFmt w:val="upperLetter"/>
      <w:lvlText w:val="%9)"/>
      <w:lvlJc w:val="left"/>
      <w:pPr>
        <w:tabs>
          <w:tab w:val="num" w:pos="6480"/>
        </w:tabs>
        <w:ind w:left="6480" w:hanging="360"/>
      </w:pPr>
    </w:lvl>
  </w:abstractNum>
  <w:abstractNum w:abstractNumId="12">
    <w:nsid w:val="654B3352"/>
    <w:multiLevelType w:val="hybridMultilevel"/>
    <w:tmpl w:val="26D88940"/>
    <w:lvl w:ilvl="0" w:tplc="0B6EC71C">
      <w:start w:val="1"/>
      <w:numFmt w:val="upperLetter"/>
      <w:lvlText w:val="(%1)"/>
      <w:lvlJc w:val="left"/>
      <w:pPr>
        <w:ind w:left="780" w:hanging="4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C03E3E"/>
    <w:multiLevelType w:val="multilevel"/>
    <w:tmpl w:val="0A42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5F7643"/>
    <w:multiLevelType w:val="hybridMultilevel"/>
    <w:tmpl w:val="FA007264"/>
    <w:lvl w:ilvl="0" w:tplc="51907F74">
      <w:start w:val="1"/>
      <w:numFmt w:val="lowerLetter"/>
      <w:lvlText w:val="%1"/>
      <w:lvlJc w:val="left"/>
      <w:pPr>
        <w:tabs>
          <w:tab w:val="num" w:pos="720"/>
        </w:tabs>
        <w:ind w:left="720" w:hanging="360"/>
      </w:pPr>
      <w:rPr>
        <w:rFonts w:hint="default"/>
        <w:b/>
      </w:rPr>
    </w:lvl>
    <w:lvl w:ilvl="1" w:tplc="2242BD16" w:tentative="1">
      <w:start w:val="1"/>
      <w:numFmt w:val="upperLetter"/>
      <w:lvlText w:val="%2)"/>
      <w:lvlJc w:val="left"/>
      <w:pPr>
        <w:tabs>
          <w:tab w:val="num" w:pos="1440"/>
        </w:tabs>
        <w:ind w:left="1440" w:hanging="360"/>
      </w:pPr>
    </w:lvl>
    <w:lvl w:ilvl="2" w:tplc="7820D404" w:tentative="1">
      <w:start w:val="1"/>
      <w:numFmt w:val="upperLetter"/>
      <w:lvlText w:val="%3)"/>
      <w:lvlJc w:val="left"/>
      <w:pPr>
        <w:tabs>
          <w:tab w:val="num" w:pos="2160"/>
        </w:tabs>
        <w:ind w:left="2160" w:hanging="360"/>
      </w:pPr>
    </w:lvl>
    <w:lvl w:ilvl="3" w:tplc="2B52610C" w:tentative="1">
      <w:start w:val="1"/>
      <w:numFmt w:val="upperLetter"/>
      <w:lvlText w:val="%4)"/>
      <w:lvlJc w:val="left"/>
      <w:pPr>
        <w:tabs>
          <w:tab w:val="num" w:pos="2880"/>
        </w:tabs>
        <w:ind w:left="2880" w:hanging="360"/>
      </w:pPr>
    </w:lvl>
    <w:lvl w:ilvl="4" w:tplc="A2AAEBE2" w:tentative="1">
      <w:start w:val="1"/>
      <w:numFmt w:val="upperLetter"/>
      <w:lvlText w:val="%5)"/>
      <w:lvlJc w:val="left"/>
      <w:pPr>
        <w:tabs>
          <w:tab w:val="num" w:pos="3600"/>
        </w:tabs>
        <w:ind w:left="3600" w:hanging="360"/>
      </w:pPr>
    </w:lvl>
    <w:lvl w:ilvl="5" w:tplc="E3E8DBF4" w:tentative="1">
      <w:start w:val="1"/>
      <w:numFmt w:val="upperLetter"/>
      <w:lvlText w:val="%6)"/>
      <w:lvlJc w:val="left"/>
      <w:pPr>
        <w:tabs>
          <w:tab w:val="num" w:pos="4320"/>
        </w:tabs>
        <w:ind w:left="4320" w:hanging="360"/>
      </w:pPr>
    </w:lvl>
    <w:lvl w:ilvl="6" w:tplc="C95ED46C" w:tentative="1">
      <w:start w:val="1"/>
      <w:numFmt w:val="upperLetter"/>
      <w:lvlText w:val="%7)"/>
      <w:lvlJc w:val="left"/>
      <w:pPr>
        <w:tabs>
          <w:tab w:val="num" w:pos="5040"/>
        </w:tabs>
        <w:ind w:left="5040" w:hanging="360"/>
      </w:pPr>
    </w:lvl>
    <w:lvl w:ilvl="7" w:tplc="D728D096" w:tentative="1">
      <w:start w:val="1"/>
      <w:numFmt w:val="upperLetter"/>
      <w:lvlText w:val="%8)"/>
      <w:lvlJc w:val="left"/>
      <w:pPr>
        <w:tabs>
          <w:tab w:val="num" w:pos="5760"/>
        </w:tabs>
        <w:ind w:left="5760" w:hanging="360"/>
      </w:pPr>
    </w:lvl>
    <w:lvl w:ilvl="8" w:tplc="8EE6A924" w:tentative="1">
      <w:start w:val="1"/>
      <w:numFmt w:val="upperLetter"/>
      <w:lvlText w:val="%9)"/>
      <w:lvlJc w:val="left"/>
      <w:pPr>
        <w:tabs>
          <w:tab w:val="num" w:pos="6480"/>
        </w:tabs>
        <w:ind w:left="6480" w:hanging="360"/>
      </w:pPr>
    </w:lvl>
  </w:abstractNum>
  <w:num w:numId="1">
    <w:abstractNumId w:val="6"/>
  </w:num>
  <w:num w:numId="2">
    <w:abstractNumId w:val="7"/>
  </w:num>
  <w:num w:numId="3">
    <w:abstractNumId w:val="12"/>
  </w:num>
  <w:num w:numId="4">
    <w:abstractNumId w:val="0"/>
  </w:num>
  <w:num w:numId="5">
    <w:abstractNumId w:val="10"/>
  </w:num>
  <w:num w:numId="6">
    <w:abstractNumId w:val="5"/>
  </w:num>
  <w:num w:numId="7">
    <w:abstractNumId w:val="11"/>
  </w:num>
  <w:num w:numId="8">
    <w:abstractNumId w:val="8"/>
  </w:num>
  <w:num w:numId="9">
    <w:abstractNumId w:val="2"/>
  </w:num>
  <w:num w:numId="10">
    <w:abstractNumId w:val="14"/>
  </w:num>
  <w:num w:numId="11">
    <w:abstractNumId w:val="3"/>
  </w:num>
  <w:num w:numId="12">
    <w:abstractNumId w:val="9"/>
  </w:num>
  <w:num w:numId="13">
    <w:abstractNumId w:val="13"/>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B578E"/>
    <w:rsid w:val="00005B28"/>
    <w:rsid w:val="00020121"/>
    <w:rsid w:val="00031FEE"/>
    <w:rsid w:val="00043D24"/>
    <w:rsid w:val="0005498E"/>
    <w:rsid w:val="00055B2C"/>
    <w:rsid w:val="00080913"/>
    <w:rsid w:val="00091D6A"/>
    <w:rsid w:val="00096F70"/>
    <w:rsid w:val="000A15C3"/>
    <w:rsid w:val="000B528F"/>
    <w:rsid w:val="000C0D3F"/>
    <w:rsid w:val="000C504A"/>
    <w:rsid w:val="000E194F"/>
    <w:rsid w:val="000E33B5"/>
    <w:rsid w:val="000F0D3D"/>
    <w:rsid w:val="0011492F"/>
    <w:rsid w:val="00126C8E"/>
    <w:rsid w:val="001541A5"/>
    <w:rsid w:val="0016302A"/>
    <w:rsid w:val="00167825"/>
    <w:rsid w:val="001773BE"/>
    <w:rsid w:val="001820D3"/>
    <w:rsid w:val="001A21A8"/>
    <w:rsid w:val="001B75D6"/>
    <w:rsid w:val="001C4983"/>
    <w:rsid w:val="001E345A"/>
    <w:rsid w:val="001F225B"/>
    <w:rsid w:val="001F354B"/>
    <w:rsid w:val="0020477F"/>
    <w:rsid w:val="00210FC0"/>
    <w:rsid w:val="00237E82"/>
    <w:rsid w:val="00242D0D"/>
    <w:rsid w:val="00243E25"/>
    <w:rsid w:val="00246A52"/>
    <w:rsid w:val="00271A4F"/>
    <w:rsid w:val="00272CCE"/>
    <w:rsid w:val="00291988"/>
    <w:rsid w:val="002A0201"/>
    <w:rsid w:val="002A503F"/>
    <w:rsid w:val="002D753C"/>
    <w:rsid w:val="002E2E48"/>
    <w:rsid w:val="0031237D"/>
    <w:rsid w:val="003307AA"/>
    <w:rsid w:val="00330818"/>
    <w:rsid w:val="00347C0A"/>
    <w:rsid w:val="00351AEF"/>
    <w:rsid w:val="00362D91"/>
    <w:rsid w:val="003827F4"/>
    <w:rsid w:val="00387263"/>
    <w:rsid w:val="003A03A0"/>
    <w:rsid w:val="003F6E04"/>
    <w:rsid w:val="003F76EE"/>
    <w:rsid w:val="00444E05"/>
    <w:rsid w:val="004663B7"/>
    <w:rsid w:val="004669E4"/>
    <w:rsid w:val="0048303F"/>
    <w:rsid w:val="00483D96"/>
    <w:rsid w:val="00487C51"/>
    <w:rsid w:val="004A081C"/>
    <w:rsid w:val="004A4733"/>
    <w:rsid w:val="004C1CE2"/>
    <w:rsid w:val="0050764B"/>
    <w:rsid w:val="00507A05"/>
    <w:rsid w:val="00510565"/>
    <w:rsid w:val="005545C1"/>
    <w:rsid w:val="00556867"/>
    <w:rsid w:val="005612A9"/>
    <w:rsid w:val="00571A0B"/>
    <w:rsid w:val="00574ED8"/>
    <w:rsid w:val="00583A54"/>
    <w:rsid w:val="00587F58"/>
    <w:rsid w:val="00591FA3"/>
    <w:rsid w:val="005A6279"/>
    <w:rsid w:val="005B2BEB"/>
    <w:rsid w:val="005B4567"/>
    <w:rsid w:val="005C474D"/>
    <w:rsid w:val="00601137"/>
    <w:rsid w:val="006218EC"/>
    <w:rsid w:val="00630A65"/>
    <w:rsid w:val="006327EF"/>
    <w:rsid w:val="00633D4C"/>
    <w:rsid w:val="006364D9"/>
    <w:rsid w:val="00641712"/>
    <w:rsid w:val="00646F03"/>
    <w:rsid w:val="0065364A"/>
    <w:rsid w:val="006637F5"/>
    <w:rsid w:val="006812C8"/>
    <w:rsid w:val="00684E10"/>
    <w:rsid w:val="00697A58"/>
    <w:rsid w:val="006A77B0"/>
    <w:rsid w:val="006A7AF4"/>
    <w:rsid w:val="006B1854"/>
    <w:rsid w:val="006B578E"/>
    <w:rsid w:val="006C5835"/>
    <w:rsid w:val="00717949"/>
    <w:rsid w:val="00726795"/>
    <w:rsid w:val="007352A9"/>
    <w:rsid w:val="00757CEF"/>
    <w:rsid w:val="007636C9"/>
    <w:rsid w:val="00771DCF"/>
    <w:rsid w:val="0077785B"/>
    <w:rsid w:val="00790CC2"/>
    <w:rsid w:val="007B6EC1"/>
    <w:rsid w:val="00840317"/>
    <w:rsid w:val="00843A96"/>
    <w:rsid w:val="0085040E"/>
    <w:rsid w:val="00870FD3"/>
    <w:rsid w:val="008740C1"/>
    <w:rsid w:val="008B4D10"/>
    <w:rsid w:val="008E12C7"/>
    <w:rsid w:val="008F1147"/>
    <w:rsid w:val="00910B6B"/>
    <w:rsid w:val="0091388B"/>
    <w:rsid w:val="00920076"/>
    <w:rsid w:val="00927598"/>
    <w:rsid w:val="00927CF5"/>
    <w:rsid w:val="009626B7"/>
    <w:rsid w:val="009878ED"/>
    <w:rsid w:val="00995561"/>
    <w:rsid w:val="009A6BA9"/>
    <w:rsid w:val="009D0FB1"/>
    <w:rsid w:val="00A0632A"/>
    <w:rsid w:val="00A1711C"/>
    <w:rsid w:val="00A3401A"/>
    <w:rsid w:val="00A427AA"/>
    <w:rsid w:val="00A43922"/>
    <w:rsid w:val="00A46FCC"/>
    <w:rsid w:val="00A61ACC"/>
    <w:rsid w:val="00A61F6F"/>
    <w:rsid w:val="00A81F2E"/>
    <w:rsid w:val="00A9078A"/>
    <w:rsid w:val="00AB70DD"/>
    <w:rsid w:val="00AD3B27"/>
    <w:rsid w:val="00AE170B"/>
    <w:rsid w:val="00AF4B93"/>
    <w:rsid w:val="00B005A4"/>
    <w:rsid w:val="00B10BF0"/>
    <w:rsid w:val="00B34476"/>
    <w:rsid w:val="00B830EE"/>
    <w:rsid w:val="00BE7834"/>
    <w:rsid w:val="00C02E5A"/>
    <w:rsid w:val="00C25A15"/>
    <w:rsid w:val="00C338C3"/>
    <w:rsid w:val="00C40A9D"/>
    <w:rsid w:val="00C44F3C"/>
    <w:rsid w:val="00C72755"/>
    <w:rsid w:val="00C9679C"/>
    <w:rsid w:val="00CC080D"/>
    <w:rsid w:val="00CC11A9"/>
    <w:rsid w:val="00CE0A42"/>
    <w:rsid w:val="00CE7C90"/>
    <w:rsid w:val="00CF2752"/>
    <w:rsid w:val="00D05D58"/>
    <w:rsid w:val="00D3533D"/>
    <w:rsid w:val="00D51CD1"/>
    <w:rsid w:val="00D60848"/>
    <w:rsid w:val="00D62848"/>
    <w:rsid w:val="00D655CC"/>
    <w:rsid w:val="00DC59E4"/>
    <w:rsid w:val="00DD149C"/>
    <w:rsid w:val="00E07BF8"/>
    <w:rsid w:val="00E17935"/>
    <w:rsid w:val="00E2286F"/>
    <w:rsid w:val="00E361AC"/>
    <w:rsid w:val="00E40AA9"/>
    <w:rsid w:val="00E440F4"/>
    <w:rsid w:val="00E77616"/>
    <w:rsid w:val="00EE398C"/>
    <w:rsid w:val="00EE6685"/>
    <w:rsid w:val="00EF682C"/>
    <w:rsid w:val="00F02493"/>
    <w:rsid w:val="00F14EBC"/>
    <w:rsid w:val="00F2679F"/>
    <w:rsid w:val="00F53654"/>
    <w:rsid w:val="00F54ECE"/>
    <w:rsid w:val="00F90361"/>
    <w:rsid w:val="00F92A0E"/>
    <w:rsid w:val="00FA4E16"/>
    <w:rsid w:val="00FA6FEF"/>
    <w:rsid w:val="00FE34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0A4F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78E"/>
    <w:pPr>
      <w:spacing w:after="200" w:line="276" w:lineRule="auto"/>
    </w:pPr>
    <w:rPr>
      <w:sz w:val="22"/>
      <w:szCs w:val="22"/>
    </w:rPr>
  </w:style>
  <w:style w:type="paragraph" w:styleId="Heading3">
    <w:name w:val="heading 3"/>
    <w:basedOn w:val="Normal"/>
    <w:next w:val="Normal"/>
    <w:link w:val="Heading3Char"/>
    <w:uiPriority w:val="9"/>
    <w:semiHidden/>
    <w:unhideWhenUsed/>
    <w:qFormat/>
    <w:rsid w:val="006B57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6B578E"/>
    <w:pPr>
      <w:spacing w:before="100" w:beforeAutospacing="1" w:after="100" w:afterAutospacing="1" w:line="240" w:lineRule="auto"/>
      <w:outlineLvl w:val="3"/>
    </w:pPr>
    <w:rPr>
      <w:rFonts w:ascii="Times" w:hAnsi="Time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6B578E"/>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6B578E"/>
    <w:rPr>
      <w:rFonts w:ascii="Times" w:hAnsi="Times"/>
      <w:b/>
      <w:bCs/>
    </w:rPr>
  </w:style>
  <w:style w:type="table" w:styleId="TableGrid">
    <w:name w:val="Table Grid"/>
    <w:basedOn w:val="TableNormal"/>
    <w:uiPriority w:val="59"/>
    <w:rsid w:val="006B578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578E"/>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6B578E"/>
    <w:rPr>
      <w:color w:val="0563C1" w:themeColor="hyperlink"/>
      <w:u w:val="single"/>
    </w:rPr>
  </w:style>
  <w:style w:type="paragraph" w:styleId="Header">
    <w:name w:val="header"/>
    <w:basedOn w:val="Normal"/>
    <w:link w:val="HeaderChar"/>
    <w:uiPriority w:val="99"/>
    <w:unhideWhenUsed/>
    <w:rsid w:val="006B57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578E"/>
    <w:rPr>
      <w:sz w:val="22"/>
      <w:szCs w:val="22"/>
    </w:rPr>
  </w:style>
  <w:style w:type="paragraph" w:styleId="Footer">
    <w:name w:val="footer"/>
    <w:basedOn w:val="Normal"/>
    <w:link w:val="FooterChar"/>
    <w:uiPriority w:val="99"/>
    <w:unhideWhenUsed/>
    <w:rsid w:val="006B57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578E"/>
    <w:rPr>
      <w:sz w:val="22"/>
      <w:szCs w:val="22"/>
    </w:rPr>
  </w:style>
  <w:style w:type="paragraph" w:customStyle="1" w:styleId="Default">
    <w:name w:val="Default"/>
    <w:rsid w:val="006B578E"/>
    <w:pPr>
      <w:autoSpaceDE w:val="0"/>
      <w:autoSpaceDN w:val="0"/>
      <w:adjustRightInd w:val="0"/>
    </w:pPr>
    <w:rPr>
      <w:rFonts w:ascii="Verdana" w:hAnsi="Verdana" w:cs="Verdana"/>
      <w:color w:val="000000"/>
    </w:rPr>
  </w:style>
  <w:style w:type="character" w:styleId="PlaceholderText">
    <w:name w:val="Placeholder Text"/>
    <w:basedOn w:val="DefaultParagraphFont"/>
    <w:uiPriority w:val="99"/>
    <w:semiHidden/>
    <w:rsid w:val="006B578E"/>
    <w:rPr>
      <w:color w:val="808080"/>
    </w:rPr>
  </w:style>
  <w:style w:type="character" w:customStyle="1" w:styleId="highlight">
    <w:name w:val="highlight"/>
    <w:basedOn w:val="DefaultParagraphFont"/>
    <w:rsid w:val="006B578E"/>
  </w:style>
  <w:style w:type="paragraph" w:styleId="Caption">
    <w:name w:val="caption"/>
    <w:basedOn w:val="Normal"/>
    <w:next w:val="Normal"/>
    <w:uiPriority w:val="35"/>
    <w:unhideWhenUsed/>
    <w:qFormat/>
    <w:rsid w:val="006B578E"/>
    <w:pPr>
      <w:spacing w:line="240" w:lineRule="auto"/>
      <w:jc w:val="both"/>
    </w:pPr>
    <w:rPr>
      <w:rFonts w:ascii="Verdana" w:eastAsia="Calibri" w:hAnsi="Verdana" w:cs="Times New Roman"/>
      <w:b/>
      <w:bCs/>
      <w:szCs w:val="18"/>
    </w:rPr>
  </w:style>
  <w:style w:type="table" w:styleId="LightShading-Accent5">
    <w:name w:val="Light Shading Accent 5"/>
    <w:basedOn w:val="TableNormal"/>
    <w:uiPriority w:val="60"/>
    <w:rsid w:val="006B578E"/>
    <w:rPr>
      <w:color w:val="2E74B5" w:themeColor="accent5" w:themeShade="BF"/>
      <w:sz w:val="22"/>
      <w:szCs w:val="22"/>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MediumGrid3-Accent1">
    <w:name w:val="Medium Grid 3 Accent 1"/>
    <w:basedOn w:val="TableNormal"/>
    <w:uiPriority w:val="69"/>
    <w:rsid w:val="006B578E"/>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ListParagraph">
    <w:name w:val="List Paragraph"/>
    <w:basedOn w:val="Normal"/>
    <w:uiPriority w:val="34"/>
    <w:qFormat/>
    <w:rsid w:val="006B578E"/>
    <w:pPr>
      <w:ind w:left="720"/>
      <w:contextualSpacing/>
    </w:pPr>
  </w:style>
  <w:style w:type="character" w:customStyle="1" w:styleId="property">
    <w:name w:val="property"/>
    <w:basedOn w:val="DefaultParagraphFont"/>
    <w:rsid w:val="006B578E"/>
  </w:style>
  <w:style w:type="paragraph" w:styleId="BalloonText">
    <w:name w:val="Balloon Text"/>
    <w:basedOn w:val="Normal"/>
    <w:link w:val="BalloonTextChar"/>
    <w:uiPriority w:val="99"/>
    <w:semiHidden/>
    <w:unhideWhenUsed/>
    <w:rsid w:val="006B57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78E"/>
    <w:rPr>
      <w:rFonts w:ascii="Tahoma" w:hAnsi="Tahoma" w:cs="Tahoma"/>
      <w:sz w:val="16"/>
      <w:szCs w:val="16"/>
    </w:rPr>
  </w:style>
  <w:style w:type="character" w:styleId="Emphasis">
    <w:name w:val="Emphasis"/>
    <w:basedOn w:val="DefaultParagraphFont"/>
    <w:uiPriority w:val="20"/>
    <w:qFormat/>
    <w:rsid w:val="006B578E"/>
    <w:rPr>
      <w:i/>
      <w:iCs/>
    </w:rPr>
  </w:style>
  <w:style w:type="character" w:styleId="FollowedHyperlink">
    <w:name w:val="FollowedHyperlink"/>
    <w:basedOn w:val="DefaultParagraphFont"/>
    <w:uiPriority w:val="99"/>
    <w:semiHidden/>
    <w:unhideWhenUsed/>
    <w:rsid w:val="006B578E"/>
    <w:rPr>
      <w:color w:val="954F72" w:themeColor="followedHyperlink"/>
      <w:u w:val="single"/>
    </w:rPr>
  </w:style>
  <w:style w:type="paragraph" w:customStyle="1" w:styleId="EndNoteBibliographyTitle">
    <w:name w:val="EndNote Bibliography Title"/>
    <w:basedOn w:val="Normal"/>
    <w:rsid w:val="006B578E"/>
    <w:pPr>
      <w:spacing w:after="0"/>
      <w:jc w:val="center"/>
    </w:pPr>
    <w:rPr>
      <w:rFonts w:ascii="Calibri" w:hAnsi="Calibri" w:cs="Calibri"/>
      <w:lang w:val="en-US"/>
    </w:rPr>
  </w:style>
  <w:style w:type="paragraph" w:customStyle="1" w:styleId="EndNoteBibliography">
    <w:name w:val="EndNote Bibliography"/>
    <w:basedOn w:val="Normal"/>
    <w:link w:val="EndNoteBibliographyCarter"/>
    <w:rsid w:val="006B578E"/>
    <w:pPr>
      <w:spacing w:line="240" w:lineRule="auto"/>
      <w:jc w:val="both"/>
    </w:pPr>
    <w:rPr>
      <w:rFonts w:ascii="Calibri" w:hAnsi="Calibri" w:cs="Calibri"/>
      <w:lang w:val="en-US"/>
    </w:rPr>
  </w:style>
  <w:style w:type="character" w:styleId="CommentReference">
    <w:name w:val="annotation reference"/>
    <w:basedOn w:val="DefaultParagraphFont"/>
    <w:uiPriority w:val="99"/>
    <w:semiHidden/>
    <w:unhideWhenUsed/>
    <w:rsid w:val="006B578E"/>
    <w:rPr>
      <w:sz w:val="16"/>
      <w:szCs w:val="16"/>
    </w:rPr>
  </w:style>
  <w:style w:type="paragraph" w:styleId="CommentText">
    <w:name w:val="annotation text"/>
    <w:basedOn w:val="Normal"/>
    <w:link w:val="CommentTextChar"/>
    <w:uiPriority w:val="99"/>
    <w:unhideWhenUsed/>
    <w:rsid w:val="006B578E"/>
    <w:pPr>
      <w:spacing w:line="240" w:lineRule="auto"/>
    </w:pPr>
    <w:rPr>
      <w:sz w:val="20"/>
      <w:szCs w:val="20"/>
    </w:rPr>
  </w:style>
  <w:style w:type="character" w:customStyle="1" w:styleId="CommentTextChar">
    <w:name w:val="Comment Text Char"/>
    <w:basedOn w:val="DefaultParagraphFont"/>
    <w:link w:val="CommentText"/>
    <w:uiPriority w:val="99"/>
    <w:rsid w:val="006B578E"/>
    <w:rPr>
      <w:sz w:val="20"/>
      <w:szCs w:val="20"/>
    </w:rPr>
  </w:style>
  <w:style w:type="paragraph" w:styleId="CommentSubject">
    <w:name w:val="annotation subject"/>
    <w:basedOn w:val="CommentText"/>
    <w:next w:val="CommentText"/>
    <w:link w:val="CommentSubjectChar"/>
    <w:uiPriority w:val="99"/>
    <w:semiHidden/>
    <w:unhideWhenUsed/>
    <w:rsid w:val="006B578E"/>
    <w:rPr>
      <w:b/>
      <w:bCs/>
    </w:rPr>
  </w:style>
  <w:style w:type="character" w:customStyle="1" w:styleId="CommentSubjectChar">
    <w:name w:val="Comment Subject Char"/>
    <w:basedOn w:val="CommentTextChar"/>
    <w:link w:val="CommentSubject"/>
    <w:uiPriority w:val="99"/>
    <w:semiHidden/>
    <w:rsid w:val="006B578E"/>
    <w:rPr>
      <w:b/>
      <w:bCs/>
      <w:sz w:val="20"/>
      <w:szCs w:val="20"/>
    </w:rPr>
  </w:style>
  <w:style w:type="character" w:customStyle="1" w:styleId="UnresolvedMention1">
    <w:name w:val="Unresolved Mention1"/>
    <w:basedOn w:val="DefaultParagraphFont"/>
    <w:uiPriority w:val="99"/>
    <w:semiHidden/>
    <w:unhideWhenUsed/>
    <w:rsid w:val="006B578E"/>
    <w:rPr>
      <w:color w:val="605E5C"/>
      <w:shd w:val="clear" w:color="auto" w:fill="E1DFDD"/>
    </w:rPr>
  </w:style>
  <w:style w:type="character" w:customStyle="1" w:styleId="EndNoteBibliographyCarter">
    <w:name w:val="EndNote Bibliography Caráter"/>
    <w:basedOn w:val="DefaultParagraphFont"/>
    <w:link w:val="EndNoteBibliography"/>
    <w:rsid w:val="006B578E"/>
    <w:rPr>
      <w:rFonts w:ascii="Calibri" w:hAnsi="Calibri" w:cs="Calibri"/>
      <w:sz w:val="22"/>
      <w:szCs w:val="22"/>
      <w:lang w:val="en-US"/>
    </w:rPr>
  </w:style>
  <w:style w:type="character" w:customStyle="1" w:styleId="figpopup-sensitive-area">
    <w:name w:val="figpopup-sensitive-area"/>
    <w:basedOn w:val="DefaultParagraphFont"/>
    <w:rsid w:val="006B578E"/>
  </w:style>
  <w:style w:type="character" w:customStyle="1" w:styleId="UnresolvedMention2">
    <w:name w:val="Unresolved Mention2"/>
    <w:basedOn w:val="DefaultParagraphFont"/>
    <w:uiPriority w:val="99"/>
    <w:unhideWhenUsed/>
    <w:rsid w:val="006B578E"/>
    <w:rPr>
      <w:color w:val="605E5C"/>
      <w:shd w:val="clear" w:color="auto" w:fill="E1DFDD"/>
    </w:rPr>
  </w:style>
  <w:style w:type="character" w:customStyle="1" w:styleId="UnresolvedMention3">
    <w:name w:val="Unresolved Mention3"/>
    <w:basedOn w:val="DefaultParagraphFont"/>
    <w:uiPriority w:val="99"/>
    <w:unhideWhenUsed/>
    <w:rsid w:val="006B578E"/>
    <w:rPr>
      <w:color w:val="605E5C"/>
      <w:shd w:val="clear" w:color="auto" w:fill="E1DFDD"/>
    </w:rPr>
  </w:style>
  <w:style w:type="character" w:styleId="LineNumber">
    <w:name w:val="line number"/>
    <w:basedOn w:val="DefaultParagraphFont"/>
    <w:uiPriority w:val="99"/>
    <w:semiHidden/>
    <w:unhideWhenUsed/>
    <w:rsid w:val="00272C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78E"/>
    <w:pPr>
      <w:spacing w:after="200" w:line="276" w:lineRule="auto"/>
    </w:pPr>
    <w:rPr>
      <w:sz w:val="22"/>
      <w:szCs w:val="22"/>
    </w:rPr>
  </w:style>
  <w:style w:type="paragraph" w:styleId="Heading3">
    <w:name w:val="heading 3"/>
    <w:basedOn w:val="Normal"/>
    <w:next w:val="Normal"/>
    <w:link w:val="Heading3Char"/>
    <w:uiPriority w:val="9"/>
    <w:semiHidden/>
    <w:unhideWhenUsed/>
    <w:qFormat/>
    <w:rsid w:val="006B57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6B578E"/>
    <w:pPr>
      <w:spacing w:before="100" w:beforeAutospacing="1" w:after="100" w:afterAutospacing="1" w:line="240" w:lineRule="auto"/>
      <w:outlineLvl w:val="3"/>
    </w:pPr>
    <w:rPr>
      <w:rFonts w:ascii="Times" w:hAnsi="Time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6B578E"/>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6B578E"/>
    <w:rPr>
      <w:rFonts w:ascii="Times" w:hAnsi="Times"/>
      <w:b/>
      <w:bCs/>
    </w:rPr>
  </w:style>
  <w:style w:type="table" w:styleId="TableGrid">
    <w:name w:val="Table Grid"/>
    <w:basedOn w:val="TableNormal"/>
    <w:uiPriority w:val="59"/>
    <w:rsid w:val="006B578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578E"/>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6B578E"/>
    <w:rPr>
      <w:color w:val="0563C1" w:themeColor="hyperlink"/>
      <w:u w:val="single"/>
    </w:rPr>
  </w:style>
  <w:style w:type="paragraph" w:styleId="Header">
    <w:name w:val="header"/>
    <w:basedOn w:val="Normal"/>
    <w:link w:val="HeaderChar"/>
    <w:uiPriority w:val="99"/>
    <w:unhideWhenUsed/>
    <w:rsid w:val="006B57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578E"/>
    <w:rPr>
      <w:sz w:val="22"/>
      <w:szCs w:val="22"/>
    </w:rPr>
  </w:style>
  <w:style w:type="paragraph" w:styleId="Footer">
    <w:name w:val="footer"/>
    <w:basedOn w:val="Normal"/>
    <w:link w:val="FooterChar"/>
    <w:uiPriority w:val="99"/>
    <w:unhideWhenUsed/>
    <w:rsid w:val="006B57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578E"/>
    <w:rPr>
      <w:sz w:val="22"/>
      <w:szCs w:val="22"/>
    </w:rPr>
  </w:style>
  <w:style w:type="paragraph" w:customStyle="1" w:styleId="Default">
    <w:name w:val="Default"/>
    <w:rsid w:val="006B578E"/>
    <w:pPr>
      <w:autoSpaceDE w:val="0"/>
      <w:autoSpaceDN w:val="0"/>
      <w:adjustRightInd w:val="0"/>
    </w:pPr>
    <w:rPr>
      <w:rFonts w:ascii="Verdana" w:hAnsi="Verdana" w:cs="Verdana"/>
      <w:color w:val="000000"/>
    </w:rPr>
  </w:style>
  <w:style w:type="character" w:styleId="PlaceholderText">
    <w:name w:val="Placeholder Text"/>
    <w:basedOn w:val="DefaultParagraphFont"/>
    <w:uiPriority w:val="99"/>
    <w:semiHidden/>
    <w:rsid w:val="006B578E"/>
    <w:rPr>
      <w:color w:val="808080"/>
    </w:rPr>
  </w:style>
  <w:style w:type="character" w:customStyle="1" w:styleId="highlight">
    <w:name w:val="highlight"/>
    <w:basedOn w:val="DefaultParagraphFont"/>
    <w:rsid w:val="006B578E"/>
  </w:style>
  <w:style w:type="paragraph" w:styleId="Caption">
    <w:name w:val="caption"/>
    <w:basedOn w:val="Normal"/>
    <w:next w:val="Normal"/>
    <w:uiPriority w:val="35"/>
    <w:unhideWhenUsed/>
    <w:qFormat/>
    <w:rsid w:val="006B578E"/>
    <w:pPr>
      <w:spacing w:line="240" w:lineRule="auto"/>
      <w:jc w:val="both"/>
    </w:pPr>
    <w:rPr>
      <w:rFonts w:ascii="Verdana" w:eastAsia="Calibri" w:hAnsi="Verdana" w:cs="Times New Roman"/>
      <w:b/>
      <w:bCs/>
      <w:szCs w:val="18"/>
    </w:rPr>
  </w:style>
  <w:style w:type="table" w:styleId="LightShading-Accent5">
    <w:name w:val="Light Shading Accent 5"/>
    <w:basedOn w:val="TableNormal"/>
    <w:uiPriority w:val="60"/>
    <w:rsid w:val="006B578E"/>
    <w:rPr>
      <w:color w:val="2E74B5" w:themeColor="accent5" w:themeShade="BF"/>
      <w:sz w:val="22"/>
      <w:szCs w:val="22"/>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MediumGrid3-Accent1">
    <w:name w:val="Medium Grid 3 Accent 1"/>
    <w:basedOn w:val="TableNormal"/>
    <w:uiPriority w:val="69"/>
    <w:rsid w:val="006B578E"/>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ListParagraph">
    <w:name w:val="List Paragraph"/>
    <w:basedOn w:val="Normal"/>
    <w:uiPriority w:val="34"/>
    <w:qFormat/>
    <w:rsid w:val="006B578E"/>
    <w:pPr>
      <w:ind w:left="720"/>
      <w:contextualSpacing/>
    </w:pPr>
  </w:style>
  <w:style w:type="character" w:customStyle="1" w:styleId="property">
    <w:name w:val="property"/>
    <w:basedOn w:val="DefaultParagraphFont"/>
    <w:rsid w:val="006B578E"/>
  </w:style>
  <w:style w:type="paragraph" w:styleId="BalloonText">
    <w:name w:val="Balloon Text"/>
    <w:basedOn w:val="Normal"/>
    <w:link w:val="BalloonTextChar"/>
    <w:uiPriority w:val="99"/>
    <w:semiHidden/>
    <w:unhideWhenUsed/>
    <w:rsid w:val="006B57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78E"/>
    <w:rPr>
      <w:rFonts w:ascii="Tahoma" w:hAnsi="Tahoma" w:cs="Tahoma"/>
      <w:sz w:val="16"/>
      <w:szCs w:val="16"/>
    </w:rPr>
  </w:style>
  <w:style w:type="character" w:styleId="Emphasis">
    <w:name w:val="Emphasis"/>
    <w:basedOn w:val="DefaultParagraphFont"/>
    <w:uiPriority w:val="20"/>
    <w:qFormat/>
    <w:rsid w:val="006B578E"/>
    <w:rPr>
      <w:i/>
      <w:iCs/>
    </w:rPr>
  </w:style>
  <w:style w:type="character" w:styleId="FollowedHyperlink">
    <w:name w:val="FollowedHyperlink"/>
    <w:basedOn w:val="DefaultParagraphFont"/>
    <w:uiPriority w:val="99"/>
    <w:semiHidden/>
    <w:unhideWhenUsed/>
    <w:rsid w:val="006B578E"/>
    <w:rPr>
      <w:color w:val="954F72" w:themeColor="followedHyperlink"/>
      <w:u w:val="single"/>
    </w:rPr>
  </w:style>
  <w:style w:type="paragraph" w:customStyle="1" w:styleId="EndNoteBibliographyTitle">
    <w:name w:val="EndNote Bibliography Title"/>
    <w:basedOn w:val="Normal"/>
    <w:rsid w:val="006B578E"/>
    <w:pPr>
      <w:spacing w:after="0"/>
      <w:jc w:val="center"/>
    </w:pPr>
    <w:rPr>
      <w:rFonts w:ascii="Calibri" w:hAnsi="Calibri" w:cs="Calibri"/>
      <w:lang w:val="en-US"/>
    </w:rPr>
  </w:style>
  <w:style w:type="paragraph" w:customStyle="1" w:styleId="EndNoteBibliography">
    <w:name w:val="EndNote Bibliography"/>
    <w:basedOn w:val="Normal"/>
    <w:link w:val="EndNoteBibliographyCarter"/>
    <w:rsid w:val="006B578E"/>
    <w:pPr>
      <w:spacing w:line="240" w:lineRule="auto"/>
      <w:jc w:val="both"/>
    </w:pPr>
    <w:rPr>
      <w:rFonts w:ascii="Calibri" w:hAnsi="Calibri" w:cs="Calibri"/>
      <w:lang w:val="en-US"/>
    </w:rPr>
  </w:style>
  <w:style w:type="character" w:styleId="CommentReference">
    <w:name w:val="annotation reference"/>
    <w:basedOn w:val="DefaultParagraphFont"/>
    <w:uiPriority w:val="99"/>
    <w:semiHidden/>
    <w:unhideWhenUsed/>
    <w:rsid w:val="006B578E"/>
    <w:rPr>
      <w:sz w:val="16"/>
      <w:szCs w:val="16"/>
    </w:rPr>
  </w:style>
  <w:style w:type="paragraph" w:styleId="CommentText">
    <w:name w:val="annotation text"/>
    <w:basedOn w:val="Normal"/>
    <w:link w:val="CommentTextChar"/>
    <w:uiPriority w:val="99"/>
    <w:unhideWhenUsed/>
    <w:rsid w:val="006B578E"/>
    <w:pPr>
      <w:spacing w:line="240" w:lineRule="auto"/>
    </w:pPr>
    <w:rPr>
      <w:sz w:val="20"/>
      <w:szCs w:val="20"/>
    </w:rPr>
  </w:style>
  <w:style w:type="character" w:customStyle="1" w:styleId="CommentTextChar">
    <w:name w:val="Comment Text Char"/>
    <w:basedOn w:val="DefaultParagraphFont"/>
    <w:link w:val="CommentText"/>
    <w:uiPriority w:val="99"/>
    <w:rsid w:val="006B578E"/>
    <w:rPr>
      <w:sz w:val="20"/>
      <w:szCs w:val="20"/>
    </w:rPr>
  </w:style>
  <w:style w:type="paragraph" w:styleId="CommentSubject">
    <w:name w:val="annotation subject"/>
    <w:basedOn w:val="CommentText"/>
    <w:next w:val="CommentText"/>
    <w:link w:val="CommentSubjectChar"/>
    <w:uiPriority w:val="99"/>
    <w:semiHidden/>
    <w:unhideWhenUsed/>
    <w:rsid w:val="006B578E"/>
    <w:rPr>
      <w:b/>
      <w:bCs/>
    </w:rPr>
  </w:style>
  <w:style w:type="character" w:customStyle="1" w:styleId="CommentSubjectChar">
    <w:name w:val="Comment Subject Char"/>
    <w:basedOn w:val="CommentTextChar"/>
    <w:link w:val="CommentSubject"/>
    <w:uiPriority w:val="99"/>
    <w:semiHidden/>
    <w:rsid w:val="006B578E"/>
    <w:rPr>
      <w:b/>
      <w:bCs/>
      <w:sz w:val="20"/>
      <w:szCs w:val="20"/>
    </w:rPr>
  </w:style>
  <w:style w:type="character" w:customStyle="1" w:styleId="UnresolvedMention1">
    <w:name w:val="Unresolved Mention1"/>
    <w:basedOn w:val="DefaultParagraphFont"/>
    <w:uiPriority w:val="99"/>
    <w:semiHidden/>
    <w:unhideWhenUsed/>
    <w:rsid w:val="006B578E"/>
    <w:rPr>
      <w:color w:val="605E5C"/>
      <w:shd w:val="clear" w:color="auto" w:fill="E1DFDD"/>
    </w:rPr>
  </w:style>
  <w:style w:type="character" w:customStyle="1" w:styleId="EndNoteBibliographyCarter">
    <w:name w:val="EndNote Bibliography Caráter"/>
    <w:basedOn w:val="DefaultParagraphFont"/>
    <w:link w:val="EndNoteBibliography"/>
    <w:rsid w:val="006B578E"/>
    <w:rPr>
      <w:rFonts w:ascii="Calibri" w:hAnsi="Calibri" w:cs="Calibri"/>
      <w:sz w:val="22"/>
      <w:szCs w:val="22"/>
      <w:lang w:val="en-US"/>
    </w:rPr>
  </w:style>
  <w:style w:type="character" w:customStyle="1" w:styleId="figpopup-sensitive-area">
    <w:name w:val="figpopup-sensitive-area"/>
    <w:basedOn w:val="DefaultParagraphFont"/>
    <w:rsid w:val="006B578E"/>
  </w:style>
  <w:style w:type="character" w:customStyle="1" w:styleId="UnresolvedMention2">
    <w:name w:val="Unresolved Mention2"/>
    <w:basedOn w:val="DefaultParagraphFont"/>
    <w:uiPriority w:val="99"/>
    <w:unhideWhenUsed/>
    <w:rsid w:val="006B578E"/>
    <w:rPr>
      <w:color w:val="605E5C"/>
      <w:shd w:val="clear" w:color="auto" w:fill="E1DFDD"/>
    </w:rPr>
  </w:style>
  <w:style w:type="character" w:customStyle="1" w:styleId="UnresolvedMention3">
    <w:name w:val="Unresolved Mention3"/>
    <w:basedOn w:val="DefaultParagraphFont"/>
    <w:uiPriority w:val="99"/>
    <w:unhideWhenUsed/>
    <w:rsid w:val="006B578E"/>
    <w:rPr>
      <w:color w:val="605E5C"/>
      <w:shd w:val="clear" w:color="auto" w:fill="E1DFDD"/>
    </w:rPr>
  </w:style>
  <w:style w:type="character" w:styleId="LineNumber">
    <w:name w:val="line number"/>
    <w:basedOn w:val="DefaultParagraphFont"/>
    <w:uiPriority w:val="99"/>
    <w:semiHidden/>
    <w:unhideWhenUsed/>
    <w:rsid w:val="00272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397425">
      <w:bodyDiv w:val="1"/>
      <w:marLeft w:val="0"/>
      <w:marRight w:val="0"/>
      <w:marTop w:val="0"/>
      <w:marBottom w:val="0"/>
      <w:divBdr>
        <w:top w:val="none" w:sz="0" w:space="0" w:color="auto"/>
        <w:left w:val="none" w:sz="0" w:space="0" w:color="auto"/>
        <w:bottom w:val="none" w:sz="0" w:space="0" w:color="auto"/>
        <w:right w:val="none" w:sz="0" w:space="0" w:color="auto"/>
      </w:divBdr>
    </w:div>
    <w:div w:id="200042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024B1-3116-4C3C-A24A-C438DCD4D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Paterson Institute for Cancer Research</Company>
  <LinksUpToDate>false</LinksUpToDate>
  <CharactersWithSpaces>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Bruno Simoes</cp:lastModifiedBy>
  <cp:revision>6</cp:revision>
  <cp:lastPrinted>2020-02-17T14:52:00Z</cp:lastPrinted>
  <dcterms:created xsi:type="dcterms:W3CDTF">2020-02-20T16:34:00Z</dcterms:created>
  <dcterms:modified xsi:type="dcterms:W3CDTF">2020-02-21T15:29:00Z</dcterms:modified>
</cp:coreProperties>
</file>