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75E2C" w14:textId="469AFBCD" w:rsidR="002748A6" w:rsidRDefault="006566B1" w:rsidP="00A640AA">
      <w:pPr>
        <w:spacing w:line="480" w:lineRule="auto"/>
        <w:rPr>
          <w:rFonts w:ascii="Arial" w:eastAsia="Times New Roman" w:hAnsi="Arial" w:cs="Arial"/>
          <w:b/>
          <w:color w:val="0070C0"/>
        </w:rPr>
      </w:pPr>
      <w:r>
        <w:rPr>
          <w:rFonts w:ascii="Arial" w:eastAsia="Times New Roman" w:hAnsi="Arial" w:cs="Arial"/>
          <w:b/>
          <w:color w:val="0070C0"/>
        </w:rPr>
        <w:t xml:space="preserve">SUPPLEMENTARY </w:t>
      </w:r>
      <w:r w:rsidRPr="006566B1">
        <w:rPr>
          <w:rFonts w:ascii="Arial" w:eastAsia="Times New Roman" w:hAnsi="Arial" w:cs="Arial"/>
          <w:b/>
          <w:color w:val="0070C0"/>
        </w:rPr>
        <w:t>MATERIALS AND METHODS</w:t>
      </w:r>
    </w:p>
    <w:p w14:paraId="1362F379" w14:textId="77777777" w:rsidR="00B9662E" w:rsidRPr="001F60C7" w:rsidRDefault="00B9662E" w:rsidP="00A640AA">
      <w:pPr>
        <w:spacing w:line="480" w:lineRule="auto"/>
        <w:jc w:val="both"/>
        <w:rPr>
          <w:rFonts w:ascii="Arial" w:eastAsia="Times New Roman" w:hAnsi="Arial" w:cs="Arial"/>
          <w:bCs/>
          <w:color w:val="0070C0"/>
          <w:sz w:val="16"/>
          <w:szCs w:val="16"/>
        </w:rPr>
      </w:pPr>
    </w:p>
    <w:p w14:paraId="463199F0" w14:textId="633C179E" w:rsidR="00A640AA" w:rsidRPr="00BC18D3" w:rsidRDefault="00A640AA" w:rsidP="00A640AA">
      <w:pPr>
        <w:spacing w:line="480" w:lineRule="auto"/>
        <w:jc w:val="both"/>
        <w:rPr>
          <w:rFonts w:ascii="Arial" w:eastAsia="Times New Roman" w:hAnsi="Arial" w:cs="Arial"/>
          <w:bCs/>
          <w:color w:val="0070C0"/>
        </w:rPr>
      </w:pPr>
      <w:r>
        <w:rPr>
          <w:rFonts w:ascii="Arial" w:eastAsia="Times New Roman" w:hAnsi="Arial" w:cs="Arial"/>
          <w:bCs/>
          <w:color w:val="0070C0"/>
        </w:rPr>
        <w:t>Cell lines and reagents</w:t>
      </w:r>
    </w:p>
    <w:p w14:paraId="7FAEC220" w14:textId="35FFD27F" w:rsidR="00501213" w:rsidRPr="00BF39FB" w:rsidRDefault="00A640AA" w:rsidP="00501213">
      <w:pPr>
        <w:spacing w:line="480" w:lineRule="auto"/>
        <w:jc w:val="both"/>
        <w:rPr>
          <w:rFonts w:ascii="Arial" w:eastAsia="Times New Roman" w:hAnsi="Arial" w:cs="Arial"/>
          <w:kern w:val="24"/>
          <w:lang w:eastAsia="en-GB"/>
        </w:rPr>
      </w:pPr>
      <w:r w:rsidRPr="00BF39FB">
        <w:rPr>
          <w:rFonts w:ascii="Arial" w:eastAsia="Times New Roman" w:hAnsi="Arial" w:cs="Arial"/>
        </w:rPr>
        <w:t xml:space="preserve">MCF7, T47D and ZR-75-1 cell lines were </w:t>
      </w:r>
      <w:r w:rsidR="000E5DCD" w:rsidRPr="00BF39FB">
        <w:rPr>
          <w:rFonts w:ascii="Arial" w:eastAsia="Times New Roman" w:hAnsi="Arial" w:cs="Arial"/>
        </w:rPr>
        <w:t xml:space="preserve">obtained through the American Tissue Culture Collection (ATCC) and </w:t>
      </w:r>
      <w:r w:rsidR="00501213" w:rsidRPr="00BF39FB">
        <w:rPr>
          <w:rFonts w:ascii="Arial" w:eastAsia="Times New Roman" w:hAnsi="Arial" w:cs="Arial"/>
        </w:rPr>
        <w:t xml:space="preserve">cultured in Dulbecco’s Modified Eagle’s Medium/Nutrient Mixture F-12 Ham (DMEM/F12) with </w:t>
      </w:r>
      <w:proofErr w:type="spellStart"/>
      <w:r w:rsidR="00501213" w:rsidRPr="00BF39FB">
        <w:rPr>
          <w:rFonts w:ascii="Arial" w:eastAsia="Times New Roman" w:hAnsi="Arial" w:cs="Arial"/>
        </w:rPr>
        <w:t>GlutaMAX</w:t>
      </w:r>
      <w:proofErr w:type="spellEnd"/>
      <w:r w:rsidR="00501213" w:rsidRPr="00BF39FB">
        <w:rPr>
          <w:rFonts w:ascii="Arial" w:eastAsia="Times New Roman" w:hAnsi="Arial" w:cs="Arial"/>
        </w:rPr>
        <w:t xml:space="preserve"> (Gibco) containing 10% foetal bovine serum (Gibco). </w:t>
      </w:r>
      <w:r w:rsidR="00FE1F8C" w:rsidRPr="00BF39FB">
        <w:rPr>
          <w:rFonts w:ascii="Arial" w:eastAsia="Times New Roman" w:hAnsi="Arial" w:cs="Arial"/>
        </w:rPr>
        <w:t>Cell</w:t>
      </w:r>
      <w:r w:rsidR="00A05808" w:rsidRPr="00BF39FB">
        <w:rPr>
          <w:rFonts w:ascii="Arial" w:eastAsia="Times New Roman" w:hAnsi="Arial" w:cs="Arial"/>
        </w:rPr>
        <w:t xml:space="preserve"> lines</w:t>
      </w:r>
      <w:r w:rsidR="00FE1F8C" w:rsidRPr="00BF39FB">
        <w:rPr>
          <w:rFonts w:ascii="Arial" w:eastAsia="Times New Roman" w:hAnsi="Arial" w:cs="Arial"/>
        </w:rPr>
        <w:t xml:space="preserve"> </w:t>
      </w:r>
      <w:r w:rsidR="00F64BF6" w:rsidRPr="00BF39FB">
        <w:rPr>
          <w:rFonts w:ascii="Arial" w:eastAsia="Times New Roman" w:hAnsi="Arial" w:cs="Arial"/>
        </w:rPr>
        <w:t xml:space="preserve">are routinely authenticated </w:t>
      </w:r>
      <w:r w:rsidR="00A05808" w:rsidRPr="00BF39FB">
        <w:rPr>
          <w:rFonts w:ascii="Arial" w:eastAsia="Times New Roman" w:hAnsi="Arial" w:cs="Arial"/>
        </w:rPr>
        <w:t>(</w:t>
      </w:r>
      <w:proofErr w:type="spellStart"/>
      <w:r w:rsidR="00A05808" w:rsidRPr="00BF39FB">
        <w:rPr>
          <w:rFonts w:ascii="Arial" w:eastAsia="Times New Roman" w:hAnsi="Arial" w:cs="Arial"/>
        </w:rPr>
        <w:t>PowerPlex</w:t>
      </w:r>
      <w:proofErr w:type="spellEnd"/>
      <w:r w:rsidR="00A05808" w:rsidRPr="00BF39FB">
        <w:rPr>
          <w:rFonts w:ascii="Arial" w:eastAsia="Times New Roman" w:hAnsi="Arial" w:cs="Arial"/>
        </w:rPr>
        <w:t xml:space="preserve"> 21 </w:t>
      </w:r>
      <w:r w:rsidR="00CB4CF2" w:rsidRPr="00BF39FB">
        <w:rPr>
          <w:rFonts w:ascii="Arial" w:eastAsia="Times New Roman" w:hAnsi="Arial" w:cs="Arial"/>
        </w:rPr>
        <w:t>K</w:t>
      </w:r>
      <w:r w:rsidR="00A05808" w:rsidRPr="00BF39FB">
        <w:rPr>
          <w:rFonts w:ascii="Arial" w:eastAsia="Times New Roman" w:hAnsi="Arial" w:cs="Arial"/>
        </w:rPr>
        <w:t>it</w:t>
      </w:r>
      <w:r w:rsidR="00D716B9" w:rsidRPr="00BF39FB">
        <w:rPr>
          <w:rFonts w:ascii="Arial" w:eastAsia="Times New Roman" w:hAnsi="Arial" w:cs="Arial"/>
        </w:rPr>
        <w:t xml:space="preserve"> for STR profiling</w:t>
      </w:r>
      <w:r w:rsidR="00A05808" w:rsidRPr="00BF39FB">
        <w:rPr>
          <w:rFonts w:ascii="Arial" w:eastAsia="Times New Roman" w:hAnsi="Arial" w:cs="Arial"/>
        </w:rPr>
        <w:t xml:space="preserve">, Promega) </w:t>
      </w:r>
      <w:r w:rsidR="00F64BF6" w:rsidRPr="00BF39FB">
        <w:rPr>
          <w:rFonts w:ascii="Arial" w:eastAsia="Times New Roman" w:hAnsi="Arial" w:cs="Arial"/>
        </w:rPr>
        <w:t xml:space="preserve">and </w:t>
      </w:r>
      <w:r w:rsidR="00A05808" w:rsidRPr="00BF39FB">
        <w:rPr>
          <w:rFonts w:ascii="Arial" w:eastAsia="Times New Roman" w:hAnsi="Arial" w:cs="Arial"/>
        </w:rPr>
        <w:t xml:space="preserve">monthly </w:t>
      </w:r>
      <w:r w:rsidR="00F64BF6" w:rsidRPr="00BF39FB">
        <w:rPr>
          <w:rFonts w:ascii="Arial" w:eastAsia="Times New Roman" w:hAnsi="Arial" w:cs="Arial"/>
        </w:rPr>
        <w:t xml:space="preserve">screened for mycoplasma </w:t>
      </w:r>
      <w:r w:rsidR="00A05808" w:rsidRPr="00BF39FB">
        <w:rPr>
          <w:rFonts w:ascii="Arial" w:eastAsia="Times New Roman" w:hAnsi="Arial" w:cs="Arial"/>
        </w:rPr>
        <w:t>(</w:t>
      </w:r>
      <w:proofErr w:type="spellStart"/>
      <w:r w:rsidR="00367558" w:rsidRPr="00BF39FB">
        <w:rPr>
          <w:rFonts w:ascii="Arial" w:eastAsia="Times New Roman" w:hAnsi="Arial" w:cs="Arial"/>
        </w:rPr>
        <w:t>Venor®GeM-qEP</w:t>
      </w:r>
      <w:proofErr w:type="spellEnd"/>
      <w:r w:rsidR="00367558" w:rsidRPr="00BF39FB">
        <w:rPr>
          <w:rFonts w:ascii="Arial" w:eastAsia="Times New Roman" w:hAnsi="Arial" w:cs="Arial"/>
        </w:rPr>
        <w:t xml:space="preserve"> Mycoplasma Detection Kit</w:t>
      </w:r>
      <w:r w:rsidR="00925996" w:rsidRPr="00BF39FB">
        <w:rPr>
          <w:rFonts w:ascii="Arial" w:eastAsia="Times New Roman" w:hAnsi="Arial" w:cs="Arial"/>
        </w:rPr>
        <w:t xml:space="preserve">, </w:t>
      </w:r>
      <w:proofErr w:type="spellStart"/>
      <w:r w:rsidR="00925996" w:rsidRPr="00BF39FB">
        <w:rPr>
          <w:rFonts w:ascii="Arial" w:eastAsia="Times New Roman" w:hAnsi="Arial" w:cs="Arial"/>
        </w:rPr>
        <w:t>CamBio</w:t>
      </w:r>
      <w:proofErr w:type="spellEnd"/>
      <w:r w:rsidR="00367558" w:rsidRPr="00BF39FB">
        <w:rPr>
          <w:rFonts w:ascii="Arial" w:eastAsia="Times New Roman" w:hAnsi="Arial" w:cs="Arial"/>
        </w:rPr>
        <w:t xml:space="preserve">) </w:t>
      </w:r>
      <w:r w:rsidR="00F64BF6" w:rsidRPr="00BF39FB">
        <w:rPr>
          <w:rFonts w:ascii="Arial" w:eastAsia="Times New Roman" w:hAnsi="Arial" w:cs="Arial"/>
        </w:rPr>
        <w:t xml:space="preserve">at Molecular Biology Core Facility at the Cancer Research UK-Manchester Institute. </w:t>
      </w:r>
      <w:r w:rsidR="00443D3D" w:rsidRPr="00BF39FB">
        <w:rPr>
          <w:rFonts w:ascii="Arial" w:eastAsia="Times New Roman" w:hAnsi="Arial" w:cs="Arial"/>
        </w:rPr>
        <w:t>All</w:t>
      </w:r>
      <w:r w:rsidR="000E14C7" w:rsidRPr="00BF39FB">
        <w:rPr>
          <w:rFonts w:ascii="Arial" w:eastAsia="Times New Roman" w:hAnsi="Arial" w:cs="Arial"/>
        </w:rPr>
        <w:t xml:space="preserve"> tests performed</w:t>
      </w:r>
      <w:r w:rsidR="00443D3D" w:rsidRPr="00BF39FB">
        <w:rPr>
          <w:rFonts w:ascii="Arial" w:eastAsia="Times New Roman" w:hAnsi="Arial" w:cs="Arial"/>
        </w:rPr>
        <w:t xml:space="preserve"> were negative for mycoplasma contamination. </w:t>
      </w:r>
      <w:r w:rsidR="00501213" w:rsidRPr="00BF39FB">
        <w:rPr>
          <w:rFonts w:ascii="Arial" w:eastAsia="Times New Roman" w:hAnsi="Arial" w:cs="Arial"/>
        </w:rPr>
        <w:t>Cells were pre-treated in adherence for 3 days with either ethanol (control), 1</w:t>
      </w:r>
      <w:r w:rsidR="00501213" w:rsidRPr="00BF39FB">
        <w:rPr>
          <w:rFonts w:ascii="Arial" w:eastAsia="Times New Roman" w:hAnsi="Arial" w:cs="Arial"/>
          <w:kern w:val="24"/>
          <w:lang w:eastAsia="en-GB"/>
        </w:rPr>
        <w:t>μ</w:t>
      </w:r>
      <w:r w:rsidR="00501213" w:rsidRPr="00BF39FB">
        <w:rPr>
          <w:rFonts w:ascii="Arial" w:eastAsia="Times New Roman" w:hAnsi="Arial" w:cs="Arial"/>
        </w:rPr>
        <w:t>M 4-OH-tamoxifen (Sigma-Aldrich) or 0.1</w:t>
      </w:r>
      <w:r w:rsidR="00501213" w:rsidRPr="00BF39FB">
        <w:rPr>
          <w:rFonts w:ascii="Arial" w:eastAsia="Times New Roman" w:hAnsi="Arial" w:cs="Arial"/>
          <w:kern w:val="24"/>
          <w:lang w:eastAsia="en-GB"/>
        </w:rPr>
        <w:t>μ</w:t>
      </w:r>
      <w:r w:rsidR="00501213" w:rsidRPr="00BF39FB">
        <w:rPr>
          <w:rFonts w:ascii="Arial" w:eastAsia="Times New Roman" w:hAnsi="Arial" w:cs="Arial"/>
        </w:rPr>
        <w:t xml:space="preserve">M </w:t>
      </w:r>
      <w:proofErr w:type="spellStart"/>
      <w:r w:rsidR="00501213" w:rsidRPr="00BF39FB">
        <w:rPr>
          <w:rFonts w:ascii="Arial" w:eastAsia="Times New Roman" w:hAnsi="Arial" w:cs="Arial"/>
        </w:rPr>
        <w:t>fulvestrant</w:t>
      </w:r>
      <w:proofErr w:type="spellEnd"/>
      <w:r w:rsidR="00501213" w:rsidRPr="00BF39FB">
        <w:rPr>
          <w:rFonts w:ascii="Arial" w:eastAsia="Times New Roman" w:hAnsi="Arial" w:cs="Arial"/>
        </w:rPr>
        <w:t xml:space="preserve"> (TOCRIS Bioscience) in the presence of 5</w:t>
      </w:r>
      <w:r w:rsidR="00501213" w:rsidRPr="00BF39FB">
        <w:rPr>
          <w:rFonts w:ascii="Arial" w:eastAsia="Times New Roman" w:hAnsi="Arial" w:cs="Arial"/>
          <w:kern w:val="24"/>
          <w:lang w:eastAsia="en-GB"/>
        </w:rPr>
        <w:t xml:space="preserve">μM SFX-01 (Evgen Pharma) or water (control), respectively. </w:t>
      </w:r>
      <w:r w:rsidR="00151EBA" w:rsidRPr="00BF39FB">
        <w:rPr>
          <w:rFonts w:ascii="Arial" w:eastAsia="Times New Roman" w:hAnsi="Arial" w:cs="Arial"/>
          <w:kern w:val="24"/>
          <w:lang w:eastAsia="en-GB"/>
        </w:rPr>
        <w:t>The molar concentration of SFX-01 is the same as SFN since there is one molecule of SFN per molecule of alpha-cyclodextrin.</w:t>
      </w:r>
    </w:p>
    <w:p w14:paraId="7ADB0F00" w14:textId="77777777" w:rsidR="00B9662E" w:rsidRPr="001F60C7" w:rsidRDefault="00B9662E" w:rsidP="00EF1271">
      <w:pPr>
        <w:spacing w:line="480" w:lineRule="auto"/>
        <w:jc w:val="both"/>
        <w:rPr>
          <w:rFonts w:ascii="Arial" w:eastAsia="Times New Roman" w:hAnsi="Arial" w:cs="Arial"/>
          <w:kern w:val="24"/>
          <w:sz w:val="16"/>
          <w:szCs w:val="16"/>
        </w:rPr>
      </w:pPr>
    </w:p>
    <w:p w14:paraId="67979036" w14:textId="77777777" w:rsidR="00EB27C9" w:rsidRPr="00BC18D3" w:rsidRDefault="00EB27C9" w:rsidP="00EB27C9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eastAsia="Times New Roman" w:hAnsi="Arial" w:cs="Arial"/>
          <w:bCs/>
          <w:color w:val="0070C0"/>
        </w:rPr>
      </w:pPr>
      <w:bookmarkStart w:id="0" w:name="_Hlk30069198"/>
      <w:r w:rsidRPr="00BC18D3">
        <w:rPr>
          <w:rFonts w:ascii="Arial" w:eastAsia="Times New Roman" w:hAnsi="Arial" w:cs="Arial"/>
          <w:bCs/>
          <w:color w:val="0070C0"/>
        </w:rPr>
        <w:t xml:space="preserve">Western blot </w:t>
      </w:r>
    </w:p>
    <w:p w14:paraId="3C844B92" w14:textId="4C15C9F3" w:rsidR="00EB27C9" w:rsidRDefault="00EB27C9" w:rsidP="00EB27C9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eastAsia="Calibri" w:hAnsi="Arial" w:cs="Arial"/>
        </w:rPr>
      </w:pPr>
      <w:r w:rsidRPr="00BC18D3">
        <w:rPr>
          <w:rFonts w:ascii="Arial" w:eastAsia="Times New Roman" w:hAnsi="Arial" w:cs="Arial"/>
          <w:color w:val="000000" w:themeColor="text1"/>
        </w:rPr>
        <w:t xml:space="preserve">Cells were resuspended in Protein Lysis Buffer (25 mM HEPES, 50 mM NaCl, 50 mM sodium pyrophosphate, 50 mM sodium fluoride, 1% Triton-X-100, 10% glycerol, 5 mM EDTA, Roche 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MiniProtease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 Inhibitor cocktail tablet, 1 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μM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 PMSF) and placed on a rotator for 1 hour at </w:t>
      </w:r>
      <w:r w:rsidRPr="00BC18D3">
        <w:rPr>
          <w:rFonts w:ascii="Arial" w:eastAsia="Calibri" w:hAnsi="Arial" w:cs="Arial"/>
        </w:rPr>
        <w:t>4°C. Protein lysates were then obtained by centrifugation at 10,000</w:t>
      </w:r>
      <w:r w:rsidRPr="00BC18D3">
        <w:rPr>
          <w:rFonts w:ascii="Arial" w:eastAsia="Times New Roman" w:hAnsi="Arial" w:cs="Arial"/>
        </w:rPr>
        <w:t>×</w:t>
      </w:r>
      <w:r w:rsidRPr="00BC18D3">
        <w:rPr>
          <w:rFonts w:ascii="Arial" w:eastAsia="Calibri" w:hAnsi="Arial" w:cs="Arial"/>
        </w:rPr>
        <w:t>g for 10 min at 4°C. Protein concentration was determined using the BCA Protein Assay kit (Thermo Fisher Scientific). Samples were loaded in pre-cast 10% gels for SDS-PAGE (</w:t>
      </w:r>
      <w:proofErr w:type="spellStart"/>
      <w:r w:rsidRPr="00BC18D3">
        <w:rPr>
          <w:rFonts w:ascii="Arial" w:eastAsia="Calibri" w:hAnsi="Arial" w:cs="Arial"/>
        </w:rPr>
        <w:t>BioRad</w:t>
      </w:r>
      <w:proofErr w:type="spellEnd"/>
      <w:r w:rsidRPr="00BC18D3">
        <w:rPr>
          <w:rFonts w:ascii="Arial" w:eastAsia="Calibri" w:hAnsi="Arial" w:cs="Arial"/>
        </w:rPr>
        <w:t xml:space="preserve">, #456-1033) and run at 200 V for 1 hour. Proteins were then wet-transferred to a 0.2 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μm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 Nitrocellulose membrane (Amersham GE Healthcare) at 150 V for 1 hour. Membranes were block</w:t>
      </w:r>
      <w:r>
        <w:rPr>
          <w:rFonts w:ascii="Arial" w:eastAsia="Times New Roman" w:hAnsi="Arial" w:cs="Arial"/>
          <w:color w:val="000000" w:themeColor="text1"/>
        </w:rPr>
        <w:t>ed</w:t>
      </w:r>
      <w:r w:rsidRPr="00BC18D3">
        <w:rPr>
          <w:rFonts w:ascii="Arial" w:eastAsia="Times New Roman" w:hAnsi="Arial" w:cs="Arial"/>
          <w:color w:val="000000" w:themeColor="text1"/>
        </w:rPr>
        <w:t xml:space="preserve"> in 5% skimmed milk or </w:t>
      </w:r>
      <w:r w:rsidRPr="00BC18D3">
        <w:rPr>
          <w:rFonts w:ascii="Arial" w:eastAsia="Times New Roman" w:hAnsi="Arial" w:cs="Arial"/>
          <w:color w:val="000000" w:themeColor="text1"/>
        </w:rPr>
        <w:lastRenderedPageBreak/>
        <w:t xml:space="preserve">bovine serum albumin (BSA)/TBS- 0.001 % Tween 20 (TBST-T) for 1 hour at room temperature followed by an overnight primary antibody incubation at </w:t>
      </w:r>
      <w:r w:rsidRPr="00BC18D3">
        <w:rPr>
          <w:rFonts w:ascii="Arial" w:eastAsia="Calibri" w:hAnsi="Arial" w:cs="Arial"/>
        </w:rPr>
        <w:t>4°C. Following 3 washes with TBS-T, membranes were incubated with HRP-conjugated secondary antibodies (</w:t>
      </w:r>
      <w:proofErr w:type="spellStart"/>
      <w:r w:rsidRPr="00BC18D3">
        <w:rPr>
          <w:rFonts w:ascii="Arial" w:eastAsia="Calibri" w:hAnsi="Arial" w:cs="Arial"/>
        </w:rPr>
        <w:t>Dako</w:t>
      </w:r>
      <w:proofErr w:type="spellEnd"/>
      <w:r w:rsidRPr="00BC18D3">
        <w:rPr>
          <w:rFonts w:ascii="Arial" w:eastAsia="Calibri" w:hAnsi="Arial" w:cs="Arial"/>
        </w:rPr>
        <w:t xml:space="preserve"> #P0447, #P0448, #P0449) for 1 hour at room temperature. Blots were developed with </w:t>
      </w:r>
      <w:proofErr w:type="spellStart"/>
      <w:r w:rsidRPr="00BC18D3">
        <w:rPr>
          <w:rFonts w:ascii="Arial" w:eastAsia="Calibri" w:hAnsi="Arial" w:cs="Arial"/>
        </w:rPr>
        <w:t>Luminata</w:t>
      </w:r>
      <w:proofErr w:type="spellEnd"/>
      <w:r w:rsidRPr="00BC18D3">
        <w:rPr>
          <w:rFonts w:ascii="Arial" w:eastAsia="Calibri" w:hAnsi="Arial" w:cs="Arial"/>
        </w:rPr>
        <w:t xml:space="preserve"> </w:t>
      </w:r>
      <w:proofErr w:type="spellStart"/>
      <w:r w:rsidRPr="00BC18D3">
        <w:rPr>
          <w:rFonts w:ascii="Arial" w:eastAsia="Calibri" w:hAnsi="Arial" w:cs="Arial"/>
        </w:rPr>
        <w:t>Classico</w:t>
      </w:r>
      <w:proofErr w:type="spellEnd"/>
      <w:r w:rsidRPr="00BC18D3">
        <w:rPr>
          <w:rFonts w:ascii="Arial" w:eastAsia="Calibri" w:hAnsi="Arial" w:cs="Arial"/>
        </w:rPr>
        <w:t xml:space="preserve"> or </w:t>
      </w:r>
      <w:proofErr w:type="spellStart"/>
      <w:r w:rsidRPr="00BC18D3">
        <w:rPr>
          <w:rFonts w:ascii="Arial" w:eastAsia="Calibri" w:hAnsi="Arial" w:cs="Arial"/>
        </w:rPr>
        <w:t>Luminata</w:t>
      </w:r>
      <w:proofErr w:type="spellEnd"/>
      <w:r w:rsidRPr="00BC18D3">
        <w:rPr>
          <w:rFonts w:ascii="Arial" w:eastAsia="Calibri" w:hAnsi="Arial" w:cs="Arial"/>
        </w:rPr>
        <w:t xml:space="preserve"> Forte Western HRP Substrate (EMD Millipore, #WBLUC0100, # WBLUF0100) by exposing the membranes to </w:t>
      </w:r>
      <w:proofErr w:type="spellStart"/>
      <w:r w:rsidRPr="00BC18D3">
        <w:rPr>
          <w:rFonts w:ascii="Arial" w:eastAsia="Calibri" w:hAnsi="Arial" w:cs="Arial"/>
        </w:rPr>
        <w:t>hyperfilm</w:t>
      </w:r>
      <w:proofErr w:type="spellEnd"/>
      <w:r w:rsidRPr="00BC18D3">
        <w:rPr>
          <w:rFonts w:ascii="Arial" w:eastAsia="Calibri" w:hAnsi="Arial" w:cs="Arial"/>
        </w:rPr>
        <w:t xml:space="preserve"> (Amersham GE Healthcare). </w:t>
      </w:r>
      <w:bookmarkEnd w:id="0"/>
    </w:p>
    <w:p w14:paraId="3A5405B8" w14:textId="77777777" w:rsidR="00EB27C9" w:rsidRPr="001F60C7" w:rsidRDefault="00EB27C9" w:rsidP="00EB27C9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eastAsia="Times New Roman" w:hAnsi="Arial" w:cs="Arial"/>
          <w:color w:val="000000" w:themeColor="text1"/>
          <w:sz w:val="16"/>
          <w:szCs w:val="16"/>
        </w:rPr>
      </w:pPr>
    </w:p>
    <w:p w14:paraId="446C29FA" w14:textId="77777777" w:rsidR="00EB27C9" w:rsidRPr="00BC18D3" w:rsidRDefault="00EB27C9" w:rsidP="00EB27C9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eastAsia="Times New Roman" w:hAnsi="Arial" w:cs="Arial"/>
          <w:bCs/>
          <w:color w:val="0070C0"/>
        </w:rPr>
      </w:pPr>
      <w:r w:rsidRPr="00BC18D3">
        <w:rPr>
          <w:rFonts w:ascii="Arial" w:eastAsia="Times New Roman" w:hAnsi="Arial" w:cs="Arial"/>
          <w:bCs/>
          <w:color w:val="0070C0"/>
        </w:rPr>
        <w:t xml:space="preserve">Immunohistochemistry </w:t>
      </w:r>
    </w:p>
    <w:p w14:paraId="04933643" w14:textId="771AB591" w:rsidR="00EB27C9" w:rsidRPr="00BC18D3" w:rsidRDefault="00EB27C9" w:rsidP="00EB27C9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eastAsia="Times New Roman" w:hAnsi="Arial" w:cs="Arial"/>
          <w:color w:val="000000" w:themeColor="text1"/>
        </w:rPr>
      </w:pPr>
      <w:r w:rsidRPr="00BC18D3">
        <w:rPr>
          <w:rFonts w:ascii="Arial" w:eastAsia="Times New Roman" w:hAnsi="Arial" w:cs="Arial"/>
          <w:color w:val="000000" w:themeColor="text1"/>
        </w:rPr>
        <w:t xml:space="preserve">Using the Bond Automated Stainer (Leica Biosystems), 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tumor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 sections were stained for human Ki67 (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Dako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>, #M7240) using the Target Retrieval Solution pH 9.0 (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Dako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, #S2367). The antibody was detected using 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Dako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EnVision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 Detection System Peroxidase/DAB (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Dako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, #K5007). Definiens Tissue Studio software was used to quantify the staining. The percentage of positive epithelial cells was scored at least on 3 different tissue samples. </w:t>
      </w:r>
    </w:p>
    <w:p w14:paraId="1E956509" w14:textId="77777777" w:rsidR="00EB27C9" w:rsidRPr="00BC18D3" w:rsidRDefault="00EB27C9" w:rsidP="00EB27C9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eastAsia="Times New Roman" w:hAnsi="Arial" w:cs="Arial"/>
          <w:color w:val="000000" w:themeColor="text1"/>
        </w:rPr>
      </w:pPr>
      <w:r w:rsidRPr="00BC18D3">
        <w:rPr>
          <w:rFonts w:ascii="Arial" w:eastAsia="Times New Roman" w:hAnsi="Arial" w:cs="Arial"/>
          <w:kern w:val="24"/>
          <w:lang w:eastAsia="en-GB"/>
        </w:rPr>
        <w:t>PDX lungs were examined for metastatic lesions of human origin by staining with anti-human mitochondrial antibody (Abcam, #ab92824). At least 2</w:t>
      </w:r>
      <w:r w:rsidRPr="00BC18D3">
        <w:rPr>
          <w:rFonts w:ascii="Arial" w:eastAsia="Times New Roman" w:hAnsi="Arial" w:cs="Arial"/>
        </w:rPr>
        <w:t>×</w:t>
      </w:r>
      <w:r w:rsidRPr="00BC18D3">
        <w:rPr>
          <w:rFonts w:ascii="Arial" w:eastAsia="Times New Roman" w:hAnsi="Arial" w:cs="Arial"/>
          <w:kern w:val="24"/>
          <w:lang w:eastAsia="en-GB"/>
        </w:rPr>
        <w:t xml:space="preserve"> step sections per lung were stained on a Bond </w:t>
      </w:r>
      <w:r w:rsidRPr="00BC18D3">
        <w:rPr>
          <w:rFonts w:ascii="Arial" w:eastAsia="Times New Roman" w:hAnsi="Arial" w:cs="Arial"/>
          <w:color w:val="000000" w:themeColor="text1"/>
        </w:rPr>
        <w:t>Automated Stainer (Leica Biosystems) using standard protocol F and Target Retrieval Solution pH 6.0 (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Dako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) for 20 min. Direct visual examination of stained sections was carried out by an unbiased observer to detect </w:t>
      </w:r>
      <w:proofErr w:type="spellStart"/>
      <w:r w:rsidRPr="00BC18D3">
        <w:rPr>
          <w:rFonts w:ascii="Arial" w:eastAsia="Times New Roman" w:hAnsi="Arial" w:cs="Arial"/>
          <w:color w:val="000000" w:themeColor="text1"/>
        </w:rPr>
        <w:t>micrometastases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>. Lesions with at least 10 cell</w:t>
      </w:r>
      <w:r>
        <w:rPr>
          <w:rFonts w:ascii="Arial" w:eastAsia="Times New Roman" w:hAnsi="Arial" w:cs="Arial"/>
          <w:color w:val="000000" w:themeColor="text1"/>
        </w:rPr>
        <w:t xml:space="preserve">s were classed as </w:t>
      </w:r>
      <w:proofErr w:type="spellStart"/>
      <w:r>
        <w:rPr>
          <w:rFonts w:ascii="Arial" w:eastAsia="Times New Roman" w:hAnsi="Arial" w:cs="Arial"/>
          <w:color w:val="000000" w:themeColor="text1"/>
        </w:rPr>
        <w:t>micrometastase</w:t>
      </w:r>
      <w:r w:rsidRPr="00BC18D3">
        <w:rPr>
          <w:rFonts w:ascii="Arial" w:eastAsia="Times New Roman" w:hAnsi="Arial" w:cs="Arial"/>
          <w:color w:val="000000" w:themeColor="text1"/>
        </w:rPr>
        <w:t>s</w:t>
      </w:r>
      <w:proofErr w:type="spellEnd"/>
      <w:r w:rsidRPr="00BC18D3">
        <w:rPr>
          <w:rFonts w:ascii="Arial" w:eastAsia="Times New Roman" w:hAnsi="Arial" w:cs="Arial"/>
          <w:color w:val="000000" w:themeColor="text1"/>
        </w:rPr>
        <w:t xml:space="preserve">. </w:t>
      </w:r>
    </w:p>
    <w:p w14:paraId="384F89E7" w14:textId="4BC1952B" w:rsidR="00A9145B" w:rsidRDefault="00EB27C9" w:rsidP="00EB27C9">
      <w:pPr>
        <w:spacing w:line="480" w:lineRule="auto"/>
        <w:jc w:val="both"/>
        <w:rPr>
          <w:rFonts w:ascii="Arial" w:eastAsia="Times New Roman" w:hAnsi="Arial" w:cs="Arial"/>
          <w:kern w:val="24"/>
          <w:lang w:eastAsia="en-GB"/>
        </w:rPr>
      </w:pPr>
      <w:r w:rsidRPr="00BC18D3">
        <w:rPr>
          <w:rFonts w:ascii="Arial" w:eastAsia="Times New Roman" w:hAnsi="Arial" w:cs="Arial"/>
          <w:kern w:val="24"/>
          <w:lang w:eastAsia="en-GB"/>
        </w:rPr>
        <w:t>All sections were counterstained with haematoxylin.</w:t>
      </w:r>
    </w:p>
    <w:p w14:paraId="5C847839" w14:textId="77777777" w:rsidR="00962557" w:rsidRPr="001F60C7" w:rsidRDefault="00962557" w:rsidP="00EB27C9">
      <w:pPr>
        <w:spacing w:line="480" w:lineRule="auto"/>
        <w:jc w:val="both"/>
        <w:rPr>
          <w:rFonts w:ascii="Arial" w:eastAsia="Times New Roman" w:hAnsi="Arial" w:cs="Arial"/>
          <w:kern w:val="24"/>
          <w:sz w:val="16"/>
          <w:szCs w:val="16"/>
          <w:lang w:eastAsia="en-GB"/>
        </w:rPr>
      </w:pPr>
    </w:p>
    <w:p w14:paraId="658E4A17" w14:textId="77777777" w:rsidR="00EB27C9" w:rsidRPr="00BC18D3" w:rsidRDefault="00EB27C9" w:rsidP="00EB27C9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eastAsia="Times New Roman" w:hAnsi="Arial" w:cs="Arial"/>
          <w:b/>
          <w:color w:val="FF0000"/>
        </w:rPr>
      </w:pPr>
      <w:r w:rsidRPr="00BC18D3">
        <w:rPr>
          <w:rFonts w:ascii="Arial" w:eastAsia="Times New Roman" w:hAnsi="Arial" w:cs="Arial"/>
          <w:bCs/>
          <w:color w:val="0070C0"/>
        </w:rPr>
        <w:t xml:space="preserve">Quantitative Real-Time PCR using the </w:t>
      </w:r>
      <w:proofErr w:type="spellStart"/>
      <w:r w:rsidRPr="00BC18D3">
        <w:rPr>
          <w:rFonts w:ascii="Arial" w:eastAsia="Times New Roman" w:hAnsi="Arial" w:cs="Arial"/>
          <w:bCs/>
          <w:color w:val="0070C0"/>
        </w:rPr>
        <w:t>Biomark</w:t>
      </w:r>
      <w:proofErr w:type="spellEnd"/>
      <w:r w:rsidRPr="00BC18D3">
        <w:rPr>
          <w:rFonts w:ascii="Arial" w:eastAsia="Times New Roman" w:hAnsi="Arial" w:cs="Arial"/>
          <w:bCs/>
          <w:color w:val="0070C0"/>
        </w:rPr>
        <w:t xml:space="preserve"> HD System (</w:t>
      </w:r>
      <w:proofErr w:type="spellStart"/>
      <w:r w:rsidRPr="00BC18D3">
        <w:rPr>
          <w:rFonts w:ascii="Arial" w:eastAsia="Times New Roman" w:hAnsi="Arial" w:cs="Arial"/>
          <w:bCs/>
          <w:color w:val="0070C0"/>
        </w:rPr>
        <w:t>Fluidigm</w:t>
      </w:r>
      <w:proofErr w:type="spellEnd"/>
      <w:r w:rsidRPr="00BC18D3">
        <w:rPr>
          <w:rFonts w:ascii="Arial" w:eastAsia="Times New Roman" w:hAnsi="Arial" w:cs="Arial"/>
          <w:bCs/>
          <w:color w:val="0070C0"/>
        </w:rPr>
        <w:t>)</w:t>
      </w:r>
    </w:p>
    <w:p w14:paraId="1EBD4400" w14:textId="56B47655" w:rsidR="00EB27C9" w:rsidRPr="00D869E5" w:rsidRDefault="00EB27C9" w:rsidP="00EB27C9">
      <w:pPr>
        <w:autoSpaceDE w:val="0"/>
        <w:autoSpaceDN w:val="0"/>
        <w:adjustRightInd w:val="0"/>
        <w:spacing w:line="480" w:lineRule="auto"/>
        <w:contextualSpacing/>
        <w:jc w:val="both"/>
        <w:rPr>
          <w:rFonts w:ascii="Arial" w:eastAsia="Calibri" w:hAnsi="Arial" w:cs="Arial"/>
        </w:rPr>
      </w:pPr>
      <w:r w:rsidRPr="00BC18D3">
        <w:rPr>
          <w:rFonts w:ascii="Arial" w:eastAsia="Times New Roman" w:hAnsi="Arial" w:cs="Arial"/>
          <w:bCs/>
          <w:color w:val="000000" w:themeColor="text1"/>
        </w:rPr>
        <w:t>Gene expression was evaluated with the 48.48 IFC Dynamic Arrays (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Fluidigm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Corporation) using standard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Taqman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Assays as per protocol (PN 68000089 H1).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lastRenderedPageBreak/>
        <w:t>Taqman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Gene Expression Assays used: </w:t>
      </w:r>
      <w:r w:rsidRPr="00BC18D3">
        <w:rPr>
          <w:rFonts w:ascii="Arial" w:eastAsia="Times New Roman" w:hAnsi="Arial" w:cs="Arial"/>
          <w:bCs/>
          <w:i/>
          <w:color w:val="000000" w:themeColor="text1"/>
        </w:rPr>
        <w:t>CTTN</w:t>
      </w:r>
      <w:r w:rsidRPr="00BC18D3">
        <w:rPr>
          <w:rFonts w:ascii="Arial" w:eastAsia="Times New Roman" w:hAnsi="Arial" w:cs="Arial"/>
          <w:bCs/>
          <w:color w:val="000000" w:themeColor="text1"/>
        </w:rPr>
        <w:t xml:space="preserve"> (Hs01124232_m1), </w:t>
      </w:r>
      <w:r w:rsidRPr="00BC18D3">
        <w:rPr>
          <w:rFonts w:ascii="Arial" w:eastAsia="Times New Roman" w:hAnsi="Arial" w:cs="Arial"/>
          <w:bCs/>
          <w:i/>
          <w:color w:val="000000" w:themeColor="text1"/>
        </w:rPr>
        <w:t>MUC1</w:t>
      </w:r>
      <w:r w:rsidRPr="00BC18D3">
        <w:rPr>
          <w:rFonts w:ascii="Arial" w:eastAsia="Times New Roman" w:hAnsi="Arial" w:cs="Arial"/>
          <w:bCs/>
          <w:color w:val="000000" w:themeColor="text1"/>
        </w:rPr>
        <w:t xml:space="preserve"> (Hs00159357_m1), </w:t>
      </w:r>
      <w:r w:rsidRPr="00C95602">
        <w:rPr>
          <w:rFonts w:ascii="Arial" w:eastAsia="Times New Roman" w:hAnsi="Arial" w:cs="Arial"/>
          <w:bCs/>
          <w:i/>
          <w:iCs/>
          <w:color w:val="000000" w:themeColor="text1"/>
        </w:rPr>
        <w:t>OSMR</w:t>
      </w:r>
      <w:r w:rsidRPr="00BC18D3">
        <w:rPr>
          <w:rFonts w:ascii="Arial" w:eastAsia="Times New Roman" w:hAnsi="Arial" w:cs="Arial"/>
          <w:bCs/>
          <w:color w:val="000000" w:themeColor="text1"/>
        </w:rPr>
        <w:t xml:space="preserve"> (Hs0038</w:t>
      </w:r>
      <w:r>
        <w:rPr>
          <w:rFonts w:ascii="Arial" w:eastAsia="Times New Roman" w:hAnsi="Arial" w:cs="Arial"/>
          <w:bCs/>
          <w:color w:val="000000" w:themeColor="text1"/>
        </w:rPr>
        <w:t xml:space="preserve">4276_m1), </w:t>
      </w:r>
      <w:r w:rsidRPr="00C95602">
        <w:rPr>
          <w:rFonts w:ascii="Arial" w:eastAsia="Times New Roman" w:hAnsi="Arial" w:cs="Arial"/>
          <w:bCs/>
          <w:i/>
          <w:iCs/>
          <w:color w:val="000000" w:themeColor="text1"/>
        </w:rPr>
        <w:t>PBX1</w:t>
      </w:r>
      <w:r>
        <w:rPr>
          <w:rFonts w:ascii="Arial" w:eastAsia="Times New Roman" w:hAnsi="Arial" w:cs="Arial"/>
          <w:bCs/>
          <w:color w:val="000000" w:themeColor="text1"/>
        </w:rPr>
        <w:t xml:space="preserve"> (Hs00231228_m1), </w:t>
      </w:r>
      <w:r w:rsidRPr="00BC18D3">
        <w:rPr>
          <w:rFonts w:ascii="Arial" w:eastAsia="Times New Roman" w:hAnsi="Arial" w:cs="Arial"/>
          <w:bCs/>
          <w:i/>
          <w:color w:val="000000" w:themeColor="text1"/>
        </w:rPr>
        <w:t>PGK1</w:t>
      </w:r>
      <w:r w:rsidRPr="00BC18D3">
        <w:rPr>
          <w:rFonts w:ascii="Arial" w:eastAsia="Times New Roman" w:hAnsi="Arial" w:cs="Arial"/>
          <w:bCs/>
          <w:color w:val="000000" w:themeColor="text1"/>
        </w:rPr>
        <w:t xml:space="preserve"> (Hs99999906_m1), </w:t>
      </w:r>
      <w:r w:rsidRPr="00BC18D3">
        <w:rPr>
          <w:rFonts w:ascii="Arial" w:eastAsia="Times New Roman" w:hAnsi="Arial" w:cs="Arial"/>
          <w:bCs/>
          <w:i/>
          <w:color w:val="000000" w:themeColor="text1"/>
        </w:rPr>
        <w:t xml:space="preserve">SDHA </w:t>
      </w:r>
      <w:r w:rsidRPr="00BC18D3">
        <w:rPr>
          <w:rFonts w:ascii="Arial" w:eastAsia="Times New Roman" w:hAnsi="Arial" w:cs="Arial"/>
          <w:bCs/>
          <w:color w:val="000000" w:themeColor="text1"/>
        </w:rPr>
        <w:t>(Hs00188166_m1) (Thermo Fisher Scientific). cDNA was prepared with Reverse Transcription Master Mix (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Fluidigm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>, #100-6297). Samples were incubated on a thermal cycler (MJ Research) for 5 min at 25</w:t>
      </w:r>
      <w:r w:rsidRPr="00BC18D3">
        <w:rPr>
          <w:rFonts w:ascii="Arial" w:eastAsia="Calibri" w:hAnsi="Arial" w:cs="Arial"/>
        </w:rPr>
        <w:t xml:space="preserve">°C, 30 min at 42°C and 5 min at 85°C. For the pre-amplification step (PN 100-5876 C2), a diluted pool of gene expression assays was prepared with the Dilution Reagent (10 mM Tris-HCl, pH 8.0, 1 mM EDTA, </w:t>
      </w:r>
      <w:proofErr w:type="spellStart"/>
      <w:r w:rsidRPr="00BC18D3">
        <w:rPr>
          <w:rFonts w:ascii="Arial" w:eastAsia="Calibri" w:hAnsi="Arial" w:cs="Arial"/>
        </w:rPr>
        <w:t>Fluidigm</w:t>
      </w:r>
      <w:proofErr w:type="spellEnd"/>
      <w:r w:rsidRPr="00BC18D3">
        <w:rPr>
          <w:rFonts w:ascii="Arial" w:eastAsia="Calibri" w:hAnsi="Arial" w:cs="Arial"/>
        </w:rPr>
        <w:t>, #100-8726) and mixed with the Preamp Master Mix (</w:t>
      </w:r>
      <w:proofErr w:type="spellStart"/>
      <w:r w:rsidRPr="00BC18D3">
        <w:rPr>
          <w:rFonts w:ascii="Arial" w:eastAsia="Calibri" w:hAnsi="Arial" w:cs="Arial"/>
        </w:rPr>
        <w:t>Fluidigm</w:t>
      </w:r>
      <w:proofErr w:type="spellEnd"/>
      <w:r w:rsidRPr="00BC18D3">
        <w:rPr>
          <w:rFonts w:ascii="Arial" w:eastAsia="Calibri" w:hAnsi="Arial" w:cs="Arial"/>
        </w:rPr>
        <w:t>, #100-5744) and cDNA. Samples were then incubated in a T100 thermal cycler (</w:t>
      </w:r>
      <w:proofErr w:type="spellStart"/>
      <w:r w:rsidRPr="00BC18D3">
        <w:rPr>
          <w:rFonts w:ascii="Arial" w:eastAsia="Calibri" w:hAnsi="Arial" w:cs="Arial"/>
        </w:rPr>
        <w:t>BioRad</w:t>
      </w:r>
      <w:proofErr w:type="spellEnd"/>
      <w:r w:rsidRPr="00BC18D3">
        <w:rPr>
          <w:rFonts w:ascii="Arial" w:eastAsia="Calibri" w:hAnsi="Arial" w:cs="Arial"/>
        </w:rPr>
        <w:t xml:space="preserve">) for 2 min at 95°C followed by 14 cycles of 15 sec at 95°C and 4 min at 60°C.  After cycling, resulting samples were diluted 1:5 with Dilution Reagent. Then each 20X </w:t>
      </w:r>
      <w:proofErr w:type="spellStart"/>
      <w:r w:rsidRPr="00BC18D3">
        <w:rPr>
          <w:rFonts w:ascii="Arial" w:eastAsia="Calibri" w:hAnsi="Arial" w:cs="Arial"/>
        </w:rPr>
        <w:t>Taqman</w:t>
      </w:r>
      <w:proofErr w:type="spellEnd"/>
      <w:r w:rsidRPr="00BC18D3">
        <w:rPr>
          <w:rFonts w:ascii="Arial" w:eastAsia="Calibri" w:hAnsi="Arial" w:cs="Arial"/>
        </w:rPr>
        <w:t xml:space="preserve"> Gene Expression Assay was diluted in 2X Assay Loading Reagent (</w:t>
      </w:r>
      <w:proofErr w:type="spellStart"/>
      <w:r w:rsidRPr="00BC18D3">
        <w:rPr>
          <w:rFonts w:ascii="Arial" w:eastAsia="Calibri" w:hAnsi="Arial" w:cs="Arial"/>
        </w:rPr>
        <w:t>Fluidigm</w:t>
      </w:r>
      <w:proofErr w:type="spellEnd"/>
      <w:r w:rsidRPr="00BC18D3">
        <w:rPr>
          <w:rFonts w:ascii="Arial" w:eastAsia="Calibri" w:hAnsi="Arial" w:cs="Arial"/>
        </w:rPr>
        <w:t xml:space="preserve">, #100-7611). Sample pre-mix was made by combining </w:t>
      </w:r>
      <w:proofErr w:type="spellStart"/>
      <w:r w:rsidRPr="00BC18D3">
        <w:rPr>
          <w:rFonts w:ascii="Arial" w:eastAsia="Calibri" w:hAnsi="Arial" w:cs="Arial"/>
        </w:rPr>
        <w:t>Taqman</w:t>
      </w:r>
      <w:proofErr w:type="spellEnd"/>
      <w:r w:rsidRPr="00BC18D3">
        <w:rPr>
          <w:rFonts w:ascii="Arial" w:eastAsia="Calibri" w:hAnsi="Arial" w:cs="Arial"/>
        </w:rPr>
        <w:t xml:space="preserve"> Universal PCR Master Mix 2X (Life Technologies, #4304437), 20X GE Sample Loading Reagent (</w:t>
      </w:r>
      <w:proofErr w:type="spellStart"/>
      <w:r w:rsidRPr="00BC18D3">
        <w:rPr>
          <w:rFonts w:ascii="Arial" w:eastAsia="Calibri" w:hAnsi="Arial" w:cs="Arial"/>
        </w:rPr>
        <w:t>Fluidigm</w:t>
      </w:r>
      <w:proofErr w:type="spellEnd"/>
      <w:r w:rsidRPr="00BC18D3">
        <w:rPr>
          <w:rFonts w:ascii="Arial" w:eastAsia="Calibri" w:hAnsi="Arial" w:cs="Arial"/>
        </w:rPr>
        <w:t>, #100-7610) and pre-amplified cDNA. Following hydraulic chip priming, the diluted assays and samples were transferred into the appropriate IFC inlets and loaded with the IFC MX Controller (</w:t>
      </w:r>
      <w:proofErr w:type="spellStart"/>
      <w:r w:rsidRPr="00BC18D3">
        <w:rPr>
          <w:rFonts w:ascii="Arial" w:eastAsia="Calibri" w:hAnsi="Arial" w:cs="Arial"/>
        </w:rPr>
        <w:t>Fluidigm</w:t>
      </w:r>
      <w:proofErr w:type="spellEnd"/>
      <w:r w:rsidRPr="00BC18D3">
        <w:rPr>
          <w:rFonts w:ascii="Arial" w:eastAsia="Calibri" w:hAnsi="Arial" w:cs="Arial"/>
        </w:rPr>
        <w:t xml:space="preserve">). Then the loaded chip was placed in the </w:t>
      </w:r>
      <w:proofErr w:type="spellStart"/>
      <w:r w:rsidRPr="00BC18D3">
        <w:rPr>
          <w:rFonts w:ascii="Arial" w:eastAsia="Calibri" w:hAnsi="Arial" w:cs="Arial"/>
        </w:rPr>
        <w:t>Biomark</w:t>
      </w:r>
      <w:proofErr w:type="spellEnd"/>
      <w:r w:rsidRPr="00BC18D3">
        <w:rPr>
          <w:rFonts w:ascii="Arial" w:eastAsia="Calibri" w:hAnsi="Arial" w:cs="Arial"/>
        </w:rPr>
        <w:t xml:space="preserve"> HD instrument (</w:t>
      </w:r>
      <w:proofErr w:type="spellStart"/>
      <w:r w:rsidRPr="00BC18D3">
        <w:rPr>
          <w:rFonts w:ascii="Arial" w:eastAsia="Calibri" w:hAnsi="Arial" w:cs="Arial"/>
        </w:rPr>
        <w:t>Fluidigm</w:t>
      </w:r>
      <w:proofErr w:type="spellEnd"/>
      <w:r w:rsidRPr="00BC18D3">
        <w:rPr>
          <w:rFonts w:ascii="Arial" w:eastAsia="Calibri" w:hAnsi="Arial" w:cs="Arial"/>
        </w:rPr>
        <w:t xml:space="preserve">) and run the GE 48x48 specific protocol, 96.5 °C for 10 min followed by 40 cycles at 96 °C for 15 sec and 60 °C for 1 min. The data were normalised to average of housekeeping genes and </w:t>
      </w:r>
      <w:proofErr w:type="spellStart"/>
      <w:r w:rsidRPr="00BC18D3">
        <w:rPr>
          <w:rFonts w:ascii="Arial" w:eastAsia="Calibri" w:hAnsi="Arial" w:cs="Arial"/>
        </w:rPr>
        <w:t>ΔCt</w:t>
      </w:r>
      <w:proofErr w:type="spellEnd"/>
      <w:r w:rsidRPr="00BC18D3">
        <w:rPr>
          <w:rFonts w:ascii="Arial" w:eastAsia="Calibri" w:hAnsi="Arial" w:cs="Arial"/>
        </w:rPr>
        <w:t xml:space="preserve">, </w:t>
      </w:r>
      <w:proofErr w:type="spellStart"/>
      <w:r w:rsidRPr="00BC18D3">
        <w:rPr>
          <w:rFonts w:ascii="Arial" w:eastAsia="Calibri" w:hAnsi="Arial" w:cs="Arial"/>
        </w:rPr>
        <w:t>ΔΔCt</w:t>
      </w:r>
      <w:proofErr w:type="spellEnd"/>
      <w:r w:rsidRPr="00BC18D3">
        <w:rPr>
          <w:rFonts w:ascii="Arial" w:eastAsia="Calibri" w:hAnsi="Arial" w:cs="Arial"/>
        </w:rPr>
        <w:t xml:space="preserve"> and fold change values were calculated for each metastatic sample.</w:t>
      </w:r>
    </w:p>
    <w:p w14:paraId="2DC0D7A0" w14:textId="77777777" w:rsidR="00EB27C9" w:rsidRPr="001F60C7" w:rsidRDefault="00EB27C9" w:rsidP="00EB27C9">
      <w:pPr>
        <w:spacing w:line="48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0DE8459A" w14:textId="77777777" w:rsidR="00EB27C9" w:rsidRPr="00BC18D3" w:rsidRDefault="00EB27C9" w:rsidP="00EB27C9">
      <w:pPr>
        <w:spacing w:line="480" w:lineRule="auto"/>
        <w:jc w:val="both"/>
        <w:rPr>
          <w:rFonts w:ascii="Arial" w:eastAsia="Times New Roman" w:hAnsi="Arial" w:cs="Arial"/>
          <w:bCs/>
          <w:color w:val="0070C0"/>
        </w:rPr>
      </w:pPr>
      <w:r w:rsidRPr="00BC18D3">
        <w:rPr>
          <w:rFonts w:ascii="Arial" w:eastAsia="Times New Roman" w:hAnsi="Arial" w:cs="Arial"/>
          <w:bCs/>
          <w:color w:val="0070C0"/>
        </w:rPr>
        <w:t>Affinity pull-down assays</w:t>
      </w:r>
    </w:p>
    <w:p w14:paraId="142294F9" w14:textId="42B25D6E" w:rsidR="00A640AA" w:rsidRPr="00B9662E" w:rsidRDefault="00EB27C9" w:rsidP="00B9662E">
      <w:pPr>
        <w:spacing w:line="48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r w:rsidRPr="00BC18D3">
        <w:rPr>
          <w:rFonts w:ascii="Arial" w:eastAsia="Times New Roman" w:hAnsi="Arial" w:cs="Arial"/>
          <w:bCs/>
          <w:color w:val="000000" w:themeColor="text1"/>
        </w:rPr>
        <w:t xml:space="preserve">Cells from patient-derived samples and xenografts were resuspended in serum-free DMEM media containing 5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μM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SFN ABP probe and incubated </w:t>
      </w:r>
      <w:r w:rsidRPr="00BC18D3">
        <w:rPr>
          <w:rFonts w:ascii="Arial" w:eastAsia="Calibri" w:hAnsi="Arial" w:cs="Arial"/>
        </w:rPr>
        <w:t>for 30 min</w:t>
      </w:r>
      <w:r w:rsidRPr="00BC18D3">
        <w:rPr>
          <w:rFonts w:ascii="Arial" w:eastAsia="Times New Roman" w:hAnsi="Arial" w:cs="Arial"/>
          <w:bCs/>
          <w:color w:val="000000" w:themeColor="text1"/>
        </w:rPr>
        <w:t xml:space="preserve"> at 37</w:t>
      </w:r>
      <w:r w:rsidRPr="00BC18D3">
        <w:rPr>
          <w:rFonts w:ascii="Arial" w:eastAsia="Calibri" w:hAnsi="Arial" w:cs="Arial"/>
        </w:rPr>
        <w:t xml:space="preserve">°C. Following in-cell labelling with the probe, cells were washed with serum-free DMEM </w:t>
      </w:r>
      <w:r w:rsidRPr="00BC18D3">
        <w:rPr>
          <w:rFonts w:ascii="Arial" w:eastAsia="Calibri" w:hAnsi="Arial" w:cs="Arial"/>
        </w:rPr>
        <w:lastRenderedPageBreak/>
        <w:t xml:space="preserve">media and lysed in PBS pH 7.4 containing 1% Triton-X-100, 0.1% SDS, 1x Complete EDTA-free protease inhibitor tablet. After 5 min on ice, samples were sonicated and lysates were obtained upon centrifugation at 10,000 x g for 5 min at 4°C. Protein concentration was determined in the lysates and aliquots at 1 mg/ml were made with lysis buffer (100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μl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per aliquot). Probe-labelled proteins were ligated to Copper-catalysed azide-alkyne cycloaddition (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CuAAC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>), which was subsequently captured with azido-TAMRA-biotin (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AzTB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>) (click reaction). Samples were vortexed for 1 hour at room temperature and then the click reaction was quenched by addition of 10 mM EDTA. Proteins were precipitated by centrifugation at 6,000</w:t>
      </w:r>
      <w:r w:rsidRPr="00BC18D3">
        <w:rPr>
          <w:rFonts w:ascii="Arial" w:eastAsia="Times New Roman" w:hAnsi="Arial" w:cs="Arial"/>
        </w:rPr>
        <w:t>×</w:t>
      </w:r>
      <w:r w:rsidRPr="00BC18D3">
        <w:rPr>
          <w:rFonts w:ascii="Arial" w:eastAsia="Times New Roman" w:hAnsi="Arial" w:cs="Arial"/>
          <w:bCs/>
          <w:color w:val="000000" w:themeColor="text1"/>
        </w:rPr>
        <w:t xml:space="preserve">g for 4 min in </w:t>
      </w:r>
      <w:proofErr w:type="spellStart"/>
      <w:proofErr w:type="gramStart"/>
      <w:r w:rsidRPr="00BC18D3">
        <w:rPr>
          <w:rFonts w:ascii="Arial" w:eastAsia="Times New Roman" w:hAnsi="Arial" w:cs="Arial"/>
          <w:bCs/>
          <w:color w:val="000000" w:themeColor="text1"/>
        </w:rPr>
        <w:t>methanol:chloroform</w:t>
      </w:r>
      <w:proofErr w:type="gramEnd"/>
      <w:r w:rsidRPr="00BC18D3">
        <w:rPr>
          <w:rFonts w:ascii="Arial" w:eastAsia="Times New Roman" w:hAnsi="Arial" w:cs="Arial"/>
          <w:bCs/>
          <w:color w:val="000000" w:themeColor="text1"/>
        </w:rPr>
        <w:t>:water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(4:1:2). Protein pellets were then washed twice with 4 volumes methanol by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vortexing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>, sonication and centrifugation at 8,000</w:t>
      </w:r>
      <w:r w:rsidRPr="00BC18D3">
        <w:rPr>
          <w:rFonts w:ascii="Arial" w:eastAsia="Times New Roman" w:hAnsi="Arial" w:cs="Arial"/>
        </w:rPr>
        <w:t>×</w:t>
      </w:r>
      <w:r w:rsidRPr="00BC18D3">
        <w:rPr>
          <w:rFonts w:ascii="Arial" w:eastAsia="Times New Roman" w:hAnsi="Arial" w:cs="Arial"/>
          <w:bCs/>
          <w:color w:val="000000" w:themeColor="text1"/>
        </w:rPr>
        <w:t xml:space="preserve">g for 4 min. Protein pellets were air dried for 10 min before being resuspended in 0.2% SDS/PBS (1mg/ml, 100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μl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), vortexed and sonicated until fully dissolved. 10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μl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aliquot was taken at this stage as input. Then probe-labelled proteins were pulled-down using avidin-coated magnetic beads. After equilibrating the beads in 0.2% SDS/PBS, 10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μl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of bead solution was added to samples, vortexed and incubated for 2-3 hours at room temperature. After brief centrifugation, samples were placed on magnet for 1 min and supernatant was removed carefully. 10 </w:t>
      </w:r>
      <w:proofErr w:type="spellStart"/>
      <w:r w:rsidRPr="00BC18D3">
        <w:rPr>
          <w:rFonts w:ascii="Arial" w:eastAsia="Times New Roman" w:hAnsi="Arial" w:cs="Arial"/>
          <w:bCs/>
          <w:color w:val="000000" w:themeColor="text1"/>
        </w:rPr>
        <w:t>μl</w:t>
      </w:r>
      <w:proofErr w:type="spellEnd"/>
      <w:r w:rsidRPr="00BC18D3">
        <w:rPr>
          <w:rFonts w:ascii="Arial" w:eastAsia="Times New Roman" w:hAnsi="Arial" w:cs="Arial"/>
          <w:bCs/>
          <w:color w:val="000000" w:themeColor="text1"/>
        </w:rPr>
        <w:t xml:space="preserve"> aliquot was taken at this stage as supernatant. Following several washes in 0.2% SDS/PBS, beads were boiled at 100</w:t>
      </w:r>
      <w:r w:rsidRPr="00BC18D3">
        <w:rPr>
          <w:rFonts w:ascii="Arial" w:eastAsia="Calibri" w:hAnsi="Arial" w:cs="Arial"/>
        </w:rPr>
        <w:t xml:space="preserve">°C for 5 min in the presence of </w:t>
      </w:r>
      <w:proofErr w:type="spellStart"/>
      <w:r w:rsidRPr="00BC18D3">
        <w:rPr>
          <w:rFonts w:ascii="Arial" w:eastAsia="Calibri" w:hAnsi="Arial" w:cs="Arial"/>
        </w:rPr>
        <w:t>Laemmli</w:t>
      </w:r>
      <w:proofErr w:type="spellEnd"/>
      <w:r w:rsidRPr="00BC18D3">
        <w:rPr>
          <w:rFonts w:ascii="Arial" w:eastAsia="Calibri" w:hAnsi="Arial" w:cs="Arial"/>
        </w:rPr>
        <w:t xml:space="preserve"> loading buffer containing </w:t>
      </w:r>
      <w:r w:rsidRPr="00BC18D3">
        <w:rPr>
          <w:rFonts w:ascii="Arial" w:eastAsia="Calibri" w:hAnsi="Arial" w:cs="Arial"/>
        </w:rPr>
        <w:sym w:font="Symbol" w:char="F062"/>
      </w:r>
      <w:r w:rsidRPr="00BC18D3">
        <w:rPr>
          <w:rFonts w:ascii="Arial" w:eastAsia="Calibri" w:hAnsi="Arial" w:cs="Arial"/>
        </w:rPr>
        <w:t>-</w:t>
      </w:r>
      <w:proofErr w:type="spellStart"/>
      <w:r w:rsidRPr="00BC18D3">
        <w:rPr>
          <w:rFonts w:ascii="Arial" w:eastAsia="Calibri" w:hAnsi="Arial" w:cs="Arial"/>
        </w:rPr>
        <w:t>mercaptoethanol</w:t>
      </w:r>
      <w:proofErr w:type="spellEnd"/>
      <w:r w:rsidRPr="00BC18D3">
        <w:rPr>
          <w:rFonts w:ascii="Arial" w:eastAsia="Calibri" w:hAnsi="Arial" w:cs="Arial"/>
        </w:rPr>
        <w:t xml:space="preserve"> and placed on magnet for 1 min. Probe-enriched samples were then transferred to a new tube and resolved by 12% gel SDS-PAGE. To check whether click reaction worked, TAMRA in-gel fluorescence was visualised using a Typhoon Biomolecular Imager (</w:t>
      </w:r>
      <w:r w:rsidRPr="00BC18D3">
        <w:rPr>
          <w:rFonts w:ascii="Arial" w:eastAsia="Calibri" w:hAnsi="Arial" w:cs="Arial"/>
        </w:rPr>
        <w:sym w:font="Symbol" w:char="F06C"/>
      </w:r>
      <w:proofErr w:type="spellStart"/>
      <w:r w:rsidRPr="00BC18D3">
        <w:rPr>
          <w:rFonts w:ascii="Arial" w:eastAsia="Calibri" w:hAnsi="Arial" w:cs="Arial"/>
          <w:vertAlign w:val="subscript"/>
        </w:rPr>
        <w:t>exc</w:t>
      </w:r>
      <w:proofErr w:type="spellEnd"/>
      <w:r w:rsidRPr="00BC18D3">
        <w:rPr>
          <w:rFonts w:ascii="Arial" w:eastAsia="Calibri" w:hAnsi="Arial" w:cs="Arial"/>
        </w:rPr>
        <w:t xml:space="preserve">= 552 nm, </w:t>
      </w:r>
      <w:r w:rsidRPr="00BC18D3">
        <w:rPr>
          <w:rFonts w:ascii="Arial" w:eastAsia="Calibri" w:hAnsi="Arial" w:cs="Arial"/>
        </w:rPr>
        <w:sym w:font="Symbol" w:char="F06C"/>
      </w:r>
      <w:proofErr w:type="spellStart"/>
      <w:r w:rsidRPr="00BC18D3">
        <w:rPr>
          <w:rFonts w:ascii="Arial" w:eastAsia="Calibri" w:hAnsi="Arial" w:cs="Arial"/>
          <w:vertAlign w:val="subscript"/>
        </w:rPr>
        <w:t>em</w:t>
      </w:r>
      <w:proofErr w:type="spellEnd"/>
      <w:r w:rsidRPr="00BC18D3">
        <w:rPr>
          <w:rFonts w:ascii="Arial" w:eastAsia="Calibri" w:hAnsi="Arial" w:cs="Arial"/>
        </w:rPr>
        <w:t xml:space="preserve">=570 nm; Amersham GE Healthcare). Thus, proteins were transferred to PDVF membranes using an </w:t>
      </w:r>
      <w:proofErr w:type="spellStart"/>
      <w:r w:rsidRPr="00BC18D3">
        <w:rPr>
          <w:rFonts w:ascii="Arial" w:eastAsia="Calibri" w:hAnsi="Arial" w:cs="Arial"/>
        </w:rPr>
        <w:t>iBlot</w:t>
      </w:r>
      <w:proofErr w:type="spellEnd"/>
      <w:r w:rsidRPr="00BC18D3">
        <w:rPr>
          <w:rFonts w:ascii="Arial" w:eastAsia="Calibri" w:hAnsi="Arial" w:cs="Arial"/>
        </w:rPr>
        <w:t xml:space="preserve"> Gel </w:t>
      </w:r>
      <w:r w:rsidRPr="00BC18D3">
        <w:rPr>
          <w:rFonts w:ascii="Arial" w:eastAsia="Calibri" w:hAnsi="Arial" w:cs="Arial"/>
        </w:rPr>
        <w:lastRenderedPageBreak/>
        <w:t xml:space="preserve">Transfer (Life Technologies) for 1 hour at 100 V. Then membranes were blotted and developed as mentioned above (see </w:t>
      </w:r>
      <w:r w:rsidRPr="00BC18D3">
        <w:rPr>
          <w:rFonts w:ascii="Arial" w:eastAsia="Calibri" w:hAnsi="Arial" w:cs="Arial"/>
          <w:i/>
        </w:rPr>
        <w:t xml:space="preserve">Western blot </w:t>
      </w:r>
      <w:r w:rsidRPr="00BC18D3">
        <w:rPr>
          <w:rFonts w:ascii="Arial" w:eastAsia="Calibri" w:hAnsi="Arial" w:cs="Arial"/>
        </w:rPr>
        <w:t xml:space="preserve">section) using as primary antibodies anti-STAT3 (Cell Signalling, #124H6) and anti-GAPDH </w:t>
      </w:r>
      <w:r w:rsidRPr="00BC18D3">
        <w:rPr>
          <w:rFonts w:ascii="Arial" w:eastAsia="Times New Roman" w:hAnsi="Arial" w:cs="Arial"/>
          <w:bCs/>
          <w:color w:val="000000" w:themeColor="text1"/>
        </w:rPr>
        <w:t>(Abcam, #Ab9485).</w:t>
      </w:r>
    </w:p>
    <w:sectPr w:rsidR="00A640AA" w:rsidRPr="00B9662E" w:rsidSect="00A81F2E">
      <w:foot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E4AA1" w14:textId="77777777" w:rsidR="009134DB" w:rsidRDefault="009134DB" w:rsidP="00151EBA">
      <w:r>
        <w:separator/>
      </w:r>
    </w:p>
  </w:endnote>
  <w:endnote w:type="continuationSeparator" w:id="0">
    <w:p w14:paraId="68B37671" w14:textId="77777777" w:rsidR="009134DB" w:rsidRDefault="009134DB" w:rsidP="0015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0771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58813" w14:textId="50F42FF3" w:rsidR="00151EBA" w:rsidRDefault="00151E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C591F9" w14:textId="77777777" w:rsidR="00151EBA" w:rsidRDefault="00151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75356" w14:textId="77777777" w:rsidR="009134DB" w:rsidRDefault="009134DB" w:rsidP="00151EBA">
      <w:r>
        <w:separator/>
      </w:r>
    </w:p>
  </w:footnote>
  <w:footnote w:type="continuationSeparator" w:id="0">
    <w:p w14:paraId="03C6CD95" w14:textId="77777777" w:rsidR="009134DB" w:rsidRDefault="009134DB" w:rsidP="00151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1E9"/>
    <w:rsid w:val="00020121"/>
    <w:rsid w:val="00031FEE"/>
    <w:rsid w:val="00043D24"/>
    <w:rsid w:val="0005498E"/>
    <w:rsid w:val="00055B2C"/>
    <w:rsid w:val="00080913"/>
    <w:rsid w:val="00091D6A"/>
    <w:rsid w:val="00096F70"/>
    <w:rsid w:val="000A15C3"/>
    <w:rsid w:val="000B528F"/>
    <w:rsid w:val="000C0D3F"/>
    <w:rsid w:val="000C504A"/>
    <w:rsid w:val="000E14C7"/>
    <w:rsid w:val="000E194F"/>
    <w:rsid w:val="000E33B5"/>
    <w:rsid w:val="000E5DCD"/>
    <w:rsid w:val="001433A3"/>
    <w:rsid w:val="00151EBA"/>
    <w:rsid w:val="001541A5"/>
    <w:rsid w:val="0016302A"/>
    <w:rsid w:val="0016620E"/>
    <w:rsid w:val="00167825"/>
    <w:rsid w:val="001773BE"/>
    <w:rsid w:val="001820D3"/>
    <w:rsid w:val="001A21A8"/>
    <w:rsid w:val="001B75D6"/>
    <w:rsid w:val="001C4983"/>
    <w:rsid w:val="001F225B"/>
    <w:rsid w:val="001F354B"/>
    <w:rsid w:val="001F60C7"/>
    <w:rsid w:val="00210FC0"/>
    <w:rsid w:val="00237E82"/>
    <w:rsid w:val="00242D0D"/>
    <w:rsid w:val="00246A52"/>
    <w:rsid w:val="00271A4F"/>
    <w:rsid w:val="0027447C"/>
    <w:rsid w:val="00291988"/>
    <w:rsid w:val="002A0201"/>
    <w:rsid w:val="002A503F"/>
    <w:rsid w:val="0031237D"/>
    <w:rsid w:val="00320714"/>
    <w:rsid w:val="0032671B"/>
    <w:rsid w:val="00330818"/>
    <w:rsid w:val="00347C0A"/>
    <w:rsid w:val="00351AEF"/>
    <w:rsid w:val="00367558"/>
    <w:rsid w:val="003827F4"/>
    <w:rsid w:val="00387263"/>
    <w:rsid w:val="003A03A0"/>
    <w:rsid w:val="003B5211"/>
    <w:rsid w:val="003F6E04"/>
    <w:rsid w:val="003F76EE"/>
    <w:rsid w:val="00443D3D"/>
    <w:rsid w:val="00444E05"/>
    <w:rsid w:val="004605FE"/>
    <w:rsid w:val="004663B7"/>
    <w:rsid w:val="004669E4"/>
    <w:rsid w:val="0048303F"/>
    <w:rsid w:val="00483D96"/>
    <w:rsid w:val="00487C51"/>
    <w:rsid w:val="004976BA"/>
    <w:rsid w:val="004A081C"/>
    <w:rsid w:val="004A4733"/>
    <w:rsid w:val="004C1CE2"/>
    <w:rsid w:val="00501213"/>
    <w:rsid w:val="0050764B"/>
    <w:rsid w:val="00507A05"/>
    <w:rsid w:val="00510565"/>
    <w:rsid w:val="0052611E"/>
    <w:rsid w:val="005612A9"/>
    <w:rsid w:val="00571A0B"/>
    <w:rsid w:val="00574ED8"/>
    <w:rsid w:val="00583A54"/>
    <w:rsid w:val="00587F58"/>
    <w:rsid w:val="00591FA3"/>
    <w:rsid w:val="005A6279"/>
    <w:rsid w:val="005B4567"/>
    <w:rsid w:val="00600FFB"/>
    <w:rsid w:val="00601137"/>
    <w:rsid w:val="006218EC"/>
    <w:rsid w:val="00630A65"/>
    <w:rsid w:val="006327EF"/>
    <w:rsid w:val="00633D4C"/>
    <w:rsid w:val="006364D9"/>
    <w:rsid w:val="00641712"/>
    <w:rsid w:val="00646F03"/>
    <w:rsid w:val="0065364A"/>
    <w:rsid w:val="006566B1"/>
    <w:rsid w:val="006637F5"/>
    <w:rsid w:val="00697A58"/>
    <w:rsid w:val="006A77B0"/>
    <w:rsid w:val="006A7AF4"/>
    <w:rsid w:val="00726795"/>
    <w:rsid w:val="00757CEF"/>
    <w:rsid w:val="00771DCF"/>
    <w:rsid w:val="0077785B"/>
    <w:rsid w:val="007E5115"/>
    <w:rsid w:val="008379CD"/>
    <w:rsid w:val="00843A96"/>
    <w:rsid w:val="0085040E"/>
    <w:rsid w:val="00870FD3"/>
    <w:rsid w:val="008B4D10"/>
    <w:rsid w:val="008E12C7"/>
    <w:rsid w:val="008F1147"/>
    <w:rsid w:val="00910B6B"/>
    <w:rsid w:val="009134DB"/>
    <w:rsid w:val="0091388B"/>
    <w:rsid w:val="00920076"/>
    <w:rsid w:val="00925996"/>
    <w:rsid w:val="00927598"/>
    <w:rsid w:val="00927CF5"/>
    <w:rsid w:val="00962557"/>
    <w:rsid w:val="009626B7"/>
    <w:rsid w:val="00995561"/>
    <w:rsid w:val="009A6BA9"/>
    <w:rsid w:val="009D0FB1"/>
    <w:rsid w:val="00A05808"/>
    <w:rsid w:val="00A3401A"/>
    <w:rsid w:val="00A427AA"/>
    <w:rsid w:val="00A43922"/>
    <w:rsid w:val="00A61ACC"/>
    <w:rsid w:val="00A61F6F"/>
    <w:rsid w:val="00A640AA"/>
    <w:rsid w:val="00A81F2E"/>
    <w:rsid w:val="00A9078A"/>
    <w:rsid w:val="00A9145B"/>
    <w:rsid w:val="00AB70DD"/>
    <w:rsid w:val="00AD3B27"/>
    <w:rsid w:val="00AE170B"/>
    <w:rsid w:val="00B02863"/>
    <w:rsid w:val="00B10BF0"/>
    <w:rsid w:val="00B830EE"/>
    <w:rsid w:val="00B9662E"/>
    <w:rsid w:val="00BB7111"/>
    <w:rsid w:val="00BE7834"/>
    <w:rsid w:val="00BF39FB"/>
    <w:rsid w:val="00C40A9D"/>
    <w:rsid w:val="00C44F3C"/>
    <w:rsid w:val="00C72755"/>
    <w:rsid w:val="00C95602"/>
    <w:rsid w:val="00C9679C"/>
    <w:rsid w:val="00CB4CF2"/>
    <w:rsid w:val="00CC080D"/>
    <w:rsid w:val="00CC11A9"/>
    <w:rsid w:val="00CE0A42"/>
    <w:rsid w:val="00CE7C90"/>
    <w:rsid w:val="00D05D58"/>
    <w:rsid w:val="00D3533D"/>
    <w:rsid w:val="00D60848"/>
    <w:rsid w:val="00D62848"/>
    <w:rsid w:val="00D655CC"/>
    <w:rsid w:val="00D716B9"/>
    <w:rsid w:val="00DC59E4"/>
    <w:rsid w:val="00E07BF8"/>
    <w:rsid w:val="00E1260D"/>
    <w:rsid w:val="00E17935"/>
    <w:rsid w:val="00E2286F"/>
    <w:rsid w:val="00E261E9"/>
    <w:rsid w:val="00E361AC"/>
    <w:rsid w:val="00E40AA9"/>
    <w:rsid w:val="00EB27C9"/>
    <w:rsid w:val="00EF1271"/>
    <w:rsid w:val="00EF682C"/>
    <w:rsid w:val="00F02493"/>
    <w:rsid w:val="00F14EBC"/>
    <w:rsid w:val="00F2679F"/>
    <w:rsid w:val="00F53654"/>
    <w:rsid w:val="00F54ECE"/>
    <w:rsid w:val="00F64BF6"/>
    <w:rsid w:val="00F92A0E"/>
    <w:rsid w:val="00FA6FEF"/>
    <w:rsid w:val="00FE1F8C"/>
    <w:rsid w:val="00FE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2D545"/>
  <w14:defaultImageDpi w14:val="32767"/>
  <w15:docId w15:val="{854BDFCD-2846-40B8-A397-7257F596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EB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51E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EBA"/>
  </w:style>
  <w:style w:type="paragraph" w:styleId="Footer">
    <w:name w:val="footer"/>
    <w:basedOn w:val="Normal"/>
    <w:link w:val="FooterChar"/>
    <w:uiPriority w:val="99"/>
    <w:unhideWhenUsed/>
    <w:rsid w:val="00151E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E507C-55BE-43E5-9D8D-8F97C77F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Paterson Institute for Cancer Research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bruno_sms bruno_sms</cp:lastModifiedBy>
  <cp:revision>11</cp:revision>
  <dcterms:created xsi:type="dcterms:W3CDTF">2020-04-30T10:13:00Z</dcterms:created>
  <dcterms:modified xsi:type="dcterms:W3CDTF">2020-05-13T01:00:00Z</dcterms:modified>
</cp:coreProperties>
</file>