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2EC9F" w14:textId="77777777" w:rsidR="00EA4669" w:rsidRPr="00A70F0F" w:rsidRDefault="00EA4669" w:rsidP="00EA4669">
      <w:pPr>
        <w:tabs>
          <w:tab w:val="left" w:pos="7213"/>
        </w:tabs>
        <w:spacing w:line="480" w:lineRule="auto"/>
        <w:jc w:val="both"/>
        <w:rPr>
          <w:rFonts w:ascii="Arial" w:hAnsi="Arial" w:cs="Arial"/>
          <w:b/>
          <w:color w:val="000000" w:themeColor="text1"/>
          <w:sz w:val="22"/>
          <w:szCs w:val="22"/>
          <w:lang w:val="en-US"/>
        </w:rPr>
      </w:pPr>
      <w:r w:rsidRPr="00A70F0F">
        <w:rPr>
          <w:rFonts w:ascii="Arial" w:hAnsi="Arial" w:cs="Arial"/>
          <w:b/>
          <w:color w:val="000000" w:themeColor="text1"/>
          <w:sz w:val="22"/>
          <w:szCs w:val="22"/>
          <w:lang w:val="en-US"/>
        </w:rPr>
        <w:t>Supplementary Figures</w:t>
      </w:r>
      <w:r w:rsidRPr="00A70F0F">
        <w:rPr>
          <w:rFonts w:ascii="Arial" w:hAnsi="Arial" w:cs="Arial"/>
          <w:b/>
          <w:color w:val="000000" w:themeColor="text1"/>
          <w:sz w:val="22"/>
          <w:szCs w:val="22"/>
          <w:lang w:val="en-US"/>
        </w:rPr>
        <w:tab/>
      </w:r>
    </w:p>
    <w:p w14:paraId="527C7D15" w14:textId="77777777" w:rsidR="00EA4669" w:rsidRPr="00A70F0F" w:rsidRDefault="00EA4669" w:rsidP="00EA4669">
      <w:pPr>
        <w:spacing w:line="480" w:lineRule="auto"/>
        <w:jc w:val="both"/>
        <w:rPr>
          <w:rFonts w:ascii="Arial" w:hAnsi="Arial" w:cs="Arial"/>
          <w:b/>
          <w:color w:val="000000" w:themeColor="text1"/>
          <w:sz w:val="22"/>
          <w:szCs w:val="22"/>
          <w:lang w:val="en-US"/>
        </w:rPr>
      </w:pPr>
    </w:p>
    <w:p w14:paraId="0CD76912" w14:textId="77777777" w:rsidR="00EA4669" w:rsidRPr="00A70F0F" w:rsidRDefault="00EA4669" w:rsidP="00EA4669">
      <w:pPr>
        <w:spacing w:line="480" w:lineRule="auto"/>
        <w:jc w:val="both"/>
        <w:rPr>
          <w:rFonts w:ascii="Arial" w:hAnsi="Arial" w:cs="Arial"/>
          <w:b/>
          <w:bCs/>
          <w:color w:val="000000" w:themeColor="text1"/>
          <w:sz w:val="22"/>
          <w:szCs w:val="22"/>
          <w:lang w:val="en-US"/>
        </w:rPr>
      </w:pPr>
      <w:r w:rsidRPr="00A70F0F">
        <w:rPr>
          <w:rFonts w:ascii="Arial" w:hAnsi="Arial" w:cs="Arial"/>
          <w:b/>
          <w:bCs/>
          <w:color w:val="000000" w:themeColor="text1"/>
          <w:sz w:val="22"/>
          <w:szCs w:val="22"/>
          <w:lang w:val="en-US"/>
        </w:rPr>
        <w:t xml:space="preserve">Supplementary Figure 1. The isoforms of H2A.Z are highly expressed in tissues of PDAC patients. </w:t>
      </w:r>
    </w:p>
    <w:p w14:paraId="3EE6943B" w14:textId="77777777" w:rsidR="00EA4669" w:rsidRPr="00A70F0F" w:rsidRDefault="00EA4669" w:rsidP="00EA4669">
      <w:pPr>
        <w:spacing w:line="480" w:lineRule="auto"/>
        <w:jc w:val="both"/>
        <w:rPr>
          <w:rFonts w:ascii="Arial" w:hAnsi="Arial" w:cs="Arial"/>
          <w:color w:val="000000" w:themeColor="text1"/>
          <w:sz w:val="22"/>
          <w:szCs w:val="22"/>
          <w:lang w:val="en-US"/>
        </w:rPr>
      </w:pPr>
      <w:r w:rsidRPr="00A70F0F">
        <w:rPr>
          <w:rFonts w:ascii="Arial" w:hAnsi="Arial" w:cs="Arial"/>
          <w:b/>
          <w:color w:val="000000" w:themeColor="text1"/>
          <w:sz w:val="22"/>
          <w:szCs w:val="22"/>
          <w:lang w:val="en-US"/>
        </w:rPr>
        <w:t>a.</w:t>
      </w:r>
      <w:r w:rsidRPr="00A70F0F">
        <w:rPr>
          <w:rFonts w:ascii="Arial" w:hAnsi="Arial" w:cs="Arial"/>
          <w:color w:val="000000" w:themeColor="text1"/>
          <w:sz w:val="22"/>
          <w:szCs w:val="22"/>
          <w:lang w:val="en-US"/>
        </w:rPr>
        <w:t xml:space="preserve"> Normal and PDAC tissues were analyzed by IHC using anti-H2A.Z </w:t>
      </w:r>
      <w:r w:rsidRPr="00A70F0F">
        <w:rPr>
          <w:rFonts w:ascii="Arial" w:hAnsi="Arial" w:cs="Arial"/>
          <w:color w:val="000000" w:themeColor="text1"/>
          <w:sz w:val="22"/>
          <w:szCs w:val="22"/>
          <w:lang w:val="en-US"/>
        </w:rPr>
        <w:fldChar w:fldCharType="begin"/>
      </w:r>
      <w:r w:rsidRPr="00A70F0F">
        <w:rPr>
          <w:rFonts w:ascii="Arial" w:hAnsi="Arial" w:cs="Arial"/>
          <w:color w:val="000000" w:themeColor="text1"/>
          <w:sz w:val="22"/>
          <w:szCs w:val="22"/>
          <w:lang w:val="en-US"/>
        </w:rPr>
        <w:instrText xml:space="preserve"> ADDIN EN.CITE &lt;EndNote&gt;&lt;Cite ExcludeYear="1"&gt;&lt;Author&gt;Ridgway&lt;/Author&gt;&lt;Year&gt;2004&lt;/Year&gt;&lt;RecNum&gt;40&lt;/RecNum&gt;&lt;DisplayText&gt;(17)&lt;/DisplayText&gt;&lt;record&gt;&lt;rec-number&gt;40&lt;/rec-number&gt;&lt;foreign-keys&gt;&lt;key app="EN" db-id="0s52svet2wp5f0et5tpve9x1pas5srdrw5t9" timestamp="1552517724"&gt;40&lt;/key&gt;&lt;/foreign-keys&gt;&lt;ref-type name="Journal Article"&gt;17&lt;/ref-type&gt;&lt;contributors&gt;&lt;authors&gt;&lt;author&gt;Ridgway, P.&lt;/author&gt;&lt;author&gt;Brown, K. D.&lt;/author&gt;&lt;author&gt;Rangasamy, D.&lt;/author&gt;&lt;author&gt;Svensson, U.&lt;/author&gt;&lt;author&gt;Tremethick, D. J.&lt;/author&gt;&lt;/authors&gt;&lt;/contributors&gt;&lt;auth-address&gt;John Curtin School of Medical Research, The Australian National University, Canberra, Australian Capital Territory 0200. Pat.Ridgway@anu.edu.au&lt;/auth-address&gt;&lt;titles&gt;&lt;title&gt;Unique residues on the H2A.Z containing nucleosome surface are important for Xenopus laevis development&lt;/title&gt;&lt;secondary-title&gt;J Biol Chem&lt;/secondary-title&gt;&lt;/titles&gt;&lt;periodical&gt;&lt;full-title&gt;J Biol Chem&lt;/full-title&gt;&lt;/periodical&gt;&lt;pages&gt;43815-20&lt;/pages&gt;&lt;volume&gt;279&lt;/volume&gt;&lt;number&gt;42&lt;/number&gt;&lt;keywords&gt;&lt;keyword&gt;Amino Acid Sequence&lt;/keyword&gt;&lt;keyword&gt;Animals&lt;/keyword&gt;&lt;keyword&gt;Conserved Sequence&lt;/keyword&gt;&lt;keyword&gt;Histones/genetics/*metabolism&lt;/keyword&gt;&lt;keyword&gt;Mice&lt;/keyword&gt;&lt;keyword&gt;Molecular Sequence Data&lt;/keyword&gt;&lt;keyword&gt;Morphogenesis&lt;/keyword&gt;&lt;keyword&gt;Sequence Alignment&lt;/keyword&gt;&lt;keyword&gt;Sequence Homology, Amino Acid&lt;/keyword&gt;&lt;keyword&gt;Xenopus Proteins/genetics/*metabolism&lt;/keyword&gt;&lt;keyword&gt;Xenopus laevis/*embryology&lt;/keyword&gt;&lt;/keywords&gt;&lt;dates&gt;&lt;year&gt;2004&lt;/year&gt;&lt;pub-dates&gt;&lt;date&gt;Oct 15&lt;/date&gt;&lt;/pub-dates&gt;&lt;/dates&gt;&lt;isbn&gt;0021-9258 (Print)&amp;#xD;0021-9258 (Linking)&lt;/isbn&gt;&lt;accession-num&gt;15299007&lt;/accession-num&gt;&lt;urls&gt;&lt;related-urls&gt;&lt;url&gt;https://www.ncbi.nlm.nih.gov/pubmed/15299007&lt;/url&gt;&lt;/related-urls&gt;&lt;/urls&gt;&lt;electronic-resource-num&gt;10.1074/jbc.M408409200&lt;/electronic-resource-num&gt;&lt;/record&gt;&lt;/Cite&gt;&lt;/EndNote&gt;</w:instrText>
      </w:r>
      <w:r w:rsidRPr="00A70F0F">
        <w:rPr>
          <w:rFonts w:ascii="Arial" w:hAnsi="Arial" w:cs="Arial"/>
          <w:color w:val="000000" w:themeColor="text1"/>
          <w:sz w:val="22"/>
          <w:szCs w:val="22"/>
          <w:lang w:val="en-US"/>
        </w:rPr>
        <w:fldChar w:fldCharType="end"/>
      </w:r>
      <w:r w:rsidRPr="00A70F0F">
        <w:rPr>
          <w:rFonts w:ascii="Arial" w:hAnsi="Arial" w:cs="Arial"/>
          <w:color w:val="000000" w:themeColor="text1"/>
          <w:sz w:val="22"/>
          <w:szCs w:val="22"/>
          <w:lang w:val="en-US"/>
        </w:rPr>
        <w:t xml:space="preserve"> and anti-CK-7 antibodies (pink). Six representative images are shown. Scale bars = 100 (20X) or 400 </w:t>
      </w:r>
      <w:r w:rsidRPr="00A70F0F">
        <w:rPr>
          <w:rFonts w:ascii="Arial" w:hAnsi="Arial" w:cs="Arial"/>
          <w:color w:val="000000" w:themeColor="text1"/>
          <w:sz w:val="22"/>
          <w:szCs w:val="22"/>
        </w:rPr>
        <w:t>μ</w:t>
      </w:r>
      <w:r w:rsidRPr="00A70F0F">
        <w:rPr>
          <w:rFonts w:ascii="Arial" w:hAnsi="Arial" w:cs="Arial"/>
          <w:color w:val="000000" w:themeColor="text1"/>
          <w:sz w:val="22"/>
          <w:szCs w:val="22"/>
          <w:lang w:val="en-US"/>
        </w:rPr>
        <w:t xml:space="preserve">m (40X). </w:t>
      </w:r>
      <w:r w:rsidRPr="00A70F0F">
        <w:rPr>
          <w:rFonts w:ascii="Arial" w:hAnsi="Arial" w:cs="Arial"/>
          <w:b/>
          <w:color w:val="000000" w:themeColor="text1"/>
          <w:sz w:val="22"/>
          <w:szCs w:val="22"/>
          <w:lang w:val="en-US"/>
        </w:rPr>
        <w:t>b.</w:t>
      </w:r>
      <w:r w:rsidRPr="00A70F0F">
        <w:rPr>
          <w:rFonts w:ascii="Arial" w:hAnsi="Arial" w:cs="Arial"/>
          <w:color w:val="000000" w:themeColor="text1"/>
          <w:sz w:val="22"/>
          <w:szCs w:val="22"/>
          <w:lang w:val="en-US"/>
        </w:rPr>
        <w:t xml:space="preserve"> Normal and PDAC tissues were analyzed by immunofluorescence assays (IFAs), using anti-H2A.Z (red) and anti-cytokeratin 7 antibodies (CK-7) (green). Four representative images of control and PDAC tissue are shown. Scale bar = 10 </w:t>
      </w:r>
      <w:r w:rsidRPr="00A70F0F">
        <w:rPr>
          <w:rFonts w:ascii="Arial" w:hAnsi="Arial" w:cs="Arial"/>
          <w:color w:val="000000" w:themeColor="text1"/>
          <w:sz w:val="22"/>
          <w:szCs w:val="22"/>
        </w:rPr>
        <w:t>μ</w:t>
      </w:r>
      <w:r w:rsidRPr="00A70F0F">
        <w:rPr>
          <w:rFonts w:ascii="Arial" w:hAnsi="Arial" w:cs="Arial"/>
          <w:color w:val="000000" w:themeColor="text1"/>
          <w:sz w:val="22"/>
          <w:szCs w:val="22"/>
          <w:lang w:val="en-US"/>
        </w:rPr>
        <w:t xml:space="preserve">m. </w:t>
      </w:r>
      <w:r w:rsidRPr="00A70F0F">
        <w:rPr>
          <w:rFonts w:ascii="Arial" w:hAnsi="Arial" w:cs="Arial"/>
          <w:b/>
          <w:color w:val="000000" w:themeColor="text1"/>
          <w:sz w:val="22"/>
          <w:szCs w:val="22"/>
          <w:lang w:val="en-US"/>
        </w:rPr>
        <w:t>c.</w:t>
      </w:r>
      <w:r w:rsidRPr="00A70F0F">
        <w:rPr>
          <w:rFonts w:ascii="Arial" w:hAnsi="Arial" w:cs="Arial"/>
          <w:color w:val="000000" w:themeColor="text1"/>
          <w:sz w:val="22"/>
          <w:szCs w:val="22"/>
          <w:lang w:val="en-US"/>
        </w:rPr>
        <w:t xml:space="preserve"> Corrected total cell fluorescence of H2A.Z in IFAs. Statistical differences between two groups were evaluated by unpaired two-tailed Student's t-test. ****p- value=&lt;0.0001 </w:t>
      </w:r>
    </w:p>
    <w:p w14:paraId="2ED17A38" w14:textId="77777777" w:rsidR="00EA4669" w:rsidRPr="00A70F0F" w:rsidRDefault="00EA4669" w:rsidP="00EA4669">
      <w:pPr>
        <w:spacing w:line="480" w:lineRule="auto"/>
        <w:jc w:val="both"/>
        <w:rPr>
          <w:rFonts w:ascii="Arial" w:hAnsi="Arial" w:cs="Arial"/>
          <w:color w:val="000000" w:themeColor="text1"/>
          <w:sz w:val="22"/>
          <w:szCs w:val="22"/>
          <w:lang w:val="en-US"/>
        </w:rPr>
      </w:pPr>
    </w:p>
    <w:p w14:paraId="354A8791" w14:textId="77777777" w:rsidR="00EA4669" w:rsidRPr="00A70F0F" w:rsidRDefault="00EA4669" w:rsidP="00EA4669">
      <w:pPr>
        <w:spacing w:line="480" w:lineRule="auto"/>
        <w:jc w:val="both"/>
        <w:rPr>
          <w:rFonts w:ascii="Arial" w:hAnsi="Arial" w:cs="Arial"/>
          <w:b/>
          <w:bCs/>
          <w:color w:val="000000" w:themeColor="text1"/>
          <w:sz w:val="22"/>
          <w:szCs w:val="22"/>
          <w:lang w:val="en-US"/>
        </w:rPr>
      </w:pPr>
      <w:r w:rsidRPr="00A70F0F">
        <w:rPr>
          <w:rFonts w:ascii="Arial" w:hAnsi="Arial" w:cs="Arial"/>
          <w:b/>
          <w:bCs/>
          <w:color w:val="000000" w:themeColor="text1"/>
          <w:sz w:val="22"/>
          <w:szCs w:val="22"/>
          <w:lang w:val="en-US"/>
        </w:rPr>
        <w:t>Supplementary Figure 2. The knockdown clones decrease the expression of the three isoforms of H2A.Z at different levels.</w:t>
      </w:r>
    </w:p>
    <w:p w14:paraId="073F9B9F" w14:textId="77777777" w:rsidR="00EA4669" w:rsidRPr="00A70F0F" w:rsidRDefault="00EA4669" w:rsidP="00E528D8">
      <w:pPr>
        <w:pStyle w:val="Prrafodelista"/>
        <w:numPr>
          <w:ilvl w:val="0"/>
          <w:numId w:val="1"/>
        </w:numPr>
        <w:spacing w:line="480" w:lineRule="auto"/>
        <w:ind w:left="0" w:firstLine="0"/>
        <w:jc w:val="both"/>
        <w:rPr>
          <w:rFonts w:ascii="Arial" w:hAnsi="Arial" w:cs="Arial"/>
          <w:color w:val="000000" w:themeColor="text1"/>
          <w:sz w:val="22"/>
          <w:szCs w:val="22"/>
          <w:lang w:val="en-US"/>
        </w:rPr>
      </w:pPr>
      <w:r w:rsidRPr="00A70F0F">
        <w:rPr>
          <w:rFonts w:ascii="Arial" w:hAnsi="Arial" w:cs="Arial"/>
          <w:color w:val="000000" w:themeColor="text1"/>
          <w:sz w:val="22"/>
          <w:szCs w:val="22"/>
          <w:lang w:val="en-US"/>
        </w:rPr>
        <w:t xml:space="preserve">Exon/intron schematic of H2A.Z.1, H2A.Z.2.1 and H2A.Z.2.2 genes. Exons are shown as boxes, introns are shown as gray lines and UTR regions are shown as gray boxes (scheme not in real scale). The location of the shRNA sequences used to generate the lentiviral particles are showed as pale red lines (see table 3 for sequences). </w:t>
      </w:r>
      <w:r w:rsidRPr="00A70F0F">
        <w:rPr>
          <w:rFonts w:ascii="Arial" w:hAnsi="Arial" w:cs="Arial"/>
          <w:b/>
          <w:color w:val="000000" w:themeColor="text1"/>
          <w:sz w:val="22"/>
          <w:szCs w:val="22"/>
          <w:lang w:val="en-US"/>
        </w:rPr>
        <w:t>b.</w:t>
      </w:r>
      <w:r w:rsidRPr="00A70F0F">
        <w:rPr>
          <w:rFonts w:ascii="Arial" w:hAnsi="Arial" w:cs="Arial"/>
          <w:color w:val="000000" w:themeColor="text1"/>
          <w:sz w:val="22"/>
          <w:szCs w:val="22"/>
          <w:lang w:val="en-US"/>
        </w:rPr>
        <w:t xml:space="preserve"> Expression of H2A.Z.1, H2A.Z.2.1 and H2A.Z.2.2 analyzed by RT-qPCR in the KD population normalized to </w:t>
      </w:r>
      <w:proofErr w:type="spellStart"/>
      <w:r w:rsidRPr="00A70F0F">
        <w:rPr>
          <w:rFonts w:ascii="Arial" w:hAnsi="Arial" w:cs="Arial"/>
          <w:color w:val="000000" w:themeColor="text1"/>
          <w:sz w:val="22"/>
          <w:szCs w:val="22"/>
          <w:lang w:val="en-US"/>
        </w:rPr>
        <w:t>untransduced</w:t>
      </w:r>
      <w:proofErr w:type="spellEnd"/>
      <w:r w:rsidRPr="00A70F0F">
        <w:rPr>
          <w:rFonts w:ascii="Arial" w:hAnsi="Arial" w:cs="Arial"/>
          <w:color w:val="000000" w:themeColor="text1"/>
          <w:sz w:val="22"/>
          <w:szCs w:val="22"/>
          <w:lang w:val="en-US"/>
        </w:rPr>
        <w:t xml:space="preserve"> PANC-1 cells. GAPDH was used as house-keeping gene. The </w:t>
      </w:r>
      <w:proofErr w:type="spellStart"/>
      <w:r w:rsidRPr="00A70F0F">
        <w:rPr>
          <w:rFonts w:ascii="Arial" w:hAnsi="Arial" w:cs="Arial"/>
          <w:color w:val="000000" w:themeColor="text1"/>
          <w:sz w:val="22"/>
          <w:szCs w:val="22"/>
          <w:lang w:val="en-US"/>
        </w:rPr>
        <w:t>means±SEM</w:t>
      </w:r>
      <w:proofErr w:type="spellEnd"/>
      <w:r w:rsidRPr="00A70F0F">
        <w:rPr>
          <w:rFonts w:ascii="Arial" w:hAnsi="Arial" w:cs="Arial"/>
          <w:color w:val="000000" w:themeColor="text1"/>
          <w:sz w:val="22"/>
          <w:szCs w:val="22"/>
          <w:lang w:val="en-US"/>
        </w:rPr>
        <w:t xml:space="preserve"> of three biological replicates are shown. Significance was analyzed by two-way ANOVA. ****p-value=&lt;0.0001. </w:t>
      </w:r>
      <w:r w:rsidRPr="00A70F0F">
        <w:rPr>
          <w:rFonts w:ascii="Arial" w:hAnsi="Arial" w:cs="Arial"/>
          <w:b/>
          <w:color w:val="000000" w:themeColor="text1"/>
          <w:sz w:val="22"/>
          <w:szCs w:val="22"/>
          <w:lang w:val="en-US"/>
        </w:rPr>
        <w:t>c.</w:t>
      </w:r>
      <w:r w:rsidRPr="00A70F0F">
        <w:rPr>
          <w:rFonts w:ascii="Arial" w:hAnsi="Arial" w:cs="Arial"/>
          <w:color w:val="000000" w:themeColor="text1"/>
          <w:sz w:val="22"/>
          <w:szCs w:val="22"/>
          <w:lang w:val="en-US"/>
        </w:rPr>
        <w:t xml:space="preserve"> Total protein extracts were analyzed by Western blot using anti-H2AZ antibody. Anti-H3 antibody was used as loading control (n=2). </w:t>
      </w:r>
      <w:r w:rsidRPr="00A70F0F">
        <w:rPr>
          <w:rFonts w:ascii="Arial" w:hAnsi="Arial" w:cs="Arial"/>
          <w:b/>
          <w:color w:val="000000" w:themeColor="text1"/>
          <w:sz w:val="22"/>
          <w:szCs w:val="22"/>
          <w:lang w:val="en-US"/>
        </w:rPr>
        <w:t>d</w:t>
      </w:r>
      <w:r w:rsidRPr="00A70F0F">
        <w:rPr>
          <w:rFonts w:ascii="Arial" w:hAnsi="Arial" w:cs="Arial"/>
          <w:color w:val="000000" w:themeColor="text1"/>
          <w:sz w:val="22"/>
          <w:szCs w:val="22"/>
          <w:lang w:val="en-US"/>
        </w:rPr>
        <w:t xml:space="preserve">. Depletion was confirmed by RT-qPCR in the four H2A.Z KD clones. In all of them the three isoforms of H2A.Z were decreased to different levels compared to the </w:t>
      </w:r>
      <w:proofErr w:type="spellStart"/>
      <w:r w:rsidRPr="00A70F0F">
        <w:rPr>
          <w:rFonts w:ascii="Arial" w:hAnsi="Arial" w:cs="Arial"/>
          <w:color w:val="000000" w:themeColor="text1"/>
          <w:sz w:val="22"/>
          <w:szCs w:val="22"/>
          <w:lang w:val="en-US"/>
        </w:rPr>
        <w:t>untransduced</w:t>
      </w:r>
      <w:proofErr w:type="spellEnd"/>
      <w:r w:rsidRPr="00A70F0F">
        <w:rPr>
          <w:rFonts w:ascii="Arial" w:hAnsi="Arial" w:cs="Arial"/>
          <w:color w:val="000000" w:themeColor="text1"/>
          <w:sz w:val="22"/>
          <w:szCs w:val="22"/>
          <w:lang w:val="en-US"/>
        </w:rPr>
        <w:t xml:space="preserve"> cell line PANC-1. The </w:t>
      </w:r>
      <w:proofErr w:type="spellStart"/>
      <w:r w:rsidRPr="00A70F0F">
        <w:rPr>
          <w:rFonts w:ascii="Arial" w:hAnsi="Arial" w:cs="Arial"/>
          <w:color w:val="000000" w:themeColor="text1"/>
          <w:sz w:val="22"/>
          <w:szCs w:val="22"/>
          <w:lang w:val="en-US"/>
        </w:rPr>
        <w:t>means±SEM</w:t>
      </w:r>
      <w:proofErr w:type="spellEnd"/>
      <w:r w:rsidRPr="00A70F0F">
        <w:rPr>
          <w:rFonts w:ascii="Arial" w:hAnsi="Arial" w:cs="Arial"/>
          <w:color w:val="000000" w:themeColor="text1"/>
          <w:sz w:val="22"/>
          <w:szCs w:val="22"/>
          <w:lang w:val="en-US"/>
        </w:rPr>
        <w:t xml:space="preserve"> of three biological replicates are shown. Significance was analyzed by </w:t>
      </w:r>
      <w:r w:rsidRPr="00A70F0F">
        <w:rPr>
          <w:rFonts w:ascii="Arial" w:hAnsi="Arial" w:cs="Arial"/>
          <w:color w:val="000000" w:themeColor="text1"/>
          <w:sz w:val="22"/>
          <w:szCs w:val="22"/>
          <w:lang w:val="en-US"/>
        </w:rPr>
        <w:lastRenderedPageBreak/>
        <w:t xml:space="preserve">two-way ANOVA. *p-value=&lt;0.05; **p-value=&lt;0.01; ***p- value=&lt;0.001 ****p-value=&lt;0.0001. </w:t>
      </w:r>
      <w:r w:rsidRPr="00A70F0F">
        <w:rPr>
          <w:rFonts w:ascii="Arial" w:hAnsi="Arial" w:cs="Arial"/>
          <w:b/>
          <w:color w:val="000000" w:themeColor="text1"/>
          <w:sz w:val="22"/>
          <w:szCs w:val="22"/>
          <w:lang w:val="en-US"/>
        </w:rPr>
        <w:t>e.</w:t>
      </w:r>
      <w:r w:rsidRPr="00A70F0F">
        <w:rPr>
          <w:rFonts w:ascii="Arial" w:hAnsi="Arial" w:cs="Arial"/>
          <w:color w:val="000000" w:themeColor="text1"/>
          <w:sz w:val="22"/>
          <w:szCs w:val="22"/>
          <w:lang w:val="en-US"/>
        </w:rPr>
        <w:t xml:space="preserve"> Total extracts of the four KD clones were analyzed by western blot using an anti-H2AZ antibody. Anti-Actin antibody was used as loading control. </w:t>
      </w:r>
      <w:r w:rsidR="00E528D8" w:rsidRPr="00E528D8">
        <w:rPr>
          <w:rFonts w:ascii="Arial" w:hAnsi="Arial" w:cs="Arial"/>
          <w:b/>
          <w:bCs/>
          <w:color w:val="000000" w:themeColor="text1"/>
          <w:sz w:val="22"/>
          <w:szCs w:val="22"/>
          <w:lang w:val="en-US"/>
        </w:rPr>
        <w:t>f</w:t>
      </w:r>
      <w:r w:rsidR="00E528D8" w:rsidRPr="00A70F0F">
        <w:rPr>
          <w:rFonts w:ascii="Arial" w:hAnsi="Arial" w:cs="Arial"/>
          <w:color w:val="000000" w:themeColor="text1"/>
          <w:sz w:val="22"/>
          <w:szCs w:val="22"/>
          <w:lang w:val="en-US"/>
        </w:rPr>
        <w:t xml:space="preserve"> and</w:t>
      </w:r>
      <w:r w:rsidR="00E528D8">
        <w:rPr>
          <w:rFonts w:ascii="Arial" w:hAnsi="Arial" w:cs="Arial"/>
          <w:color w:val="000000" w:themeColor="text1"/>
          <w:sz w:val="22"/>
          <w:szCs w:val="22"/>
          <w:lang w:val="en-US"/>
        </w:rPr>
        <w:t xml:space="preserve"> </w:t>
      </w:r>
      <w:r w:rsidR="00E528D8">
        <w:rPr>
          <w:rFonts w:ascii="Arial" w:hAnsi="Arial" w:cs="Arial"/>
          <w:b/>
          <w:bCs/>
          <w:color w:val="000000" w:themeColor="text1"/>
          <w:sz w:val="22"/>
          <w:szCs w:val="22"/>
          <w:lang w:val="en-US"/>
        </w:rPr>
        <w:t>g</w:t>
      </w:r>
      <w:r w:rsidR="00E528D8" w:rsidRPr="00A70F0F">
        <w:rPr>
          <w:rFonts w:ascii="Arial" w:hAnsi="Arial" w:cs="Arial"/>
          <w:color w:val="000000" w:themeColor="text1"/>
          <w:sz w:val="22"/>
          <w:szCs w:val="22"/>
          <w:lang w:val="en-US"/>
        </w:rPr>
        <w:t xml:space="preserve">. The four KD clones show reduced proliferative capacity as determined by </w:t>
      </w:r>
      <w:proofErr w:type="spellStart"/>
      <w:r w:rsidR="00E528D8" w:rsidRPr="00A70F0F">
        <w:rPr>
          <w:rFonts w:ascii="Arial" w:hAnsi="Arial" w:cs="Arial"/>
          <w:color w:val="000000" w:themeColor="text1"/>
          <w:sz w:val="22"/>
          <w:szCs w:val="22"/>
          <w:lang w:val="en-US"/>
        </w:rPr>
        <w:t>clonogenic</w:t>
      </w:r>
      <w:proofErr w:type="spellEnd"/>
      <w:r w:rsidR="00E528D8" w:rsidRPr="00A70F0F">
        <w:rPr>
          <w:rFonts w:ascii="Arial" w:hAnsi="Arial" w:cs="Arial"/>
          <w:color w:val="000000" w:themeColor="text1"/>
          <w:sz w:val="22"/>
          <w:szCs w:val="22"/>
          <w:lang w:val="en-US"/>
        </w:rPr>
        <w:t xml:space="preserve"> assay (</w:t>
      </w:r>
      <w:r w:rsidR="00E528D8" w:rsidRPr="00E528D8">
        <w:rPr>
          <w:rFonts w:ascii="Arial" w:hAnsi="Arial" w:cs="Arial"/>
          <w:b/>
          <w:bCs/>
          <w:color w:val="000000" w:themeColor="text1"/>
          <w:sz w:val="22"/>
          <w:szCs w:val="22"/>
          <w:lang w:val="en-US"/>
        </w:rPr>
        <w:t>f</w:t>
      </w:r>
      <w:r w:rsidR="00E528D8" w:rsidRPr="00A70F0F">
        <w:rPr>
          <w:rFonts w:ascii="Arial" w:hAnsi="Arial" w:cs="Arial"/>
          <w:color w:val="000000" w:themeColor="text1"/>
          <w:sz w:val="22"/>
          <w:szCs w:val="22"/>
          <w:lang w:val="en-US"/>
        </w:rPr>
        <w:t>) and PCNA staining (</w:t>
      </w:r>
      <w:r w:rsidR="00E528D8" w:rsidRPr="00E528D8">
        <w:rPr>
          <w:rFonts w:ascii="Arial" w:hAnsi="Arial" w:cs="Arial"/>
          <w:b/>
          <w:bCs/>
          <w:color w:val="000000" w:themeColor="text1"/>
          <w:sz w:val="22"/>
          <w:szCs w:val="22"/>
          <w:lang w:val="en-US"/>
        </w:rPr>
        <w:t>g</w:t>
      </w:r>
      <w:r w:rsidR="00E528D8" w:rsidRPr="00A70F0F">
        <w:rPr>
          <w:rFonts w:ascii="Arial" w:hAnsi="Arial" w:cs="Arial"/>
          <w:color w:val="000000" w:themeColor="text1"/>
          <w:sz w:val="22"/>
          <w:szCs w:val="22"/>
          <w:lang w:val="en-US"/>
        </w:rPr>
        <w:t>) compared to the parental cell line PANC-1 and the control cell line PGAPDH. n=3</w:t>
      </w:r>
      <w:r w:rsidR="00E528D8">
        <w:rPr>
          <w:rFonts w:ascii="Arial" w:hAnsi="Arial" w:cs="Arial"/>
          <w:color w:val="000000" w:themeColor="text1"/>
          <w:sz w:val="22"/>
          <w:szCs w:val="22"/>
          <w:lang w:val="en-US"/>
        </w:rPr>
        <w:t xml:space="preserve">. </w:t>
      </w:r>
      <w:r w:rsidR="00E528D8">
        <w:rPr>
          <w:rFonts w:ascii="Arial" w:hAnsi="Arial" w:cs="Arial"/>
          <w:b/>
          <w:color w:val="000000" w:themeColor="text1"/>
          <w:sz w:val="22"/>
          <w:szCs w:val="22"/>
          <w:lang w:val="en-US"/>
        </w:rPr>
        <w:t>h</w:t>
      </w:r>
      <w:r w:rsidRPr="00A70F0F">
        <w:rPr>
          <w:rFonts w:ascii="Arial" w:hAnsi="Arial" w:cs="Arial"/>
          <w:b/>
          <w:color w:val="000000" w:themeColor="text1"/>
          <w:sz w:val="22"/>
          <w:szCs w:val="22"/>
          <w:lang w:val="en-US"/>
        </w:rPr>
        <w:t>.</w:t>
      </w:r>
      <w:r w:rsidRPr="00A70F0F">
        <w:rPr>
          <w:rFonts w:ascii="Arial" w:hAnsi="Arial" w:cs="Arial"/>
          <w:color w:val="000000" w:themeColor="text1"/>
          <w:sz w:val="22"/>
          <w:szCs w:val="22"/>
          <w:lang w:val="en-US"/>
        </w:rPr>
        <w:t xml:space="preserve"> Cell density of PANC-1, PZT-2 and PZT-1. Two representative images are shown at 15X of the culture after 48 h of growth. Scale bar = 100 </w:t>
      </w:r>
      <w:r w:rsidRPr="00A70F0F">
        <w:rPr>
          <w:rFonts w:ascii="Arial" w:hAnsi="Arial" w:cs="Arial"/>
          <w:color w:val="000000" w:themeColor="text1"/>
          <w:sz w:val="22"/>
          <w:szCs w:val="22"/>
        </w:rPr>
        <w:t>μ</w:t>
      </w:r>
      <w:r w:rsidRPr="00A70F0F">
        <w:rPr>
          <w:rFonts w:ascii="Arial" w:hAnsi="Arial" w:cs="Arial"/>
          <w:color w:val="000000" w:themeColor="text1"/>
          <w:sz w:val="22"/>
          <w:szCs w:val="22"/>
          <w:lang w:val="en-US"/>
        </w:rPr>
        <w:t xml:space="preserve">m. The graph shows the number of cells per field for PANC-1, PZT-2 and PZT-1 and the </w:t>
      </w:r>
      <w:proofErr w:type="spellStart"/>
      <w:r w:rsidRPr="00A70F0F">
        <w:rPr>
          <w:rFonts w:ascii="Arial" w:hAnsi="Arial" w:cs="Arial"/>
          <w:color w:val="000000" w:themeColor="text1"/>
          <w:sz w:val="22"/>
          <w:szCs w:val="22"/>
          <w:lang w:val="en-US"/>
        </w:rPr>
        <w:t>means±SEM</w:t>
      </w:r>
      <w:proofErr w:type="spellEnd"/>
      <w:r w:rsidRPr="00A70F0F">
        <w:rPr>
          <w:rFonts w:ascii="Arial" w:hAnsi="Arial" w:cs="Arial"/>
          <w:color w:val="000000" w:themeColor="text1"/>
          <w:sz w:val="22"/>
          <w:szCs w:val="22"/>
          <w:lang w:val="en-US"/>
        </w:rPr>
        <w:t xml:space="preserve"> of 3 biological replicates.</w:t>
      </w:r>
      <w:r w:rsidR="00E528D8">
        <w:rPr>
          <w:rFonts w:ascii="Arial" w:hAnsi="Arial" w:cs="Arial"/>
          <w:color w:val="000000" w:themeColor="text1"/>
          <w:sz w:val="22"/>
          <w:szCs w:val="22"/>
          <w:lang w:val="en-US"/>
        </w:rPr>
        <w:t xml:space="preserve"> </w:t>
      </w:r>
      <w:proofErr w:type="spellStart"/>
      <w:r w:rsidR="00E528D8">
        <w:rPr>
          <w:rFonts w:ascii="Arial" w:hAnsi="Arial" w:cs="Arial"/>
          <w:b/>
          <w:bCs/>
          <w:color w:val="000000" w:themeColor="text1"/>
          <w:sz w:val="22"/>
          <w:szCs w:val="22"/>
          <w:lang w:val="en-US"/>
        </w:rPr>
        <w:t>i</w:t>
      </w:r>
      <w:proofErr w:type="spellEnd"/>
      <w:r w:rsidR="00E528D8" w:rsidRPr="00A70F0F">
        <w:rPr>
          <w:rFonts w:ascii="Arial" w:hAnsi="Arial" w:cs="Arial"/>
          <w:color w:val="000000" w:themeColor="text1"/>
          <w:sz w:val="22"/>
          <w:szCs w:val="22"/>
          <w:lang w:val="en-US"/>
        </w:rPr>
        <w:t xml:space="preserve">. Total extracts of PANC-1 cells transduced with </w:t>
      </w:r>
      <w:proofErr w:type="spellStart"/>
      <w:r w:rsidR="00E528D8" w:rsidRPr="00A70F0F">
        <w:rPr>
          <w:rFonts w:ascii="Arial" w:hAnsi="Arial" w:cs="Arial"/>
          <w:color w:val="000000" w:themeColor="text1"/>
          <w:sz w:val="22"/>
          <w:szCs w:val="22"/>
          <w:lang w:val="en-US"/>
        </w:rPr>
        <w:t>shRNAs</w:t>
      </w:r>
      <w:proofErr w:type="spellEnd"/>
      <w:r w:rsidR="00E528D8" w:rsidRPr="00A70F0F">
        <w:rPr>
          <w:rFonts w:ascii="Arial" w:hAnsi="Arial" w:cs="Arial"/>
          <w:color w:val="000000" w:themeColor="text1"/>
          <w:sz w:val="22"/>
          <w:szCs w:val="22"/>
          <w:lang w:val="en-US"/>
        </w:rPr>
        <w:t xml:space="preserve"> against GAPDH (PGAPDH), were obtained and incubated with anti-GAPDH, anti-actin and H2A.Z antibodies antibody. Anti-actin antibody was used as loading control. </w:t>
      </w:r>
      <w:r w:rsidR="00E528D8">
        <w:rPr>
          <w:rFonts w:ascii="Arial" w:hAnsi="Arial" w:cs="Arial"/>
          <w:b/>
          <w:bCs/>
          <w:color w:val="000000" w:themeColor="text1"/>
          <w:sz w:val="22"/>
          <w:szCs w:val="22"/>
          <w:lang w:val="en-US"/>
        </w:rPr>
        <w:t>j</w:t>
      </w:r>
      <w:r w:rsidRPr="00A70F0F">
        <w:rPr>
          <w:rFonts w:ascii="Arial" w:hAnsi="Arial" w:cs="Arial"/>
          <w:color w:val="000000" w:themeColor="text1"/>
          <w:sz w:val="22"/>
          <w:szCs w:val="22"/>
          <w:lang w:val="en-US"/>
        </w:rPr>
        <w:t xml:space="preserve">. Total extracts of the PANC-1 cell line, the PGAPDH cell line and the clones PZT-2 and PZT-1 were analyzed by western blot to identify expression and cleavage of caspase-3, PARP. Also, total extracts of C-33A cells in which apoptosis was induced by UV Actin was used as control. </w:t>
      </w:r>
      <w:r w:rsidRPr="00A70F0F">
        <w:rPr>
          <w:rFonts w:ascii="Arial" w:hAnsi="Arial" w:cs="Arial"/>
          <w:b/>
          <w:color w:val="000000" w:themeColor="text1"/>
          <w:sz w:val="22"/>
          <w:szCs w:val="22"/>
          <w:lang w:val="en-US"/>
        </w:rPr>
        <w:t>k.</w:t>
      </w:r>
      <w:r w:rsidRPr="00A70F0F">
        <w:rPr>
          <w:rFonts w:ascii="Arial" w:hAnsi="Arial" w:cs="Arial"/>
          <w:color w:val="000000" w:themeColor="text1"/>
          <w:sz w:val="22"/>
          <w:szCs w:val="22"/>
          <w:lang w:val="en-US"/>
        </w:rPr>
        <w:t xml:space="preserve"> Distribution of the cell line PANC-1, PGAPDH, PZT-2 and PZT-1 in cell cycle phases G0-G1, S and G2-M as examined by staining with </w:t>
      </w:r>
      <w:proofErr w:type="spellStart"/>
      <w:r w:rsidRPr="00A70F0F">
        <w:rPr>
          <w:rFonts w:ascii="Arial" w:hAnsi="Arial" w:cs="Arial"/>
          <w:color w:val="000000" w:themeColor="text1"/>
          <w:sz w:val="22"/>
          <w:szCs w:val="22"/>
          <w:lang w:val="en-US"/>
        </w:rPr>
        <w:t>BrdU</w:t>
      </w:r>
      <w:proofErr w:type="spellEnd"/>
      <w:r w:rsidRPr="00A70F0F">
        <w:rPr>
          <w:rFonts w:ascii="Arial" w:hAnsi="Arial" w:cs="Arial"/>
          <w:color w:val="000000" w:themeColor="text1"/>
          <w:sz w:val="22"/>
          <w:szCs w:val="22"/>
          <w:lang w:val="en-US"/>
        </w:rPr>
        <w:t xml:space="preserve"> and IP 24 h after synchronization in G0 by serum starvation for 48 h.</w:t>
      </w:r>
    </w:p>
    <w:p w14:paraId="2E41E35A" w14:textId="77777777" w:rsidR="00EA4669" w:rsidRPr="00436507" w:rsidRDefault="00EA4669" w:rsidP="00EA4669">
      <w:pPr>
        <w:spacing w:line="480" w:lineRule="auto"/>
        <w:jc w:val="both"/>
        <w:rPr>
          <w:rFonts w:ascii="Arial" w:hAnsi="Arial" w:cs="Arial"/>
          <w:b/>
          <w:bCs/>
          <w:color w:val="000000" w:themeColor="text1"/>
          <w:sz w:val="22"/>
          <w:szCs w:val="22"/>
          <w:lang w:val="en-US"/>
        </w:rPr>
      </w:pPr>
    </w:p>
    <w:p w14:paraId="30BBBD34" w14:textId="77777777" w:rsidR="00695C47" w:rsidRPr="00695C47" w:rsidRDefault="00695C47" w:rsidP="0005538C">
      <w:pPr>
        <w:spacing w:line="480" w:lineRule="auto"/>
        <w:jc w:val="both"/>
        <w:rPr>
          <w:rFonts w:asciiTheme="minorBidi" w:hAnsiTheme="minorBidi" w:cstheme="minorBidi"/>
          <w:sz w:val="22"/>
          <w:szCs w:val="22"/>
          <w:lang w:val="en-US"/>
        </w:rPr>
      </w:pPr>
      <w:r w:rsidRPr="00695C47">
        <w:rPr>
          <w:rFonts w:asciiTheme="minorBidi" w:hAnsiTheme="minorBidi" w:cstheme="minorBidi"/>
          <w:b/>
          <w:bCs/>
          <w:sz w:val="22"/>
          <w:szCs w:val="22"/>
          <w:lang w:val="en-US"/>
        </w:rPr>
        <w:t xml:space="preserve">Supplementary Figure 3. Parental PANC-1 and </w:t>
      </w:r>
      <w:proofErr w:type="spellStart"/>
      <w:r w:rsidRPr="00695C47">
        <w:rPr>
          <w:rFonts w:asciiTheme="minorBidi" w:hAnsiTheme="minorBidi" w:cstheme="minorBidi"/>
          <w:b/>
          <w:bCs/>
          <w:sz w:val="22"/>
          <w:szCs w:val="22"/>
          <w:lang w:val="en-US"/>
        </w:rPr>
        <w:t>shSCR</w:t>
      </w:r>
      <w:proofErr w:type="spellEnd"/>
      <w:r w:rsidRPr="00695C47">
        <w:rPr>
          <w:rFonts w:asciiTheme="minorBidi" w:hAnsiTheme="minorBidi" w:cstheme="minorBidi"/>
          <w:b/>
          <w:bCs/>
          <w:sz w:val="22"/>
          <w:szCs w:val="22"/>
          <w:lang w:val="en-US"/>
        </w:rPr>
        <w:t xml:space="preserve"> cells behave similarly.</w:t>
      </w:r>
      <w:r w:rsidRPr="00695C47">
        <w:rPr>
          <w:rFonts w:asciiTheme="minorBidi" w:hAnsiTheme="minorBidi" w:cstheme="minorBidi"/>
          <w:b/>
          <w:bCs/>
          <w:sz w:val="22"/>
          <w:szCs w:val="22"/>
          <w:lang w:val="en-US"/>
        </w:rPr>
        <w:br/>
        <w:t xml:space="preserve">a. </w:t>
      </w:r>
      <w:proofErr w:type="spellStart"/>
      <w:r w:rsidRPr="00695C47">
        <w:rPr>
          <w:rFonts w:asciiTheme="minorBidi" w:hAnsiTheme="minorBidi" w:cstheme="minorBidi"/>
          <w:sz w:val="22"/>
          <w:szCs w:val="22"/>
          <w:lang w:val="en-US"/>
        </w:rPr>
        <w:t>Clonogenic</w:t>
      </w:r>
      <w:proofErr w:type="spellEnd"/>
      <w:r w:rsidRPr="00695C47">
        <w:rPr>
          <w:rFonts w:asciiTheme="minorBidi" w:hAnsiTheme="minorBidi" w:cstheme="minorBidi"/>
          <w:sz w:val="22"/>
          <w:szCs w:val="22"/>
          <w:lang w:val="en-US"/>
        </w:rPr>
        <w:t xml:space="preserve"> capacity of the cell lines PANC-1, PSCR, PGAPDH, PZT-</w:t>
      </w:r>
      <w:r w:rsidR="0005538C">
        <w:rPr>
          <w:rFonts w:asciiTheme="minorBidi" w:hAnsiTheme="minorBidi" w:cstheme="minorBidi"/>
          <w:sz w:val="22"/>
          <w:szCs w:val="22"/>
          <w:lang w:val="en-US"/>
        </w:rPr>
        <w:t>2</w:t>
      </w:r>
      <w:r w:rsidRPr="00695C47">
        <w:rPr>
          <w:rFonts w:asciiTheme="minorBidi" w:hAnsiTheme="minorBidi" w:cstheme="minorBidi"/>
          <w:sz w:val="22"/>
          <w:szCs w:val="22"/>
          <w:lang w:val="en-US"/>
        </w:rPr>
        <w:t xml:space="preserve"> and PZT-</w:t>
      </w:r>
      <w:r w:rsidR="0005538C">
        <w:rPr>
          <w:rFonts w:asciiTheme="minorBidi" w:hAnsiTheme="minorBidi" w:cstheme="minorBidi"/>
          <w:sz w:val="22"/>
          <w:szCs w:val="22"/>
          <w:lang w:val="en-US"/>
        </w:rPr>
        <w:t>1</w:t>
      </w:r>
      <w:r w:rsidRPr="00695C47">
        <w:rPr>
          <w:rFonts w:asciiTheme="minorBidi" w:hAnsiTheme="minorBidi" w:cstheme="minorBidi"/>
          <w:sz w:val="22"/>
          <w:szCs w:val="22"/>
          <w:lang w:val="en-US"/>
        </w:rPr>
        <w:t>.</w:t>
      </w:r>
      <w:r w:rsidRPr="00695C47">
        <w:rPr>
          <w:rFonts w:asciiTheme="minorBidi" w:hAnsiTheme="minorBidi" w:cstheme="minorBidi"/>
          <w:b/>
          <w:bCs/>
          <w:sz w:val="22"/>
          <w:szCs w:val="22"/>
          <w:lang w:val="en-US"/>
        </w:rPr>
        <w:t xml:space="preserve"> b.</w:t>
      </w:r>
      <w:r w:rsidRPr="00695C47">
        <w:rPr>
          <w:rFonts w:asciiTheme="minorBidi" w:hAnsiTheme="minorBidi" w:cstheme="minorBidi"/>
          <w:sz w:val="22"/>
          <w:szCs w:val="22"/>
          <w:lang w:val="en-US"/>
        </w:rPr>
        <w:t xml:space="preserve"> SA-</w:t>
      </w:r>
      <w:r w:rsidRPr="00695C47">
        <w:rPr>
          <w:rFonts w:asciiTheme="minorBidi" w:hAnsiTheme="minorBidi" w:cstheme="minorBidi"/>
          <w:sz w:val="22"/>
          <w:szCs w:val="22"/>
        </w:rPr>
        <w:t>β</w:t>
      </w:r>
      <w:r w:rsidRPr="00695C47">
        <w:rPr>
          <w:rFonts w:asciiTheme="minorBidi" w:hAnsiTheme="minorBidi" w:cstheme="minorBidi"/>
          <w:sz w:val="22"/>
          <w:szCs w:val="22"/>
          <w:lang w:val="en-US"/>
        </w:rPr>
        <w:t xml:space="preserve">-galactosidase activity in PANC-1, PSCR, PGAPDH, PZT-2 and PZT-1 show senescent cells in blue. Two representative images at 20X are shown. </w:t>
      </w:r>
      <w:r w:rsidRPr="00695C47">
        <w:rPr>
          <w:rFonts w:asciiTheme="minorBidi" w:hAnsiTheme="minorBidi" w:cstheme="minorBidi"/>
          <w:b/>
          <w:bCs/>
          <w:sz w:val="22"/>
          <w:szCs w:val="22"/>
          <w:lang w:val="en-US"/>
        </w:rPr>
        <w:t>c.</w:t>
      </w:r>
      <w:r w:rsidRPr="00695C47">
        <w:rPr>
          <w:rFonts w:asciiTheme="minorBidi" w:hAnsiTheme="minorBidi" w:cstheme="minorBidi"/>
          <w:sz w:val="22"/>
          <w:szCs w:val="22"/>
          <w:lang w:val="en-US"/>
        </w:rPr>
        <w:t xml:space="preserve"> The gene ontology analysis in PANC-1 vs PZT-2 and PSCR vs PZT-2 cells show that the same processes were affected indicating that differently expressed genes are similar in PANC-1 vs PZT-2 and PSCR vs PZT-2. The enrichment groups have a p-value &lt;0.05. </w:t>
      </w:r>
      <w:r w:rsidRPr="00695C47">
        <w:rPr>
          <w:rFonts w:asciiTheme="minorBidi" w:hAnsiTheme="minorBidi" w:cstheme="minorBidi"/>
          <w:b/>
          <w:bCs/>
          <w:sz w:val="22"/>
          <w:szCs w:val="22"/>
          <w:lang w:val="en-US"/>
        </w:rPr>
        <w:t>d.</w:t>
      </w:r>
      <w:r w:rsidRPr="00695C47">
        <w:rPr>
          <w:rFonts w:asciiTheme="minorBidi" w:hAnsiTheme="minorBidi" w:cstheme="minorBidi"/>
          <w:sz w:val="22"/>
          <w:szCs w:val="22"/>
          <w:lang w:val="en-US"/>
        </w:rPr>
        <w:t xml:space="preserve"> The plots shows a normalized estimation of genes expression based on RNA-seq data for the PSCR and PTZ-2 cell lines </w:t>
      </w:r>
      <w:r w:rsidRPr="00695C47">
        <w:rPr>
          <w:rFonts w:asciiTheme="minorBidi" w:hAnsiTheme="minorBidi" w:cstheme="minorBidi"/>
          <w:sz w:val="22"/>
          <w:szCs w:val="22"/>
          <w:lang w:val="en-US"/>
        </w:rPr>
        <w:lastRenderedPageBreak/>
        <w:t>of genes associated with cell cycle, SASP, fatty acid biosynthesis, gemcitabine sensitivity, all of them processes associate with senescence. Significance was analyzed by two-tailed Student's t test. *p =&lt;0.05; **p =&lt;0.01; ***p =&lt;0.001; ****p =&lt;0.0001.</w:t>
      </w:r>
    </w:p>
    <w:p w14:paraId="2D562EA3" w14:textId="77777777" w:rsidR="00695C47" w:rsidRPr="00695C47" w:rsidRDefault="00695C47" w:rsidP="00695C47">
      <w:pPr>
        <w:rPr>
          <w:rFonts w:ascii="Tahoma" w:hAnsi="Tahoma" w:cs="Tahoma"/>
          <w:lang w:val="en-US"/>
        </w:rPr>
      </w:pPr>
    </w:p>
    <w:p w14:paraId="5E47E646" w14:textId="77777777" w:rsidR="00EA4669" w:rsidRPr="00A70F0F" w:rsidRDefault="00EA4669" w:rsidP="00EA4669">
      <w:pPr>
        <w:spacing w:line="480" w:lineRule="auto"/>
        <w:jc w:val="both"/>
        <w:rPr>
          <w:rFonts w:ascii="Arial" w:hAnsi="Arial" w:cs="Arial"/>
          <w:color w:val="000000" w:themeColor="text1"/>
          <w:sz w:val="22"/>
          <w:szCs w:val="22"/>
          <w:lang w:val="en-US"/>
        </w:rPr>
      </w:pPr>
    </w:p>
    <w:p w14:paraId="0759FB14" w14:textId="77777777" w:rsidR="00EA4669" w:rsidRPr="00CA5358" w:rsidRDefault="00EA4669" w:rsidP="00EA4669">
      <w:pPr>
        <w:spacing w:line="480" w:lineRule="auto"/>
        <w:jc w:val="both"/>
        <w:rPr>
          <w:rFonts w:ascii="Arial" w:hAnsi="Arial" w:cs="Arial"/>
          <w:color w:val="000000" w:themeColor="text1"/>
          <w:sz w:val="22"/>
          <w:szCs w:val="22"/>
          <w:lang w:val="en-US"/>
        </w:rPr>
      </w:pPr>
      <w:r w:rsidRPr="00A70F0F">
        <w:rPr>
          <w:rFonts w:ascii="Arial" w:hAnsi="Arial" w:cs="Arial"/>
          <w:b/>
          <w:color w:val="000000" w:themeColor="text1"/>
          <w:sz w:val="22"/>
          <w:szCs w:val="22"/>
          <w:lang w:val="en-US"/>
        </w:rPr>
        <w:t>Supplementary Figure 4. KEGG pathway showing genes involved in the senescence pathway that are altered in the clone PZT-2</w:t>
      </w:r>
      <w:r w:rsidRPr="00A70F0F">
        <w:rPr>
          <w:rFonts w:ascii="Arial" w:hAnsi="Arial" w:cs="Arial"/>
          <w:color w:val="000000" w:themeColor="text1"/>
          <w:sz w:val="22"/>
          <w:szCs w:val="22"/>
          <w:lang w:val="en-US"/>
        </w:rPr>
        <w:t xml:space="preserve">. Green rectangles depict genes with reduced transcription, red rectangles show genes with increased expression according to the </w:t>
      </w:r>
      <w:r w:rsidRPr="00CA5358">
        <w:rPr>
          <w:rFonts w:ascii="Arial" w:hAnsi="Arial" w:cs="Arial"/>
          <w:color w:val="000000" w:themeColor="text1"/>
          <w:sz w:val="22"/>
          <w:szCs w:val="22"/>
          <w:lang w:val="en-US"/>
        </w:rPr>
        <w:t>transcriptome results obtained for the clone PZT-2.</w:t>
      </w:r>
    </w:p>
    <w:p w14:paraId="2201D41B" w14:textId="77777777" w:rsidR="00EA4669" w:rsidRPr="00A70F0F" w:rsidRDefault="00EA4669" w:rsidP="00EA4669">
      <w:pPr>
        <w:spacing w:line="480" w:lineRule="auto"/>
        <w:jc w:val="both"/>
        <w:rPr>
          <w:rFonts w:ascii="Arial" w:hAnsi="Arial" w:cs="Arial"/>
          <w:color w:val="000000" w:themeColor="text1"/>
          <w:sz w:val="22"/>
          <w:szCs w:val="22"/>
          <w:lang w:val="en-US"/>
        </w:rPr>
      </w:pPr>
    </w:p>
    <w:p w14:paraId="3B32DF3C" w14:textId="23DA9C98" w:rsidR="00EA4669" w:rsidRPr="00CA5358" w:rsidRDefault="00EA4669" w:rsidP="0005538C">
      <w:pPr>
        <w:spacing w:line="480" w:lineRule="auto"/>
        <w:jc w:val="both"/>
        <w:rPr>
          <w:rFonts w:ascii="Arial" w:hAnsi="Arial" w:cs="Arial"/>
          <w:color w:val="000000" w:themeColor="text1"/>
          <w:sz w:val="22"/>
          <w:szCs w:val="22"/>
          <w:lang w:val="en-US"/>
        </w:rPr>
      </w:pPr>
      <w:r w:rsidRPr="00524C8E">
        <w:rPr>
          <w:rFonts w:ascii="Arial" w:hAnsi="Arial" w:cs="Arial"/>
          <w:b/>
          <w:color w:val="000000" w:themeColor="text1"/>
          <w:sz w:val="22"/>
          <w:szCs w:val="22"/>
          <w:lang w:val="en-US"/>
        </w:rPr>
        <w:t xml:space="preserve">Supplementary Figure 5. Expression of the three H2A.Z isoforms analyzed by western blot in the KD clone PZT-2. </w:t>
      </w:r>
      <w:r w:rsidRPr="00524C8E">
        <w:rPr>
          <w:rFonts w:ascii="Arial" w:hAnsi="Arial" w:cs="Arial"/>
          <w:color w:val="000000" w:themeColor="text1"/>
          <w:sz w:val="22"/>
          <w:szCs w:val="22"/>
          <w:lang w:val="en-US"/>
        </w:rPr>
        <w:t>The KD clone 2 was</w:t>
      </w:r>
      <w:r w:rsidRPr="00524C8E">
        <w:rPr>
          <w:rFonts w:ascii="Arial" w:hAnsi="Arial" w:cs="Arial"/>
          <w:b/>
          <w:color w:val="000000" w:themeColor="text1"/>
          <w:sz w:val="22"/>
          <w:szCs w:val="22"/>
          <w:lang w:val="en-US"/>
        </w:rPr>
        <w:t xml:space="preserve"> </w:t>
      </w:r>
      <w:r w:rsidRPr="00524C8E">
        <w:rPr>
          <w:rFonts w:ascii="Arial" w:hAnsi="Arial" w:cs="Arial"/>
          <w:color w:val="000000" w:themeColor="text1"/>
          <w:sz w:val="22"/>
          <w:szCs w:val="22"/>
          <w:lang w:val="en-US"/>
        </w:rPr>
        <w:t xml:space="preserve">transfected with plasmids coding for H2A.Z.1, H2A.Z.2.1 and H2A.Z.2.2 alone or together (Z’s). </w:t>
      </w:r>
      <w:r w:rsidR="00165F1F" w:rsidRPr="00165F1F">
        <w:rPr>
          <w:rFonts w:ascii="Arial" w:hAnsi="Arial" w:cs="Arial"/>
          <w:b/>
          <w:bCs/>
          <w:color w:val="000000" w:themeColor="text1"/>
          <w:sz w:val="22"/>
          <w:szCs w:val="22"/>
          <w:lang w:val="en-US"/>
        </w:rPr>
        <w:t>a.</w:t>
      </w:r>
      <w:r w:rsidR="00165F1F">
        <w:rPr>
          <w:rFonts w:ascii="Arial" w:hAnsi="Arial" w:cs="Arial"/>
          <w:color w:val="000000" w:themeColor="text1"/>
          <w:sz w:val="22"/>
          <w:szCs w:val="22"/>
          <w:lang w:val="en-US"/>
        </w:rPr>
        <w:t xml:space="preserve"> </w:t>
      </w:r>
      <w:r w:rsidRPr="00524C8E">
        <w:rPr>
          <w:rFonts w:ascii="Arial" w:hAnsi="Arial" w:cs="Arial"/>
          <w:color w:val="000000" w:themeColor="text1"/>
          <w:sz w:val="22"/>
          <w:szCs w:val="22"/>
          <w:lang w:val="en-US"/>
        </w:rPr>
        <w:t xml:space="preserve">Total extracts of each transfected cells were obtained and analyzed by western blot using anti-H2AZ and anti </w:t>
      </w:r>
      <w:proofErr w:type="spellStart"/>
      <w:r w:rsidRPr="00524C8E">
        <w:rPr>
          <w:rFonts w:ascii="Arial" w:hAnsi="Arial" w:cs="Arial"/>
          <w:color w:val="000000" w:themeColor="text1"/>
          <w:sz w:val="22"/>
          <w:szCs w:val="22"/>
          <w:lang w:val="en-US"/>
        </w:rPr>
        <w:t>Myc</w:t>
      </w:r>
      <w:proofErr w:type="spellEnd"/>
      <w:r w:rsidRPr="00524C8E">
        <w:rPr>
          <w:rFonts w:ascii="Arial" w:hAnsi="Arial" w:cs="Arial"/>
          <w:color w:val="000000" w:themeColor="text1"/>
          <w:sz w:val="22"/>
          <w:szCs w:val="22"/>
          <w:lang w:val="en-US"/>
        </w:rPr>
        <w:t>-Tag antibodies. Anti-actin antibody was used as loading control.</w:t>
      </w:r>
      <w:r w:rsidR="00CA5358">
        <w:rPr>
          <w:rFonts w:ascii="Arial" w:hAnsi="Arial" w:cs="Arial"/>
          <w:color w:val="000000" w:themeColor="text1"/>
          <w:sz w:val="22"/>
          <w:szCs w:val="22"/>
          <w:lang w:val="en-US"/>
        </w:rPr>
        <w:t xml:space="preserve"> </w:t>
      </w:r>
      <w:r w:rsidR="00CA5358" w:rsidRPr="00CA5358">
        <w:rPr>
          <w:rFonts w:ascii="Arial" w:hAnsi="Arial" w:cs="Arial"/>
          <w:b/>
          <w:bCs/>
          <w:color w:val="000000" w:themeColor="text1"/>
          <w:sz w:val="22"/>
          <w:szCs w:val="22"/>
          <w:lang w:val="en-US"/>
        </w:rPr>
        <w:t xml:space="preserve">b-c. </w:t>
      </w:r>
      <w:r w:rsidR="00CA5358" w:rsidRPr="00CA5358">
        <w:rPr>
          <w:rFonts w:ascii="Arial" w:hAnsi="Arial" w:cs="Arial"/>
          <w:color w:val="000000" w:themeColor="text1"/>
          <w:sz w:val="22"/>
          <w:szCs w:val="22"/>
          <w:lang w:val="en-US"/>
        </w:rPr>
        <w:t xml:space="preserve">The graph shows the relative quantification from WB for H2A.Z /Actin expression level and the expression level of </w:t>
      </w:r>
      <w:proofErr w:type="spellStart"/>
      <w:r w:rsidR="00CA5358" w:rsidRPr="00CA5358">
        <w:rPr>
          <w:rFonts w:ascii="Arial" w:hAnsi="Arial" w:cs="Arial"/>
          <w:color w:val="000000" w:themeColor="text1"/>
          <w:sz w:val="22"/>
          <w:szCs w:val="22"/>
          <w:lang w:val="en-US"/>
        </w:rPr>
        <w:t>Myc</w:t>
      </w:r>
      <w:proofErr w:type="spellEnd"/>
      <w:r w:rsidR="00CA5358" w:rsidRPr="00CA5358">
        <w:rPr>
          <w:rFonts w:ascii="Arial" w:hAnsi="Arial" w:cs="Arial"/>
          <w:color w:val="000000" w:themeColor="text1"/>
          <w:sz w:val="22"/>
          <w:szCs w:val="22"/>
          <w:lang w:val="en-US"/>
        </w:rPr>
        <w:t>-Tag /Actin (respectively). The graphs depicting means SEM of 4 biological replicates. Statistical differences between the 2 groups were evaluated by unpaired two-tailed Student's t-test. * p-value ≤0.05.</w:t>
      </w:r>
    </w:p>
    <w:p w14:paraId="29AAC8F4" w14:textId="77777777" w:rsidR="00B8052A" w:rsidRPr="00165F1F" w:rsidRDefault="00B8052A">
      <w:pPr>
        <w:rPr>
          <w:lang w:val="en-US"/>
        </w:rPr>
      </w:pPr>
    </w:p>
    <w:sectPr w:rsidR="00B8052A" w:rsidRPr="00165F1F" w:rsidSect="0089489A">
      <w:pgSz w:w="12240" w:h="15840"/>
      <w:pgMar w:top="1417" w:right="1701" w:bottom="1417" w:left="1701"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42B19"/>
    <w:multiLevelType w:val="hybridMultilevel"/>
    <w:tmpl w:val="76FE6870"/>
    <w:lvl w:ilvl="0" w:tplc="ACC0CF8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669"/>
    <w:rsid w:val="0005538C"/>
    <w:rsid w:val="00165F1F"/>
    <w:rsid w:val="00695C47"/>
    <w:rsid w:val="0089489A"/>
    <w:rsid w:val="00A10B4B"/>
    <w:rsid w:val="00B8052A"/>
    <w:rsid w:val="00CA5358"/>
    <w:rsid w:val="00E528D8"/>
    <w:rsid w:val="00EA4669"/>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7EFA8"/>
  <w15:chartTrackingRefBased/>
  <w15:docId w15:val="{58E498EA-88BE-4E13-B991-4E40314F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669"/>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inguno">
    <w:name w:val="Ninguno"/>
    <w:rsid w:val="00EA4669"/>
    <w:rPr>
      <w:lang w:val="en-US"/>
    </w:rPr>
  </w:style>
  <w:style w:type="paragraph" w:styleId="Prrafodelista">
    <w:name w:val="List Paragraph"/>
    <w:basedOn w:val="Normal"/>
    <w:uiPriority w:val="34"/>
    <w:qFormat/>
    <w:rsid w:val="00EA4669"/>
    <w:pPr>
      <w:ind w:left="720"/>
      <w:contextualSpacing/>
    </w:pPr>
  </w:style>
  <w:style w:type="character" w:styleId="Nmerodelnea">
    <w:name w:val="line number"/>
    <w:basedOn w:val="Fuentedeprrafopredeter"/>
    <w:uiPriority w:val="99"/>
    <w:semiHidden/>
    <w:unhideWhenUsed/>
    <w:rsid w:val="00894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3428968">
      <w:bodyDiv w:val="1"/>
      <w:marLeft w:val="0"/>
      <w:marRight w:val="0"/>
      <w:marTop w:val="0"/>
      <w:marBottom w:val="0"/>
      <w:divBdr>
        <w:top w:val="none" w:sz="0" w:space="0" w:color="auto"/>
        <w:left w:val="none" w:sz="0" w:space="0" w:color="auto"/>
        <w:bottom w:val="none" w:sz="0" w:space="0" w:color="auto"/>
        <w:right w:val="none" w:sz="0" w:space="0" w:color="auto"/>
      </w:divBdr>
      <w:divsChild>
        <w:div w:id="1425226132">
          <w:marLeft w:val="0"/>
          <w:marRight w:val="0"/>
          <w:marTop w:val="0"/>
          <w:marBottom w:val="0"/>
          <w:divBdr>
            <w:top w:val="none" w:sz="0" w:space="0" w:color="auto"/>
            <w:left w:val="none" w:sz="0" w:space="0" w:color="auto"/>
            <w:bottom w:val="none" w:sz="0" w:space="0" w:color="auto"/>
            <w:right w:val="none" w:sz="0" w:space="0" w:color="auto"/>
          </w:divBdr>
        </w:div>
        <w:div w:id="854617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1086</Words>
  <Characters>5979</Characters>
  <Application>Microsoft Office Word</Application>
  <DocSecurity>4</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 Rosaura</dc:creator>
  <cp:keywords/>
  <dc:description/>
  <cp:lastModifiedBy>Dra. Rosaura Hernandez Rivas</cp:lastModifiedBy>
  <cp:revision>2</cp:revision>
  <dcterms:created xsi:type="dcterms:W3CDTF">2021-01-16T21:39:00Z</dcterms:created>
  <dcterms:modified xsi:type="dcterms:W3CDTF">2021-01-16T21:39:00Z</dcterms:modified>
</cp:coreProperties>
</file>