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03F" w:rsidRPr="005C7E15" w:rsidRDefault="0040603F" w:rsidP="0040603F">
      <w:pPr>
        <w:pStyle w:val="NoSpacing"/>
        <w:spacing w:line="360" w:lineRule="auto"/>
        <w:rPr>
          <w:b/>
          <w:color w:val="auto"/>
          <w:sz w:val="32"/>
          <w:szCs w:val="32"/>
          <w:u w:val="single"/>
        </w:rPr>
      </w:pPr>
      <w:r w:rsidRPr="005C7E15">
        <w:rPr>
          <w:b/>
          <w:color w:val="auto"/>
          <w:sz w:val="32"/>
          <w:szCs w:val="32"/>
          <w:u w:val="single"/>
        </w:rPr>
        <w:t>Supplementary Materials and Methods</w:t>
      </w:r>
    </w:p>
    <w:p w:rsidR="0004785E" w:rsidRPr="005C7E15" w:rsidRDefault="005206B4" w:rsidP="005206B4">
      <w:pPr>
        <w:pStyle w:val="NoSpacing"/>
        <w:spacing w:before="240" w:line="360" w:lineRule="auto"/>
        <w:rPr>
          <w:color w:val="auto"/>
          <w:sz w:val="24"/>
          <w:szCs w:val="24"/>
        </w:rPr>
      </w:pPr>
      <w:r w:rsidRPr="005C7E15">
        <w:rPr>
          <w:b/>
          <w:noProof w:val="0"/>
          <w:sz w:val="24"/>
          <w:szCs w:val="24"/>
          <w:u w:val="single"/>
        </w:rPr>
        <w:t>Cell culture,</w:t>
      </w:r>
      <w:r w:rsidR="0004785E" w:rsidRPr="005C7E15">
        <w:rPr>
          <w:b/>
          <w:noProof w:val="0"/>
          <w:sz w:val="24"/>
          <w:szCs w:val="24"/>
          <w:u w:val="single"/>
        </w:rPr>
        <w:t xml:space="preserve"> transfection</w:t>
      </w:r>
      <w:r w:rsidRPr="005C7E15">
        <w:rPr>
          <w:b/>
          <w:noProof w:val="0"/>
          <w:sz w:val="24"/>
          <w:szCs w:val="24"/>
          <w:u w:val="single"/>
        </w:rPr>
        <w:t xml:space="preserve"> and </w:t>
      </w:r>
      <w:r w:rsidRPr="005C7E15">
        <w:rPr>
          <w:b/>
          <w:color w:val="auto"/>
          <w:sz w:val="24"/>
          <w:szCs w:val="24"/>
          <w:u w:val="single"/>
        </w:rPr>
        <w:t xml:space="preserve">XTT assay </w:t>
      </w:r>
    </w:p>
    <w:p w:rsidR="00642668" w:rsidRPr="005C7E15" w:rsidRDefault="0004785E" w:rsidP="001D4E12">
      <w:pPr>
        <w:pStyle w:val="NoSpacing"/>
        <w:spacing w:line="360" w:lineRule="auto"/>
        <w:rPr>
          <w:noProof w:val="0"/>
          <w:sz w:val="24"/>
          <w:szCs w:val="24"/>
        </w:rPr>
      </w:pPr>
      <w:r w:rsidRPr="005C7E15">
        <w:rPr>
          <w:noProof w:val="0"/>
          <w:sz w:val="24"/>
          <w:szCs w:val="24"/>
        </w:rPr>
        <w:t xml:space="preserve">B16-F10 and 4T1 cell lines were obtained from ATCC and cultured as previously described </w:t>
      </w:r>
      <w:r w:rsidR="001D4E12" w:rsidRPr="005C7E15">
        <w:rPr>
          <w:noProof w:val="0"/>
          <w:sz w:val="24"/>
          <w:szCs w:val="24"/>
        </w:rPr>
        <w:fldChar w:fldCharType="begin"/>
      </w:r>
      <w:r w:rsidR="001D4E12" w:rsidRPr="005C7E15">
        <w:rPr>
          <w:noProof w:val="0"/>
          <w:sz w:val="24"/>
          <w:szCs w:val="24"/>
        </w:rPr>
        <w:instrText xml:space="preserve"> ADDIN EN.CITE &lt;EndNote&gt;&lt;Cite&gt;&lt;Author&gt;Noman&lt;/Author&gt;&lt;Year&gt;2020&lt;/Year&gt;&lt;RecNum&gt;2&lt;/RecNum&gt;&lt;DisplayText&gt;(1)&lt;/DisplayText&gt;&lt;record&gt;&lt;rec-number&gt;2&lt;/rec-number&gt;&lt;foreign-keys&gt;&lt;key app="EN" db-id="as5z0sdd8xset3ewesvv2vw0dz5fd2pv5s2x" timestamp="1595418238"&gt;2&lt;/key&gt;&lt;/foreign-keys&gt;&lt;ref-type name="Journal Article"&gt;17&lt;/ref-type&gt;&lt;contributors&gt;&lt;authors&gt;&lt;author&gt;Noman, M. Z.&lt;/author&gt;&lt;author&gt;Parpal, S.&lt;/author&gt;&lt;author&gt;Van Moer, K.&lt;/author&gt;&lt;author&gt;Xiao, M.&lt;/author&gt;&lt;author&gt;Yu, Y.&lt;/author&gt;&lt;author&gt;Viklund, J.&lt;/author&gt;&lt;author&gt;De Milito, A.&lt;/author&gt;&lt;author&gt;Hasmim, M.&lt;/author&gt;&lt;author&gt;Andersson, M.&lt;/author&gt;&lt;author&gt;Amaravadi, R. K.&lt;/author&gt;&lt;author&gt;Martinsson, J.&lt;/author&gt;&lt;author&gt;Berchem, G.&lt;/author&gt;&lt;author&gt;Janji, B.&lt;/author&gt;&lt;/authors&gt;&lt;/contributors&gt;&lt;auth-address&gt;Tumor Immunotherapy and Microenvironment Group, Department of Oncology, Luxembourg Institute of Health (LIH), Luxembourg City, Luxembourg.&amp;#xD;Sprint Bioscience, Stockholm, Sweden.&amp;#xD;Department of Oncology-Pathology, Cancer Center Karolinska, Karolinska Institutet, Stockholm, Sweden.&amp;#xD;Department of Medicine and Abramson Cancer Center, University of Pennsylvania, Philadelphia, PA, USA.&amp;#xD;Department of Hemato-Oncology, Centre Hospitalier du Luxembourg, Luxembourg City, Luxembourg.&lt;/auth-address&gt;&lt;titles&gt;&lt;title&gt;Inhibition of Vps34 reprograms cold into hot inflamed tumors and improves anti-PD-1/PD-L1 immunotherapy&lt;/title&gt;&lt;secondary-title&gt;Sci Adv&lt;/secondary-title&gt;&lt;/titles&gt;&lt;periodical&gt;&lt;full-title&gt;Sci Adv&lt;/full-title&gt;&lt;/periodical&gt;&lt;pages&gt;eaax7881&lt;/pages&gt;&lt;volume&gt;6&lt;/volume&gt;&lt;number&gt;18&lt;/number&gt;&lt;edition&gt;2020/06/05&lt;/edition&gt;&lt;dates&gt;&lt;year&gt;2020&lt;/year&gt;&lt;pub-dates&gt;&lt;date&gt;May&lt;/date&gt;&lt;/pub-dates&gt;&lt;/dates&gt;&lt;isbn&gt;2375-2548 (Electronic)&amp;#xD;2375-2548 (Linking)&lt;/isbn&gt;&lt;accession-num&gt;32494661&lt;/accession-num&gt;&lt;urls&gt;&lt;related-urls&gt;&lt;url&gt;https://www.ncbi.nlm.nih.gov/pubmed/32494661&lt;/url&gt;&lt;/related-urls&gt;&lt;/urls&gt;&lt;custom2&gt;PMC7190323&lt;/custom2&gt;&lt;electronic-resource-num&gt;10.1126/sciadv.aax7881&lt;/electronic-resource-num&gt;&lt;/record&gt;&lt;/Cite&gt;&lt;/EndNote&gt;</w:instrText>
      </w:r>
      <w:r w:rsidR="001D4E12" w:rsidRPr="005C7E15">
        <w:rPr>
          <w:noProof w:val="0"/>
          <w:sz w:val="24"/>
          <w:szCs w:val="24"/>
        </w:rPr>
        <w:fldChar w:fldCharType="separate"/>
      </w:r>
      <w:r w:rsidR="001D4E12" w:rsidRPr="005C7E15">
        <w:rPr>
          <w:sz w:val="24"/>
          <w:szCs w:val="24"/>
        </w:rPr>
        <w:t>(1)</w:t>
      </w:r>
      <w:r w:rsidR="001D4E12" w:rsidRPr="005C7E15">
        <w:rPr>
          <w:noProof w:val="0"/>
          <w:sz w:val="24"/>
          <w:szCs w:val="24"/>
        </w:rPr>
        <w:fldChar w:fldCharType="end"/>
      </w:r>
      <w:r w:rsidRPr="005C7E15">
        <w:rPr>
          <w:noProof w:val="0"/>
          <w:sz w:val="24"/>
          <w:szCs w:val="24"/>
        </w:rPr>
        <w:t>. CRISPR/Cas9 and HIF-1</w:t>
      </w:r>
      <w:r w:rsidRPr="005C7E15">
        <w:rPr>
          <w:rFonts w:cs="Calibri"/>
          <w:noProof w:val="0"/>
          <w:sz w:val="24"/>
          <w:szCs w:val="24"/>
        </w:rPr>
        <w:t>α</w:t>
      </w:r>
      <w:r w:rsidRPr="005C7E15">
        <w:rPr>
          <w:noProof w:val="0"/>
          <w:sz w:val="24"/>
          <w:szCs w:val="24"/>
        </w:rPr>
        <w:t xml:space="preserve"> CRISPR/Cas9 plasmids </w:t>
      </w:r>
      <w:proofErr w:type="gramStart"/>
      <w:r w:rsidRPr="005C7E15">
        <w:rPr>
          <w:noProof w:val="0"/>
          <w:sz w:val="24"/>
          <w:szCs w:val="24"/>
        </w:rPr>
        <w:t>were obtained</w:t>
      </w:r>
      <w:proofErr w:type="gramEnd"/>
      <w:r w:rsidRPr="005C7E15">
        <w:rPr>
          <w:noProof w:val="0"/>
          <w:sz w:val="24"/>
          <w:szCs w:val="24"/>
        </w:rPr>
        <w:t xml:space="preserve"> from Santa Cruz Biotechnology and transfected into cells according to the manufacturer’s protocol. The hypoxic condition </w:t>
      </w:r>
      <w:proofErr w:type="gramStart"/>
      <w:r w:rsidRPr="005C7E15">
        <w:rPr>
          <w:noProof w:val="0"/>
          <w:sz w:val="24"/>
          <w:szCs w:val="24"/>
        </w:rPr>
        <w:t>was performed</w:t>
      </w:r>
      <w:proofErr w:type="gramEnd"/>
      <w:r w:rsidRPr="005C7E15">
        <w:rPr>
          <w:noProof w:val="0"/>
          <w:sz w:val="24"/>
          <w:szCs w:val="24"/>
        </w:rPr>
        <w:t xml:space="preserve"> using a hypoxia chamber (RUSKINN I-CONIC) at 0.1% pO</w:t>
      </w:r>
      <w:r w:rsidRPr="005C7E15">
        <w:rPr>
          <w:noProof w:val="0"/>
          <w:sz w:val="24"/>
          <w:szCs w:val="24"/>
          <w:vertAlign w:val="subscript"/>
        </w:rPr>
        <w:t xml:space="preserve">2 </w:t>
      </w:r>
      <w:r w:rsidRPr="005C7E15">
        <w:rPr>
          <w:noProof w:val="0"/>
          <w:sz w:val="24"/>
          <w:szCs w:val="24"/>
        </w:rPr>
        <w:t xml:space="preserve">for 24 hours. Acriflavine hydrochloride (Sigma Aldrich) treatment </w:t>
      </w:r>
      <w:proofErr w:type="gramStart"/>
      <w:r w:rsidRPr="005C7E15">
        <w:rPr>
          <w:noProof w:val="0"/>
          <w:sz w:val="24"/>
          <w:szCs w:val="24"/>
        </w:rPr>
        <w:t>was carried out</w:t>
      </w:r>
      <w:proofErr w:type="gramEnd"/>
      <w:r w:rsidRPr="005C7E15">
        <w:rPr>
          <w:noProof w:val="0"/>
          <w:sz w:val="24"/>
          <w:szCs w:val="24"/>
        </w:rPr>
        <w:t xml:space="preserve"> for the last 6h of hypoxia culture at the following concentrations: 5, 10, 20, and 30 </w:t>
      </w:r>
      <w:r w:rsidRPr="005C7E15">
        <w:rPr>
          <w:rFonts w:cs="Calibri"/>
          <w:noProof w:val="0"/>
          <w:sz w:val="24"/>
          <w:szCs w:val="24"/>
        </w:rPr>
        <w:t>µ</w:t>
      </w:r>
      <w:r w:rsidRPr="005C7E15">
        <w:rPr>
          <w:noProof w:val="0"/>
          <w:sz w:val="24"/>
          <w:szCs w:val="24"/>
        </w:rPr>
        <w:t>M.</w:t>
      </w:r>
      <w:r w:rsidR="005206B4" w:rsidRPr="005C7E15">
        <w:rPr>
          <w:noProof w:val="0"/>
          <w:sz w:val="24"/>
          <w:szCs w:val="24"/>
        </w:rPr>
        <w:t xml:space="preserve"> </w:t>
      </w:r>
      <w:r w:rsidR="00642668" w:rsidRPr="005C7E15">
        <w:rPr>
          <w:color w:val="auto"/>
          <w:sz w:val="24"/>
          <w:szCs w:val="24"/>
        </w:rPr>
        <w:t xml:space="preserve">The doubling time was measured using a colorimetric cell viability assay (XTT; Sigma Aldrich). Equal amount of cells was plated in 8 replicates in 96 wells with 100ul of complete medium. The doubling time was determined at 24-48, 48-72 and 24-72 hours after adding of 50ul XTT (1mg/ml) solution in each well by measuring the absorbance at 450 and 630nm. </w:t>
      </w:r>
    </w:p>
    <w:p w:rsidR="00642668" w:rsidRPr="005C7E15" w:rsidRDefault="00642668" w:rsidP="00642668">
      <w:pPr>
        <w:pStyle w:val="NoSpacing"/>
        <w:spacing w:before="240" w:line="360" w:lineRule="auto"/>
        <w:rPr>
          <w:b/>
          <w:noProof w:val="0"/>
          <w:sz w:val="24"/>
          <w:szCs w:val="24"/>
          <w:u w:val="single"/>
        </w:rPr>
      </w:pPr>
      <w:r w:rsidRPr="005C7E15">
        <w:rPr>
          <w:b/>
          <w:noProof w:val="0"/>
          <w:sz w:val="24"/>
          <w:szCs w:val="24"/>
          <w:u w:val="single"/>
        </w:rPr>
        <w:t>RNA extraction and real time quantitative qPCR</w:t>
      </w:r>
    </w:p>
    <w:p w:rsidR="00642668" w:rsidRPr="005C7E15" w:rsidRDefault="00642668" w:rsidP="001D4E12">
      <w:pPr>
        <w:spacing w:before="0" w:after="0" w:line="360" w:lineRule="auto"/>
        <w:rPr>
          <w:rFonts w:asciiTheme="minorHAnsi" w:hAnsiTheme="minorHAnsi" w:cstheme="minorHAnsi"/>
          <w:color w:val="auto"/>
          <w:sz w:val="24"/>
          <w:szCs w:val="24"/>
        </w:rPr>
      </w:pPr>
      <w:r w:rsidRPr="005C7E15">
        <w:rPr>
          <w:sz w:val="24"/>
          <w:szCs w:val="24"/>
        </w:rPr>
        <w:t>Total RNA was extracted and RT-qPCR was performed</w:t>
      </w:r>
      <w:r w:rsidRPr="005C7E15">
        <w:rPr>
          <w:rFonts w:eastAsia="Times New Roman" w:cs="Calibri"/>
          <w:sz w:val="24"/>
          <w:szCs w:val="24"/>
          <w:lang w:eastAsia="fr-CH"/>
        </w:rPr>
        <w:t xml:space="preserve"> as previously described </w:t>
      </w:r>
      <w:r w:rsidR="001D4E12" w:rsidRPr="005C7E15">
        <w:rPr>
          <w:sz w:val="24"/>
          <w:szCs w:val="24"/>
        </w:rPr>
        <w:fldChar w:fldCharType="begin"/>
      </w:r>
      <w:r w:rsidR="001D4E12" w:rsidRPr="005C7E15">
        <w:rPr>
          <w:sz w:val="24"/>
          <w:szCs w:val="24"/>
        </w:rPr>
        <w:instrText xml:space="preserve"> ADDIN EN.CITE &lt;EndNote&gt;&lt;Cite&gt;&lt;Author&gt;Noman&lt;/Author&gt;&lt;Year&gt;2020&lt;/Year&gt;&lt;RecNum&gt;2&lt;/RecNum&gt;&lt;DisplayText&gt;(1)&lt;/DisplayText&gt;&lt;record&gt;&lt;rec-number&gt;2&lt;/rec-number&gt;&lt;foreign-keys&gt;&lt;key app="EN" db-id="as5z0sdd8xset3ewesvv2vw0dz5fd2pv5s2x" timestamp="1595418238"&gt;2&lt;/key&gt;&lt;/foreign-keys&gt;&lt;ref-type name="Journal Article"&gt;17&lt;/ref-type&gt;&lt;contributors&gt;&lt;authors&gt;&lt;author&gt;Noman, M. Z.&lt;/author&gt;&lt;author&gt;Parpal, S.&lt;/author&gt;&lt;author&gt;Van Moer, K.&lt;/author&gt;&lt;author&gt;Xiao, M.&lt;/author&gt;&lt;author&gt;Yu, Y.&lt;/author&gt;&lt;author&gt;Viklund, J.&lt;/author&gt;&lt;author&gt;De Milito, A.&lt;/author&gt;&lt;author&gt;Hasmim, M.&lt;/author&gt;&lt;author&gt;Andersson, M.&lt;/author&gt;&lt;author&gt;Amaravadi, R. K.&lt;/author&gt;&lt;author&gt;Martinsson, J.&lt;/author&gt;&lt;author&gt;Berchem, G.&lt;/author&gt;&lt;author&gt;Janji, B.&lt;/author&gt;&lt;/authors&gt;&lt;/contributors&gt;&lt;auth-address&gt;Tumor Immunotherapy and Microenvironment Group, Department of Oncology, Luxembourg Institute of Health (LIH), Luxembourg City, Luxembourg.&amp;#xD;Sprint Bioscience, Stockholm, Sweden.&amp;#xD;Department of Oncology-Pathology, Cancer Center Karolinska, Karolinska Institutet, Stockholm, Sweden.&amp;#xD;Department of Medicine and Abramson Cancer Center, University of Pennsylvania, Philadelphia, PA, USA.&amp;#xD;Department of Hemato-Oncology, Centre Hospitalier du Luxembourg, Luxembourg City, Luxembourg.&lt;/auth-address&gt;&lt;titles&gt;&lt;title&gt;Inhibition of Vps34 reprograms cold into hot inflamed tumors and improves anti-PD-1/PD-L1 immunotherapy&lt;/title&gt;&lt;secondary-title&gt;Sci Adv&lt;/secondary-title&gt;&lt;/titles&gt;&lt;periodical&gt;&lt;full-title&gt;Sci Adv&lt;/full-title&gt;&lt;/periodical&gt;&lt;pages&gt;eaax7881&lt;/pages&gt;&lt;volume&gt;6&lt;/volume&gt;&lt;number&gt;18&lt;/number&gt;&lt;edition&gt;2020/06/05&lt;/edition&gt;&lt;dates&gt;&lt;year&gt;2020&lt;/year&gt;&lt;pub-dates&gt;&lt;date&gt;May&lt;/date&gt;&lt;/pub-dates&gt;&lt;/dates&gt;&lt;isbn&gt;2375-2548 (Electronic)&amp;#xD;2375-2548 (Linking)&lt;/isbn&gt;&lt;accession-num&gt;32494661&lt;/accession-num&gt;&lt;urls&gt;&lt;related-urls&gt;&lt;url&gt;https://www.ncbi.nlm.nih.gov/pubmed/32494661&lt;/url&gt;&lt;/related-urls&gt;&lt;/urls&gt;&lt;custom2&gt;PMC7190323&lt;/custom2&gt;&lt;electronic-resource-num&gt;10.1126/sciadv.aax7881&lt;/electronic-resource-num&gt;&lt;/record&gt;&lt;/Cite&gt;&lt;/EndNote&gt;</w:instrText>
      </w:r>
      <w:r w:rsidR="001D4E12" w:rsidRPr="005C7E15">
        <w:rPr>
          <w:sz w:val="24"/>
          <w:szCs w:val="24"/>
        </w:rPr>
        <w:fldChar w:fldCharType="separate"/>
      </w:r>
      <w:r w:rsidR="001D4E12" w:rsidRPr="005C7E15">
        <w:rPr>
          <w:noProof/>
          <w:sz w:val="24"/>
          <w:szCs w:val="24"/>
        </w:rPr>
        <w:t>(1)</w:t>
      </w:r>
      <w:r w:rsidR="001D4E12" w:rsidRPr="005C7E15">
        <w:rPr>
          <w:sz w:val="24"/>
          <w:szCs w:val="24"/>
        </w:rPr>
        <w:fldChar w:fldCharType="end"/>
      </w:r>
      <w:r w:rsidRPr="005C7E15">
        <w:rPr>
          <w:rFonts w:eastAsia="Times New Roman" w:cs="Calibri"/>
          <w:sz w:val="24"/>
          <w:szCs w:val="24"/>
          <w:lang w:eastAsia="fr-CH"/>
        </w:rPr>
        <w:t xml:space="preserve">. Primer sequences are available upon request. RNA for sequencing was reverse-transcribed and amplified by PCR. PCR products </w:t>
      </w:r>
      <w:proofErr w:type="gramStart"/>
      <w:r w:rsidRPr="005C7E15">
        <w:rPr>
          <w:rFonts w:eastAsia="Times New Roman" w:cs="Calibri"/>
          <w:sz w:val="24"/>
          <w:szCs w:val="24"/>
          <w:lang w:eastAsia="fr-CH"/>
        </w:rPr>
        <w:t>were extracted</w:t>
      </w:r>
      <w:proofErr w:type="gramEnd"/>
      <w:r w:rsidRPr="005C7E15">
        <w:rPr>
          <w:rFonts w:eastAsia="Times New Roman" w:cs="Calibri"/>
          <w:sz w:val="24"/>
          <w:szCs w:val="24"/>
          <w:lang w:eastAsia="fr-CH"/>
        </w:rPr>
        <w:t xml:space="preserve"> on agarose gel and purified using a </w:t>
      </w:r>
      <w:proofErr w:type="spellStart"/>
      <w:r w:rsidRPr="005C7E15">
        <w:rPr>
          <w:rFonts w:asciiTheme="minorHAnsi" w:hAnsiTheme="minorHAnsi" w:cstheme="minorHAnsi"/>
          <w:color w:val="auto"/>
          <w:sz w:val="24"/>
          <w:szCs w:val="24"/>
        </w:rPr>
        <w:t>NucleospinRNA</w:t>
      </w:r>
      <w:proofErr w:type="spellEnd"/>
      <w:r w:rsidRPr="005C7E15">
        <w:rPr>
          <w:rFonts w:asciiTheme="minorHAnsi" w:hAnsiTheme="minorHAnsi" w:cstheme="minorHAnsi"/>
          <w:color w:val="auto"/>
          <w:sz w:val="24"/>
          <w:szCs w:val="24"/>
        </w:rPr>
        <w:t xml:space="preserve"> Plus (</w:t>
      </w:r>
      <w:proofErr w:type="spellStart"/>
      <w:r w:rsidRPr="005C7E15">
        <w:rPr>
          <w:rFonts w:asciiTheme="minorHAnsi" w:hAnsiTheme="minorHAnsi" w:cstheme="minorHAnsi"/>
          <w:color w:val="auto"/>
          <w:sz w:val="24"/>
          <w:szCs w:val="24"/>
        </w:rPr>
        <w:t>Macherey</w:t>
      </w:r>
      <w:proofErr w:type="spellEnd"/>
      <w:r w:rsidRPr="005C7E15">
        <w:rPr>
          <w:rFonts w:asciiTheme="minorHAnsi" w:hAnsiTheme="minorHAnsi" w:cstheme="minorHAnsi"/>
          <w:color w:val="auto"/>
          <w:sz w:val="24"/>
          <w:szCs w:val="24"/>
        </w:rPr>
        <w:t xml:space="preserve">-Nagel) </w:t>
      </w:r>
      <w:r w:rsidRPr="005C7E15">
        <w:rPr>
          <w:rFonts w:eastAsia="Times New Roman" w:cs="Calibri"/>
          <w:sz w:val="24"/>
          <w:szCs w:val="24"/>
          <w:lang w:eastAsia="fr-CH"/>
        </w:rPr>
        <w:t xml:space="preserve">kit. </w:t>
      </w:r>
      <w:r w:rsidRPr="005C7E15">
        <w:rPr>
          <w:rFonts w:asciiTheme="minorHAnsi" w:hAnsiTheme="minorHAnsi" w:cstheme="minorHAnsi"/>
          <w:color w:val="auto"/>
          <w:sz w:val="24"/>
          <w:szCs w:val="24"/>
        </w:rPr>
        <w:t>Sequencing was performed by the LGC Genomics Company</w:t>
      </w:r>
      <w:r w:rsidRPr="005C7E15">
        <w:t xml:space="preserve"> </w:t>
      </w:r>
      <w:r w:rsidRPr="005C7E15">
        <w:rPr>
          <w:sz w:val="24"/>
          <w:szCs w:val="24"/>
        </w:rPr>
        <w:t>using the following primers: forward 5’-</w:t>
      </w:r>
      <w:r w:rsidRPr="005C7E15">
        <w:rPr>
          <w:rFonts w:asciiTheme="minorHAnsi" w:hAnsiTheme="minorHAnsi" w:cstheme="minorHAnsi"/>
          <w:color w:val="auto"/>
          <w:sz w:val="24"/>
          <w:szCs w:val="24"/>
        </w:rPr>
        <w:t>TGA GTT CTG AAC GTC GAA AAG A-3’ and reverse 5’-AAT ATG GCC CGT GCA GTG AA-3’.</w:t>
      </w:r>
    </w:p>
    <w:p w:rsidR="006468B1" w:rsidRPr="005C7E15" w:rsidRDefault="006468B1" w:rsidP="0004785E">
      <w:pPr>
        <w:pStyle w:val="NoSpacing"/>
        <w:spacing w:before="240" w:line="360" w:lineRule="auto"/>
        <w:rPr>
          <w:b/>
          <w:noProof w:val="0"/>
          <w:sz w:val="24"/>
          <w:szCs w:val="24"/>
          <w:u w:val="single"/>
        </w:rPr>
      </w:pPr>
      <w:r w:rsidRPr="005C7E15">
        <w:rPr>
          <w:b/>
          <w:noProof w:val="0"/>
          <w:sz w:val="24"/>
          <w:szCs w:val="24"/>
          <w:u w:val="single"/>
        </w:rPr>
        <w:t>Flow cytometry</w:t>
      </w:r>
    </w:p>
    <w:p w:rsidR="006468B1" w:rsidRPr="005C7E15" w:rsidRDefault="00642668" w:rsidP="001D4E12">
      <w:pPr>
        <w:pStyle w:val="NoSpacing"/>
        <w:spacing w:line="360" w:lineRule="auto"/>
        <w:rPr>
          <w:noProof w:val="0"/>
          <w:sz w:val="24"/>
          <w:szCs w:val="24"/>
        </w:rPr>
      </w:pPr>
      <w:r w:rsidRPr="005C7E15">
        <w:rPr>
          <w:noProof w:val="0"/>
          <w:sz w:val="24"/>
          <w:szCs w:val="24"/>
        </w:rPr>
        <w:t xml:space="preserve">Tumors were dissociated in DMEM complete medium and processed as previously described </w:t>
      </w:r>
      <w:r w:rsidR="001D4E12" w:rsidRPr="005C7E15">
        <w:rPr>
          <w:noProof w:val="0"/>
          <w:sz w:val="24"/>
          <w:szCs w:val="24"/>
        </w:rPr>
        <w:fldChar w:fldCharType="begin"/>
      </w:r>
      <w:r w:rsidR="001D4E12" w:rsidRPr="005C7E15">
        <w:rPr>
          <w:noProof w:val="0"/>
          <w:sz w:val="24"/>
          <w:szCs w:val="24"/>
        </w:rPr>
        <w:instrText xml:space="preserve"> ADDIN EN.CITE &lt;EndNote&gt;&lt;Cite&gt;&lt;Author&gt;Noman&lt;/Author&gt;&lt;Year&gt;2020&lt;/Year&gt;&lt;RecNum&gt;2&lt;/RecNum&gt;&lt;DisplayText&gt;(1)&lt;/DisplayText&gt;&lt;record&gt;&lt;rec-number&gt;2&lt;/rec-number&gt;&lt;foreign-keys&gt;&lt;key app="EN" db-id="as5z0sdd8xset3ewesvv2vw0dz5fd2pv5s2x" timestamp="1595418238"&gt;2&lt;/key&gt;&lt;/foreign-keys&gt;&lt;ref-type name="Journal Article"&gt;17&lt;/ref-type&gt;&lt;contributors&gt;&lt;authors&gt;&lt;author&gt;Noman, M. Z.&lt;/author&gt;&lt;author&gt;Parpal, S.&lt;/author&gt;&lt;author&gt;Van Moer, K.&lt;/author&gt;&lt;author&gt;Xiao, M.&lt;/author&gt;&lt;author&gt;Yu, Y.&lt;/author&gt;&lt;author&gt;Viklund, J.&lt;/author&gt;&lt;author&gt;De Milito, A.&lt;/author&gt;&lt;author&gt;Hasmim, M.&lt;/author&gt;&lt;author&gt;Andersson, M.&lt;/author&gt;&lt;author&gt;Amaravadi, R. K.&lt;/author&gt;&lt;author&gt;Martinsson, J.&lt;/author&gt;&lt;author&gt;Berchem, G.&lt;/author&gt;&lt;author&gt;Janji, B.&lt;/author&gt;&lt;/authors&gt;&lt;/contributors&gt;&lt;auth-address&gt;Tumor Immunotherapy and Microenvironment Group, Department of Oncology, Luxembourg Institute of Health (LIH), Luxembourg City, Luxembourg.&amp;#xD;Sprint Bioscience, Stockholm, Sweden.&amp;#xD;Department of Oncology-Pathology, Cancer Center Karolinska, Karolinska Institutet, Stockholm, Sweden.&amp;#xD;Department of Medicine and Abramson Cancer Center, University of Pennsylvania, Philadelphia, PA, USA.&amp;#xD;Department of Hemato-Oncology, Centre Hospitalier du Luxembourg, Luxembourg City, Luxembourg.&lt;/auth-address&gt;&lt;titles&gt;&lt;title&gt;Inhibition of Vps34 reprograms cold into hot inflamed tumors and improves anti-PD-1/PD-L1 immunotherapy&lt;/title&gt;&lt;secondary-title&gt;Sci Adv&lt;/secondary-title&gt;&lt;/titles&gt;&lt;periodical&gt;&lt;full-title&gt;Sci Adv&lt;/full-title&gt;&lt;/periodical&gt;&lt;pages&gt;eaax7881&lt;/pages&gt;&lt;volume&gt;6&lt;/volume&gt;&lt;number&gt;18&lt;/number&gt;&lt;edition&gt;2020/06/05&lt;/edition&gt;&lt;dates&gt;&lt;year&gt;2020&lt;/year&gt;&lt;pub-dates&gt;&lt;date&gt;May&lt;/date&gt;&lt;/pub-dates&gt;&lt;/dates&gt;&lt;isbn&gt;2375-2548 (Electronic)&amp;#xD;2375-2548 (Linking)&lt;/isbn&gt;&lt;accession-num&gt;32494661&lt;/accession-num&gt;&lt;urls&gt;&lt;related-urls&gt;&lt;url&gt;https://www.ncbi.nlm.nih.gov/pubmed/32494661&lt;/url&gt;&lt;/related-urls&gt;&lt;/urls&gt;&lt;custom2&gt;PMC7190323&lt;/custom2&gt;&lt;electronic-resource-num&gt;10.1126/sciadv.aax7881&lt;/electronic-resource-num&gt;&lt;/record&gt;&lt;/Cite&gt;&lt;/EndNote&gt;</w:instrText>
      </w:r>
      <w:r w:rsidR="001D4E12" w:rsidRPr="005C7E15">
        <w:rPr>
          <w:noProof w:val="0"/>
          <w:sz w:val="24"/>
          <w:szCs w:val="24"/>
        </w:rPr>
        <w:fldChar w:fldCharType="separate"/>
      </w:r>
      <w:r w:rsidR="001D4E12" w:rsidRPr="005C7E15">
        <w:rPr>
          <w:sz w:val="24"/>
          <w:szCs w:val="24"/>
        </w:rPr>
        <w:t>(1)</w:t>
      </w:r>
      <w:r w:rsidR="001D4E12" w:rsidRPr="005C7E15">
        <w:rPr>
          <w:noProof w:val="0"/>
          <w:sz w:val="24"/>
          <w:szCs w:val="24"/>
        </w:rPr>
        <w:fldChar w:fldCharType="end"/>
      </w:r>
      <w:r w:rsidRPr="005C7E15">
        <w:rPr>
          <w:noProof w:val="0"/>
          <w:sz w:val="24"/>
          <w:szCs w:val="24"/>
        </w:rPr>
        <w:t xml:space="preserve">. </w:t>
      </w:r>
      <w:r w:rsidR="006468B1" w:rsidRPr="005C7E15">
        <w:rPr>
          <w:noProof w:val="0"/>
          <w:sz w:val="24"/>
          <w:szCs w:val="24"/>
        </w:rPr>
        <w:t xml:space="preserve">The following </w:t>
      </w:r>
      <w:proofErr w:type="spellStart"/>
      <w:r w:rsidR="006468B1" w:rsidRPr="005C7E15">
        <w:rPr>
          <w:noProof w:val="0"/>
          <w:sz w:val="24"/>
          <w:szCs w:val="24"/>
        </w:rPr>
        <w:t>fluorochrome</w:t>
      </w:r>
      <w:proofErr w:type="spellEnd"/>
      <w:r w:rsidR="006468B1" w:rsidRPr="005C7E15">
        <w:rPr>
          <w:noProof w:val="0"/>
          <w:sz w:val="24"/>
          <w:szCs w:val="24"/>
        </w:rPr>
        <w:t xml:space="preserve">-conjugated antibodies were used: anti-CD45, anti-CD3ɛ, anti-CD25 (all purchased from BD Horizon); anti-FoxP3 and anti-CD4 (all purchased from </w:t>
      </w:r>
      <w:proofErr w:type="spellStart"/>
      <w:r w:rsidR="006468B1" w:rsidRPr="005C7E15">
        <w:rPr>
          <w:noProof w:val="0"/>
          <w:sz w:val="24"/>
          <w:szCs w:val="24"/>
        </w:rPr>
        <w:t>eBioscience</w:t>
      </w:r>
      <w:proofErr w:type="spellEnd"/>
      <w:r w:rsidR="006468B1" w:rsidRPr="005C7E15">
        <w:rPr>
          <w:noProof w:val="0"/>
          <w:sz w:val="24"/>
          <w:szCs w:val="24"/>
        </w:rPr>
        <w:t xml:space="preserve">); </w:t>
      </w:r>
      <w:r w:rsidR="00734443" w:rsidRPr="005C7E15">
        <w:rPr>
          <w:noProof w:val="0"/>
          <w:sz w:val="24"/>
          <w:szCs w:val="24"/>
        </w:rPr>
        <w:t xml:space="preserve">anti-mouse CD69, </w:t>
      </w:r>
      <w:r w:rsidR="006468B1" w:rsidRPr="005C7E15">
        <w:rPr>
          <w:noProof w:val="0"/>
          <w:sz w:val="24"/>
          <w:szCs w:val="24"/>
        </w:rPr>
        <w:t>anti-NK1.1</w:t>
      </w:r>
      <w:r w:rsidR="00BE5F88" w:rsidRPr="005C7E15">
        <w:rPr>
          <w:noProof w:val="0"/>
          <w:sz w:val="24"/>
          <w:szCs w:val="24"/>
        </w:rPr>
        <w:t xml:space="preserve">, </w:t>
      </w:r>
      <w:r w:rsidR="00BE5F88" w:rsidRPr="005C7E15">
        <w:rPr>
          <w:sz w:val="23"/>
          <w:szCs w:val="23"/>
        </w:rPr>
        <w:t xml:space="preserve">anti-mouse CD279 (PD-1) and </w:t>
      </w:r>
      <w:r w:rsidR="006468B1" w:rsidRPr="005C7E15">
        <w:rPr>
          <w:noProof w:val="0"/>
          <w:sz w:val="24"/>
          <w:szCs w:val="24"/>
        </w:rPr>
        <w:t xml:space="preserve">anti-CD8a (all purchased from </w:t>
      </w:r>
      <w:proofErr w:type="spellStart"/>
      <w:r w:rsidR="006468B1" w:rsidRPr="005C7E15">
        <w:rPr>
          <w:noProof w:val="0"/>
          <w:sz w:val="24"/>
          <w:szCs w:val="24"/>
        </w:rPr>
        <w:t>Biolegend</w:t>
      </w:r>
      <w:proofErr w:type="spellEnd"/>
      <w:r w:rsidR="006468B1" w:rsidRPr="005C7E15">
        <w:rPr>
          <w:noProof w:val="0"/>
          <w:sz w:val="24"/>
          <w:szCs w:val="24"/>
        </w:rPr>
        <w:t>). The LIVE/DEAD® Fixable Near-IR Dead Cell Stain Kit (</w:t>
      </w:r>
      <w:proofErr w:type="spellStart"/>
      <w:r w:rsidR="006468B1" w:rsidRPr="005C7E15">
        <w:rPr>
          <w:noProof w:val="0"/>
          <w:sz w:val="24"/>
          <w:szCs w:val="24"/>
        </w:rPr>
        <w:t>Thermo</w:t>
      </w:r>
      <w:proofErr w:type="spellEnd"/>
      <w:r w:rsidR="006468B1" w:rsidRPr="005C7E15">
        <w:rPr>
          <w:noProof w:val="0"/>
          <w:sz w:val="24"/>
          <w:szCs w:val="24"/>
        </w:rPr>
        <w:t xml:space="preserve"> Fisher Scientific) </w:t>
      </w:r>
      <w:proofErr w:type="gramStart"/>
      <w:r w:rsidR="006468B1" w:rsidRPr="005C7E15">
        <w:rPr>
          <w:noProof w:val="0"/>
          <w:sz w:val="24"/>
          <w:szCs w:val="24"/>
        </w:rPr>
        <w:t>was used</w:t>
      </w:r>
      <w:proofErr w:type="gramEnd"/>
      <w:r w:rsidR="006468B1" w:rsidRPr="005C7E15">
        <w:rPr>
          <w:noProof w:val="0"/>
          <w:sz w:val="24"/>
          <w:szCs w:val="24"/>
        </w:rPr>
        <w:t xml:space="preserve"> as a viability dye. For intracellular staining of Foxp3/Transcription Factor, a fixation/</w:t>
      </w:r>
      <w:proofErr w:type="spellStart"/>
      <w:r w:rsidR="006468B1" w:rsidRPr="005C7E15">
        <w:rPr>
          <w:noProof w:val="0"/>
          <w:sz w:val="24"/>
          <w:szCs w:val="24"/>
        </w:rPr>
        <w:t>permeabilization</w:t>
      </w:r>
      <w:proofErr w:type="spellEnd"/>
      <w:r w:rsidR="006468B1" w:rsidRPr="005C7E15">
        <w:rPr>
          <w:noProof w:val="0"/>
          <w:sz w:val="24"/>
          <w:szCs w:val="24"/>
        </w:rPr>
        <w:t xml:space="preserve"> kit from </w:t>
      </w:r>
      <w:proofErr w:type="spellStart"/>
      <w:r w:rsidR="006468B1" w:rsidRPr="005C7E15">
        <w:rPr>
          <w:noProof w:val="0"/>
          <w:sz w:val="24"/>
          <w:szCs w:val="24"/>
        </w:rPr>
        <w:t>eBioscience</w:t>
      </w:r>
      <w:proofErr w:type="spellEnd"/>
      <w:r w:rsidR="006468B1" w:rsidRPr="005C7E15">
        <w:rPr>
          <w:noProof w:val="0"/>
          <w:sz w:val="24"/>
          <w:szCs w:val="24"/>
        </w:rPr>
        <w:t xml:space="preserve"> </w:t>
      </w:r>
      <w:proofErr w:type="gramStart"/>
      <w:r w:rsidR="006468B1" w:rsidRPr="005C7E15">
        <w:rPr>
          <w:noProof w:val="0"/>
          <w:sz w:val="24"/>
          <w:szCs w:val="24"/>
        </w:rPr>
        <w:t>was used</w:t>
      </w:r>
      <w:proofErr w:type="gramEnd"/>
      <w:r w:rsidR="006468B1" w:rsidRPr="005C7E15">
        <w:rPr>
          <w:noProof w:val="0"/>
          <w:sz w:val="24"/>
          <w:szCs w:val="24"/>
        </w:rPr>
        <w:t xml:space="preserve"> according to the manufacturer’s recommended protocol. </w:t>
      </w:r>
    </w:p>
    <w:p w:rsidR="006468B1" w:rsidRPr="005C7E15" w:rsidRDefault="006468B1" w:rsidP="00642668">
      <w:pPr>
        <w:spacing w:before="240" w:after="0" w:line="360" w:lineRule="auto"/>
        <w:rPr>
          <w:rFonts w:eastAsia="Times New Roman" w:cs="Calibri"/>
          <w:b/>
          <w:sz w:val="24"/>
          <w:szCs w:val="24"/>
          <w:u w:val="single"/>
          <w:lang w:eastAsia="fr-CH"/>
        </w:rPr>
      </w:pPr>
      <w:r w:rsidRPr="005C7E15">
        <w:rPr>
          <w:rFonts w:eastAsia="Times New Roman" w:cs="Calibri"/>
          <w:b/>
          <w:caps/>
          <w:sz w:val="24"/>
          <w:szCs w:val="24"/>
          <w:u w:val="single"/>
          <w:lang w:eastAsia="fr-CH"/>
        </w:rPr>
        <w:t xml:space="preserve">Elisa </w:t>
      </w:r>
      <w:r w:rsidR="00642668" w:rsidRPr="005C7E15">
        <w:rPr>
          <w:rFonts w:eastAsia="Times New Roman" w:cs="Calibri"/>
          <w:b/>
          <w:sz w:val="24"/>
          <w:szCs w:val="24"/>
          <w:u w:val="single"/>
          <w:lang w:eastAsia="fr-CH"/>
        </w:rPr>
        <w:t>and</w:t>
      </w:r>
      <w:r w:rsidR="00642668" w:rsidRPr="005C7E15">
        <w:rPr>
          <w:rFonts w:eastAsia="Times New Roman" w:cs="Calibri"/>
          <w:b/>
          <w:caps/>
          <w:sz w:val="24"/>
          <w:szCs w:val="24"/>
          <w:u w:val="single"/>
          <w:lang w:eastAsia="fr-CH"/>
        </w:rPr>
        <w:t xml:space="preserve"> </w:t>
      </w:r>
      <w:r w:rsidR="00642668" w:rsidRPr="005C7E15">
        <w:rPr>
          <w:rFonts w:eastAsia="Times New Roman" w:cs="Calibri"/>
          <w:b/>
          <w:sz w:val="24"/>
          <w:szCs w:val="24"/>
          <w:u w:val="single"/>
          <w:lang w:eastAsia="fr-CH"/>
        </w:rPr>
        <w:t xml:space="preserve">Mouse cytokine profiling </w:t>
      </w:r>
    </w:p>
    <w:p w:rsidR="00642668" w:rsidRPr="005C7E15" w:rsidRDefault="006468B1" w:rsidP="005206B4">
      <w:pPr>
        <w:spacing w:before="0" w:after="0" w:line="360" w:lineRule="auto"/>
        <w:rPr>
          <w:rFonts w:eastAsia="Times New Roman" w:cs="Calibri"/>
          <w:sz w:val="24"/>
          <w:szCs w:val="24"/>
          <w:lang w:eastAsia="fr-CH"/>
        </w:rPr>
      </w:pPr>
      <w:r w:rsidRPr="005C7E15">
        <w:rPr>
          <w:rFonts w:eastAsia="Times New Roman" w:cs="Calibri"/>
          <w:sz w:val="24"/>
          <w:szCs w:val="24"/>
          <w:lang w:eastAsia="fr-CH"/>
        </w:rPr>
        <w:t xml:space="preserve">Tumor plasmas </w:t>
      </w:r>
      <w:proofErr w:type="gramStart"/>
      <w:r w:rsidRPr="005C7E15">
        <w:rPr>
          <w:rFonts w:eastAsia="Times New Roman" w:cs="Calibri"/>
          <w:sz w:val="24"/>
          <w:szCs w:val="24"/>
          <w:lang w:eastAsia="fr-CH"/>
        </w:rPr>
        <w:t>were generated</w:t>
      </w:r>
      <w:proofErr w:type="gramEnd"/>
      <w:r w:rsidRPr="005C7E15">
        <w:rPr>
          <w:rFonts w:eastAsia="Times New Roman" w:cs="Calibri"/>
          <w:sz w:val="24"/>
          <w:szCs w:val="24"/>
          <w:lang w:eastAsia="fr-CH"/>
        </w:rPr>
        <w:t xml:space="preserve"> from dissociated tumors in DMEM medium. After centrifugation, supernatants </w:t>
      </w:r>
      <w:proofErr w:type="gramStart"/>
      <w:r w:rsidRPr="005C7E15">
        <w:rPr>
          <w:rFonts w:eastAsia="Times New Roman" w:cs="Calibri"/>
          <w:sz w:val="24"/>
          <w:szCs w:val="24"/>
          <w:lang w:eastAsia="fr-CH"/>
        </w:rPr>
        <w:t>were collected</w:t>
      </w:r>
      <w:proofErr w:type="gramEnd"/>
      <w:r w:rsidRPr="005C7E15">
        <w:rPr>
          <w:rFonts w:eastAsia="Times New Roman" w:cs="Calibri"/>
          <w:sz w:val="24"/>
          <w:szCs w:val="24"/>
          <w:lang w:eastAsia="fr-CH"/>
        </w:rPr>
        <w:t xml:space="preserve"> and concentrated using Protein Concentrator PES, 3K MWCO (88526, </w:t>
      </w:r>
      <w:proofErr w:type="spellStart"/>
      <w:r w:rsidRPr="005C7E15">
        <w:rPr>
          <w:rFonts w:eastAsia="Times New Roman" w:cs="Calibri"/>
          <w:sz w:val="24"/>
          <w:szCs w:val="24"/>
          <w:lang w:eastAsia="fr-CH"/>
        </w:rPr>
        <w:lastRenderedPageBreak/>
        <w:t>Thermo</w:t>
      </w:r>
      <w:proofErr w:type="spellEnd"/>
      <w:r w:rsidRPr="005C7E15">
        <w:rPr>
          <w:rFonts w:eastAsia="Times New Roman" w:cs="Calibri"/>
          <w:sz w:val="24"/>
          <w:szCs w:val="24"/>
          <w:lang w:eastAsia="fr-CH"/>
        </w:rPr>
        <w:t xml:space="preserve"> Fisher Scientific). For in vitro</w:t>
      </w:r>
      <w:r w:rsidRPr="005C7E15">
        <w:rPr>
          <w:rFonts w:eastAsia="Times New Roman" w:cs="Calibri"/>
          <w:i/>
          <w:sz w:val="24"/>
          <w:szCs w:val="24"/>
          <w:lang w:eastAsia="fr-CH"/>
        </w:rPr>
        <w:t xml:space="preserve"> </w:t>
      </w:r>
      <w:r w:rsidRPr="005C7E15">
        <w:rPr>
          <w:rFonts w:eastAsia="Times New Roman" w:cs="Calibri"/>
          <w:sz w:val="24"/>
          <w:szCs w:val="24"/>
          <w:lang w:eastAsia="fr-CH"/>
        </w:rPr>
        <w:t xml:space="preserve">experiments, equal amounts of cells were seeded in </w:t>
      </w:r>
      <w:proofErr w:type="gramStart"/>
      <w:r w:rsidRPr="005C7E15">
        <w:rPr>
          <w:rFonts w:eastAsia="Times New Roman" w:cs="Calibri"/>
          <w:sz w:val="24"/>
          <w:szCs w:val="24"/>
          <w:lang w:eastAsia="fr-CH"/>
        </w:rPr>
        <w:t>6</w:t>
      </w:r>
      <w:proofErr w:type="gramEnd"/>
      <w:r w:rsidR="009558A4" w:rsidRPr="005C7E15">
        <w:rPr>
          <w:rFonts w:eastAsia="Times New Roman" w:cs="Calibri"/>
          <w:sz w:val="24"/>
          <w:szCs w:val="24"/>
          <w:lang w:eastAsia="fr-CH"/>
        </w:rPr>
        <w:t xml:space="preserve"> </w:t>
      </w:r>
      <w:r w:rsidRPr="005C7E15">
        <w:rPr>
          <w:rFonts w:eastAsia="Times New Roman" w:cs="Calibri"/>
          <w:sz w:val="24"/>
          <w:szCs w:val="24"/>
          <w:lang w:eastAsia="fr-CH"/>
        </w:rPr>
        <w:t xml:space="preserve">well dishes. Twenty-four hours later, cells were serum-deprived and cultured under hypoxia at </w:t>
      </w:r>
      <w:r w:rsidRPr="005C7E15">
        <w:rPr>
          <w:sz w:val="24"/>
          <w:szCs w:val="24"/>
        </w:rPr>
        <w:t>0.1% pO</w:t>
      </w:r>
      <w:r w:rsidRPr="005C7E15">
        <w:rPr>
          <w:sz w:val="24"/>
          <w:szCs w:val="24"/>
          <w:vertAlign w:val="subscript"/>
        </w:rPr>
        <w:t xml:space="preserve">2 </w:t>
      </w:r>
      <w:r w:rsidRPr="005C7E15">
        <w:rPr>
          <w:sz w:val="24"/>
          <w:szCs w:val="24"/>
        </w:rPr>
        <w:t>for 24 hours.</w:t>
      </w:r>
      <w:r w:rsidRPr="005C7E15">
        <w:rPr>
          <w:sz w:val="24"/>
          <w:szCs w:val="24"/>
          <w:vertAlign w:val="subscript"/>
        </w:rPr>
        <w:t xml:space="preserve"> </w:t>
      </w:r>
      <w:r w:rsidRPr="005C7E15">
        <w:rPr>
          <w:rFonts w:eastAsia="Times New Roman" w:cs="Calibri"/>
          <w:sz w:val="24"/>
          <w:szCs w:val="24"/>
          <w:lang w:eastAsia="fr-CH"/>
        </w:rPr>
        <w:t xml:space="preserve">CCL2, CCL5, </w:t>
      </w:r>
      <w:r w:rsidR="00F82DB5" w:rsidRPr="005C7E15">
        <w:rPr>
          <w:rFonts w:eastAsia="Times New Roman" w:cs="Calibri"/>
          <w:sz w:val="24"/>
          <w:szCs w:val="24"/>
          <w:lang w:eastAsia="fr-CH"/>
        </w:rPr>
        <w:t>IFN-</w:t>
      </w:r>
      <w:r w:rsidR="00F82DB5" w:rsidRPr="005C7E15">
        <w:rPr>
          <w:rFonts w:ascii="Symbol" w:eastAsia="Times New Roman" w:hAnsi="Symbol" w:cs="Calibri"/>
          <w:sz w:val="24"/>
          <w:szCs w:val="24"/>
          <w:lang w:eastAsia="fr-CH"/>
        </w:rPr>
        <w:t></w:t>
      </w:r>
      <w:r w:rsidR="00F82DB5" w:rsidRPr="005C7E15">
        <w:rPr>
          <w:rFonts w:eastAsia="Times New Roman" w:cs="Calibri"/>
          <w:sz w:val="24"/>
          <w:szCs w:val="24"/>
          <w:lang w:eastAsia="fr-CH"/>
        </w:rPr>
        <w:t xml:space="preserve"> </w:t>
      </w:r>
      <w:r w:rsidRPr="005C7E15">
        <w:rPr>
          <w:rFonts w:eastAsia="Times New Roman" w:cs="Calibri"/>
          <w:sz w:val="24"/>
          <w:szCs w:val="24"/>
          <w:lang w:eastAsia="fr-CH"/>
        </w:rPr>
        <w:t>and VEGF</w:t>
      </w:r>
      <w:r w:rsidRPr="005C7E15" w:rsidDel="00F50729">
        <w:rPr>
          <w:rFonts w:eastAsia="Times New Roman" w:cs="Calibri"/>
          <w:sz w:val="24"/>
          <w:szCs w:val="24"/>
          <w:lang w:eastAsia="fr-CH"/>
        </w:rPr>
        <w:t xml:space="preserve"> </w:t>
      </w:r>
      <w:r w:rsidRPr="005C7E15">
        <w:rPr>
          <w:rFonts w:eastAsia="Times New Roman" w:cs="Calibri"/>
          <w:sz w:val="24"/>
          <w:szCs w:val="24"/>
          <w:lang w:eastAsia="fr-CH"/>
        </w:rPr>
        <w:t xml:space="preserve">present in the supernatant were quantified using mouse CCL2/JE/MCP-1 </w:t>
      </w:r>
      <w:proofErr w:type="spellStart"/>
      <w:r w:rsidRPr="005C7E15">
        <w:rPr>
          <w:rFonts w:eastAsia="Times New Roman" w:cs="Calibri"/>
          <w:sz w:val="24"/>
          <w:szCs w:val="24"/>
          <w:lang w:eastAsia="fr-CH"/>
        </w:rPr>
        <w:t>DuoSet</w:t>
      </w:r>
      <w:proofErr w:type="spellEnd"/>
      <w:r w:rsidRPr="005C7E15">
        <w:rPr>
          <w:rFonts w:eastAsia="Times New Roman" w:cs="Calibri"/>
          <w:sz w:val="24"/>
          <w:szCs w:val="24"/>
          <w:lang w:eastAsia="fr-CH"/>
        </w:rPr>
        <w:t xml:space="preserve"> Elisa, CCL5/RANTES </w:t>
      </w:r>
      <w:proofErr w:type="spellStart"/>
      <w:r w:rsidRPr="005C7E15">
        <w:rPr>
          <w:rFonts w:eastAsia="Times New Roman" w:cs="Calibri"/>
          <w:sz w:val="24"/>
          <w:szCs w:val="24"/>
          <w:lang w:eastAsia="fr-CH"/>
        </w:rPr>
        <w:t>DuoSet</w:t>
      </w:r>
      <w:proofErr w:type="spellEnd"/>
      <w:r w:rsidRPr="005C7E15">
        <w:rPr>
          <w:rFonts w:eastAsia="Times New Roman" w:cs="Calibri"/>
          <w:sz w:val="24"/>
          <w:szCs w:val="24"/>
          <w:lang w:eastAsia="fr-CH"/>
        </w:rPr>
        <w:t xml:space="preserve"> Elisa, </w:t>
      </w:r>
      <w:r w:rsidR="00F82DB5" w:rsidRPr="005C7E15">
        <w:rPr>
          <w:sz w:val="23"/>
          <w:szCs w:val="23"/>
        </w:rPr>
        <w:t xml:space="preserve">IFN-gamma </w:t>
      </w:r>
      <w:proofErr w:type="spellStart"/>
      <w:r w:rsidR="00F82DB5" w:rsidRPr="005C7E15">
        <w:rPr>
          <w:sz w:val="23"/>
          <w:szCs w:val="23"/>
        </w:rPr>
        <w:t>DuoSet</w:t>
      </w:r>
      <w:proofErr w:type="spellEnd"/>
      <w:r w:rsidR="00F82DB5" w:rsidRPr="005C7E15">
        <w:rPr>
          <w:sz w:val="23"/>
          <w:szCs w:val="23"/>
        </w:rPr>
        <w:t xml:space="preserve"> Elisa </w:t>
      </w:r>
      <w:r w:rsidRPr="005C7E15">
        <w:rPr>
          <w:rFonts w:eastAsia="Times New Roman" w:cs="Calibri"/>
          <w:sz w:val="24"/>
          <w:szCs w:val="24"/>
          <w:lang w:eastAsia="fr-CH"/>
        </w:rPr>
        <w:t xml:space="preserve">and VEGF </w:t>
      </w:r>
      <w:proofErr w:type="spellStart"/>
      <w:r w:rsidRPr="005C7E15">
        <w:rPr>
          <w:rFonts w:eastAsia="Times New Roman" w:cs="Calibri"/>
          <w:sz w:val="24"/>
          <w:szCs w:val="24"/>
          <w:lang w:eastAsia="fr-CH"/>
        </w:rPr>
        <w:t>DuoSet</w:t>
      </w:r>
      <w:proofErr w:type="spellEnd"/>
      <w:r w:rsidRPr="005C7E15">
        <w:rPr>
          <w:rFonts w:eastAsia="Times New Roman" w:cs="Calibri"/>
          <w:sz w:val="24"/>
          <w:szCs w:val="24"/>
          <w:lang w:eastAsia="fr-CH"/>
        </w:rPr>
        <w:t xml:space="preserve"> Elisa, which </w:t>
      </w:r>
      <w:proofErr w:type="gramStart"/>
      <w:r w:rsidRPr="005C7E15">
        <w:rPr>
          <w:rFonts w:eastAsia="Times New Roman" w:cs="Calibri"/>
          <w:sz w:val="24"/>
          <w:szCs w:val="24"/>
          <w:lang w:eastAsia="fr-CH"/>
        </w:rPr>
        <w:t>were purchased</w:t>
      </w:r>
      <w:proofErr w:type="gramEnd"/>
      <w:r w:rsidRPr="005C7E15">
        <w:rPr>
          <w:rFonts w:eastAsia="Times New Roman" w:cs="Calibri"/>
          <w:sz w:val="24"/>
          <w:szCs w:val="24"/>
          <w:lang w:eastAsia="fr-CH"/>
        </w:rPr>
        <w:t xml:space="preserve"> from R&amp;D Systems.</w:t>
      </w:r>
      <w:r w:rsidR="00642668" w:rsidRPr="005C7E15">
        <w:rPr>
          <w:rFonts w:eastAsia="Times New Roman" w:cs="Calibri"/>
          <w:sz w:val="24"/>
          <w:szCs w:val="24"/>
          <w:lang w:eastAsia="fr-CH"/>
        </w:rPr>
        <w:t xml:space="preserve"> Proteome Profiler Mouse XL Cytokine Array (</w:t>
      </w:r>
      <w:r w:rsidR="00642668" w:rsidRPr="005C7E15">
        <w:rPr>
          <w:rFonts w:asciiTheme="minorHAnsi" w:hAnsiTheme="minorHAnsi" w:cstheme="minorHAnsi"/>
          <w:bCs/>
          <w:sz w:val="24"/>
          <w:szCs w:val="24"/>
        </w:rPr>
        <w:t xml:space="preserve">R&amp;D Systems) </w:t>
      </w:r>
      <w:proofErr w:type="gramStart"/>
      <w:r w:rsidR="00642668" w:rsidRPr="005C7E15">
        <w:rPr>
          <w:rFonts w:asciiTheme="minorHAnsi" w:hAnsiTheme="minorHAnsi" w:cstheme="minorHAnsi"/>
          <w:bCs/>
          <w:sz w:val="24"/>
          <w:szCs w:val="24"/>
        </w:rPr>
        <w:t>was used</w:t>
      </w:r>
      <w:proofErr w:type="gramEnd"/>
      <w:r w:rsidR="00642668" w:rsidRPr="005C7E15">
        <w:rPr>
          <w:rFonts w:asciiTheme="minorHAnsi" w:hAnsiTheme="minorHAnsi" w:cstheme="minorHAnsi"/>
          <w:bCs/>
          <w:sz w:val="24"/>
          <w:szCs w:val="24"/>
        </w:rPr>
        <w:t xml:space="preserve"> for profiling different cytokines and chemokines using equal amounts (µg) of tumor lysates.</w:t>
      </w:r>
    </w:p>
    <w:p w:rsidR="006468B1" w:rsidRPr="005C7E15" w:rsidRDefault="006468B1" w:rsidP="00642668">
      <w:pPr>
        <w:spacing w:before="240" w:after="0" w:line="360" w:lineRule="auto"/>
        <w:rPr>
          <w:rFonts w:eastAsia="Times New Roman" w:cs="Calibri"/>
          <w:b/>
          <w:sz w:val="24"/>
          <w:szCs w:val="24"/>
          <w:u w:val="single"/>
          <w:lang w:eastAsia="fr-CH"/>
        </w:rPr>
      </w:pPr>
      <w:r w:rsidRPr="005C7E15">
        <w:rPr>
          <w:rFonts w:eastAsia="Times New Roman" w:cs="Calibri"/>
          <w:b/>
          <w:sz w:val="24"/>
          <w:szCs w:val="24"/>
          <w:u w:val="single"/>
          <w:lang w:eastAsia="fr-CH"/>
        </w:rPr>
        <w:t>Immunohistochemistry and immunofluorescence</w:t>
      </w:r>
    </w:p>
    <w:p w:rsidR="007D1F80" w:rsidRPr="005C7E15" w:rsidRDefault="006468B1" w:rsidP="00642668">
      <w:pPr>
        <w:spacing w:before="0" w:after="0" w:line="360" w:lineRule="auto"/>
        <w:rPr>
          <w:rFonts w:eastAsia="Times New Roman" w:cs="Calibri"/>
          <w:sz w:val="24"/>
          <w:szCs w:val="24"/>
          <w:lang w:eastAsia="fr-CH"/>
        </w:rPr>
      </w:pPr>
      <w:r w:rsidRPr="005C7E15">
        <w:rPr>
          <w:rFonts w:eastAsia="Times New Roman" w:cs="Calibri"/>
          <w:sz w:val="24"/>
          <w:szCs w:val="24"/>
          <w:lang w:eastAsia="fr-CH"/>
        </w:rPr>
        <w:t xml:space="preserve">Mice harvested tumors </w:t>
      </w:r>
      <w:proofErr w:type="gramStart"/>
      <w:r w:rsidRPr="005C7E15">
        <w:rPr>
          <w:rFonts w:eastAsia="Times New Roman" w:cs="Calibri"/>
          <w:sz w:val="24"/>
          <w:szCs w:val="24"/>
          <w:lang w:eastAsia="fr-CH"/>
        </w:rPr>
        <w:t>were fixed in 4% paraformaldehyde and 70% ethanol and embedded in paraffin</w:t>
      </w:r>
      <w:proofErr w:type="gramEnd"/>
      <w:r w:rsidRPr="005C7E15">
        <w:rPr>
          <w:rFonts w:eastAsia="Times New Roman" w:cs="Calibri"/>
          <w:sz w:val="24"/>
          <w:szCs w:val="24"/>
          <w:lang w:eastAsia="fr-CH"/>
        </w:rPr>
        <w:t xml:space="preserve">. CD45, CA-9, and CCL5 staining was performed by </w:t>
      </w:r>
      <w:proofErr w:type="spellStart"/>
      <w:r w:rsidRPr="005C7E15">
        <w:rPr>
          <w:rFonts w:eastAsia="Times New Roman" w:cs="Calibri"/>
          <w:sz w:val="24"/>
          <w:szCs w:val="24"/>
          <w:lang w:eastAsia="fr-CH"/>
        </w:rPr>
        <w:t>HistoWiz</w:t>
      </w:r>
      <w:proofErr w:type="spellEnd"/>
      <w:r w:rsidRPr="005C7E15">
        <w:rPr>
          <w:rFonts w:eastAsia="Times New Roman" w:cs="Calibri"/>
          <w:sz w:val="24"/>
          <w:szCs w:val="24"/>
          <w:lang w:eastAsia="fr-CH"/>
        </w:rPr>
        <w:t xml:space="preserve"> Company (NY, USA). For immunofluorescence, cells </w:t>
      </w:r>
      <w:proofErr w:type="gramStart"/>
      <w:r w:rsidRPr="005C7E15">
        <w:rPr>
          <w:rFonts w:eastAsia="Times New Roman" w:cs="Calibri"/>
          <w:sz w:val="24"/>
          <w:szCs w:val="24"/>
          <w:lang w:eastAsia="fr-CH"/>
        </w:rPr>
        <w:t xml:space="preserve">were </w:t>
      </w:r>
      <w:r w:rsidR="00833ACD" w:rsidRPr="005C7E15">
        <w:rPr>
          <w:rFonts w:eastAsia="Times New Roman" w:cs="Calibri"/>
          <w:sz w:val="24"/>
          <w:szCs w:val="24"/>
          <w:lang w:eastAsia="fr-CH"/>
        </w:rPr>
        <w:t>seeded</w:t>
      </w:r>
      <w:proofErr w:type="gramEnd"/>
      <w:r w:rsidR="00833ACD" w:rsidRPr="005C7E15">
        <w:rPr>
          <w:rFonts w:eastAsia="Times New Roman" w:cs="Calibri"/>
          <w:sz w:val="24"/>
          <w:szCs w:val="24"/>
          <w:lang w:eastAsia="fr-CH"/>
        </w:rPr>
        <w:t xml:space="preserve"> at the same density for all experimental conditions, </w:t>
      </w:r>
      <w:r w:rsidRPr="005C7E15">
        <w:rPr>
          <w:rFonts w:eastAsia="Times New Roman" w:cs="Calibri"/>
          <w:sz w:val="24"/>
          <w:szCs w:val="24"/>
          <w:lang w:eastAsia="fr-CH"/>
        </w:rPr>
        <w:t xml:space="preserve">fixed with paraformaldehyde 4% and then </w:t>
      </w:r>
      <w:proofErr w:type="spellStart"/>
      <w:r w:rsidRPr="005C7E15">
        <w:rPr>
          <w:rFonts w:eastAsia="Times New Roman" w:cs="Calibri"/>
          <w:sz w:val="24"/>
          <w:szCs w:val="24"/>
          <w:lang w:eastAsia="fr-CH"/>
        </w:rPr>
        <w:t>permeabilized</w:t>
      </w:r>
      <w:proofErr w:type="spellEnd"/>
      <w:r w:rsidRPr="005C7E15">
        <w:rPr>
          <w:rFonts w:eastAsia="Times New Roman" w:cs="Calibri"/>
          <w:sz w:val="24"/>
          <w:szCs w:val="24"/>
          <w:lang w:eastAsia="fr-CH"/>
        </w:rPr>
        <w:t xml:space="preserve"> with 0.25% Tween20 before being stained with HIF-1α (Novus Biologicals) and DAPI and incubated with appropriate fluorescently conjugated secondary antibody (</w:t>
      </w:r>
      <w:proofErr w:type="spellStart"/>
      <w:r w:rsidRPr="005C7E15">
        <w:rPr>
          <w:rFonts w:eastAsia="Times New Roman" w:cs="Calibri"/>
          <w:color w:val="auto"/>
          <w:sz w:val="24"/>
          <w:szCs w:val="24"/>
          <w:lang w:eastAsia="fr-CH"/>
        </w:rPr>
        <w:t>Thermo</w:t>
      </w:r>
      <w:proofErr w:type="spellEnd"/>
      <w:r w:rsidRPr="005C7E15">
        <w:rPr>
          <w:rFonts w:eastAsia="Times New Roman" w:cs="Calibri"/>
          <w:color w:val="auto"/>
          <w:sz w:val="24"/>
          <w:szCs w:val="24"/>
          <w:lang w:eastAsia="fr-CH"/>
        </w:rPr>
        <w:t xml:space="preserve"> Fisher Scientific</w:t>
      </w:r>
      <w:r w:rsidRPr="005C7E15">
        <w:rPr>
          <w:rFonts w:eastAsia="Times New Roman" w:cs="Calibri"/>
          <w:sz w:val="24"/>
          <w:szCs w:val="24"/>
          <w:lang w:eastAsia="fr-CH"/>
        </w:rPr>
        <w:t>).</w:t>
      </w:r>
    </w:p>
    <w:p w:rsidR="0040603F" w:rsidRPr="005C7E15" w:rsidRDefault="007D1F80" w:rsidP="00642668">
      <w:pPr>
        <w:pStyle w:val="NoSpacing"/>
        <w:spacing w:before="240" w:line="360" w:lineRule="auto"/>
        <w:rPr>
          <w:b/>
          <w:color w:val="auto"/>
          <w:sz w:val="24"/>
          <w:szCs w:val="24"/>
          <w:u w:val="single"/>
        </w:rPr>
      </w:pPr>
      <w:r w:rsidRPr="005C7E15">
        <w:rPr>
          <w:b/>
          <w:color w:val="auto"/>
          <w:sz w:val="24"/>
          <w:szCs w:val="24"/>
          <w:u w:val="single"/>
        </w:rPr>
        <w:t xml:space="preserve">Depletion </w:t>
      </w:r>
      <w:r w:rsidR="00317914" w:rsidRPr="005C7E15">
        <w:rPr>
          <w:b/>
          <w:color w:val="auto"/>
          <w:sz w:val="24"/>
          <w:szCs w:val="24"/>
          <w:u w:val="single"/>
        </w:rPr>
        <w:t xml:space="preserve">of </w:t>
      </w:r>
      <w:r w:rsidRPr="005C7E15">
        <w:rPr>
          <w:b/>
          <w:color w:val="auto"/>
          <w:sz w:val="24"/>
          <w:szCs w:val="24"/>
          <w:u w:val="single"/>
        </w:rPr>
        <w:t>NK and CD8</w:t>
      </w:r>
      <w:r w:rsidR="0040603F" w:rsidRPr="005C7E15">
        <w:rPr>
          <w:b/>
          <w:color w:val="auto"/>
          <w:sz w:val="24"/>
          <w:szCs w:val="24"/>
          <w:u w:val="single"/>
        </w:rPr>
        <w:t xml:space="preserve"> </w:t>
      </w:r>
    </w:p>
    <w:p w:rsidR="006468B1" w:rsidRPr="005C7E15" w:rsidRDefault="009558A4" w:rsidP="00642668">
      <w:pPr>
        <w:pStyle w:val="NoSpacing"/>
        <w:spacing w:line="360" w:lineRule="auto"/>
        <w:rPr>
          <w:color w:val="auto"/>
          <w:sz w:val="24"/>
          <w:szCs w:val="24"/>
        </w:rPr>
      </w:pPr>
      <w:r w:rsidRPr="005C7E15">
        <w:rPr>
          <w:color w:val="auto"/>
          <w:sz w:val="24"/>
          <w:szCs w:val="24"/>
        </w:rPr>
        <w:t xml:space="preserve">NK and CD8 depleting antibodies were administred to mice three day prior the </w:t>
      </w:r>
      <w:r w:rsidR="004D5CEC" w:rsidRPr="005C7E15">
        <w:rPr>
          <w:noProof w:val="0"/>
          <w:color w:val="auto"/>
          <w:sz w:val="24"/>
          <w:szCs w:val="24"/>
        </w:rPr>
        <w:t>engraftment</w:t>
      </w:r>
      <w:r w:rsidRPr="005C7E15">
        <w:rPr>
          <w:color w:val="auto"/>
          <w:sz w:val="24"/>
          <w:szCs w:val="24"/>
        </w:rPr>
        <w:t xml:space="preserve"> of tumor cells. </w:t>
      </w:r>
      <w:r w:rsidR="00317914" w:rsidRPr="005C7E15">
        <w:rPr>
          <w:color w:val="auto"/>
          <w:sz w:val="24"/>
          <w:szCs w:val="24"/>
        </w:rPr>
        <w:t>B</w:t>
      </w:r>
      <w:r w:rsidR="0027363E" w:rsidRPr="005C7E15">
        <w:rPr>
          <w:color w:val="auto"/>
          <w:sz w:val="24"/>
          <w:szCs w:val="24"/>
        </w:rPr>
        <w:t xml:space="preserve">lood </w:t>
      </w:r>
      <w:r w:rsidR="00317914" w:rsidRPr="005C7E15">
        <w:rPr>
          <w:color w:val="auto"/>
          <w:sz w:val="24"/>
          <w:szCs w:val="24"/>
        </w:rPr>
        <w:t xml:space="preserve">samples were </w:t>
      </w:r>
      <w:r w:rsidR="0027363E" w:rsidRPr="005C7E15">
        <w:rPr>
          <w:color w:val="auto"/>
          <w:sz w:val="24"/>
          <w:szCs w:val="24"/>
        </w:rPr>
        <w:t>collected</w:t>
      </w:r>
      <w:r w:rsidR="00106A19" w:rsidRPr="005C7E15">
        <w:rPr>
          <w:color w:val="auto"/>
          <w:sz w:val="24"/>
          <w:szCs w:val="24"/>
        </w:rPr>
        <w:t xml:space="preserve"> from the</w:t>
      </w:r>
      <w:r w:rsidR="0027363E" w:rsidRPr="005C7E15">
        <w:rPr>
          <w:color w:val="auto"/>
          <w:sz w:val="24"/>
          <w:szCs w:val="24"/>
        </w:rPr>
        <w:t xml:space="preserve"> eye</w:t>
      </w:r>
      <w:r w:rsidR="00106A19" w:rsidRPr="005C7E15">
        <w:rPr>
          <w:color w:val="auto"/>
          <w:sz w:val="24"/>
          <w:szCs w:val="24"/>
        </w:rPr>
        <w:t xml:space="preserve"> of</w:t>
      </w:r>
      <w:r w:rsidR="0027363E" w:rsidRPr="005C7E15">
        <w:rPr>
          <w:color w:val="auto"/>
          <w:sz w:val="24"/>
          <w:szCs w:val="24"/>
        </w:rPr>
        <w:t xml:space="preserve"> mice. Blood cells </w:t>
      </w:r>
      <w:r w:rsidR="00106A19" w:rsidRPr="005C7E15">
        <w:rPr>
          <w:sz w:val="24"/>
          <w:szCs w:val="24"/>
        </w:rPr>
        <w:t xml:space="preserve">were stained with </w:t>
      </w:r>
      <w:r w:rsidR="00317914" w:rsidRPr="005C7E15">
        <w:rPr>
          <w:sz w:val="24"/>
          <w:szCs w:val="24"/>
        </w:rPr>
        <w:t xml:space="preserve">the following fluorochrome-conjugated </w:t>
      </w:r>
      <w:r w:rsidR="00106A19" w:rsidRPr="005C7E15">
        <w:rPr>
          <w:sz w:val="24"/>
          <w:szCs w:val="24"/>
        </w:rPr>
        <w:t>antibodies for 30 minutes</w:t>
      </w:r>
      <w:r w:rsidR="00317914" w:rsidRPr="005C7E15">
        <w:rPr>
          <w:color w:val="auto"/>
          <w:sz w:val="24"/>
          <w:szCs w:val="24"/>
        </w:rPr>
        <w:t xml:space="preserve">: </w:t>
      </w:r>
      <w:r w:rsidR="0027363E" w:rsidRPr="005C7E15">
        <w:rPr>
          <w:sz w:val="24"/>
          <w:szCs w:val="24"/>
        </w:rPr>
        <w:t xml:space="preserve">PE anti-NK1.1, APC anti-CD3,  FITC anti-CD3 and APC anti-CD8. </w:t>
      </w:r>
      <w:r w:rsidR="00106A19" w:rsidRPr="005C7E15">
        <w:rPr>
          <w:sz w:val="24"/>
          <w:szCs w:val="24"/>
        </w:rPr>
        <w:t xml:space="preserve">RBC lysis buffer 10x was used </w:t>
      </w:r>
      <w:r w:rsidRPr="005C7E15">
        <w:rPr>
          <w:sz w:val="24"/>
          <w:szCs w:val="24"/>
        </w:rPr>
        <w:t xml:space="preserve">to </w:t>
      </w:r>
      <w:r w:rsidR="00106A19" w:rsidRPr="005C7E15">
        <w:rPr>
          <w:sz w:val="24"/>
          <w:szCs w:val="24"/>
        </w:rPr>
        <w:t>lyse red blood cells</w:t>
      </w:r>
      <w:r w:rsidR="00106A19" w:rsidRPr="005C7E15">
        <w:rPr>
          <w:color w:val="auto"/>
          <w:sz w:val="24"/>
          <w:szCs w:val="24"/>
        </w:rPr>
        <w:t>.</w:t>
      </w:r>
    </w:p>
    <w:p w:rsidR="006468B1" w:rsidRPr="005C7E15" w:rsidRDefault="006468B1" w:rsidP="00642668">
      <w:pPr>
        <w:pStyle w:val="NoSpacing"/>
        <w:spacing w:before="240" w:line="360" w:lineRule="auto"/>
        <w:rPr>
          <w:b/>
          <w:noProof w:val="0"/>
          <w:sz w:val="24"/>
          <w:szCs w:val="24"/>
          <w:u w:val="single"/>
        </w:rPr>
      </w:pPr>
      <w:r w:rsidRPr="005C7E15">
        <w:rPr>
          <w:b/>
          <w:i/>
          <w:noProof w:val="0"/>
          <w:sz w:val="24"/>
          <w:szCs w:val="24"/>
          <w:u w:val="single"/>
        </w:rPr>
        <w:t>In vivo</w:t>
      </w:r>
      <w:r w:rsidRPr="005C7E15">
        <w:rPr>
          <w:b/>
          <w:noProof w:val="0"/>
          <w:sz w:val="24"/>
          <w:szCs w:val="24"/>
          <w:u w:val="single"/>
        </w:rPr>
        <w:t xml:space="preserve"> blocking antibodies and TRP2 vaccination</w:t>
      </w:r>
    </w:p>
    <w:p w:rsidR="006468B1" w:rsidRPr="005C7E15" w:rsidRDefault="006468B1" w:rsidP="006468B1">
      <w:pPr>
        <w:pStyle w:val="NoSpacing"/>
        <w:spacing w:line="360" w:lineRule="auto"/>
        <w:rPr>
          <w:noProof w:val="0"/>
          <w:sz w:val="24"/>
          <w:szCs w:val="24"/>
        </w:rPr>
      </w:pPr>
      <w:proofErr w:type="gramStart"/>
      <w:r w:rsidRPr="005C7E15">
        <w:rPr>
          <w:noProof w:val="0"/>
          <w:sz w:val="24"/>
          <w:szCs w:val="24"/>
        </w:rPr>
        <w:t xml:space="preserve">The following antibodies were used for in vivo blocking/depletion: </w:t>
      </w:r>
      <w:proofErr w:type="spellStart"/>
      <w:r w:rsidRPr="005C7E15">
        <w:rPr>
          <w:noProof w:val="0"/>
          <w:sz w:val="24"/>
          <w:szCs w:val="24"/>
        </w:rPr>
        <w:t>InVivoMab</w:t>
      </w:r>
      <w:proofErr w:type="spellEnd"/>
      <w:r w:rsidRPr="005C7E15">
        <w:rPr>
          <w:noProof w:val="0"/>
          <w:sz w:val="24"/>
          <w:szCs w:val="24"/>
        </w:rPr>
        <w:t xml:space="preserve"> anti-mouse NK1.1 (BE0086), </w:t>
      </w:r>
      <w:proofErr w:type="spellStart"/>
      <w:r w:rsidRPr="005C7E15">
        <w:rPr>
          <w:noProof w:val="0"/>
          <w:sz w:val="24"/>
          <w:szCs w:val="24"/>
        </w:rPr>
        <w:t>InVivoMab</w:t>
      </w:r>
      <w:proofErr w:type="spellEnd"/>
      <w:r w:rsidRPr="005C7E15">
        <w:rPr>
          <w:noProof w:val="0"/>
          <w:sz w:val="24"/>
          <w:szCs w:val="24"/>
        </w:rPr>
        <w:t xml:space="preserve"> mouse IgG2a isotype control (BE0085), </w:t>
      </w:r>
      <w:proofErr w:type="spellStart"/>
      <w:r w:rsidRPr="005C7E15">
        <w:rPr>
          <w:noProof w:val="0"/>
          <w:sz w:val="24"/>
          <w:szCs w:val="24"/>
        </w:rPr>
        <w:t>InVivoMab</w:t>
      </w:r>
      <w:proofErr w:type="spellEnd"/>
      <w:r w:rsidRPr="005C7E15">
        <w:rPr>
          <w:noProof w:val="0"/>
          <w:sz w:val="24"/>
          <w:szCs w:val="24"/>
        </w:rPr>
        <w:t xml:space="preserve"> anti-mouse CD8 alpha (BE0061), </w:t>
      </w:r>
      <w:proofErr w:type="spellStart"/>
      <w:r w:rsidRPr="005C7E15">
        <w:rPr>
          <w:noProof w:val="0"/>
          <w:sz w:val="24"/>
          <w:szCs w:val="24"/>
        </w:rPr>
        <w:t>InVivoMab</w:t>
      </w:r>
      <w:proofErr w:type="spellEnd"/>
      <w:r w:rsidRPr="005C7E15">
        <w:rPr>
          <w:noProof w:val="0"/>
          <w:sz w:val="24"/>
          <w:szCs w:val="24"/>
        </w:rPr>
        <w:t xml:space="preserve"> rat IgG2b isotype control (BE0090), </w:t>
      </w:r>
      <w:proofErr w:type="spellStart"/>
      <w:r w:rsidRPr="005C7E15">
        <w:rPr>
          <w:noProof w:val="0"/>
          <w:sz w:val="24"/>
          <w:szCs w:val="24"/>
        </w:rPr>
        <w:t>InVivoMab</w:t>
      </w:r>
      <w:proofErr w:type="spellEnd"/>
      <w:r w:rsidRPr="005C7E15">
        <w:rPr>
          <w:noProof w:val="0"/>
          <w:sz w:val="24"/>
          <w:szCs w:val="24"/>
        </w:rPr>
        <w:t xml:space="preserve"> anti-mouse PD-1 (CD279) (BE0273), and </w:t>
      </w:r>
      <w:proofErr w:type="spellStart"/>
      <w:r w:rsidRPr="005C7E15">
        <w:rPr>
          <w:noProof w:val="0"/>
          <w:sz w:val="24"/>
          <w:szCs w:val="24"/>
        </w:rPr>
        <w:t>InVivoMab</w:t>
      </w:r>
      <w:proofErr w:type="spellEnd"/>
      <w:r w:rsidRPr="005C7E15">
        <w:rPr>
          <w:noProof w:val="0"/>
          <w:sz w:val="24"/>
          <w:szCs w:val="24"/>
        </w:rPr>
        <w:t xml:space="preserve"> rat IgG2a isotype control (BE0089), which were purchased from </w:t>
      </w:r>
      <w:proofErr w:type="spellStart"/>
      <w:r w:rsidRPr="005C7E15">
        <w:rPr>
          <w:noProof w:val="0"/>
          <w:sz w:val="24"/>
          <w:szCs w:val="24"/>
        </w:rPr>
        <w:t>BioXCell</w:t>
      </w:r>
      <w:proofErr w:type="spellEnd"/>
      <w:r w:rsidRPr="005C7E15">
        <w:rPr>
          <w:noProof w:val="0"/>
          <w:sz w:val="24"/>
          <w:szCs w:val="24"/>
        </w:rPr>
        <w:t xml:space="preserve">, diluted in </w:t>
      </w:r>
      <w:proofErr w:type="spellStart"/>
      <w:r w:rsidRPr="005C7E15">
        <w:rPr>
          <w:noProof w:val="0"/>
          <w:sz w:val="24"/>
          <w:szCs w:val="24"/>
        </w:rPr>
        <w:t>InVivoPure</w:t>
      </w:r>
      <w:proofErr w:type="spellEnd"/>
      <w:r w:rsidRPr="005C7E15">
        <w:rPr>
          <w:noProof w:val="0"/>
          <w:sz w:val="24"/>
          <w:szCs w:val="24"/>
        </w:rPr>
        <w:t xml:space="preserve"> pH 7.0 Dilution Buffer (IP0070), and administered as indicated in the corresponding figures.</w:t>
      </w:r>
      <w:proofErr w:type="gramEnd"/>
      <w:r w:rsidRPr="005C7E15">
        <w:rPr>
          <w:noProof w:val="0"/>
          <w:sz w:val="24"/>
          <w:szCs w:val="24"/>
        </w:rPr>
        <w:t xml:space="preserve"> Lyophilized TRP-2</w:t>
      </w:r>
      <w:r w:rsidRPr="005C7E15">
        <w:rPr>
          <w:noProof w:val="0"/>
          <w:sz w:val="24"/>
          <w:szCs w:val="24"/>
          <w:vertAlign w:val="subscript"/>
        </w:rPr>
        <w:t>180-188</w:t>
      </w:r>
      <w:r w:rsidRPr="005C7E15">
        <w:rPr>
          <w:noProof w:val="0"/>
          <w:sz w:val="24"/>
          <w:szCs w:val="24"/>
        </w:rPr>
        <w:t xml:space="preserve"> peptide (SVYDFFVWL; </w:t>
      </w:r>
      <w:proofErr w:type="spellStart"/>
      <w:r w:rsidRPr="005C7E15">
        <w:rPr>
          <w:noProof w:val="0"/>
          <w:sz w:val="24"/>
          <w:szCs w:val="24"/>
        </w:rPr>
        <w:t>Proteogenix</w:t>
      </w:r>
      <w:proofErr w:type="spellEnd"/>
      <w:r w:rsidRPr="005C7E15">
        <w:rPr>
          <w:noProof w:val="0"/>
          <w:sz w:val="24"/>
          <w:szCs w:val="24"/>
        </w:rPr>
        <w:t xml:space="preserve">) </w:t>
      </w:r>
      <w:proofErr w:type="gramStart"/>
      <w:r w:rsidRPr="005C7E15">
        <w:rPr>
          <w:noProof w:val="0"/>
          <w:sz w:val="24"/>
          <w:szCs w:val="24"/>
        </w:rPr>
        <w:t>was diluted</w:t>
      </w:r>
      <w:proofErr w:type="gramEnd"/>
      <w:r w:rsidRPr="005C7E15">
        <w:rPr>
          <w:noProof w:val="0"/>
          <w:sz w:val="24"/>
          <w:szCs w:val="24"/>
        </w:rPr>
        <w:t xml:space="preserve"> in dimethyl sulfoxide. Synthetic </w:t>
      </w:r>
      <w:proofErr w:type="spellStart"/>
      <w:r w:rsidRPr="005C7E15">
        <w:rPr>
          <w:noProof w:val="0"/>
          <w:sz w:val="24"/>
          <w:szCs w:val="24"/>
        </w:rPr>
        <w:t>CpG</w:t>
      </w:r>
      <w:proofErr w:type="spellEnd"/>
      <w:r w:rsidRPr="005C7E15">
        <w:rPr>
          <w:noProof w:val="0"/>
          <w:sz w:val="24"/>
          <w:szCs w:val="24"/>
        </w:rPr>
        <w:t xml:space="preserve"> ODN 1826 (TCCATGACGTTCCTGACGTT; </w:t>
      </w:r>
      <w:proofErr w:type="spellStart"/>
      <w:r w:rsidRPr="005C7E15">
        <w:rPr>
          <w:noProof w:val="0"/>
          <w:sz w:val="24"/>
          <w:szCs w:val="24"/>
        </w:rPr>
        <w:t>Oligofactory</w:t>
      </w:r>
      <w:proofErr w:type="spellEnd"/>
      <w:r w:rsidRPr="005C7E15">
        <w:rPr>
          <w:noProof w:val="0"/>
          <w:sz w:val="24"/>
          <w:szCs w:val="24"/>
        </w:rPr>
        <w:t xml:space="preserve">) was dissolved in PBS. </w:t>
      </w:r>
    </w:p>
    <w:p w:rsidR="0004785E" w:rsidRPr="005C7E15" w:rsidRDefault="0004785E" w:rsidP="0004785E">
      <w:pPr>
        <w:pStyle w:val="NoSpacing"/>
        <w:spacing w:before="240" w:line="360" w:lineRule="auto"/>
        <w:rPr>
          <w:b/>
          <w:bCs/>
          <w:noProof w:val="0"/>
          <w:sz w:val="24"/>
          <w:szCs w:val="24"/>
          <w:u w:val="single"/>
        </w:rPr>
      </w:pPr>
      <w:r w:rsidRPr="005C7E15">
        <w:rPr>
          <w:b/>
          <w:bCs/>
          <w:noProof w:val="0"/>
          <w:sz w:val="24"/>
          <w:szCs w:val="24"/>
          <w:u w:val="single"/>
        </w:rPr>
        <w:t>Luciferase reporter assay</w:t>
      </w:r>
    </w:p>
    <w:p w:rsidR="0004785E" w:rsidRPr="005C7E15" w:rsidRDefault="0004785E" w:rsidP="001D4E12">
      <w:pPr>
        <w:pStyle w:val="NoSpacing"/>
        <w:spacing w:line="360" w:lineRule="auto"/>
        <w:rPr>
          <w:noProof w:val="0"/>
          <w:sz w:val="24"/>
          <w:szCs w:val="24"/>
        </w:rPr>
      </w:pPr>
      <w:r w:rsidRPr="005C7E15">
        <w:rPr>
          <w:noProof w:val="0"/>
          <w:sz w:val="24"/>
          <w:szCs w:val="24"/>
        </w:rPr>
        <w:lastRenderedPageBreak/>
        <w:t>B16-F10 cells expressing HIF-1</w:t>
      </w:r>
      <w:r w:rsidRPr="005C7E15">
        <w:rPr>
          <w:rFonts w:ascii="Symbol" w:hAnsi="Symbol"/>
          <w:noProof w:val="0"/>
          <w:sz w:val="24"/>
          <w:szCs w:val="24"/>
        </w:rPr>
        <w:t></w:t>
      </w:r>
      <w:r w:rsidRPr="005C7E15">
        <w:rPr>
          <w:noProof w:val="0"/>
          <w:sz w:val="24"/>
          <w:szCs w:val="24"/>
        </w:rPr>
        <w:t xml:space="preserve"> (FL) and HIF-1</w:t>
      </w:r>
      <w:r w:rsidRPr="005C7E15">
        <w:rPr>
          <w:rFonts w:ascii="Symbol" w:hAnsi="Symbol"/>
          <w:noProof w:val="0"/>
          <w:sz w:val="24"/>
          <w:szCs w:val="24"/>
        </w:rPr>
        <w:t></w:t>
      </w:r>
      <w:r w:rsidRPr="005C7E15">
        <w:rPr>
          <w:noProof w:val="0"/>
          <w:sz w:val="24"/>
          <w:szCs w:val="24"/>
        </w:rPr>
        <w:t xml:space="preserve"> (Del) </w:t>
      </w:r>
      <w:proofErr w:type="gramStart"/>
      <w:r w:rsidRPr="005C7E15">
        <w:rPr>
          <w:noProof w:val="0"/>
          <w:sz w:val="24"/>
          <w:szCs w:val="24"/>
        </w:rPr>
        <w:t>were plated</w:t>
      </w:r>
      <w:proofErr w:type="gramEnd"/>
      <w:r w:rsidRPr="005C7E15">
        <w:rPr>
          <w:noProof w:val="0"/>
          <w:sz w:val="24"/>
          <w:szCs w:val="24"/>
        </w:rPr>
        <w:t xml:space="preserve"> in two 48-well plates (10</w:t>
      </w:r>
      <w:r w:rsidRPr="005C7E15">
        <w:rPr>
          <w:noProof w:val="0"/>
          <w:sz w:val="24"/>
          <w:szCs w:val="24"/>
          <w:vertAlign w:val="superscript"/>
        </w:rPr>
        <w:t>4</w:t>
      </w:r>
      <w:r w:rsidRPr="005C7E15">
        <w:rPr>
          <w:noProof w:val="0"/>
          <w:sz w:val="24"/>
          <w:szCs w:val="24"/>
        </w:rPr>
        <w:t xml:space="preserve"> cells/well) and transfected the next day with a Hypoxia Responsive Element (HRE)-luciferase reporter construct using Fugene transfection reagent (</w:t>
      </w:r>
      <w:r w:rsidRPr="005C7E15">
        <w:rPr>
          <w:rFonts w:ascii="Symbol" w:hAnsi="Symbol"/>
          <w:noProof w:val="0"/>
          <w:sz w:val="24"/>
          <w:szCs w:val="24"/>
        </w:rPr>
        <w:t></w:t>
      </w:r>
      <w:r w:rsidRPr="005C7E15">
        <w:rPr>
          <w:noProof w:val="0"/>
          <w:sz w:val="24"/>
          <w:szCs w:val="24"/>
        </w:rPr>
        <w:t xml:space="preserve">E2311; Promega) according to the manufacturer’s instructions. HRE-luciferase construct was kindly provided from </w:t>
      </w:r>
      <w:proofErr w:type="spellStart"/>
      <w:r w:rsidRPr="005C7E15">
        <w:rPr>
          <w:noProof w:val="0"/>
          <w:sz w:val="24"/>
          <w:szCs w:val="24"/>
        </w:rPr>
        <w:t>Navdeep</w:t>
      </w:r>
      <w:proofErr w:type="spellEnd"/>
      <w:r w:rsidRPr="005C7E15">
        <w:rPr>
          <w:noProof w:val="0"/>
          <w:sz w:val="24"/>
          <w:szCs w:val="24"/>
        </w:rPr>
        <w:t xml:space="preserve"> </w:t>
      </w:r>
      <w:proofErr w:type="spellStart"/>
      <w:r w:rsidRPr="005C7E15">
        <w:rPr>
          <w:noProof w:val="0"/>
          <w:sz w:val="24"/>
          <w:szCs w:val="24"/>
        </w:rPr>
        <w:t>Chandel</w:t>
      </w:r>
      <w:proofErr w:type="spellEnd"/>
      <w:r w:rsidRPr="005C7E15">
        <w:rPr>
          <w:noProof w:val="0"/>
          <w:sz w:val="24"/>
          <w:szCs w:val="24"/>
        </w:rPr>
        <w:t xml:space="preserve"> (Addgene plasmid </w:t>
      </w:r>
      <w:r w:rsidRPr="005C7E15">
        <w:rPr>
          <w:rFonts w:ascii="Symbol" w:hAnsi="Symbol"/>
          <w:noProof w:val="0"/>
          <w:sz w:val="24"/>
          <w:szCs w:val="24"/>
        </w:rPr>
        <w:t></w:t>
      </w:r>
      <w:r w:rsidRPr="005C7E15">
        <w:rPr>
          <w:rFonts w:ascii="Symbol" w:hAnsi="Symbol"/>
          <w:noProof w:val="0"/>
          <w:sz w:val="24"/>
          <w:szCs w:val="24"/>
        </w:rPr>
        <w:t></w:t>
      </w:r>
      <w:r w:rsidRPr="005C7E15">
        <w:rPr>
          <w:noProof w:val="0"/>
          <w:sz w:val="24"/>
          <w:szCs w:val="24"/>
        </w:rPr>
        <w:t xml:space="preserve">26731) (http://n2t.net/addgene:26731; RRID:Addgene_26731) </w:t>
      </w:r>
      <w:r w:rsidR="001D4E12" w:rsidRPr="005C7E15">
        <w:rPr>
          <w:noProof w:val="0"/>
          <w:sz w:val="24"/>
          <w:szCs w:val="24"/>
        </w:rPr>
        <w:fldChar w:fldCharType="begin"/>
      </w:r>
      <w:r w:rsidR="001D4E12" w:rsidRPr="005C7E15">
        <w:rPr>
          <w:noProof w:val="0"/>
          <w:sz w:val="24"/>
          <w:szCs w:val="24"/>
        </w:rPr>
        <w:instrText xml:space="preserve"> ADDIN EN.CITE &lt;EndNote&gt;&lt;Cite&gt;&lt;Author&gt;Emerling&lt;/Author&gt;&lt;Year&gt;2008&lt;/Year&gt;&lt;RecNum&gt;154&lt;/RecNum&gt;&lt;DisplayText&gt;(2)&lt;/DisplayText&gt;&lt;record&gt;&lt;rec-number&gt;154&lt;/rec-number&gt;&lt;foreign-keys&gt;&lt;key app="EN" db-id="as5z0sdd8xset3ewesvv2vw0dz5fd2pv5s2x" timestamp="1613153949"&gt;154&lt;/key&gt;&lt;/foreign-keys&gt;&lt;ref-type name="Journal Article"&gt;17&lt;/ref-type&gt;&lt;contributors&gt;&lt;authors&gt;&lt;author&gt;Emerling, B. M.&lt;/author&gt;&lt;author&gt;Weinberg, F.&lt;/author&gt;&lt;author&gt;Liu, J. L.&lt;/author&gt;&lt;author&gt;Mak, T. W.&lt;/author&gt;&lt;author&gt;Chandel, N. S.&lt;/author&gt;&lt;/authors&gt;&lt;/contributors&gt;&lt;auth-address&gt;Department of Medicine, Northwestern University Medical School, Chicago, IL 60611, USA.&lt;/auth-address&gt;&lt;titles&gt;&lt;title&gt;PTEN regulates p300-dependent hypoxia-inducible factor 1 transcriptional activity through Forkhead transcription factor 3a (FOXO3a)&lt;/title&gt;&lt;secondary-title&gt;Proc Natl Acad Sci U S A&lt;/secondary-title&gt;&lt;/titles&gt;&lt;periodical&gt;&lt;full-title&gt;Proc Natl Acad Sci U S A&lt;/full-title&gt;&lt;/periodical&gt;&lt;pages&gt;2622-7&lt;/pages&gt;&lt;volume&gt;105&lt;/volume&gt;&lt;number&gt;7&lt;/number&gt;&lt;edition&gt;2008/02/13&lt;/edition&gt;&lt;keywords&gt;&lt;keyword&gt;Animals&lt;/keyword&gt;&lt;keyword&gt;Cell Line&lt;/keyword&gt;&lt;keyword&gt;Cell Nucleus/metabolism&lt;/keyword&gt;&lt;keyword&gt;Forkhead Box Protein O3&lt;/keyword&gt;&lt;keyword&gt;Forkhead Transcription Factors/genetics/*metabolism&lt;/keyword&gt;&lt;keyword&gt;Hypoxia-Inducible Factor 1/*metabolism&lt;/keyword&gt;&lt;keyword&gt;Mice&lt;/keyword&gt;&lt;keyword&gt;Mice, Knockout&lt;/keyword&gt;&lt;keyword&gt;PTEN Phosphohydrolase/deficiency/genetics/*metabolism&lt;/keyword&gt;&lt;keyword&gt;Transcription, Genetic/*genetics&lt;/keyword&gt;&lt;keyword&gt;p300-CBP Transcription Factors/*metabolism&lt;/keyword&gt;&lt;/keywords&gt;&lt;dates&gt;&lt;year&gt;2008&lt;/year&gt;&lt;pub-dates&gt;&lt;date&gt;Feb 19&lt;/date&gt;&lt;/pub-dates&gt;&lt;/dates&gt;&lt;isbn&gt;1091-6490 (Electronic)&amp;#xD;0027-8424 (Linking)&lt;/isbn&gt;&lt;accession-num&gt;18268343&lt;/accession-num&gt;&lt;urls&gt;&lt;related-urls&gt;&lt;url&gt;https://www.ncbi.nlm.nih.gov/pubmed/18268343&lt;/url&gt;&lt;/related-urls&gt;&lt;/urls&gt;&lt;custom2&gt;PMC2268186&lt;/custom2&gt;&lt;electronic-resource-num&gt;10.1073/pnas.0706790105&lt;/electronic-resource-num&gt;&lt;/record&gt;&lt;/Cite&gt;&lt;/EndNote&gt;</w:instrText>
      </w:r>
      <w:r w:rsidR="001D4E12" w:rsidRPr="005C7E15">
        <w:rPr>
          <w:noProof w:val="0"/>
          <w:sz w:val="24"/>
          <w:szCs w:val="24"/>
        </w:rPr>
        <w:fldChar w:fldCharType="separate"/>
      </w:r>
      <w:r w:rsidR="001D4E12" w:rsidRPr="005C7E15">
        <w:rPr>
          <w:sz w:val="24"/>
          <w:szCs w:val="24"/>
        </w:rPr>
        <w:t>(2)</w:t>
      </w:r>
      <w:r w:rsidR="001D4E12" w:rsidRPr="005C7E15">
        <w:rPr>
          <w:noProof w:val="0"/>
          <w:sz w:val="24"/>
          <w:szCs w:val="24"/>
        </w:rPr>
        <w:fldChar w:fldCharType="end"/>
      </w:r>
      <w:r w:rsidRPr="005C7E15">
        <w:rPr>
          <w:noProof w:val="0"/>
          <w:sz w:val="24"/>
          <w:szCs w:val="24"/>
        </w:rPr>
        <w:t>. 24h post transfection, one plate was transferred to hypoxia incubator (0.1% pO2) while the second plate was kept in normoxic conditions. 24h later, hypoxic and normoxic cells were lysed in luciferase reagent (</w:t>
      </w:r>
      <w:r w:rsidRPr="005C7E15">
        <w:rPr>
          <w:rFonts w:ascii="Symbol" w:hAnsi="Symbol"/>
          <w:noProof w:val="0"/>
          <w:sz w:val="24"/>
          <w:szCs w:val="24"/>
        </w:rPr>
        <w:t></w:t>
      </w:r>
      <w:r w:rsidRPr="005C7E15">
        <w:rPr>
          <w:noProof w:val="0"/>
          <w:sz w:val="24"/>
          <w:szCs w:val="24"/>
        </w:rPr>
        <w:t xml:space="preserve">E6120: Promega) and luminescence was measured in a </w:t>
      </w:r>
      <w:proofErr w:type="spellStart"/>
      <w:r w:rsidRPr="005C7E15">
        <w:rPr>
          <w:noProof w:val="0"/>
          <w:sz w:val="24"/>
          <w:szCs w:val="24"/>
        </w:rPr>
        <w:t>luminometer</w:t>
      </w:r>
      <w:proofErr w:type="spellEnd"/>
      <w:r w:rsidRPr="005C7E15">
        <w:rPr>
          <w:noProof w:val="0"/>
          <w:sz w:val="24"/>
          <w:szCs w:val="24"/>
        </w:rPr>
        <w:t>.</w:t>
      </w:r>
    </w:p>
    <w:p w:rsidR="0004785E" w:rsidRPr="005C7E15" w:rsidRDefault="0004785E" w:rsidP="0004785E">
      <w:pPr>
        <w:pStyle w:val="NoSpacing"/>
        <w:spacing w:before="240" w:line="360" w:lineRule="auto"/>
        <w:rPr>
          <w:rFonts w:cs="Calibri"/>
          <w:b/>
          <w:bCs/>
          <w:noProof w:val="0"/>
          <w:sz w:val="24"/>
          <w:szCs w:val="24"/>
          <w:u w:val="single"/>
        </w:rPr>
      </w:pPr>
      <w:r w:rsidRPr="005C7E15">
        <w:rPr>
          <w:rFonts w:cs="Calibri"/>
          <w:b/>
          <w:bCs/>
          <w:noProof w:val="0"/>
          <w:sz w:val="24"/>
          <w:szCs w:val="24"/>
          <w:u w:val="single"/>
        </w:rPr>
        <w:t>Proximity Ligation Assay (PLA)</w:t>
      </w:r>
    </w:p>
    <w:p w:rsidR="0004785E" w:rsidRPr="005C7E15" w:rsidRDefault="0004785E" w:rsidP="0004785E">
      <w:pPr>
        <w:pStyle w:val="NoSpacing"/>
        <w:spacing w:line="360" w:lineRule="auto"/>
        <w:rPr>
          <w:b/>
          <w:noProof w:val="0"/>
          <w:sz w:val="24"/>
          <w:szCs w:val="24"/>
          <w:u w:val="single"/>
        </w:rPr>
      </w:pPr>
      <w:r w:rsidRPr="005C7E15">
        <w:rPr>
          <w:rFonts w:cs="Calibri"/>
          <w:noProof w:val="0"/>
          <w:sz w:val="24"/>
          <w:szCs w:val="24"/>
        </w:rPr>
        <w:t xml:space="preserve">Proximity Ligation Assay (PLA) allows evaluating </w:t>
      </w:r>
      <w:r w:rsidRPr="005C7E15">
        <w:rPr>
          <w:rFonts w:cs="Calibri"/>
          <w:i/>
          <w:iCs/>
          <w:noProof w:val="0"/>
          <w:sz w:val="24"/>
          <w:szCs w:val="24"/>
        </w:rPr>
        <w:t>in situ</w:t>
      </w:r>
      <w:r w:rsidRPr="005C7E15">
        <w:rPr>
          <w:rFonts w:cs="Calibri"/>
          <w:noProof w:val="0"/>
          <w:sz w:val="24"/>
          <w:szCs w:val="24"/>
        </w:rPr>
        <w:t xml:space="preserve"> protein-protein interactions with high specificity and sensitivity. We used this technology to assess the interaction between HIF-1</w:t>
      </w:r>
      <w:r w:rsidRPr="005C7E15">
        <w:rPr>
          <w:rFonts w:ascii="Symbol" w:hAnsi="Symbol" w:cs="Calibri"/>
          <w:noProof w:val="0"/>
          <w:sz w:val="24"/>
          <w:szCs w:val="24"/>
        </w:rPr>
        <w:t></w:t>
      </w:r>
      <w:r w:rsidRPr="005C7E15">
        <w:rPr>
          <w:rFonts w:cs="Calibri"/>
          <w:noProof w:val="0"/>
          <w:sz w:val="24"/>
          <w:szCs w:val="24"/>
        </w:rPr>
        <w:t xml:space="preserve"> (FL) </w:t>
      </w:r>
      <w:proofErr w:type="gramStart"/>
      <w:r w:rsidRPr="005C7E15">
        <w:rPr>
          <w:rFonts w:cs="Calibri"/>
          <w:noProof w:val="0"/>
          <w:sz w:val="24"/>
          <w:szCs w:val="24"/>
        </w:rPr>
        <w:t>or</w:t>
      </w:r>
      <w:proofErr w:type="gramEnd"/>
      <w:r w:rsidRPr="005C7E15">
        <w:rPr>
          <w:rFonts w:cs="Calibri"/>
          <w:noProof w:val="0"/>
          <w:sz w:val="24"/>
          <w:szCs w:val="24"/>
        </w:rPr>
        <w:t xml:space="preserve"> HIF-1</w:t>
      </w:r>
      <w:r w:rsidRPr="005C7E15">
        <w:rPr>
          <w:rFonts w:ascii="Symbol" w:hAnsi="Symbol" w:cs="Calibri"/>
          <w:noProof w:val="0"/>
          <w:sz w:val="24"/>
          <w:szCs w:val="24"/>
        </w:rPr>
        <w:t></w:t>
      </w:r>
      <w:r w:rsidRPr="005C7E15">
        <w:rPr>
          <w:rFonts w:cs="Calibri"/>
          <w:noProof w:val="0"/>
          <w:sz w:val="24"/>
          <w:szCs w:val="24"/>
        </w:rPr>
        <w:t xml:space="preserve"> (Del) with HIF-1</w:t>
      </w:r>
      <w:r w:rsidRPr="005C7E15">
        <w:rPr>
          <w:rFonts w:ascii="Symbol" w:hAnsi="Symbol" w:cs="Calibri"/>
          <w:noProof w:val="0"/>
          <w:sz w:val="24"/>
          <w:szCs w:val="24"/>
        </w:rPr>
        <w:t></w:t>
      </w:r>
      <w:r w:rsidRPr="005C7E15">
        <w:rPr>
          <w:rFonts w:cs="Calibri"/>
          <w:noProof w:val="0"/>
          <w:sz w:val="24"/>
          <w:szCs w:val="24"/>
        </w:rPr>
        <w:t>. B16-F10 cells expressing HIF-1</w:t>
      </w:r>
      <w:r w:rsidRPr="005C7E15">
        <w:rPr>
          <w:rFonts w:ascii="Symbol" w:hAnsi="Symbol" w:cs="Calibri"/>
          <w:noProof w:val="0"/>
          <w:sz w:val="24"/>
          <w:szCs w:val="24"/>
        </w:rPr>
        <w:t></w:t>
      </w:r>
      <w:r w:rsidRPr="005C7E15">
        <w:rPr>
          <w:rFonts w:cs="Calibri"/>
          <w:noProof w:val="0"/>
          <w:sz w:val="24"/>
          <w:szCs w:val="24"/>
        </w:rPr>
        <w:t xml:space="preserve"> (FL) or HIF-1</w:t>
      </w:r>
      <w:r w:rsidRPr="005C7E15">
        <w:rPr>
          <w:rFonts w:ascii="Symbol" w:hAnsi="Symbol" w:cs="Calibri"/>
          <w:noProof w:val="0"/>
          <w:sz w:val="24"/>
          <w:szCs w:val="24"/>
        </w:rPr>
        <w:t></w:t>
      </w:r>
      <w:r w:rsidRPr="005C7E15">
        <w:rPr>
          <w:rFonts w:cs="Calibri"/>
          <w:noProof w:val="0"/>
          <w:sz w:val="24"/>
          <w:szCs w:val="24"/>
        </w:rPr>
        <w:t xml:space="preserve"> (Del) were seeded on μ-Slide VI 0.4 (</w:t>
      </w:r>
      <w:proofErr w:type="spellStart"/>
      <w:r w:rsidRPr="005C7E15">
        <w:rPr>
          <w:rFonts w:cs="Calibri"/>
          <w:noProof w:val="0"/>
          <w:sz w:val="24"/>
          <w:szCs w:val="24"/>
        </w:rPr>
        <w:t>Ibidi</w:t>
      </w:r>
      <w:proofErr w:type="spellEnd"/>
      <w:r w:rsidRPr="005C7E15">
        <w:rPr>
          <w:rFonts w:cs="Calibri"/>
          <w:noProof w:val="0"/>
          <w:sz w:val="24"/>
          <w:szCs w:val="24"/>
        </w:rPr>
        <w:t>) and cultured under hypoxia (0.1% pO</w:t>
      </w:r>
      <w:r w:rsidRPr="005C7E15">
        <w:rPr>
          <w:rFonts w:cs="Calibri"/>
          <w:noProof w:val="0"/>
          <w:sz w:val="24"/>
          <w:szCs w:val="24"/>
          <w:vertAlign w:val="subscript"/>
        </w:rPr>
        <w:t>2</w:t>
      </w:r>
      <w:r w:rsidRPr="005C7E15">
        <w:rPr>
          <w:rFonts w:cs="Calibri"/>
          <w:noProof w:val="0"/>
          <w:sz w:val="24"/>
          <w:szCs w:val="24"/>
        </w:rPr>
        <w:t xml:space="preserve">, H) condition for 24 hours. Cells </w:t>
      </w:r>
      <w:proofErr w:type="gramStart"/>
      <w:r w:rsidRPr="005C7E15">
        <w:rPr>
          <w:rFonts w:cs="Calibri"/>
          <w:noProof w:val="0"/>
          <w:sz w:val="24"/>
          <w:szCs w:val="24"/>
        </w:rPr>
        <w:t xml:space="preserve">were fixed for 15 min with 4% PFA in the hypoxia chamber and </w:t>
      </w:r>
      <w:proofErr w:type="spellStart"/>
      <w:r w:rsidRPr="005C7E15">
        <w:rPr>
          <w:rFonts w:cs="Calibri"/>
          <w:noProof w:val="0"/>
          <w:sz w:val="24"/>
          <w:szCs w:val="24"/>
        </w:rPr>
        <w:t>permeabilized</w:t>
      </w:r>
      <w:proofErr w:type="spellEnd"/>
      <w:r w:rsidRPr="005C7E15">
        <w:rPr>
          <w:rFonts w:cs="Calibri"/>
          <w:noProof w:val="0"/>
          <w:sz w:val="24"/>
          <w:szCs w:val="24"/>
        </w:rPr>
        <w:t xml:space="preserve"> with 0.25% Tween-20 at RT.</w:t>
      </w:r>
      <w:proofErr w:type="gramEnd"/>
      <w:r w:rsidRPr="005C7E15">
        <w:rPr>
          <w:rFonts w:cs="Calibri"/>
          <w:noProof w:val="0"/>
          <w:sz w:val="24"/>
          <w:szCs w:val="24"/>
        </w:rPr>
        <w:t xml:space="preserve"> The PLA </w:t>
      </w:r>
      <w:proofErr w:type="gramStart"/>
      <w:r w:rsidRPr="005C7E15">
        <w:rPr>
          <w:rFonts w:cs="Calibri"/>
          <w:noProof w:val="0"/>
          <w:sz w:val="24"/>
          <w:szCs w:val="24"/>
        </w:rPr>
        <w:t>was performed</w:t>
      </w:r>
      <w:proofErr w:type="gramEnd"/>
      <w:r w:rsidRPr="005C7E15">
        <w:rPr>
          <w:rFonts w:cs="Calibri"/>
          <w:noProof w:val="0"/>
          <w:sz w:val="24"/>
          <w:szCs w:val="24"/>
        </w:rPr>
        <w:t xml:space="preserve"> according to the manufacturer’s recommendations (</w:t>
      </w:r>
      <w:proofErr w:type="spellStart"/>
      <w:r w:rsidRPr="005C7E15">
        <w:rPr>
          <w:rFonts w:cs="Calibri"/>
          <w:noProof w:val="0"/>
          <w:sz w:val="24"/>
          <w:szCs w:val="24"/>
        </w:rPr>
        <w:t>Duolink</w:t>
      </w:r>
      <w:proofErr w:type="spellEnd"/>
      <w:r w:rsidRPr="005C7E15">
        <w:rPr>
          <w:rFonts w:cs="Calibri"/>
          <w:noProof w:val="0"/>
          <w:sz w:val="24"/>
          <w:szCs w:val="24"/>
        </w:rPr>
        <w:t xml:space="preserve"> PLA </w:t>
      </w:r>
      <w:proofErr w:type="spellStart"/>
      <w:r w:rsidRPr="005C7E15">
        <w:rPr>
          <w:rFonts w:cs="Calibri"/>
          <w:noProof w:val="0"/>
          <w:sz w:val="24"/>
          <w:szCs w:val="24"/>
        </w:rPr>
        <w:t>Fluoresence</w:t>
      </w:r>
      <w:proofErr w:type="spellEnd"/>
      <w:r w:rsidRPr="005C7E15">
        <w:rPr>
          <w:rFonts w:cs="Calibri"/>
          <w:noProof w:val="0"/>
          <w:sz w:val="24"/>
          <w:szCs w:val="24"/>
        </w:rPr>
        <w:t xml:space="preserve"> </w:t>
      </w:r>
      <w:proofErr w:type="spellStart"/>
      <w:r w:rsidRPr="005C7E15">
        <w:rPr>
          <w:rFonts w:cs="Calibri"/>
          <w:noProof w:val="0"/>
          <w:sz w:val="24"/>
          <w:szCs w:val="24"/>
        </w:rPr>
        <w:t>Protocole</w:t>
      </w:r>
      <w:proofErr w:type="spellEnd"/>
      <w:r w:rsidRPr="005C7E15">
        <w:rPr>
          <w:rFonts w:cs="Calibri"/>
          <w:noProof w:val="0"/>
          <w:sz w:val="24"/>
          <w:szCs w:val="24"/>
        </w:rPr>
        <w:t xml:space="preserve">, Sigma-Aldrich). Z-stacking images </w:t>
      </w:r>
      <w:proofErr w:type="gramStart"/>
      <w:r w:rsidRPr="005C7E15">
        <w:rPr>
          <w:rFonts w:cs="Calibri"/>
          <w:noProof w:val="0"/>
          <w:sz w:val="24"/>
          <w:szCs w:val="24"/>
        </w:rPr>
        <w:t>were acquired</w:t>
      </w:r>
      <w:proofErr w:type="gramEnd"/>
      <w:r w:rsidRPr="005C7E15">
        <w:rPr>
          <w:rFonts w:cs="Calibri"/>
          <w:noProof w:val="0"/>
          <w:sz w:val="24"/>
          <w:szCs w:val="24"/>
        </w:rPr>
        <w:t xml:space="preserve"> on confocal LSM880 Airy (Carl Zeiss) and scale bars were added using ZEN software. The following primary antibodies were used HIF-1</w:t>
      </w:r>
      <w:r w:rsidRPr="005C7E15">
        <w:rPr>
          <w:rFonts w:ascii="Symbol" w:hAnsi="Symbol" w:cs="Calibri"/>
          <w:noProof w:val="0"/>
          <w:sz w:val="24"/>
          <w:szCs w:val="24"/>
        </w:rPr>
        <w:t></w:t>
      </w:r>
      <w:r w:rsidRPr="005C7E15">
        <w:rPr>
          <w:rFonts w:cs="Calibri"/>
          <w:noProof w:val="0"/>
          <w:sz w:val="24"/>
          <w:szCs w:val="24"/>
        </w:rPr>
        <w:t xml:space="preserve"> (Novus, NB100-449) and HIF-1</w:t>
      </w:r>
      <w:r w:rsidRPr="005C7E15">
        <w:rPr>
          <w:rFonts w:ascii="Symbol" w:hAnsi="Symbol" w:cs="Calibri"/>
          <w:noProof w:val="0"/>
          <w:sz w:val="24"/>
          <w:szCs w:val="24"/>
        </w:rPr>
        <w:t></w:t>
      </w:r>
      <w:r w:rsidRPr="005C7E15">
        <w:rPr>
          <w:rFonts w:cs="Calibri"/>
          <w:noProof w:val="0"/>
          <w:sz w:val="24"/>
          <w:szCs w:val="24"/>
        </w:rPr>
        <w:t xml:space="preserve"> (Novus, NB100-124). The appearance of red dots is indicative of the complex formed between HIF-1</w:t>
      </w:r>
      <w:r w:rsidRPr="005C7E15">
        <w:rPr>
          <w:rFonts w:ascii="Symbol" w:hAnsi="Symbol" w:cs="Calibri"/>
          <w:noProof w:val="0"/>
          <w:sz w:val="24"/>
          <w:szCs w:val="24"/>
        </w:rPr>
        <w:t></w:t>
      </w:r>
      <w:r w:rsidRPr="005C7E15">
        <w:rPr>
          <w:rFonts w:cs="Calibri"/>
          <w:noProof w:val="0"/>
          <w:sz w:val="24"/>
          <w:szCs w:val="24"/>
        </w:rPr>
        <w:t>/HIF-1</w:t>
      </w:r>
      <w:r w:rsidRPr="005C7E15">
        <w:rPr>
          <w:rFonts w:ascii="Symbol" w:hAnsi="Symbol" w:cs="Calibri"/>
          <w:noProof w:val="0"/>
          <w:sz w:val="24"/>
          <w:szCs w:val="24"/>
        </w:rPr>
        <w:t></w:t>
      </w:r>
      <w:r w:rsidRPr="005C7E15">
        <w:rPr>
          <w:rFonts w:cs="Calibri"/>
          <w:noProof w:val="0"/>
          <w:sz w:val="24"/>
          <w:szCs w:val="24"/>
        </w:rPr>
        <w:t xml:space="preserve"> and the red dots </w:t>
      </w:r>
      <w:proofErr w:type="gramStart"/>
      <w:r w:rsidRPr="005C7E15">
        <w:rPr>
          <w:rFonts w:cs="Calibri"/>
          <w:noProof w:val="0"/>
          <w:sz w:val="24"/>
          <w:szCs w:val="24"/>
        </w:rPr>
        <w:t>were quantified</w:t>
      </w:r>
      <w:proofErr w:type="gramEnd"/>
      <w:r w:rsidRPr="005C7E15">
        <w:rPr>
          <w:rFonts w:cs="Calibri"/>
          <w:noProof w:val="0"/>
          <w:sz w:val="24"/>
          <w:szCs w:val="24"/>
        </w:rPr>
        <w:t xml:space="preserve"> by Image J software.</w:t>
      </w:r>
    </w:p>
    <w:p w:rsidR="0004785E" w:rsidRPr="005C7E15" w:rsidRDefault="0004785E" w:rsidP="0004785E">
      <w:pPr>
        <w:pStyle w:val="NoSpacing"/>
        <w:spacing w:before="240" w:line="360" w:lineRule="auto"/>
        <w:rPr>
          <w:b/>
          <w:noProof w:val="0"/>
          <w:sz w:val="24"/>
          <w:szCs w:val="24"/>
          <w:u w:val="single"/>
        </w:rPr>
      </w:pPr>
      <w:r w:rsidRPr="005C7E15">
        <w:rPr>
          <w:b/>
          <w:noProof w:val="0"/>
          <w:sz w:val="24"/>
          <w:szCs w:val="24"/>
          <w:u w:val="single"/>
        </w:rPr>
        <w:t>Western blotting</w:t>
      </w:r>
    </w:p>
    <w:p w:rsidR="0004785E" w:rsidRPr="005C7E15" w:rsidRDefault="0004785E" w:rsidP="001D4E12">
      <w:pPr>
        <w:pStyle w:val="NoSpacing"/>
        <w:spacing w:line="360" w:lineRule="auto"/>
        <w:rPr>
          <w:noProof w:val="0"/>
          <w:sz w:val="24"/>
          <w:szCs w:val="24"/>
        </w:rPr>
      </w:pPr>
      <w:r w:rsidRPr="005C7E15">
        <w:rPr>
          <w:noProof w:val="0"/>
          <w:sz w:val="24"/>
          <w:szCs w:val="24"/>
        </w:rPr>
        <w:t xml:space="preserve">Cells and tumors were lysed in RIPA lysis buffer (20-188; Millipore) and processed as previously described </w:t>
      </w:r>
      <w:r w:rsidR="001D4E12" w:rsidRPr="005C7E15">
        <w:rPr>
          <w:noProof w:val="0"/>
          <w:sz w:val="24"/>
          <w:szCs w:val="24"/>
        </w:rPr>
        <w:fldChar w:fldCharType="begin"/>
      </w:r>
      <w:r w:rsidR="001D4E12" w:rsidRPr="005C7E15">
        <w:rPr>
          <w:noProof w:val="0"/>
          <w:sz w:val="24"/>
          <w:szCs w:val="24"/>
        </w:rPr>
        <w:instrText xml:space="preserve"> ADDIN EN.CITE &lt;EndNote&gt;&lt;Cite&gt;&lt;Author&gt;Noman&lt;/Author&gt;&lt;Year&gt;2020&lt;/Year&gt;&lt;RecNum&gt;2&lt;/RecNum&gt;&lt;DisplayText&gt;(1)&lt;/DisplayText&gt;&lt;record&gt;&lt;rec-number&gt;2&lt;/rec-number&gt;&lt;foreign-keys&gt;&lt;key app="EN" db-id="as5z0sdd8xset3ewesvv2vw0dz5fd2pv5s2x" timestamp="1595418238"&gt;2&lt;/key&gt;&lt;/foreign-keys&gt;&lt;ref-type name="Journal Article"&gt;17&lt;/ref-type&gt;&lt;contributors&gt;&lt;authors&gt;&lt;author&gt;Noman, M. Z.&lt;/author&gt;&lt;author&gt;Parpal, S.&lt;/author&gt;&lt;author&gt;Van Moer, K.&lt;/author&gt;&lt;author&gt;Xiao, M.&lt;/author&gt;&lt;author&gt;Yu, Y.&lt;/author&gt;&lt;author&gt;Viklund, J.&lt;/author&gt;&lt;author&gt;De Milito, A.&lt;/author&gt;&lt;author&gt;Hasmim, M.&lt;/author&gt;&lt;author&gt;Andersson, M.&lt;/author&gt;&lt;author&gt;Amaravadi, R. K.&lt;/author&gt;&lt;author&gt;Martinsson, J.&lt;/author&gt;&lt;author&gt;Berchem, G.&lt;/author&gt;&lt;author&gt;Janji, B.&lt;/author&gt;&lt;/authors&gt;&lt;/contributors&gt;&lt;auth-address&gt;Tumor Immunotherapy and Microenvironment Group, Department of Oncology, Luxembourg Institute of Health (LIH), Luxembourg City, Luxembourg.&amp;#xD;Sprint Bioscience, Stockholm, Sweden.&amp;#xD;Department of Oncology-Pathology, Cancer Center Karolinska, Karolinska Institutet, Stockholm, Sweden.&amp;#xD;Department of Medicine and Abramson Cancer Center, University of Pennsylvania, Philadelphia, PA, USA.&amp;#xD;Department of Hemato-Oncology, Centre Hospitalier du Luxembourg, Luxembourg City, Luxembourg.&lt;/auth-address&gt;&lt;titles&gt;&lt;title&gt;Inhibition of Vps34 reprograms cold into hot inflamed tumors and improves anti-PD-1/PD-L1 immunotherapy&lt;/title&gt;&lt;secondary-title&gt;Sci Adv&lt;/secondary-title&gt;&lt;/titles&gt;&lt;periodical&gt;&lt;full-title&gt;Sci Adv&lt;/full-title&gt;&lt;/periodical&gt;&lt;pages&gt;eaax7881&lt;/pages&gt;&lt;volume&gt;6&lt;/volume&gt;&lt;number&gt;18&lt;/number&gt;&lt;edition&gt;2020/06/05&lt;/edition&gt;&lt;dates&gt;&lt;year&gt;2020&lt;/year&gt;&lt;pub-dates&gt;&lt;date&gt;May&lt;/date&gt;&lt;/pub-dates&gt;&lt;/dates&gt;&lt;isbn&gt;2375-2548 (Electronic)&amp;#xD;2375-2548 (Linking)&lt;/isbn&gt;&lt;accession-num&gt;32494661&lt;/accession-num&gt;&lt;urls&gt;&lt;related-urls&gt;&lt;url&gt;https://www.ncbi.nlm.nih.gov/pubmed/32494661&lt;/url&gt;&lt;/related-urls&gt;&lt;/urls&gt;&lt;custom2&gt;PMC7190323&lt;/custom2&gt;&lt;electronic-resource-num&gt;10.1126/sciadv.aax7881&lt;/electronic-resource-num&gt;&lt;/record&gt;&lt;/Cite&gt;&lt;/EndNote&gt;</w:instrText>
      </w:r>
      <w:r w:rsidR="001D4E12" w:rsidRPr="005C7E15">
        <w:rPr>
          <w:noProof w:val="0"/>
          <w:sz w:val="24"/>
          <w:szCs w:val="24"/>
        </w:rPr>
        <w:fldChar w:fldCharType="separate"/>
      </w:r>
      <w:r w:rsidR="001D4E12" w:rsidRPr="005C7E15">
        <w:rPr>
          <w:sz w:val="24"/>
          <w:szCs w:val="24"/>
        </w:rPr>
        <w:t>(1)</w:t>
      </w:r>
      <w:r w:rsidR="001D4E12" w:rsidRPr="005C7E15">
        <w:rPr>
          <w:noProof w:val="0"/>
          <w:sz w:val="24"/>
          <w:szCs w:val="24"/>
        </w:rPr>
        <w:fldChar w:fldCharType="end"/>
      </w:r>
      <w:r w:rsidRPr="005C7E15">
        <w:rPr>
          <w:noProof w:val="0"/>
          <w:sz w:val="24"/>
          <w:szCs w:val="24"/>
        </w:rPr>
        <w:t>. Anti-HIF-1</w:t>
      </w:r>
      <w:r w:rsidRPr="005C7E15">
        <w:rPr>
          <w:rFonts w:cs="Calibri"/>
          <w:noProof w:val="0"/>
          <w:sz w:val="24"/>
          <w:szCs w:val="24"/>
        </w:rPr>
        <w:t>α</w:t>
      </w:r>
      <w:r w:rsidRPr="005C7E15">
        <w:rPr>
          <w:noProof w:val="0"/>
          <w:sz w:val="24"/>
          <w:szCs w:val="24"/>
        </w:rPr>
        <w:t>, - LDHA, and -GLUT-</w:t>
      </w:r>
      <w:proofErr w:type="gramStart"/>
      <w:r w:rsidRPr="005C7E15">
        <w:rPr>
          <w:noProof w:val="0"/>
          <w:sz w:val="24"/>
          <w:szCs w:val="24"/>
        </w:rPr>
        <w:t>1</w:t>
      </w:r>
      <w:proofErr w:type="gramEnd"/>
      <w:r w:rsidRPr="005C7E15">
        <w:rPr>
          <w:noProof w:val="0"/>
          <w:sz w:val="24"/>
          <w:szCs w:val="24"/>
        </w:rPr>
        <w:t xml:space="preserve"> antibodies were from Cell signaling, and anti-</w:t>
      </w:r>
      <w:r w:rsidRPr="005C7E15">
        <w:rPr>
          <w:noProof w:val="0"/>
          <w:color w:val="auto"/>
          <w:sz w:val="24"/>
          <w:szCs w:val="24"/>
        </w:rPr>
        <w:t>actin antibody was from Sigma.</w:t>
      </w:r>
    </w:p>
    <w:p w:rsidR="00C60D44" w:rsidRPr="005C7E15" w:rsidRDefault="00C60D44" w:rsidP="00C60D44">
      <w:pPr>
        <w:pStyle w:val="NoSpacing"/>
        <w:spacing w:before="240" w:line="360" w:lineRule="auto"/>
        <w:rPr>
          <w:b/>
          <w:noProof w:val="0"/>
          <w:sz w:val="24"/>
          <w:szCs w:val="24"/>
          <w:u w:val="single"/>
        </w:rPr>
      </w:pPr>
      <w:r w:rsidRPr="005C7E15">
        <w:rPr>
          <w:b/>
          <w:noProof w:val="0"/>
          <w:sz w:val="24"/>
          <w:szCs w:val="24"/>
          <w:u w:val="single"/>
        </w:rPr>
        <w:t xml:space="preserve">Mice and </w:t>
      </w:r>
      <w:r w:rsidRPr="005C7E15">
        <w:rPr>
          <w:b/>
          <w:i/>
          <w:noProof w:val="0"/>
          <w:sz w:val="24"/>
          <w:szCs w:val="24"/>
          <w:u w:val="single"/>
        </w:rPr>
        <w:t>in vivo</w:t>
      </w:r>
      <w:r w:rsidRPr="005C7E15">
        <w:rPr>
          <w:b/>
          <w:noProof w:val="0"/>
          <w:sz w:val="24"/>
          <w:szCs w:val="24"/>
          <w:u w:val="single"/>
        </w:rPr>
        <w:t xml:space="preserve"> study approval</w:t>
      </w:r>
    </w:p>
    <w:p w:rsidR="00C60D44" w:rsidRPr="005C7E15" w:rsidRDefault="00C60D44" w:rsidP="001D4E12">
      <w:pPr>
        <w:pStyle w:val="NoSpacing"/>
        <w:spacing w:line="360" w:lineRule="auto"/>
        <w:rPr>
          <w:noProof w:val="0"/>
          <w:sz w:val="24"/>
          <w:szCs w:val="24"/>
        </w:rPr>
      </w:pPr>
      <w:r w:rsidRPr="005C7E15">
        <w:rPr>
          <w:noProof w:val="0"/>
          <w:sz w:val="24"/>
          <w:szCs w:val="24"/>
        </w:rPr>
        <w:t>HIF-1</w:t>
      </w:r>
      <w:r w:rsidRPr="005C7E15">
        <w:rPr>
          <w:rFonts w:ascii="Symbol" w:hAnsi="Symbol"/>
          <w:noProof w:val="0"/>
          <w:sz w:val="24"/>
          <w:szCs w:val="24"/>
        </w:rPr>
        <w:t></w:t>
      </w:r>
      <w:r w:rsidRPr="005C7E15">
        <w:rPr>
          <w:noProof w:val="0"/>
          <w:sz w:val="24"/>
          <w:szCs w:val="24"/>
          <w:vertAlign w:val="superscript"/>
        </w:rPr>
        <w:t xml:space="preserve"> </w:t>
      </w:r>
      <w:r w:rsidRPr="005C7E15">
        <w:rPr>
          <w:noProof w:val="0"/>
          <w:sz w:val="24"/>
          <w:szCs w:val="24"/>
        </w:rPr>
        <w:t>(FL) and HIF-1</w:t>
      </w:r>
      <w:r w:rsidRPr="005C7E15">
        <w:rPr>
          <w:rFonts w:ascii="Symbol" w:hAnsi="Symbol"/>
          <w:noProof w:val="0"/>
          <w:sz w:val="24"/>
          <w:szCs w:val="24"/>
        </w:rPr>
        <w:t></w:t>
      </w:r>
      <w:r w:rsidRPr="005C7E15">
        <w:rPr>
          <w:noProof w:val="0"/>
          <w:sz w:val="24"/>
          <w:szCs w:val="24"/>
          <w:vertAlign w:val="superscript"/>
        </w:rPr>
        <w:t xml:space="preserve"> </w:t>
      </w:r>
      <w:r w:rsidRPr="005C7E15">
        <w:rPr>
          <w:noProof w:val="0"/>
          <w:sz w:val="24"/>
          <w:szCs w:val="24"/>
        </w:rPr>
        <w:t>(Del) B16-F10 cells (2.3 x 10</w:t>
      </w:r>
      <w:r w:rsidRPr="005C7E15">
        <w:rPr>
          <w:noProof w:val="0"/>
          <w:sz w:val="24"/>
          <w:szCs w:val="24"/>
          <w:vertAlign w:val="superscript"/>
        </w:rPr>
        <w:t xml:space="preserve">5 </w:t>
      </w:r>
      <w:r w:rsidRPr="005C7E15">
        <w:rPr>
          <w:noProof w:val="0"/>
          <w:sz w:val="24"/>
          <w:szCs w:val="24"/>
        </w:rPr>
        <w:t>cells per mouse) were injected subcutaneously in seven-week-old C57BL/6 (</w:t>
      </w:r>
      <w:proofErr w:type="spellStart"/>
      <w:r w:rsidRPr="005C7E15">
        <w:rPr>
          <w:noProof w:val="0"/>
          <w:sz w:val="24"/>
          <w:szCs w:val="24"/>
        </w:rPr>
        <w:t>Janvier</w:t>
      </w:r>
      <w:proofErr w:type="spellEnd"/>
      <w:r w:rsidRPr="005C7E15">
        <w:rPr>
          <w:noProof w:val="0"/>
          <w:sz w:val="24"/>
          <w:szCs w:val="24"/>
        </w:rPr>
        <w:t xml:space="preserve"> Labs) or </w:t>
      </w:r>
      <w:proofErr w:type="spellStart"/>
      <w:r w:rsidRPr="005C7E15">
        <w:rPr>
          <w:noProof w:val="0"/>
          <w:sz w:val="24"/>
          <w:szCs w:val="24"/>
        </w:rPr>
        <w:t>immunodeficient</w:t>
      </w:r>
      <w:proofErr w:type="spellEnd"/>
      <w:r w:rsidRPr="005C7E15">
        <w:rPr>
          <w:noProof w:val="0"/>
          <w:sz w:val="24"/>
          <w:szCs w:val="24"/>
        </w:rPr>
        <w:t xml:space="preserve"> NOD </w:t>
      </w:r>
      <w:proofErr w:type="spellStart"/>
      <w:proofErr w:type="gramStart"/>
      <w:r w:rsidRPr="005C7E15">
        <w:rPr>
          <w:noProof w:val="0"/>
          <w:sz w:val="24"/>
          <w:szCs w:val="24"/>
        </w:rPr>
        <w:t>scid</w:t>
      </w:r>
      <w:proofErr w:type="spellEnd"/>
      <w:proofErr w:type="gramEnd"/>
      <w:r w:rsidRPr="005C7E15">
        <w:rPr>
          <w:noProof w:val="0"/>
          <w:sz w:val="24"/>
          <w:szCs w:val="24"/>
        </w:rPr>
        <w:t xml:space="preserve"> gamma (NSG) mice. Tumor volumes were measured as previously described </w:t>
      </w:r>
      <w:r w:rsidR="001D4E12" w:rsidRPr="005C7E15">
        <w:rPr>
          <w:noProof w:val="0"/>
          <w:sz w:val="24"/>
          <w:szCs w:val="24"/>
        </w:rPr>
        <w:fldChar w:fldCharType="begin"/>
      </w:r>
      <w:r w:rsidR="001D4E12" w:rsidRPr="005C7E15">
        <w:rPr>
          <w:noProof w:val="0"/>
          <w:sz w:val="24"/>
          <w:szCs w:val="24"/>
        </w:rPr>
        <w:instrText xml:space="preserve"> ADDIN EN.CITE &lt;EndNote&gt;&lt;Cite&gt;&lt;Author&gt;Noman&lt;/Author&gt;&lt;Year&gt;2020&lt;/Year&gt;&lt;RecNum&gt;2&lt;/RecNum&gt;&lt;DisplayText&gt;(1)&lt;/DisplayText&gt;&lt;record&gt;&lt;rec-number&gt;2&lt;/rec-number&gt;&lt;foreign-keys&gt;&lt;key app="EN" db-id="as5z0sdd8xset3ewesvv2vw0dz5fd2pv5s2x" timestamp="1595418238"&gt;2&lt;/key&gt;&lt;/foreign-keys&gt;&lt;ref-type name="Journal Article"&gt;17&lt;/ref-type&gt;&lt;contributors&gt;&lt;authors&gt;&lt;author&gt;Noman, M. Z.&lt;/author&gt;&lt;author&gt;Parpal, S.&lt;/author&gt;&lt;author&gt;Van Moer, K.&lt;/author&gt;&lt;author&gt;Xiao, M.&lt;/author&gt;&lt;author&gt;Yu, Y.&lt;/author&gt;&lt;author&gt;Viklund, J.&lt;/author&gt;&lt;author&gt;De Milito, A.&lt;/author&gt;&lt;author&gt;Hasmim, M.&lt;/author&gt;&lt;author&gt;Andersson, M.&lt;/author&gt;&lt;author&gt;Amaravadi, R. K.&lt;/author&gt;&lt;author&gt;Martinsson, J.&lt;/author&gt;&lt;author&gt;Berchem, G.&lt;/author&gt;&lt;author&gt;Janji, B.&lt;/author&gt;&lt;/authors&gt;&lt;/contributors&gt;&lt;auth-address&gt;Tumor Immunotherapy and Microenvironment Group, Department of Oncology, Luxembourg Institute of Health (LIH), Luxembourg City, Luxembourg.&amp;#xD;Sprint Bioscience, Stockholm, Sweden.&amp;#xD;Department of Oncology-Pathology, Cancer Center Karolinska, Karolinska Institutet, Stockholm, Sweden.&amp;#xD;Department of Medicine and Abramson Cancer Center, University of Pennsylvania, Philadelphia, PA, USA.&amp;#xD;Department of Hemato-Oncology, Centre Hospitalier du Luxembourg, Luxembourg City, Luxembourg.&lt;/auth-address&gt;&lt;titles&gt;&lt;title&gt;Inhibition of Vps34 reprograms cold into hot inflamed tumors and improves anti-PD-1/PD-L1 immunotherapy&lt;/title&gt;&lt;secondary-title&gt;Sci Adv&lt;/secondary-title&gt;&lt;/titles&gt;&lt;periodical&gt;&lt;full-title&gt;Sci Adv&lt;/full-title&gt;&lt;/periodical&gt;&lt;pages&gt;eaax7881&lt;/pages&gt;&lt;volume&gt;6&lt;/volume&gt;&lt;number&gt;18&lt;/number&gt;&lt;edition&gt;2020/06/05&lt;/edition&gt;&lt;dates&gt;&lt;year&gt;2020&lt;/year&gt;&lt;pub-dates&gt;&lt;date&gt;May&lt;/date&gt;&lt;/pub-dates&gt;&lt;/dates&gt;&lt;isbn&gt;2375-2548 (Electronic)&amp;#xD;2375-2548 (Linking)&lt;/isbn&gt;&lt;accession-num&gt;32494661&lt;/accession-num&gt;&lt;urls&gt;&lt;related-urls&gt;&lt;url&gt;https://www.ncbi.nlm.nih.gov/pubmed/32494661&lt;/url&gt;&lt;/related-urls&gt;&lt;/urls&gt;&lt;custom2&gt;PMC7190323&lt;/custom2&gt;&lt;electronic-resource-num&gt;10.1126/sciadv.aax7881&lt;/electronic-resource-num&gt;&lt;/record&gt;&lt;/Cite&gt;&lt;/EndNote&gt;</w:instrText>
      </w:r>
      <w:r w:rsidR="001D4E12" w:rsidRPr="005C7E15">
        <w:rPr>
          <w:noProof w:val="0"/>
          <w:sz w:val="24"/>
          <w:szCs w:val="24"/>
        </w:rPr>
        <w:fldChar w:fldCharType="separate"/>
      </w:r>
      <w:r w:rsidR="001D4E12" w:rsidRPr="005C7E15">
        <w:rPr>
          <w:sz w:val="24"/>
          <w:szCs w:val="24"/>
        </w:rPr>
        <w:t>(1)</w:t>
      </w:r>
      <w:r w:rsidR="001D4E12" w:rsidRPr="005C7E15">
        <w:rPr>
          <w:noProof w:val="0"/>
          <w:sz w:val="24"/>
          <w:szCs w:val="24"/>
        </w:rPr>
        <w:fldChar w:fldCharType="end"/>
      </w:r>
      <w:r w:rsidRPr="005C7E15">
        <w:rPr>
          <w:noProof w:val="0"/>
          <w:sz w:val="24"/>
          <w:szCs w:val="24"/>
        </w:rPr>
        <w:t xml:space="preserve">. Mice were handled according to European Union guidelines and </w:t>
      </w:r>
      <w:proofErr w:type="gramStart"/>
      <w:r w:rsidRPr="005C7E15">
        <w:rPr>
          <w:noProof w:val="0"/>
          <w:sz w:val="24"/>
          <w:szCs w:val="24"/>
        </w:rPr>
        <w:t>experimentation protocols were approved by the LIH ethical committee, Animal Welfare Society Luxembourg (agreements n. LECR-2017-02 and LECR-2018-12)</w:t>
      </w:r>
      <w:proofErr w:type="gramEnd"/>
      <w:r w:rsidRPr="005C7E15">
        <w:rPr>
          <w:noProof w:val="0"/>
          <w:sz w:val="24"/>
          <w:szCs w:val="24"/>
        </w:rPr>
        <w:t>.</w:t>
      </w:r>
    </w:p>
    <w:p w:rsidR="00C60D44" w:rsidRPr="005C7E15" w:rsidRDefault="00C60D44" w:rsidP="00C60D44">
      <w:pPr>
        <w:spacing w:before="240" w:after="0" w:line="360" w:lineRule="auto"/>
        <w:rPr>
          <w:rFonts w:eastAsia="Times New Roman" w:cs="Calibri"/>
          <w:b/>
          <w:color w:val="000000" w:themeColor="text1"/>
          <w:sz w:val="24"/>
          <w:szCs w:val="24"/>
          <w:u w:val="single"/>
          <w:lang w:eastAsia="fr-CH"/>
        </w:rPr>
      </w:pPr>
      <w:proofErr w:type="gramStart"/>
      <w:r w:rsidRPr="005C7E15">
        <w:rPr>
          <w:rFonts w:eastAsia="Times New Roman" w:cs="Calibri"/>
          <w:b/>
          <w:color w:val="000000" w:themeColor="text1"/>
          <w:sz w:val="24"/>
          <w:szCs w:val="24"/>
          <w:u w:val="single"/>
          <w:lang w:eastAsia="fr-CH"/>
        </w:rPr>
        <w:lastRenderedPageBreak/>
        <w:t>Melanoma patient data mining</w:t>
      </w:r>
      <w:proofErr w:type="gramEnd"/>
    </w:p>
    <w:p w:rsidR="00C60D44" w:rsidRPr="005C7E15" w:rsidRDefault="00C60D44" w:rsidP="00C60D44">
      <w:pPr>
        <w:spacing w:before="0" w:after="0" w:line="360" w:lineRule="auto"/>
        <w:rPr>
          <w:rFonts w:eastAsia="Times New Roman" w:cs="Calibri"/>
          <w:color w:val="000000" w:themeColor="text1"/>
          <w:sz w:val="24"/>
          <w:szCs w:val="24"/>
          <w:lang w:eastAsia="fr-CH"/>
        </w:rPr>
      </w:pPr>
      <w:r w:rsidRPr="005C7E15">
        <w:rPr>
          <w:rFonts w:eastAsia="Times New Roman" w:cs="Calibri"/>
          <w:color w:val="000000" w:themeColor="text1"/>
          <w:sz w:val="24"/>
          <w:szCs w:val="24"/>
          <w:lang w:eastAsia="fr-CH"/>
        </w:rPr>
        <w:t xml:space="preserve">TCGA skin cutaneous melanoma (SKCM) patient cohort </w:t>
      </w:r>
      <w:proofErr w:type="gramStart"/>
      <w:r w:rsidRPr="005C7E15">
        <w:rPr>
          <w:rFonts w:eastAsia="Times New Roman" w:cs="Calibri"/>
          <w:color w:val="000000" w:themeColor="text1"/>
          <w:sz w:val="24"/>
          <w:szCs w:val="24"/>
          <w:lang w:eastAsia="fr-CH"/>
        </w:rPr>
        <w:t>was downloaded</w:t>
      </w:r>
      <w:proofErr w:type="gramEnd"/>
      <w:r w:rsidRPr="005C7E15">
        <w:rPr>
          <w:rFonts w:eastAsia="Times New Roman" w:cs="Calibri"/>
          <w:color w:val="000000" w:themeColor="text1"/>
          <w:sz w:val="24"/>
          <w:szCs w:val="24"/>
          <w:lang w:eastAsia="fr-CH"/>
        </w:rPr>
        <w:t xml:space="preserve"> from </w:t>
      </w:r>
      <w:proofErr w:type="spellStart"/>
      <w:r w:rsidRPr="005C7E15">
        <w:rPr>
          <w:rFonts w:eastAsia="Times New Roman" w:cs="Calibri"/>
          <w:color w:val="000000" w:themeColor="text1"/>
          <w:sz w:val="24"/>
          <w:szCs w:val="24"/>
          <w:lang w:eastAsia="fr-CH"/>
        </w:rPr>
        <w:t>cBioPortal</w:t>
      </w:r>
      <w:proofErr w:type="spellEnd"/>
      <w:r w:rsidRPr="005C7E15">
        <w:rPr>
          <w:rFonts w:eastAsia="Times New Roman" w:cs="Calibri"/>
          <w:color w:val="000000" w:themeColor="text1"/>
          <w:sz w:val="24"/>
          <w:szCs w:val="24"/>
          <w:lang w:eastAsia="fr-CH"/>
        </w:rPr>
        <w:t xml:space="preserve"> (</w:t>
      </w:r>
      <w:hyperlink r:id="rId7" w:history="1">
        <w:r w:rsidRPr="005C7E15">
          <w:rPr>
            <w:rStyle w:val="Hyperlink"/>
            <w:rFonts w:eastAsia="Times New Roman"/>
            <w:color w:val="000000" w:themeColor="text1"/>
            <w:sz w:val="24"/>
            <w:szCs w:val="24"/>
            <w:lang w:eastAsia="fr-CH"/>
          </w:rPr>
          <w:t>http://www.cbioportal.org/</w:t>
        </w:r>
      </w:hyperlink>
      <w:r w:rsidRPr="005C7E15">
        <w:rPr>
          <w:rFonts w:eastAsia="Times New Roman" w:cs="Calibri"/>
          <w:color w:val="000000" w:themeColor="text1"/>
          <w:sz w:val="24"/>
          <w:szCs w:val="24"/>
          <w:lang w:eastAsia="fr-CH"/>
        </w:rPr>
        <w:t xml:space="preserve">). Patients ID displaying high and low CCL5 expression </w:t>
      </w:r>
      <w:proofErr w:type="gramStart"/>
      <w:r w:rsidRPr="005C7E15">
        <w:rPr>
          <w:rFonts w:eastAsia="Times New Roman" w:cs="Calibri"/>
          <w:color w:val="000000" w:themeColor="text1"/>
          <w:sz w:val="24"/>
          <w:szCs w:val="24"/>
          <w:lang w:eastAsia="fr-CH"/>
        </w:rPr>
        <w:t>were extracted</w:t>
      </w:r>
      <w:proofErr w:type="gramEnd"/>
      <w:r w:rsidRPr="005C7E15">
        <w:rPr>
          <w:rFonts w:eastAsia="Times New Roman" w:cs="Calibri"/>
          <w:color w:val="000000" w:themeColor="text1"/>
          <w:sz w:val="24"/>
          <w:szCs w:val="24"/>
          <w:lang w:eastAsia="fr-CH"/>
        </w:rPr>
        <w:t>. The vital status and median survival of each patient as</w:t>
      </w:r>
      <w:bookmarkStart w:id="0" w:name="_GoBack"/>
      <w:bookmarkEnd w:id="0"/>
      <w:r w:rsidRPr="005C7E15">
        <w:rPr>
          <w:rFonts w:eastAsia="Times New Roman" w:cs="Calibri"/>
          <w:color w:val="000000" w:themeColor="text1"/>
          <w:sz w:val="24"/>
          <w:szCs w:val="24"/>
          <w:lang w:eastAsia="fr-CH"/>
        </w:rPr>
        <w:t xml:space="preserve"> well as </w:t>
      </w:r>
      <w:proofErr w:type="gramStart"/>
      <w:r w:rsidRPr="005C7E15">
        <w:rPr>
          <w:rFonts w:eastAsia="Times New Roman" w:cs="Calibri"/>
          <w:color w:val="000000" w:themeColor="text1"/>
          <w:sz w:val="24"/>
          <w:szCs w:val="24"/>
          <w:lang w:eastAsia="fr-CH"/>
        </w:rPr>
        <w:t>Winter</w:t>
      </w:r>
      <w:proofErr w:type="gramEnd"/>
      <w:r w:rsidRPr="005C7E15">
        <w:rPr>
          <w:rFonts w:eastAsia="Times New Roman" w:cs="Calibri"/>
          <w:color w:val="000000" w:themeColor="text1"/>
          <w:sz w:val="24"/>
          <w:szCs w:val="24"/>
          <w:lang w:eastAsia="fr-CH"/>
        </w:rPr>
        <w:t xml:space="preserve"> hypoxia score were downloaded from the TCGA database. The mRNA expression level (Batch normalized from Illumina HiSeq_RNASeqV2) (log2) of markers for NK (NCR1 and NCR3), CD3 (CD3D and CD3E), CD4 and CD8 (CD8A and CD8B) in patients displaying high and low CCL5 was identified.  The differential expression of genes of interest </w:t>
      </w:r>
      <w:proofErr w:type="gramStart"/>
      <w:r w:rsidRPr="005C7E15">
        <w:rPr>
          <w:rFonts w:eastAsia="Times New Roman" w:cs="Calibri"/>
          <w:color w:val="000000" w:themeColor="text1"/>
          <w:sz w:val="24"/>
          <w:szCs w:val="24"/>
          <w:lang w:eastAsia="fr-CH"/>
        </w:rPr>
        <w:t>was done</w:t>
      </w:r>
      <w:proofErr w:type="gramEnd"/>
      <w:r w:rsidRPr="005C7E15">
        <w:rPr>
          <w:rFonts w:eastAsia="Times New Roman" w:cs="Calibri"/>
          <w:color w:val="000000" w:themeColor="text1"/>
          <w:sz w:val="24"/>
          <w:szCs w:val="24"/>
          <w:lang w:eastAsia="fr-CH"/>
        </w:rPr>
        <w:t xml:space="preserve"> using </w:t>
      </w:r>
      <w:proofErr w:type="spellStart"/>
      <w:r w:rsidRPr="005C7E15">
        <w:rPr>
          <w:rFonts w:eastAsia="Times New Roman" w:cs="Calibri"/>
          <w:color w:val="000000" w:themeColor="text1"/>
          <w:sz w:val="24"/>
          <w:szCs w:val="24"/>
          <w:lang w:eastAsia="fr-CH"/>
        </w:rPr>
        <w:t>GraphPad</w:t>
      </w:r>
      <w:proofErr w:type="spellEnd"/>
      <w:r w:rsidRPr="005C7E15">
        <w:rPr>
          <w:rFonts w:eastAsia="Times New Roman" w:cs="Calibri"/>
          <w:color w:val="000000" w:themeColor="text1"/>
          <w:sz w:val="24"/>
          <w:szCs w:val="24"/>
          <w:lang w:eastAsia="fr-CH"/>
        </w:rPr>
        <w:t xml:space="preserve"> software. The median survival and the </w:t>
      </w:r>
      <w:r w:rsidRPr="005C7E15">
        <w:rPr>
          <w:rFonts w:eastAsia="Times New Roman" w:cs="Calibri"/>
          <w:i/>
          <w:iCs/>
          <w:color w:val="000000" w:themeColor="text1"/>
          <w:sz w:val="24"/>
          <w:szCs w:val="24"/>
          <w:lang w:eastAsia="fr-CH"/>
        </w:rPr>
        <w:t>P</w:t>
      </w:r>
      <w:r w:rsidRPr="005C7E15">
        <w:rPr>
          <w:rFonts w:eastAsia="Times New Roman" w:cs="Calibri"/>
          <w:color w:val="000000" w:themeColor="text1"/>
          <w:sz w:val="24"/>
          <w:szCs w:val="24"/>
          <w:lang w:eastAsia="fr-CH"/>
        </w:rPr>
        <w:t xml:space="preserve">-value </w:t>
      </w:r>
      <w:proofErr w:type="gramStart"/>
      <w:r w:rsidRPr="005C7E15">
        <w:rPr>
          <w:rFonts w:eastAsia="Times New Roman" w:cs="Calibri"/>
          <w:color w:val="000000" w:themeColor="text1"/>
          <w:sz w:val="24"/>
          <w:szCs w:val="24"/>
          <w:lang w:eastAsia="fr-CH"/>
        </w:rPr>
        <w:t>were calculated</w:t>
      </w:r>
      <w:proofErr w:type="gramEnd"/>
      <w:r w:rsidRPr="005C7E15">
        <w:rPr>
          <w:rFonts w:eastAsia="Times New Roman" w:cs="Calibri"/>
          <w:color w:val="000000" w:themeColor="text1"/>
          <w:sz w:val="24"/>
          <w:szCs w:val="24"/>
          <w:lang w:eastAsia="fr-CH"/>
        </w:rPr>
        <w:t xml:space="preserve"> by using the Log-rank (Mantel-Cox) test in </w:t>
      </w:r>
      <w:proofErr w:type="spellStart"/>
      <w:r w:rsidRPr="005C7E15">
        <w:rPr>
          <w:rFonts w:eastAsia="Times New Roman" w:cs="Calibri"/>
          <w:color w:val="000000" w:themeColor="text1"/>
          <w:sz w:val="24"/>
          <w:szCs w:val="24"/>
          <w:lang w:eastAsia="fr-CH"/>
        </w:rPr>
        <w:t>GraphPad</w:t>
      </w:r>
      <w:proofErr w:type="spellEnd"/>
      <w:r w:rsidRPr="005C7E15">
        <w:rPr>
          <w:rFonts w:eastAsia="Times New Roman" w:cs="Calibri"/>
          <w:color w:val="000000" w:themeColor="text1"/>
          <w:sz w:val="24"/>
          <w:szCs w:val="24"/>
          <w:lang w:eastAsia="fr-CH"/>
        </w:rPr>
        <w:t xml:space="preserve"> software.</w:t>
      </w:r>
    </w:p>
    <w:p w:rsidR="00C60D44" w:rsidRPr="005C7E15" w:rsidRDefault="00C60D44" w:rsidP="00C60D44">
      <w:pPr>
        <w:spacing w:before="240" w:after="0" w:line="360" w:lineRule="auto"/>
        <w:rPr>
          <w:rFonts w:eastAsia="Times New Roman" w:cs="Calibri"/>
          <w:b/>
          <w:color w:val="auto"/>
          <w:sz w:val="24"/>
          <w:szCs w:val="24"/>
          <w:u w:val="single"/>
          <w:lang w:eastAsia="fr-CH"/>
        </w:rPr>
      </w:pPr>
      <w:r w:rsidRPr="005C7E15">
        <w:rPr>
          <w:rFonts w:eastAsia="Times New Roman" w:cs="Calibri"/>
          <w:b/>
          <w:color w:val="auto"/>
          <w:sz w:val="24"/>
          <w:szCs w:val="24"/>
          <w:u w:val="single"/>
          <w:lang w:eastAsia="fr-CH"/>
        </w:rPr>
        <w:t>Statistical analysis</w:t>
      </w:r>
    </w:p>
    <w:p w:rsidR="001D4E12" w:rsidRPr="005C7E15" w:rsidRDefault="00C60D44" w:rsidP="00CD18D2">
      <w:pPr>
        <w:spacing w:before="0" w:after="0" w:line="360" w:lineRule="auto"/>
        <w:rPr>
          <w:rFonts w:eastAsia="Times New Roman" w:cs="Calibri"/>
          <w:sz w:val="24"/>
          <w:szCs w:val="24"/>
          <w:lang w:eastAsia="fr-CH"/>
        </w:rPr>
      </w:pPr>
      <w:r w:rsidRPr="005C7E15">
        <w:rPr>
          <w:rFonts w:eastAsia="Times New Roman" w:cs="Calibri"/>
          <w:sz w:val="24"/>
          <w:szCs w:val="24"/>
          <w:lang w:eastAsia="fr-CH"/>
        </w:rPr>
        <w:t xml:space="preserve">Statistical analyses </w:t>
      </w:r>
      <w:proofErr w:type="gramStart"/>
      <w:r w:rsidRPr="005C7E15">
        <w:rPr>
          <w:rFonts w:eastAsia="Times New Roman" w:cs="Calibri"/>
          <w:sz w:val="24"/>
          <w:szCs w:val="24"/>
          <w:lang w:eastAsia="fr-CH"/>
        </w:rPr>
        <w:t>were performed</w:t>
      </w:r>
      <w:proofErr w:type="gramEnd"/>
      <w:r w:rsidRPr="005C7E15">
        <w:rPr>
          <w:rFonts w:eastAsia="Times New Roman" w:cs="Calibri"/>
          <w:sz w:val="24"/>
          <w:szCs w:val="24"/>
          <w:lang w:eastAsia="fr-CH"/>
        </w:rPr>
        <w:t xml:space="preserve"> using </w:t>
      </w:r>
      <w:proofErr w:type="spellStart"/>
      <w:r w:rsidRPr="005C7E15">
        <w:rPr>
          <w:rFonts w:eastAsia="Times New Roman" w:cs="Calibri"/>
          <w:sz w:val="24"/>
          <w:szCs w:val="24"/>
          <w:lang w:eastAsia="fr-CH"/>
        </w:rPr>
        <w:t>GraphPad</w:t>
      </w:r>
      <w:proofErr w:type="spellEnd"/>
      <w:r w:rsidRPr="005C7E15">
        <w:rPr>
          <w:rFonts w:eastAsia="Times New Roman" w:cs="Calibri"/>
          <w:sz w:val="24"/>
          <w:szCs w:val="24"/>
          <w:lang w:eastAsia="fr-CH"/>
        </w:rPr>
        <w:t xml:space="preserve"> Prism 8. An unpaired two- or one-tailed t-test </w:t>
      </w:r>
      <w:proofErr w:type="gramStart"/>
      <w:r w:rsidRPr="005C7E15">
        <w:rPr>
          <w:rFonts w:eastAsia="Times New Roman" w:cs="Calibri"/>
          <w:sz w:val="24"/>
          <w:szCs w:val="24"/>
          <w:lang w:eastAsia="fr-CH"/>
        </w:rPr>
        <w:t>was used</w:t>
      </w:r>
      <w:proofErr w:type="gramEnd"/>
      <w:r w:rsidRPr="005C7E15">
        <w:rPr>
          <w:rFonts w:eastAsia="Times New Roman" w:cs="Calibri"/>
          <w:sz w:val="24"/>
          <w:szCs w:val="24"/>
          <w:lang w:eastAsia="fr-CH"/>
        </w:rPr>
        <w:t xml:space="preserve"> to determine </w:t>
      </w:r>
      <w:r w:rsidRPr="005C7E15">
        <w:rPr>
          <w:rFonts w:eastAsia="Times New Roman" w:cs="Calibri"/>
          <w:i/>
          <w:sz w:val="24"/>
          <w:szCs w:val="24"/>
          <w:lang w:eastAsia="fr-CH"/>
        </w:rPr>
        <w:t>P</w:t>
      </w:r>
      <w:r w:rsidRPr="005C7E15">
        <w:rPr>
          <w:rFonts w:eastAsia="Times New Roman" w:cs="Calibri"/>
          <w:sz w:val="24"/>
          <w:szCs w:val="24"/>
          <w:lang w:eastAsia="fr-CH"/>
        </w:rPr>
        <w:t xml:space="preserve">-value between indicated groups. Results </w:t>
      </w:r>
      <w:proofErr w:type="gramStart"/>
      <w:r w:rsidRPr="005C7E15">
        <w:rPr>
          <w:rFonts w:eastAsia="Times New Roman" w:cs="Calibri"/>
          <w:sz w:val="24"/>
          <w:szCs w:val="24"/>
          <w:lang w:eastAsia="fr-CH"/>
        </w:rPr>
        <w:t>were represented</w:t>
      </w:r>
      <w:proofErr w:type="gramEnd"/>
      <w:r w:rsidRPr="005C7E15">
        <w:rPr>
          <w:rFonts w:eastAsia="Times New Roman" w:cs="Calibri"/>
          <w:sz w:val="24"/>
          <w:szCs w:val="24"/>
          <w:lang w:eastAsia="fr-CH"/>
        </w:rPr>
        <w:t xml:space="preserve"> as mean </w:t>
      </w:r>
      <w:r w:rsidRPr="005C7E15">
        <w:rPr>
          <w:rFonts w:eastAsia="Times New Roman" w:cs="Calibri"/>
          <w:sz w:val="24"/>
          <w:szCs w:val="24"/>
          <w:lang w:eastAsia="fr-CH"/>
        </w:rPr>
        <w:sym w:font="Symbol" w:char="F020"/>
      </w:r>
      <w:r w:rsidRPr="005C7E15">
        <w:rPr>
          <w:rFonts w:eastAsia="Times New Roman" w:cs="Calibri"/>
          <w:sz w:val="24"/>
          <w:szCs w:val="24"/>
          <w:lang w:eastAsia="fr-CH"/>
        </w:rPr>
        <w:sym w:font="Symbol" w:char="F0B1"/>
      </w:r>
      <w:r w:rsidRPr="005C7E15">
        <w:rPr>
          <w:rFonts w:eastAsia="Times New Roman" w:cs="Calibri"/>
          <w:sz w:val="24"/>
          <w:szCs w:val="24"/>
          <w:lang w:eastAsia="fr-CH"/>
        </w:rPr>
        <w:t xml:space="preserve"> SEM (standard error of the mean). A </w:t>
      </w:r>
      <w:r w:rsidRPr="005C7E15">
        <w:rPr>
          <w:rFonts w:eastAsia="Times New Roman" w:cs="Calibri"/>
          <w:i/>
          <w:sz w:val="24"/>
          <w:szCs w:val="24"/>
          <w:lang w:eastAsia="fr-CH"/>
        </w:rPr>
        <w:t>P</w:t>
      </w:r>
      <w:r w:rsidRPr="005C7E15">
        <w:rPr>
          <w:rFonts w:eastAsia="Times New Roman" w:cs="Calibri"/>
          <w:sz w:val="24"/>
          <w:szCs w:val="24"/>
          <w:lang w:eastAsia="fr-CH"/>
        </w:rPr>
        <w:t xml:space="preserve">-value of &lt;0.05 matches for statistical significance * P&lt;0.05; ** P&lt;0.01; *** P&lt;0.001; ns: not significant. </w:t>
      </w:r>
    </w:p>
    <w:p w:rsidR="001D4E12" w:rsidRPr="005C7E15" w:rsidRDefault="001D4E12" w:rsidP="00CD18D2">
      <w:pPr>
        <w:spacing w:before="240" w:after="0"/>
        <w:rPr>
          <w:rFonts w:eastAsia="Times New Roman" w:cs="Calibri"/>
          <w:b/>
          <w:bCs/>
          <w:sz w:val="24"/>
          <w:szCs w:val="24"/>
          <w:u w:val="single"/>
          <w:lang w:eastAsia="fr-CH"/>
        </w:rPr>
      </w:pPr>
      <w:r w:rsidRPr="005C7E15">
        <w:rPr>
          <w:rFonts w:eastAsia="Times New Roman" w:cs="Calibri"/>
          <w:b/>
          <w:bCs/>
          <w:sz w:val="24"/>
          <w:szCs w:val="24"/>
          <w:u w:val="single"/>
          <w:lang w:eastAsia="fr-CH"/>
        </w:rPr>
        <w:t>References</w:t>
      </w:r>
    </w:p>
    <w:p w:rsidR="001D4E12" w:rsidRPr="005C7E15" w:rsidRDefault="001D4E12" w:rsidP="001D4E12">
      <w:pPr>
        <w:pStyle w:val="EndNoteBibliography"/>
        <w:spacing w:after="0"/>
        <w:ind w:left="284" w:hanging="284"/>
      </w:pPr>
      <w:r w:rsidRPr="005C7E15">
        <w:rPr>
          <w:rFonts w:eastAsia="Times New Roman"/>
          <w:sz w:val="24"/>
          <w:szCs w:val="24"/>
          <w:lang w:eastAsia="fr-CH"/>
        </w:rPr>
        <w:fldChar w:fldCharType="begin"/>
      </w:r>
      <w:r w:rsidRPr="005C7E15">
        <w:rPr>
          <w:rFonts w:eastAsia="Times New Roman"/>
          <w:sz w:val="24"/>
          <w:szCs w:val="24"/>
          <w:lang w:eastAsia="fr-CH"/>
        </w:rPr>
        <w:instrText xml:space="preserve"> ADDIN EN.REFLIST </w:instrText>
      </w:r>
      <w:r w:rsidRPr="005C7E15">
        <w:rPr>
          <w:rFonts w:eastAsia="Times New Roman"/>
          <w:sz w:val="24"/>
          <w:szCs w:val="24"/>
          <w:lang w:eastAsia="fr-CH"/>
        </w:rPr>
        <w:fldChar w:fldCharType="separate"/>
      </w:r>
      <w:r w:rsidRPr="005C7E15">
        <w:t>1.</w:t>
      </w:r>
      <w:r w:rsidRPr="005C7E15">
        <w:tab/>
        <w:t>Noman MZ, Parpal S, Van Moer K, Xiao M, Yu Y, Viklund J, et al. Inhibition of Vps34 reprograms cold into hot inflamed tumors and improves anti-PD-1/PD-L1 immunotherapy. Sci Adv. 2020;6(18):eaax7881.</w:t>
      </w:r>
    </w:p>
    <w:p w:rsidR="001D4E12" w:rsidRPr="005C7E15" w:rsidRDefault="001D4E12" w:rsidP="001D4E12">
      <w:pPr>
        <w:pStyle w:val="EndNoteBibliography"/>
        <w:ind w:left="284" w:hanging="284"/>
      </w:pPr>
      <w:r w:rsidRPr="005C7E15">
        <w:t>2.</w:t>
      </w:r>
      <w:r w:rsidRPr="005C7E15">
        <w:tab/>
        <w:t>Emerling BM, Weinberg F, Liu JL, Mak TW, Chandel NS. PTEN regulates p300-dependent hypoxia-inducible factor 1 transcriptional activity through Forkhead transcription factor 3a (FOXO3a). Proc Natl Acad Sci U S A. 2008;105(7):2622-7.</w:t>
      </w:r>
    </w:p>
    <w:p w:rsidR="001D4E12" w:rsidRDefault="001D4E12" w:rsidP="00CD18D2">
      <w:pPr>
        <w:spacing w:before="0" w:after="0" w:line="360" w:lineRule="auto"/>
        <w:rPr>
          <w:rFonts w:eastAsia="Times New Roman" w:cs="Calibri"/>
          <w:sz w:val="24"/>
          <w:szCs w:val="24"/>
          <w:lang w:eastAsia="fr-CH"/>
        </w:rPr>
      </w:pPr>
      <w:r w:rsidRPr="005C7E15">
        <w:rPr>
          <w:rFonts w:eastAsia="Times New Roman" w:cs="Calibri"/>
          <w:sz w:val="24"/>
          <w:szCs w:val="24"/>
          <w:lang w:eastAsia="fr-CH"/>
        </w:rPr>
        <w:fldChar w:fldCharType="end"/>
      </w:r>
    </w:p>
    <w:sectPr w:rsidR="001D4E12" w:rsidSect="005F51B6">
      <w:footerReference w:type="default" r:id="rId8"/>
      <w:pgSz w:w="11900" w:h="16840"/>
      <w:pgMar w:top="1452" w:right="1134" w:bottom="1483" w:left="1134" w:header="1701" w:footer="284"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292B" w:rsidRDefault="00A0292B" w:rsidP="00863875">
      <w:r>
        <w:separator/>
      </w:r>
    </w:p>
  </w:endnote>
  <w:endnote w:type="continuationSeparator" w:id="0">
    <w:p w:rsidR="00A0292B" w:rsidRDefault="00A0292B" w:rsidP="008638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Light">
    <w:altName w:val="Times New Roman"/>
    <w:charset w:val="00"/>
    <w:family w:val="auto"/>
    <w:pitch w:val="variable"/>
    <w:sig w:usb0="00000001" w:usb1="4000207B" w:usb2="00000000" w:usb3="00000000" w:csb0="0000019F" w:csb1="00000000"/>
  </w:font>
  <w:font w:name="Calibri-Bold">
    <w:altName w:val="Calibri"/>
    <w:charset w:val="00"/>
    <w:family w:val="auto"/>
    <w:pitch w:val="variable"/>
    <w:sig w:usb0="E00002FF" w:usb1="4000ACFF" w:usb2="00000001" w:usb3="00000000" w:csb0="0000019F" w:csb1="00000000"/>
  </w:font>
  <w:font w:name="MinionPro-Regular">
    <w:altName w:val="Calibri"/>
    <w:panose1 w:val="02040503050201020203"/>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321132"/>
      <w:docPartObj>
        <w:docPartGallery w:val="Page Numbers (Bottom of Page)"/>
        <w:docPartUnique/>
      </w:docPartObj>
    </w:sdtPr>
    <w:sdtEndPr/>
    <w:sdtContent>
      <w:sdt>
        <w:sdtPr>
          <w:id w:val="1728636285"/>
          <w:docPartObj>
            <w:docPartGallery w:val="Page Numbers (Top of Page)"/>
            <w:docPartUnique/>
          </w:docPartObj>
        </w:sdtPr>
        <w:sdtEndPr/>
        <w:sdtContent>
          <w:p w:rsidR="00B933FB" w:rsidRDefault="00B933FB">
            <w:pPr>
              <w:pStyle w:val="Footer"/>
              <w:jc w:val="center"/>
            </w:pPr>
            <w:r w:rsidRPr="00B933FB">
              <w:rPr>
                <w:color w:val="auto"/>
                <w:sz w:val="24"/>
                <w:szCs w:val="24"/>
              </w:rPr>
              <w:t xml:space="preserve">Page </w:t>
            </w:r>
            <w:r w:rsidRPr="00B933FB">
              <w:rPr>
                <w:b/>
                <w:bCs/>
                <w:color w:val="auto"/>
                <w:sz w:val="24"/>
                <w:szCs w:val="24"/>
              </w:rPr>
              <w:fldChar w:fldCharType="begin"/>
            </w:r>
            <w:r w:rsidRPr="00B933FB">
              <w:rPr>
                <w:b/>
                <w:bCs/>
                <w:color w:val="auto"/>
                <w:sz w:val="24"/>
                <w:szCs w:val="24"/>
              </w:rPr>
              <w:instrText xml:space="preserve"> PAGE </w:instrText>
            </w:r>
            <w:r w:rsidRPr="00B933FB">
              <w:rPr>
                <w:b/>
                <w:bCs/>
                <w:color w:val="auto"/>
                <w:sz w:val="24"/>
                <w:szCs w:val="24"/>
              </w:rPr>
              <w:fldChar w:fldCharType="separate"/>
            </w:r>
            <w:r w:rsidR="005C7E15">
              <w:rPr>
                <w:b/>
                <w:bCs/>
                <w:noProof/>
                <w:color w:val="auto"/>
                <w:sz w:val="24"/>
                <w:szCs w:val="24"/>
              </w:rPr>
              <w:t>3</w:t>
            </w:r>
            <w:r w:rsidRPr="00B933FB">
              <w:rPr>
                <w:b/>
                <w:bCs/>
                <w:color w:val="auto"/>
                <w:sz w:val="24"/>
                <w:szCs w:val="24"/>
              </w:rPr>
              <w:fldChar w:fldCharType="end"/>
            </w:r>
            <w:r w:rsidRPr="00B933FB">
              <w:rPr>
                <w:color w:val="auto"/>
                <w:sz w:val="24"/>
                <w:szCs w:val="24"/>
              </w:rPr>
              <w:t xml:space="preserve"> of </w:t>
            </w:r>
            <w:r w:rsidRPr="00B933FB">
              <w:rPr>
                <w:b/>
                <w:bCs/>
                <w:color w:val="auto"/>
                <w:sz w:val="24"/>
                <w:szCs w:val="24"/>
              </w:rPr>
              <w:fldChar w:fldCharType="begin"/>
            </w:r>
            <w:r w:rsidRPr="00B933FB">
              <w:rPr>
                <w:b/>
                <w:bCs/>
                <w:color w:val="auto"/>
                <w:sz w:val="24"/>
                <w:szCs w:val="24"/>
              </w:rPr>
              <w:instrText xml:space="preserve"> NUMPAGES  </w:instrText>
            </w:r>
            <w:r w:rsidRPr="00B933FB">
              <w:rPr>
                <w:b/>
                <w:bCs/>
                <w:color w:val="auto"/>
                <w:sz w:val="24"/>
                <w:szCs w:val="24"/>
              </w:rPr>
              <w:fldChar w:fldCharType="separate"/>
            </w:r>
            <w:r w:rsidR="005C7E15">
              <w:rPr>
                <w:b/>
                <w:bCs/>
                <w:noProof/>
                <w:color w:val="auto"/>
                <w:sz w:val="24"/>
                <w:szCs w:val="24"/>
              </w:rPr>
              <w:t>4</w:t>
            </w:r>
            <w:r w:rsidRPr="00B933FB">
              <w:rPr>
                <w:b/>
                <w:bCs/>
                <w:color w:val="auto"/>
                <w:sz w:val="24"/>
                <w:szCs w:val="24"/>
              </w:rPr>
              <w:fldChar w:fldCharType="end"/>
            </w:r>
          </w:p>
        </w:sdtContent>
      </w:sdt>
    </w:sdtContent>
  </w:sdt>
  <w:p w:rsidR="00182080" w:rsidRPr="0023220F" w:rsidRDefault="00182080" w:rsidP="00EE7134">
    <w:pPr>
      <w:pStyle w:val="Footer"/>
      <w:tabs>
        <w:tab w:val="clear" w:pos="4111"/>
        <w:tab w:val="clear" w:pos="6096"/>
        <w:tab w:val="left" w:pos="2977"/>
        <w:tab w:val="left" w:pos="5245"/>
      </w:tabs>
      <w:ind w:left="0" w:firstLine="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292B" w:rsidRDefault="00A0292B" w:rsidP="00863875">
      <w:r>
        <w:separator/>
      </w:r>
    </w:p>
  </w:footnote>
  <w:footnote w:type="continuationSeparator" w:id="0">
    <w:p w:rsidR="00A0292B" w:rsidRDefault="00A0292B" w:rsidP="008638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39E027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DA409F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8861F2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6F630A2"/>
    <w:lvl w:ilvl="0">
      <w:start w:val="1"/>
      <w:numFmt w:val="lowerLetter"/>
      <w:pStyle w:val="ListNumber3"/>
      <w:lvlText w:val="%1."/>
      <w:lvlJc w:val="left"/>
      <w:pPr>
        <w:tabs>
          <w:tab w:val="num" w:pos="1418"/>
        </w:tabs>
        <w:ind w:left="1134" w:hanging="568"/>
      </w:pPr>
      <w:rPr>
        <w:rFonts w:hint="default"/>
      </w:rPr>
    </w:lvl>
  </w:abstractNum>
  <w:abstractNum w:abstractNumId="4" w15:restartNumberingAfterBreak="0">
    <w:nsid w:val="FFFFFF7F"/>
    <w:multiLevelType w:val="singleLevel"/>
    <w:tmpl w:val="F530E39A"/>
    <w:lvl w:ilvl="0">
      <w:start w:val="1"/>
      <w:numFmt w:val="decimal"/>
      <w:pStyle w:val="ListNumber2"/>
      <w:lvlText w:val="%1."/>
      <w:lvlJc w:val="left"/>
      <w:pPr>
        <w:tabs>
          <w:tab w:val="num" w:pos="851"/>
        </w:tabs>
        <w:ind w:left="567" w:hanging="284"/>
      </w:pPr>
      <w:rPr>
        <w:rFonts w:hint="default"/>
      </w:rPr>
    </w:lvl>
  </w:abstractNum>
  <w:abstractNum w:abstractNumId="5" w15:restartNumberingAfterBreak="0">
    <w:nsid w:val="FFFFFF80"/>
    <w:multiLevelType w:val="singleLevel"/>
    <w:tmpl w:val="6A14E0F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9126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1A5F7C"/>
    <w:lvl w:ilvl="0">
      <w:start w:val="1"/>
      <w:numFmt w:val="bullet"/>
      <w:pStyle w:val="ListBullet3"/>
      <w:lvlText w:val=""/>
      <w:lvlJc w:val="left"/>
      <w:pPr>
        <w:tabs>
          <w:tab w:val="num" w:pos="926"/>
        </w:tabs>
        <w:ind w:left="926" w:hanging="360"/>
      </w:pPr>
      <w:rPr>
        <w:rFonts w:ascii="Symbol" w:hAnsi="Symbol" w:hint="default"/>
        <w:color w:val="71102F"/>
      </w:rPr>
    </w:lvl>
  </w:abstractNum>
  <w:abstractNum w:abstractNumId="8" w15:restartNumberingAfterBreak="0">
    <w:nsid w:val="FFFFFF83"/>
    <w:multiLevelType w:val="singleLevel"/>
    <w:tmpl w:val="D5FEF6B4"/>
    <w:lvl w:ilvl="0">
      <w:start w:val="1"/>
      <w:numFmt w:val="bullet"/>
      <w:pStyle w:val="ListBullet2"/>
      <w:lvlText w:val="•"/>
      <w:lvlJc w:val="left"/>
      <w:pPr>
        <w:tabs>
          <w:tab w:val="num" w:pos="852"/>
        </w:tabs>
        <w:ind w:left="568" w:hanging="284"/>
      </w:pPr>
      <w:rPr>
        <w:rFonts w:ascii="Calibri" w:hAnsi="Calibri" w:hint="default"/>
        <w:color w:val="E8412C"/>
      </w:rPr>
    </w:lvl>
  </w:abstractNum>
  <w:abstractNum w:abstractNumId="9" w15:restartNumberingAfterBreak="0">
    <w:nsid w:val="FFFFFF88"/>
    <w:multiLevelType w:val="singleLevel"/>
    <w:tmpl w:val="D1181CA0"/>
    <w:lvl w:ilvl="0">
      <w:start w:val="1"/>
      <w:numFmt w:val="upperRoman"/>
      <w:pStyle w:val="ListNumber"/>
      <w:lvlText w:val="%1."/>
      <w:lvlJc w:val="left"/>
      <w:pPr>
        <w:tabs>
          <w:tab w:val="num" w:pos="567"/>
        </w:tabs>
        <w:ind w:left="284" w:hanging="284"/>
      </w:pPr>
      <w:rPr>
        <w:rFonts w:ascii="Calibri" w:hAnsi="Calibri" w:hint="default"/>
        <w:b/>
        <w:i w:val="0"/>
        <w:color w:val="E8412C"/>
        <w:sz w:val="22"/>
      </w:rPr>
    </w:lvl>
  </w:abstractNum>
  <w:abstractNum w:abstractNumId="10" w15:restartNumberingAfterBreak="0">
    <w:nsid w:val="FFFFFF89"/>
    <w:multiLevelType w:val="singleLevel"/>
    <w:tmpl w:val="20BE5F50"/>
    <w:lvl w:ilvl="0">
      <w:start w:val="1"/>
      <w:numFmt w:val="bullet"/>
      <w:pStyle w:val="ListBullet"/>
      <w:lvlText w:val="o"/>
      <w:lvlJc w:val="left"/>
      <w:pPr>
        <w:tabs>
          <w:tab w:val="num" w:pos="284"/>
        </w:tabs>
        <w:ind w:left="284" w:hanging="284"/>
      </w:pPr>
      <w:rPr>
        <w:rFonts w:ascii="Calibri" w:hAnsi="Calibri" w:hint="default"/>
        <w:b/>
        <w:i w:val="0"/>
        <w:color w:val="E8412C"/>
        <w:sz w:val="22"/>
      </w:rPr>
    </w:lvl>
  </w:abstractNum>
  <w:abstractNum w:abstractNumId="11" w15:restartNumberingAfterBreak="0">
    <w:nsid w:val="099C5BD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3862C8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15:restartNumberingAfterBreak="0">
    <w:nsid w:val="2C9D43EC"/>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56C2B0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EBB1A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2525C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786A1B"/>
    <w:multiLevelType w:val="multilevel"/>
    <w:tmpl w:val="D68E832C"/>
    <w:styleLink w:val="CurrentList1"/>
    <w:lvl w:ilvl="0">
      <w:start w:val="1"/>
      <w:numFmt w:val="bullet"/>
      <w:lvlText w:val="o"/>
      <w:lvlJc w:val="left"/>
      <w:pPr>
        <w:ind w:left="851" w:hanging="567"/>
      </w:pPr>
      <w:rPr>
        <w:rFonts w:ascii="Calibri" w:hAnsi="Calibri" w:hint="default"/>
        <w:b w:val="0"/>
        <w:i w:val="0"/>
        <w:color w:val="E8412C"/>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DB87A8B"/>
    <w:multiLevelType w:val="multilevel"/>
    <w:tmpl w:val="0F102E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BAA7E3A"/>
    <w:multiLevelType w:val="hybridMultilevel"/>
    <w:tmpl w:val="AA38B692"/>
    <w:lvl w:ilvl="0" w:tplc="04DE085A">
      <w:start w:val="1"/>
      <w:numFmt w:val="bullet"/>
      <w:lvlText w:val="o"/>
      <w:lvlJc w:val="left"/>
      <w:pPr>
        <w:ind w:left="851" w:hanging="567"/>
      </w:pPr>
      <w:rPr>
        <w:rFonts w:ascii="Calibri" w:hAnsi="Calibri" w:hint="default"/>
        <w:b w:val="0"/>
        <w:i w:val="0"/>
        <w:color w:val="E8412C"/>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3F0E01"/>
    <w:multiLevelType w:val="singleLevel"/>
    <w:tmpl w:val="65E43BD0"/>
    <w:lvl w:ilvl="0">
      <w:start w:val="1"/>
      <w:numFmt w:val="bullet"/>
      <w:pStyle w:val="ListParagraph"/>
      <w:lvlText w:val="o"/>
      <w:lvlJc w:val="left"/>
      <w:pPr>
        <w:ind w:left="567" w:hanging="283"/>
      </w:pPr>
      <w:rPr>
        <w:rFonts w:ascii="Calibri" w:hAnsi="Calibri" w:hint="default"/>
        <w:b w:val="0"/>
        <w:i w:val="0"/>
        <w:color w:val="E8412C"/>
        <w:sz w:val="22"/>
      </w:rPr>
    </w:lvl>
  </w:abstractNum>
  <w:num w:numId="1">
    <w:abstractNumId w:val="19"/>
  </w:num>
  <w:num w:numId="2">
    <w:abstractNumId w:val="0"/>
  </w:num>
  <w:num w:numId="3">
    <w:abstractNumId w:val="1"/>
  </w:num>
  <w:num w:numId="4">
    <w:abstractNumId w:val="2"/>
  </w:num>
  <w:num w:numId="5">
    <w:abstractNumId w:val="3"/>
  </w:num>
  <w:num w:numId="6">
    <w:abstractNumId w:val="4"/>
  </w:num>
  <w:num w:numId="7">
    <w:abstractNumId w:val="9"/>
  </w:num>
  <w:num w:numId="8">
    <w:abstractNumId w:val="5"/>
  </w:num>
  <w:num w:numId="9">
    <w:abstractNumId w:val="6"/>
  </w:num>
  <w:num w:numId="10">
    <w:abstractNumId w:val="7"/>
  </w:num>
  <w:num w:numId="11">
    <w:abstractNumId w:val="8"/>
  </w:num>
  <w:num w:numId="12">
    <w:abstractNumId w:val="10"/>
  </w:num>
  <w:num w:numId="13">
    <w:abstractNumId w:val="18"/>
  </w:num>
  <w:num w:numId="14">
    <w:abstractNumId w:val="17"/>
  </w:num>
  <w:num w:numId="15">
    <w:abstractNumId w:val="12"/>
  </w:num>
  <w:num w:numId="16">
    <w:abstractNumId w:val="20"/>
  </w:num>
  <w:num w:numId="17">
    <w:abstractNumId w:val="13"/>
  </w:num>
  <w:num w:numId="18">
    <w:abstractNumId w:val="16"/>
  </w:num>
  <w:num w:numId="19">
    <w:abstractNumId w:val="11"/>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s5z0sdd8xset3ewesvv2vw0dz5fd2pv5s2x&quot;&gt;My EndNote Library Papier AL 22072020 Copy&lt;record-ids&gt;&lt;item&gt;2&lt;/item&gt;&lt;item&gt;154&lt;/item&gt;&lt;/record-ids&gt;&lt;/item&gt;&lt;/Libraries&gt;"/>
  </w:docVars>
  <w:rsids>
    <w:rsidRoot w:val="0040603F"/>
    <w:rsid w:val="000326EB"/>
    <w:rsid w:val="0004785E"/>
    <w:rsid w:val="00056727"/>
    <w:rsid w:val="00074022"/>
    <w:rsid w:val="00085F20"/>
    <w:rsid w:val="000F0064"/>
    <w:rsid w:val="000F184F"/>
    <w:rsid w:val="001067EA"/>
    <w:rsid w:val="00106A19"/>
    <w:rsid w:val="00136A32"/>
    <w:rsid w:val="001428E2"/>
    <w:rsid w:val="00154E3F"/>
    <w:rsid w:val="00182080"/>
    <w:rsid w:val="001D4E12"/>
    <w:rsid w:val="0022324D"/>
    <w:rsid w:val="0023220F"/>
    <w:rsid w:val="0027363E"/>
    <w:rsid w:val="00286D11"/>
    <w:rsid w:val="002C7480"/>
    <w:rsid w:val="00317914"/>
    <w:rsid w:val="003326B1"/>
    <w:rsid w:val="00380751"/>
    <w:rsid w:val="003D3642"/>
    <w:rsid w:val="0040603F"/>
    <w:rsid w:val="00472ED4"/>
    <w:rsid w:val="00490AEC"/>
    <w:rsid w:val="0049301D"/>
    <w:rsid w:val="004B000F"/>
    <w:rsid w:val="004C2B95"/>
    <w:rsid w:val="004C7630"/>
    <w:rsid w:val="004D5CEC"/>
    <w:rsid w:val="004F4B78"/>
    <w:rsid w:val="005206B4"/>
    <w:rsid w:val="0052438E"/>
    <w:rsid w:val="00560656"/>
    <w:rsid w:val="00581AA8"/>
    <w:rsid w:val="00583543"/>
    <w:rsid w:val="00586717"/>
    <w:rsid w:val="005C7E15"/>
    <w:rsid w:val="005E345C"/>
    <w:rsid w:val="005F51B6"/>
    <w:rsid w:val="00614332"/>
    <w:rsid w:val="00614CC8"/>
    <w:rsid w:val="00642668"/>
    <w:rsid w:val="006468B1"/>
    <w:rsid w:val="00670996"/>
    <w:rsid w:val="006C5473"/>
    <w:rsid w:val="006D2BFB"/>
    <w:rsid w:val="006F571A"/>
    <w:rsid w:val="00733D3C"/>
    <w:rsid w:val="00734443"/>
    <w:rsid w:val="00750C97"/>
    <w:rsid w:val="00756D92"/>
    <w:rsid w:val="00761BA8"/>
    <w:rsid w:val="007D1F80"/>
    <w:rsid w:val="007D7E63"/>
    <w:rsid w:val="007F07B4"/>
    <w:rsid w:val="00833ACD"/>
    <w:rsid w:val="008372E6"/>
    <w:rsid w:val="00851004"/>
    <w:rsid w:val="00861CDD"/>
    <w:rsid w:val="00863875"/>
    <w:rsid w:val="0086441A"/>
    <w:rsid w:val="008952D2"/>
    <w:rsid w:val="008A0810"/>
    <w:rsid w:val="008C0FC2"/>
    <w:rsid w:val="008D6012"/>
    <w:rsid w:val="00901E14"/>
    <w:rsid w:val="0093240A"/>
    <w:rsid w:val="00934883"/>
    <w:rsid w:val="009558A4"/>
    <w:rsid w:val="00990BEA"/>
    <w:rsid w:val="009B4BF7"/>
    <w:rsid w:val="009D2C4F"/>
    <w:rsid w:val="00A0292B"/>
    <w:rsid w:val="00A07616"/>
    <w:rsid w:val="00A15F54"/>
    <w:rsid w:val="00A352E8"/>
    <w:rsid w:val="00A354BF"/>
    <w:rsid w:val="00A93335"/>
    <w:rsid w:val="00AB128A"/>
    <w:rsid w:val="00AB23DD"/>
    <w:rsid w:val="00B20DED"/>
    <w:rsid w:val="00B35920"/>
    <w:rsid w:val="00B52D02"/>
    <w:rsid w:val="00B933FB"/>
    <w:rsid w:val="00B96514"/>
    <w:rsid w:val="00BA2812"/>
    <w:rsid w:val="00BE4268"/>
    <w:rsid w:val="00BE5F88"/>
    <w:rsid w:val="00BF5635"/>
    <w:rsid w:val="00C22F3C"/>
    <w:rsid w:val="00C60D44"/>
    <w:rsid w:val="00CB3A94"/>
    <w:rsid w:val="00CD18D2"/>
    <w:rsid w:val="00D15124"/>
    <w:rsid w:val="00D579DB"/>
    <w:rsid w:val="00D801AA"/>
    <w:rsid w:val="00D84AA9"/>
    <w:rsid w:val="00DA47FB"/>
    <w:rsid w:val="00DB14E7"/>
    <w:rsid w:val="00DB3690"/>
    <w:rsid w:val="00DE11BB"/>
    <w:rsid w:val="00DF1559"/>
    <w:rsid w:val="00E17FCC"/>
    <w:rsid w:val="00E43876"/>
    <w:rsid w:val="00E750AD"/>
    <w:rsid w:val="00E913E8"/>
    <w:rsid w:val="00E97100"/>
    <w:rsid w:val="00EA746C"/>
    <w:rsid w:val="00EC1128"/>
    <w:rsid w:val="00EC6E33"/>
    <w:rsid w:val="00EE7134"/>
    <w:rsid w:val="00EF1F22"/>
    <w:rsid w:val="00F34893"/>
    <w:rsid w:val="00F543E0"/>
    <w:rsid w:val="00F82DB5"/>
    <w:rsid w:val="00FE0E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424B287-2D51-4CD2-9786-5D714AB9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F20"/>
    <w:pPr>
      <w:spacing w:before="120" w:after="120"/>
      <w:jc w:val="both"/>
    </w:pPr>
    <w:rPr>
      <w:rFonts w:cs="Calibri-Light"/>
      <w:color w:val="000000"/>
      <w:sz w:val="22"/>
      <w:szCs w:val="22"/>
    </w:rPr>
  </w:style>
  <w:style w:type="paragraph" w:styleId="Heading1">
    <w:name w:val="heading 1"/>
    <w:basedOn w:val="BasicParagraph"/>
    <w:next w:val="Normal"/>
    <w:link w:val="Heading1Char"/>
    <w:uiPriority w:val="9"/>
    <w:qFormat/>
    <w:rsid w:val="006F571A"/>
    <w:pPr>
      <w:spacing w:before="0" w:line="240" w:lineRule="auto"/>
      <w:jc w:val="left"/>
      <w:outlineLvl w:val="0"/>
    </w:pPr>
    <w:rPr>
      <w:rFonts w:ascii="Calibri-Bold" w:hAnsi="Calibri-Bold" w:cs="Calibri-Bold"/>
      <w:b/>
      <w:bCs/>
      <w:color w:val="E8412C"/>
      <w:spacing w:val="-10"/>
      <w:sz w:val="50"/>
      <w:szCs w:val="50"/>
    </w:rPr>
  </w:style>
  <w:style w:type="paragraph" w:styleId="Heading2">
    <w:name w:val="heading 2"/>
    <w:basedOn w:val="BasicParagraph"/>
    <w:next w:val="Normal"/>
    <w:link w:val="Heading2Char"/>
    <w:uiPriority w:val="9"/>
    <w:unhideWhenUsed/>
    <w:qFormat/>
    <w:rsid w:val="006F571A"/>
    <w:pPr>
      <w:spacing w:line="240" w:lineRule="auto"/>
      <w:jc w:val="left"/>
      <w:outlineLvl w:val="1"/>
    </w:pPr>
    <w:rPr>
      <w:rFonts w:ascii="Calibri-Bold" w:hAnsi="Calibri-Bold" w:cs="Calibri-Bold"/>
      <w:b/>
      <w:bCs/>
      <w:color w:val="6E97AD"/>
      <w:sz w:val="40"/>
      <w:szCs w:val="24"/>
    </w:rPr>
  </w:style>
  <w:style w:type="paragraph" w:styleId="Heading3">
    <w:name w:val="heading 3"/>
    <w:next w:val="Normal"/>
    <w:link w:val="Heading3Char"/>
    <w:uiPriority w:val="9"/>
    <w:unhideWhenUsed/>
    <w:qFormat/>
    <w:rsid w:val="006F571A"/>
    <w:pPr>
      <w:spacing w:before="120" w:after="120"/>
      <w:jc w:val="both"/>
      <w:outlineLvl w:val="2"/>
    </w:pPr>
    <w:rPr>
      <w:rFonts w:cs="Calibri-Light"/>
      <w:b/>
      <w:bCs/>
      <w:noProof/>
      <w:color w:val="5D0524"/>
      <w:spacing w:val="-2"/>
      <w:sz w:val="32"/>
      <w:szCs w:val="24"/>
      <w:lang w:val="en-GB"/>
    </w:rPr>
  </w:style>
  <w:style w:type="paragraph" w:styleId="Heading4">
    <w:name w:val="heading 4"/>
    <w:basedOn w:val="Normal"/>
    <w:next w:val="Normal"/>
    <w:link w:val="Heading4Char"/>
    <w:uiPriority w:val="9"/>
    <w:unhideWhenUsed/>
    <w:rsid w:val="006F571A"/>
    <w:pPr>
      <w:outlineLvl w:val="3"/>
    </w:pPr>
    <w:rPr>
      <w:b/>
      <w:bCs/>
      <w:sz w:val="24"/>
      <w:szCs w:val="24"/>
    </w:rPr>
  </w:style>
  <w:style w:type="paragraph" w:styleId="Heading5">
    <w:name w:val="heading 5"/>
    <w:basedOn w:val="Normal"/>
    <w:next w:val="Normal"/>
    <w:link w:val="Heading5Char"/>
    <w:uiPriority w:val="9"/>
    <w:semiHidden/>
    <w:unhideWhenUsed/>
    <w:qFormat/>
    <w:rsid w:val="006F571A"/>
    <w:pPr>
      <w:keepNext/>
      <w:keepLines/>
      <w:spacing w:before="40" w:after="0"/>
      <w:outlineLvl w:val="4"/>
    </w:pPr>
    <w:rPr>
      <w:rFonts w:eastAsia="Times New Roman" w:cs="Times New Roman"/>
      <w:color w:val="6E97A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2080"/>
    <w:pPr>
      <w:tabs>
        <w:tab w:val="center" w:pos="4680"/>
        <w:tab w:val="right" w:pos="9360"/>
      </w:tabs>
    </w:pPr>
    <w:rPr>
      <w:color w:val="404040"/>
    </w:rPr>
  </w:style>
  <w:style w:type="character" w:customStyle="1" w:styleId="HeaderChar">
    <w:name w:val="Header Char"/>
    <w:basedOn w:val="DefaultParagraphFont"/>
    <w:link w:val="Header"/>
    <w:uiPriority w:val="99"/>
    <w:rsid w:val="00182080"/>
  </w:style>
  <w:style w:type="paragraph" w:styleId="Footer">
    <w:name w:val="footer"/>
    <w:basedOn w:val="Normal"/>
    <w:link w:val="FooterChar"/>
    <w:uiPriority w:val="99"/>
    <w:unhideWhenUsed/>
    <w:rsid w:val="003326B1"/>
    <w:pPr>
      <w:tabs>
        <w:tab w:val="left" w:pos="4111"/>
        <w:tab w:val="left" w:pos="6096"/>
        <w:tab w:val="right" w:pos="9893"/>
      </w:tabs>
      <w:ind w:left="1418" w:hanging="1418"/>
      <w:jc w:val="left"/>
    </w:pPr>
    <w:rPr>
      <w:color w:val="E8412C"/>
      <w:sz w:val="16"/>
      <w:szCs w:val="16"/>
    </w:rPr>
  </w:style>
  <w:style w:type="character" w:customStyle="1" w:styleId="FooterChar">
    <w:name w:val="Footer Char"/>
    <w:link w:val="Footer"/>
    <w:uiPriority w:val="99"/>
    <w:rsid w:val="003326B1"/>
    <w:rPr>
      <w:rFonts w:cs="Calibri-Light"/>
      <w:noProof/>
      <w:color w:val="E8412C"/>
      <w:sz w:val="16"/>
      <w:szCs w:val="16"/>
    </w:rPr>
  </w:style>
  <w:style w:type="paragraph" w:customStyle="1" w:styleId="BasicParagraph">
    <w:name w:val="[Basic Paragraph]"/>
    <w:basedOn w:val="Normal"/>
    <w:uiPriority w:val="99"/>
    <w:rsid w:val="00182080"/>
    <w:pPr>
      <w:widowControl w:val="0"/>
      <w:autoSpaceDE w:val="0"/>
      <w:autoSpaceDN w:val="0"/>
      <w:adjustRightInd w:val="0"/>
      <w:spacing w:line="288" w:lineRule="auto"/>
      <w:textAlignment w:val="center"/>
    </w:pPr>
    <w:rPr>
      <w:rFonts w:ascii="MinionPro-Regular" w:hAnsi="MinionPro-Regular" w:cs="MinionPro-Regular"/>
    </w:rPr>
  </w:style>
  <w:style w:type="character" w:customStyle="1" w:styleId="Heading1Char">
    <w:name w:val="Heading 1 Char"/>
    <w:link w:val="Heading1"/>
    <w:uiPriority w:val="9"/>
    <w:rsid w:val="00863875"/>
    <w:rPr>
      <w:rFonts w:ascii="Calibri-Bold" w:hAnsi="Calibri-Bold" w:cs="Calibri-Bold"/>
      <w:b/>
      <w:bCs/>
      <w:color w:val="E8412C"/>
      <w:spacing w:val="-10"/>
      <w:sz w:val="50"/>
      <w:szCs w:val="50"/>
      <w:lang w:val="en-GB"/>
    </w:rPr>
  </w:style>
  <w:style w:type="character" w:customStyle="1" w:styleId="Heading2Char">
    <w:name w:val="Heading 2 Char"/>
    <w:link w:val="Heading2"/>
    <w:uiPriority w:val="9"/>
    <w:rsid w:val="00863875"/>
    <w:rPr>
      <w:rFonts w:ascii="Calibri-Bold" w:hAnsi="Calibri-Bold" w:cs="Calibri-Bold"/>
      <w:b/>
      <w:bCs/>
      <w:color w:val="6E97AD"/>
      <w:sz w:val="40"/>
      <w:lang w:val="en-GB"/>
    </w:rPr>
  </w:style>
  <w:style w:type="character" w:customStyle="1" w:styleId="Heading3Char">
    <w:name w:val="Heading 3 Char"/>
    <w:link w:val="Heading3"/>
    <w:uiPriority w:val="9"/>
    <w:rsid w:val="00863875"/>
    <w:rPr>
      <w:rFonts w:ascii="Calibri" w:hAnsi="Calibri" w:cs="Calibri-Light"/>
      <w:b/>
      <w:bCs/>
      <w:noProof/>
      <w:color w:val="5D0524"/>
      <w:spacing w:val="-2"/>
      <w:sz w:val="32"/>
      <w:lang w:val="en-GB"/>
    </w:rPr>
  </w:style>
  <w:style w:type="character" w:customStyle="1" w:styleId="Heading4Char">
    <w:name w:val="Heading 4 Char"/>
    <w:link w:val="Heading4"/>
    <w:uiPriority w:val="9"/>
    <w:rsid w:val="00863875"/>
    <w:rPr>
      <w:rFonts w:ascii="Calibri" w:hAnsi="Calibri" w:cs="Calibri-Light"/>
      <w:b/>
      <w:bCs/>
      <w:noProof/>
      <w:color w:val="000000"/>
    </w:rPr>
  </w:style>
  <w:style w:type="character" w:customStyle="1" w:styleId="Heading5Char">
    <w:name w:val="Heading 5 Char"/>
    <w:link w:val="Heading5"/>
    <w:uiPriority w:val="9"/>
    <w:semiHidden/>
    <w:rsid w:val="00182080"/>
    <w:rPr>
      <w:rFonts w:ascii="Calibri" w:eastAsia="Times New Roman" w:hAnsi="Calibri" w:cs="Times New Roman"/>
      <w:noProof/>
      <w:color w:val="6E97AD"/>
      <w:spacing w:val="-2"/>
      <w:sz w:val="20"/>
      <w:szCs w:val="20"/>
      <w:lang w:val="en-GB"/>
    </w:rPr>
  </w:style>
  <w:style w:type="paragraph" w:styleId="ListParagraph">
    <w:name w:val="List Paragraph"/>
    <w:basedOn w:val="ListBullet"/>
    <w:uiPriority w:val="34"/>
    <w:qFormat/>
    <w:rsid w:val="007D7E63"/>
    <w:pPr>
      <w:numPr>
        <w:numId w:val="16"/>
      </w:numPr>
      <w:spacing w:before="60" w:after="0"/>
    </w:pPr>
    <w:rPr>
      <w:bCs/>
      <w:spacing w:val="4"/>
      <w:szCs w:val="18"/>
    </w:rPr>
  </w:style>
  <w:style w:type="paragraph" w:styleId="Title">
    <w:name w:val="Title"/>
    <w:basedOn w:val="Normal"/>
    <w:next w:val="Normal"/>
    <w:link w:val="TitleChar"/>
    <w:uiPriority w:val="10"/>
    <w:qFormat/>
    <w:rsid w:val="00863875"/>
    <w:pPr>
      <w:spacing w:before="0" w:after="0"/>
      <w:contextualSpacing/>
    </w:pPr>
    <w:rPr>
      <w:rFonts w:ascii="Calibri Light" w:eastAsia="Times New Roman" w:hAnsi="Calibri Light" w:cs="Times New Roman"/>
      <w:color w:val="auto"/>
      <w:spacing w:val="-10"/>
      <w:kern w:val="28"/>
      <w:sz w:val="56"/>
      <w:szCs w:val="56"/>
    </w:rPr>
  </w:style>
  <w:style w:type="character" w:customStyle="1" w:styleId="TitleChar">
    <w:name w:val="Title Char"/>
    <w:link w:val="Title"/>
    <w:uiPriority w:val="10"/>
    <w:rsid w:val="00863875"/>
    <w:rPr>
      <w:rFonts w:ascii="Calibri Light" w:eastAsia="Times New Roman" w:hAnsi="Calibri Light" w:cs="Times New Roman"/>
      <w:noProof/>
      <w:spacing w:val="-10"/>
      <w:kern w:val="28"/>
      <w:sz w:val="56"/>
      <w:szCs w:val="56"/>
    </w:rPr>
  </w:style>
  <w:style w:type="paragraph" w:styleId="Subtitle">
    <w:name w:val="Subtitle"/>
    <w:basedOn w:val="Normal"/>
    <w:next w:val="Normal"/>
    <w:link w:val="SubtitleChar"/>
    <w:uiPriority w:val="11"/>
    <w:qFormat/>
    <w:rsid w:val="00863875"/>
    <w:pPr>
      <w:numPr>
        <w:ilvl w:val="1"/>
      </w:numPr>
      <w:spacing w:after="160"/>
    </w:pPr>
    <w:rPr>
      <w:rFonts w:eastAsia="Times New Roman" w:cs="Times New Roman"/>
      <w:color w:val="5A5A5A"/>
      <w:spacing w:val="15"/>
    </w:rPr>
  </w:style>
  <w:style w:type="character" w:customStyle="1" w:styleId="SubtitleChar">
    <w:name w:val="Subtitle Char"/>
    <w:link w:val="Subtitle"/>
    <w:uiPriority w:val="11"/>
    <w:rsid w:val="00863875"/>
    <w:rPr>
      <w:rFonts w:eastAsia="Times New Roman"/>
      <w:noProof/>
      <w:color w:val="5A5A5A"/>
      <w:spacing w:val="15"/>
      <w:sz w:val="22"/>
      <w:szCs w:val="22"/>
    </w:rPr>
  </w:style>
  <w:style w:type="paragraph" w:styleId="ListBullet">
    <w:name w:val="List Bullet"/>
    <w:uiPriority w:val="99"/>
    <w:unhideWhenUsed/>
    <w:rsid w:val="00DB14E7"/>
    <w:pPr>
      <w:numPr>
        <w:numId w:val="12"/>
      </w:numPr>
      <w:spacing w:after="60"/>
      <w:contextualSpacing/>
    </w:pPr>
    <w:rPr>
      <w:rFonts w:cs="Calibri-Light"/>
      <w:noProof/>
      <w:color w:val="000000"/>
      <w:sz w:val="22"/>
      <w:szCs w:val="22"/>
    </w:rPr>
  </w:style>
  <w:style w:type="numbering" w:customStyle="1" w:styleId="CurrentList1">
    <w:name w:val="Current List1"/>
    <w:uiPriority w:val="99"/>
    <w:rsid w:val="007D7E63"/>
    <w:pPr>
      <w:numPr>
        <w:numId w:val="14"/>
      </w:numPr>
    </w:pPr>
  </w:style>
  <w:style w:type="paragraph" w:styleId="ListBullet2">
    <w:name w:val="List Bullet 2"/>
    <w:basedOn w:val="Normal"/>
    <w:uiPriority w:val="99"/>
    <w:unhideWhenUsed/>
    <w:rsid w:val="00DB14E7"/>
    <w:pPr>
      <w:numPr>
        <w:numId w:val="11"/>
      </w:numPr>
      <w:contextualSpacing/>
    </w:pPr>
  </w:style>
  <w:style w:type="paragraph" w:styleId="ListBullet3">
    <w:name w:val="List Bullet 3"/>
    <w:basedOn w:val="Normal"/>
    <w:uiPriority w:val="99"/>
    <w:unhideWhenUsed/>
    <w:rsid w:val="00DB14E7"/>
    <w:pPr>
      <w:numPr>
        <w:numId w:val="10"/>
      </w:numPr>
      <w:contextualSpacing/>
    </w:pPr>
  </w:style>
  <w:style w:type="paragraph" w:styleId="List">
    <w:name w:val="List"/>
    <w:basedOn w:val="Normal"/>
    <w:uiPriority w:val="99"/>
    <w:unhideWhenUsed/>
    <w:rsid w:val="00614332"/>
    <w:pPr>
      <w:ind w:left="283" w:hanging="283"/>
      <w:contextualSpacing/>
    </w:pPr>
  </w:style>
  <w:style w:type="paragraph" w:styleId="ListNumber">
    <w:name w:val="List Number"/>
    <w:basedOn w:val="Normal"/>
    <w:uiPriority w:val="99"/>
    <w:unhideWhenUsed/>
    <w:rsid w:val="00DB14E7"/>
    <w:pPr>
      <w:numPr>
        <w:numId w:val="7"/>
      </w:numPr>
      <w:contextualSpacing/>
    </w:pPr>
  </w:style>
  <w:style w:type="paragraph" w:styleId="ListNumber2">
    <w:name w:val="List Number 2"/>
    <w:basedOn w:val="Normal"/>
    <w:uiPriority w:val="99"/>
    <w:unhideWhenUsed/>
    <w:rsid w:val="00614332"/>
    <w:pPr>
      <w:numPr>
        <w:numId w:val="6"/>
      </w:numPr>
      <w:ind w:left="568"/>
      <w:contextualSpacing/>
    </w:pPr>
  </w:style>
  <w:style w:type="paragraph" w:styleId="ListNumber3">
    <w:name w:val="List Number 3"/>
    <w:basedOn w:val="Normal"/>
    <w:uiPriority w:val="99"/>
    <w:unhideWhenUsed/>
    <w:rsid w:val="00DB14E7"/>
    <w:pPr>
      <w:numPr>
        <w:numId w:val="5"/>
      </w:numPr>
      <w:ind w:left="851" w:hanging="284"/>
      <w:contextualSpacing/>
    </w:pPr>
  </w:style>
  <w:style w:type="paragraph" w:styleId="NoSpacing">
    <w:name w:val="No Spacing"/>
    <w:link w:val="NoSpacingChar"/>
    <w:uiPriority w:val="1"/>
    <w:qFormat/>
    <w:rsid w:val="00085F20"/>
    <w:pPr>
      <w:jc w:val="both"/>
    </w:pPr>
    <w:rPr>
      <w:rFonts w:cs="Calibri-Light"/>
      <w:noProof/>
      <w:color w:val="000000"/>
      <w:sz w:val="22"/>
      <w:szCs w:val="22"/>
    </w:rPr>
  </w:style>
  <w:style w:type="paragraph" w:styleId="BalloonText">
    <w:name w:val="Balloon Text"/>
    <w:basedOn w:val="Normal"/>
    <w:link w:val="BalloonTextChar"/>
    <w:uiPriority w:val="99"/>
    <w:semiHidden/>
    <w:unhideWhenUsed/>
    <w:rsid w:val="008372E6"/>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2E6"/>
    <w:rPr>
      <w:rFonts w:ascii="Segoe UI" w:hAnsi="Segoe UI" w:cs="Segoe UI"/>
      <w:color w:val="000000"/>
      <w:sz w:val="18"/>
      <w:szCs w:val="18"/>
    </w:rPr>
  </w:style>
  <w:style w:type="character" w:styleId="LineNumber">
    <w:name w:val="line number"/>
    <w:basedOn w:val="DefaultParagraphFont"/>
    <w:uiPriority w:val="99"/>
    <w:semiHidden/>
    <w:unhideWhenUsed/>
    <w:rsid w:val="00136A32"/>
  </w:style>
  <w:style w:type="character" w:styleId="Hyperlink">
    <w:name w:val="Hyperlink"/>
    <w:basedOn w:val="DefaultParagraphFont"/>
    <w:uiPriority w:val="99"/>
    <w:unhideWhenUsed/>
    <w:rsid w:val="00C60D44"/>
    <w:rPr>
      <w:color w:val="6E97AD" w:themeColor="hyperlink"/>
      <w:u w:val="single"/>
    </w:rPr>
  </w:style>
  <w:style w:type="paragraph" w:customStyle="1" w:styleId="EndNoteBibliographyTitle">
    <w:name w:val="EndNote Bibliography Title"/>
    <w:basedOn w:val="Normal"/>
    <w:link w:val="EndNoteBibliographyTitleChar"/>
    <w:rsid w:val="0086441A"/>
    <w:pPr>
      <w:spacing w:after="0"/>
      <w:jc w:val="center"/>
    </w:pPr>
    <w:rPr>
      <w:rFonts w:cs="Calibri"/>
      <w:noProof/>
    </w:rPr>
  </w:style>
  <w:style w:type="character" w:customStyle="1" w:styleId="NoSpacingChar">
    <w:name w:val="No Spacing Char"/>
    <w:basedOn w:val="DefaultParagraphFont"/>
    <w:link w:val="NoSpacing"/>
    <w:uiPriority w:val="1"/>
    <w:rsid w:val="0086441A"/>
    <w:rPr>
      <w:rFonts w:cs="Calibri-Light"/>
      <w:noProof/>
      <w:color w:val="000000"/>
      <w:sz w:val="22"/>
      <w:szCs w:val="22"/>
    </w:rPr>
  </w:style>
  <w:style w:type="character" w:customStyle="1" w:styleId="EndNoteBibliographyTitleChar">
    <w:name w:val="EndNote Bibliography Title Char"/>
    <w:basedOn w:val="NoSpacingChar"/>
    <w:link w:val="EndNoteBibliographyTitle"/>
    <w:rsid w:val="0086441A"/>
    <w:rPr>
      <w:rFonts w:cs="Calibri"/>
      <w:noProof/>
      <w:color w:val="000000"/>
      <w:sz w:val="22"/>
      <w:szCs w:val="22"/>
    </w:rPr>
  </w:style>
  <w:style w:type="paragraph" w:customStyle="1" w:styleId="EndNoteBibliography">
    <w:name w:val="EndNote Bibliography"/>
    <w:basedOn w:val="Normal"/>
    <w:link w:val="EndNoteBibliographyChar"/>
    <w:rsid w:val="0086441A"/>
    <w:rPr>
      <w:rFonts w:cs="Calibri"/>
      <w:noProof/>
    </w:rPr>
  </w:style>
  <w:style w:type="character" w:customStyle="1" w:styleId="EndNoteBibliographyChar">
    <w:name w:val="EndNote Bibliography Char"/>
    <w:basedOn w:val="NoSpacingChar"/>
    <w:link w:val="EndNoteBibliography"/>
    <w:rsid w:val="0086441A"/>
    <w:rPr>
      <w:rFonts w:cs="Calibri"/>
      <w:noProof/>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bioportal.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E8402C"/>
      </a:dk2>
      <a:lt2>
        <a:srgbClr val="E7E6E6"/>
      </a:lt2>
      <a:accent1>
        <a:srgbClr val="5D0524"/>
      </a:accent1>
      <a:accent2>
        <a:srgbClr val="E8402C"/>
      </a:accent2>
      <a:accent3>
        <a:srgbClr val="6E97AD"/>
      </a:accent3>
      <a:accent4>
        <a:srgbClr val="89C8B7"/>
      </a:accent4>
      <a:accent5>
        <a:srgbClr val="F5D140"/>
      </a:accent5>
      <a:accent6>
        <a:srgbClr val="B17B56"/>
      </a:accent6>
      <a:hlink>
        <a:srgbClr val="6E97AD"/>
      </a:hlink>
      <a:folHlink>
        <a:srgbClr val="C896C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4</Pages>
  <Words>3148</Words>
  <Characters>17317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Luxembourg Institute of Health</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Bassam Janji</dc:creator>
  <cp:keywords/>
  <dc:description/>
  <cp:lastModifiedBy>Bassam Janji</cp:lastModifiedBy>
  <cp:revision>16</cp:revision>
  <cp:lastPrinted>2021-03-10T15:21:00Z</cp:lastPrinted>
  <dcterms:created xsi:type="dcterms:W3CDTF">2021-03-09T10:54:00Z</dcterms:created>
  <dcterms:modified xsi:type="dcterms:W3CDTF">2021-04-26T14:50:00Z</dcterms:modified>
</cp:coreProperties>
</file>