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FB8C1" w14:textId="63E7FB0D" w:rsidR="008574B5" w:rsidRPr="00C90AC2" w:rsidRDefault="008574B5" w:rsidP="008574B5">
      <w:pPr>
        <w:pStyle w:val="NoSpacing"/>
        <w:spacing w:line="360" w:lineRule="auto"/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</w:pPr>
      <w:r w:rsidRPr="00C90AC2"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  <w:t>Legends for supplementary Figure 1</w:t>
      </w:r>
    </w:p>
    <w:p w14:paraId="6F5FAC30" w14:textId="4EA58021" w:rsidR="008574B5" w:rsidRPr="00C90AC2" w:rsidRDefault="008574B5" w:rsidP="008574B5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(A)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XTT assay to evaluate the doubling time of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C0383E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C0383E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C0383E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C0383E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B16-F10 cells at indicated time intervals under hypoxia (0.1% p0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) conditions. The average of eight replicates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is reported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. The error bars represent </w:t>
      </w:r>
      <w:r w:rsidR="00C0383E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mean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± SEM. ns = not significant determined by an unpaired two-tailed Student’s </w:t>
      </w:r>
      <w:r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-test.</w:t>
      </w:r>
    </w:p>
    <w:p w14:paraId="503707A6" w14:textId="1821174C" w:rsidR="00B76125" w:rsidRPr="00C90AC2" w:rsidRDefault="00B76125" w:rsidP="00C43810">
      <w:pPr>
        <w:spacing w:beforeLines="24" w:before="57" w:after="0" w:line="360" w:lineRule="auto"/>
        <w:rPr>
          <w:color w:val="auto"/>
          <w:sz w:val="24"/>
          <w:szCs w:val="24"/>
        </w:rPr>
      </w:pPr>
      <w:r w:rsidRPr="00C90AC2">
        <w:rPr>
          <w:rFonts w:asciiTheme="minorHAnsi" w:hAnsiTheme="minorHAnsi" w:cstheme="minorHAnsi"/>
          <w:b/>
          <w:sz w:val="24"/>
          <w:szCs w:val="24"/>
        </w:rPr>
        <w:t xml:space="preserve">(B) 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Quantification of the infiltration of </w:t>
      </w:r>
      <w:proofErr w:type="spellStart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Treg</w:t>
      </w:r>
      <w:proofErr w:type="spellEnd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(left panel), PD-1+ </w:t>
      </w:r>
      <w:proofErr w:type="spellStart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Treg</w:t>
      </w:r>
      <w:proofErr w:type="spellEnd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(middle panel) and CD69+ </w:t>
      </w:r>
      <w:proofErr w:type="spellStart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Treg</w:t>
      </w:r>
      <w:proofErr w:type="spellEnd"/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(right panel) in B16-F10 melanoma expressing </w:t>
      </w:r>
      <w:r w:rsidR="00B647D0"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FL</w:t>
      </w:r>
      <w:r w:rsidR="00B647D0"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 </w:t>
      </w:r>
      <w:r w:rsidR="00B647D0"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="00B647D0"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HIF-1</w:t>
      </w:r>
      <w:r w:rsidRPr="00C90AC2">
        <w:rPr>
          <w:rFonts w:ascii="Symbol" w:hAnsi="Symbol" w:cstheme="minorHAnsi"/>
          <w:color w:val="000000" w:themeColor="text1"/>
          <w:sz w:val="24"/>
          <w:szCs w:val="24"/>
        </w:rPr>
        <w:t>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Data are reported as the percentage (%) </w:t>
      </w:r>
      <w:r w:rsidR="00C43810" w:rsidRPr="00C90A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of live cells </w:t>
      </w:r>
      <w:r w:rsidR="00C43810" w:rsidRPr="00C90AC2">
        <w:rPr>
          <w:rFonts w:asciiTheme="minorHAnsi" w:hAnsiTheme="minorHAnsi" w:cstheme="minorHAnsi"/>
          <w:color w:val="auto"/>
          <w:sz w:val="20"/>
          <w:szCs w:val="20"/>
        </w:rPr>
        <w:t xml:space="preserve">for </w:t>
      </w:r>
      <w:proofErr w:type="spellStart"/>
      <w:r w:rsidR="00C43810" w:rsidRPr="00C90AC2">
        <w:rPr>
          <w:rFonts w:asciiTheme="minorHAnsi" w:hAnsiTheme="minorHAnsi" w:cstheme="minorHAnsi"/>
          <w:color w:val="auto"/>
          <w:sz w:val="20"/>
          <w:szCs w:val="20"/>
        </w:rPr>
        <w:t>Treg</w:t>
      </w:r>
      <w:proofErr w:type="spellEnd"/>
      <w:r w:rsidR="00C43810" w:rsidRPr="00C90AC2">
        <w:rPr>
          <w:rFonts w:asciiTheme="minorHAnsi" w:hAnsiTheme="minorHAnsi" w:cstheme="minorHAnsi"/>
          <w:color w:val="auto"/>
          <w:sz w:val="20"/>
          <w:szCs w:val="20"/>
        </w:rPr>
        <w:t xml:space="preserve"> quantification</w:t>
      </w:r>
      <w:r w:rsidR="00C43810" w:rsidRPr="00C90A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 mean florescence intensity (MFI) </w:t>
      </w:r>
      <w:r w:rsidR="00C43810" w:rsidRPr="00C90AC2">
        <w:rPr>
          <w:rFonts w:asciiTheme="minorHAnsi" w:hAnsiTheme="minorHAnsi" w:cstheme="minorHAnsi"/>
          <w:color w:val="auto"/>
          <w:sz w:val="20"/>
          <w:szCs w:val="20"/>
        </w:rPr>
        <w:t>for PD-1 and CD69 expression</w:t>
      </w:r>
      <w:r w:rsidR="00C43810" w:rsidRPr="00C90A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and represent the mean </w:t>
      </w:r>
      <w:r w:rsidRPr="00C90AC2">
        <w:rPr>
          <w:color w:val="auto"/>
          <w:sz w:val="24"/>
          <w:szCs w:val="24"/>
        </w:rPr>
        <w:t>± SEM (error bars)</w:t>
      </w:r>
      <w:r w:rsidRPr="00C90A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90AC2">
        <w:rPr>
          <w:color w:val="auto"/>
          <w:sz w:val="24"/>
          <w:szCs w:val="24"/>
        </w:rPr>
        <w:t xml:space="preserve">of 14 mice per group, (each dot represents one mouse). Statistically significant differences (indicated by asterisks) are calculated </w:t>
      </w:r>
      <w:r w:rsidR="00C43810" w:rsidRPr="00C90AC2">
        <w:rPr>
          <w:color w:val="auto"/>
          <w:sz w:val="24"/>
          <w:szCs w:val="24"/>
        </w:rPr>
        <w:t>relative</w:t>
      </w:r>
      <w:r w:rsidRPr="00C90AC2">
        <w:rPr>
          <w:color w:val="auto"/>
          <w:sz w:val="24"/>
          <w:szCs w:val="24"/>
        </w:rPr>
        <w:t xml:space="preserve"> to </w:t>
      </w:r>
      <w:r w:rsidR="00B647D0" w:rsidRPr="00C90AC2">
        <w:rPr>
          <w:color w:val="auto"/>
          <w:sz w:val="24"/>
          <w:szCs w:val="24"/>
        </w:rPr>
        <w:t>(</w:t>
      </w:r>
      <w:r w:rsidRPr="00C90AC2">
        <w:rPr>
          <w:color w:val="auto"/>
          <w:sz w:val="24"/>
          <w:szCs w:val="24"/>
        </w:rPr>
        <w:t>FL</w:t>
      </w:r>
      <w:r w:rsidR="00B647D0" w:rsidRPr="00C90AC2">
        <w:rPr>
          <w:color w:val="auto"/>
          <w:sz w:val="24"/>
          <w:szCs w:val="24"/>
        </w:rPr>
        <w:t>)</w:t>
      </w:r>
      <w:r w:rsidRPr="00C90AC2">
        <w:rPr>
          <w:color w:val="auto"/>
          <w:sz w:val="24"/>
          <w:szCs w:val="24"/>
        </w:rPr>
        <w:t xml:space="preserve"> tumors using an unpaired two-tailed Student’s t-test (ns= not significant; </w:t>
      </w:r>
      <w:r w:rsidRPr="00C90AC2">
        <w:rPr>
          <w:rFonts w:asciiTheme="minorHAnsi" w:hAnsiTheme="minorHAnsi" w:cstheme="minorHAnsi"/>
          <w:sz w:val="24"/>
          <w:szCs w:val="24"/>
        </w:rPr>
        <w:t>* = p&lt;0.05</w:t>
      </w:r>
      <w:r w:rsidRPr="00C90AC2">
        <w:rPr>
          <w:color w:val="auto"/>
          <w:sz w:val="24"/>
          <w:szCs w:val="24"/>
        </w:rPr>
        <w:t>).</w:t>
      </w:r>
    </w:p>
    <w:p w14:paraId="445D92D1" w14:textId="5108385F" w:rsidR="008574B5" w:rsidRPr="00C90AC2" w:rsidRDefault="00B76125" w:rsidP="00B76125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 </w:t>
      </w:r>
      <w:r w:rsidR="008574B5"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C</w:t>
      </w:r>
      <w:r w:rsidR="008574B5"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Flow </w:t>
      </w:r>
      <w:proofErr w:type="gramStart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cytometry dot plot analysis</w:t>
      </w:r>
      <w:proofErr w:type="gramEnd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of NK cells in representative blood samples from HIF-1α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 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B16-F10 tumor-bearing mice untreated (isotype) or treated with anti-NK1.1 antibody. The 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NK cell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subset </w:t>
      </w:r>
      <w:proofErr w:type="gramStart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was defined</w:t>
      </w:r>
      <w:proofErr w:type="gramEnd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in the selected cell population as CD3- NK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1.1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>+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cells.</w:t>
      </w:r>
    </w:p>
    <w:p w14:paraId="54D62C9F" w14:textId="766CB12E" w:rsidR="008574B5" w:rsidRPr="00C90AC2" w:rsidRDefault="008574B5" w:rsidP="00B76125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="00B76125" w:rsidRPr="00C90AC2">
        <w:rPr>
          <w:rFonts w:asciiTheme="minorHAnsi" w:hAnsiTheme="minorHAnsi" w:cstheme="minorHAnsi"/>
          <w:b/>
          <w:noProof w:val="0"/>
          <w:sz w:val="24"/>
          <w:szCs w:val="24"/>
        </w:rPr>
        <w:t>D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Flow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cytometry dot plot analysis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of CD8 cells in representative blood samples from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 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09502A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B16-F10 tumor-bearing mice untreated (Isotype) or treated with anti-CD8a antibody. The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CD8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>+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cell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subset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was defined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in the selected cell population as CD3+ CD8+ cells.</w:t>
      </w:r>
    </w:p>
    <w:p w14:paraId="06BEA58F" w14:textId="77777777" w:rsidR="001054FD" w:rsidRPr="00C90AC2" w:rsidRDefault="001054FD">
      <w:pPr>
        <w:spacing w:before="0" w:after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F0A4DB1" w14:textId="7CBA2CAC" w:rsidR="001054FD" w:rsidRPr="00C90AC2" w:rsidRDefault="001054FD">
      <w:pPr>
        <w:spacing w:before="0" w:after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C90AC2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3F1E769D" w14:textId="3DD671F5" w:rsidR="001A3C02" w:rsidRPr="00C90AC2" w:rsidRDefault="001A3C02" w:rsidP="001A3C02">
      <w:pPr>
        <w:pStyle w:val="NoSpacing"/>
        <w:spacing w:line="360" w:lineRule="auto"/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</w:pPr>
      <w:r w:rsidRPr="00C90AC2"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  <w:lastRenderedPageBreak/>
        <w:t>Legends for supplementary Figure 2</w:t>
      </w:r>
    </w:p>
    <w:p w14:paraId="451767DC" w14:textId="197EF5FE" w:rsidR="00050724" w:rsidRPr="00C90AC2" w:rsidRDefault="001A3C02" w:rsidP="00FF4E76">
      <w:pPr>
        <w:pStyle w:val="NoSpacing"/>
        <w:spacing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 </w:t>
      </w:r>
      <w:r w:rsidR="00050724" w:rsidRPr="00C90AC2">
        <w:rPr>
          <w:rFonts w:asciiTheme="minorHAnsi" w:hAnsiTheme="minorHAnsi" w:cstheme="minorHAnsi"/>
          <w:b/>
          <w:noProof w:val="0"/>
          <w:sz w:val="24"/>
          <w:szCs w:val="24"/>
        </w:rPr>
        <w:t>(A)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RT-qPCR quantification of </w:t>
      </w:r>
      <w:r w:rsidR="00050724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Ccl2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</w:t>
      </w:r>
      <w:r w:rsidR="00050724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Ccl5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gene expression in HIF-1α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B16-F10 tumors. Data </w:t>
      </w:r>
      <w:proofErr w:type="gramStart"/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>are reported</w:t>
      </w:r>
      <w:proofErr w:type="gramEnd"/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as fold change (FC). Results represent</w:t>
      </w:r>
      <w:r w:rsidR="00050724"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the mean </w:t>
      </w:r>
      <w:r w:rsidR="00050724" w:rsidRPr="00C90AC2">
        <w:rPr>
          <w:color w:val="auto"/>
          <w:sz w:val="24"/>
          <w:szCs w:val="24"/>
        </w:rPr>
        <w:t>± SEM (error bars)</w:t>
      </w:r>
      <w:r w:rsidR="00050724"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50724" w:rsidRPr="00C90AC2">
        <w:rPr>
          <w:color w:val="auto"/>
          <w:sz w:val="24"/>
          <w:szCs w:val="24"/>
        </w:rPr>
        <w:t>of 6 mice per group (each dot represents one mouse)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. </w:t>
      </w:r>
      <w:proofErr w:type="gramStart"/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>ns</w:t>
      </w:r>
      <w:proofErr w:type="gramEnd"/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= not significant, </w:t>
      </w:r>
      <w:r w:rsidR="00050724" w:rsidRPr="00C90AC2">
        <w:rPr>
          <w:color w:val="auto"/>
        </w:rPr>
        <w:t>** =p&lt; 0.005,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calculated using an unpaired two-tailed Student’s </w:t>
      </w:r>
      <w:r w:rsidR="00050724"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="00050724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-test. </w:t>
      </w:r>
    </w:p>
    <w:p w14:paraId="377AC1A7" w14:textId="45B0FEC0" w:rsidR="008574B5" w:rsidRPr="00C90AC2" w:rsidRDefault="00050724" w:rsidP="00050724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 </w:t>
      </w:r>
      <w:r w:rsidR="008574B5"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B</w:t>
      </w:r>
      <w:r w:rsidR="008574B5"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bookmarkStart w:id="0" w:name="OLE_LINK1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RT-qPCR quantification of Ccl2 and Ccl5 gene expression in HIF-1α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B16-F10 cells cultured </w:t>
      </w:r>
      <w:r w:rsidR="00E509F1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under 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normoxia (21% pO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, N) or hypoxia (0.1% pO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, H) conditions for 24 hours. Data </w:t>
      </w:r>
      <w:proofErr w:type="gramStart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>are reported</w:t>
      </w:r>
      <w:proofErr w:type="gramEnd"/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as fold change (FC). All results are shown as mean ± SEM. ns = not significant, * = p&lt;0.05 calculated using an unpaired two-tailed Student’s </w:t>
      </w:r>
      <w:r w:rsidR="008574B5"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="008574B5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-test. </w:t>
      </w:r>
    </w:p>
    <w:bookmarkEnd w:id="0"/>
    <w:p w14:paraId="176B4E21" w14:textId="6D707085" w:rsidR="00965DB9" w:rsidRPr="00C90AC2" w:rsidRDefault="00965DB9" w:rsidP="009E090E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="009E090E" w:rsidRPr="00C90AC2">
        <w:rPr>
          <w:rFonts w:asciiTheme="minorHAnsi" w:hAnsiTheme="minorHAnsi" w:cstheme="minorHAnsi"/>
          <w:b/>
          <w:noProof w:val="0"/>
          <w:sz w:val="24"/>
          <w:szCs w:val="24"/>
        </w:rPr>
        <w:t>C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XTT assay to evaluate the doubling time of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FL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(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Del</w:t>
      </w:r>
      <w:r w:rsidR="009C7E95" w:rsidRPr="00C90AC2">
        <w:rPr>
          <w:rFonts w:asciiTheme="minorHAnsi" w:hAnsiTheme="minorHAnsi" w:cstheme="minorHAnsi"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4T1 cells at indicated time intervals under hypoxia (0.1% p0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) conditions. The average of eight replicates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is reported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. The error bars represent </w:t>
      </w:r>
      <w:r w:rsidR="00FC49BC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mean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± SEM. ns = not significant determined by an unpaired two-tailed Student’s </w:t>
      </w:r>
      <w:r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-test.</w:t>
      </w:r>
    </w:p>
    <w:p w14:paraId="6A216364" w14:textId="113E7ED8" w:rsidR="00965DB9" w:rsidRPr="00C90AC2" w:rsidRDefault="00965DB9" w:rsidP="00D213D1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="00D213D1" w:rsidRPr="00C90AC2">
        <w:rPr>
          <w:rFonts w:asciiTheme="minorHAnsi" w:hAnsiTheme="minorHAnsi" w:cstheme="minorHAnsi"/>
          <w:b/>
          <w:noProof w:val="0"/>
          <w:sz w:val="24"/>
          <w:szCs w:val="24"/>
        </w:rPr>
        <w:t>D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="00D213D1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RT-qPCR quantification of </w:t>
      </w:r>
      <w:r w:rsidR="00D213D1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Ca-</w:t>
      </w:r>
      <w:r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9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and </w:t>
      </w:r>
      <w:r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Slc2a1</w:t>
      </w:r>
      <w:r w:rsidRPr="00C90AC2" w:rsidDel="007E6116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gene expression in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FL (FL) and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Del (Del) 4T1 cells cultured under normoxia (21% pO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, N) or hypoxia (0.1% pO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, H)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conditions for 24 hours. Results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are reported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as fold change (FC) and represent the average of three independent experiments. Error bars indicate ± SEM. *** = p&lt;0.001 determined by unpaired two-tailed Student’s </w:t>
      </w:r>
      <w:r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-test. </w:t>
      </w:r>
    </w:p>
    <w:p w14:paraId="787F0471" w14:textId="536F99EE" w:rsidR="009A3EBD" w:rsidRPr="00C90AC2" w:rsidRDefault="009A3EBD" w:rsidP="00D213D1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="00D213D1" w:rsidRPr="00C90AC2">
        <w:rPr>
          <w:rFonts w:asciiTheme="minorHAnsi" w:hAnsiTheme="minorHAnsi" w:cstheme="minorHAnsi"/>
          <w:b/>
          <w:noProof w:val="0"/>
          <w:sz w:val="24"/>
          <w:szCs w:val="24"/>
        </w:rPr>
        <w:t>E</w:t>
      </w: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Western-blot analysis of HIF-1α and </w:t>
      </w:r>
      <w:r w:rsidRPr="00C90AC2">
        <w:rPr>
          <w:rFonts w:asciiTheme="minorHAnsi" w:hAnsiTheme="minorHAnsi" w:cstheme="minorHAnsi"/>
          <w:caps/>
          <w:noProof w:val="0"/>
          <w:sz w:val="24"/>
          <w:szCs w:val="24"/>
        </w:rPr>
        <w:t>Glut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-1 protein expression in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FL and HIF-1α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perscript"/>
        </w:rPr>
        <w:t xml:space="preserve">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Del 4T1 cells cultured under normoxia (21% pO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, N) or hypoxia (0.1% 0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 xml:space="preserve">2 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>pO</w:t>
      </w:r>
      <w:r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, H) conditions for 24 hours. Actin </w:t>
      </w:r>
      <w:proofErr w:type="gramStart"/>
      <w:r w:rsidRPr="00C90AC2">
        <w:rPr>
          <w:rFonts w:asciiTheme="minorHAnsi" w:hAnsiTheme="minorHAnsi" w:cstheme="minorHAnsi"/>
          <w:noProof w:val="0"/>
          <w:sz w:val="24"/>
          <w:szCs w:val="24"/>
        </w:rPr>
        <w:t>was used</w:t>
      </w:r>
      <w:proofErr w:type="gramEnd"/>
      <w:r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as a loading control.</w:t>
      </w:r>
    </w:p>
    <w:p w14:paraId="48E97998" w14:textId="4D14D12C" w:rsidR="00D213D1" w:rsidRPr="00C90AC2" w:rsidRDefault="00D213D1" w:rsidP="00D213D1">
      <w:pPr>
        <w:pStyle w:val="NoSpacing"/>
        <w:spacing w:beforeLines="150" w:before="360" w:line="360" w:lineRule="auto"/>
        <w:rPr>
          <w:rFonts w:asciiTheme="minorHAnsi" w:hAnsiTheme="minorHAnsi" w:cstheme="minorHAnsi"/>
          <w:b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(F) </w:t>
      </w:r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>ELISA quantification of CCL2 and CCL5 released in the supernatant of HIF-1α FL and HIF-1α Del 4T1 cells cultured under normoxia (21% pO</w:t>
      </w:r>
      <w:r w:rsidRPr="00C90AC2">
        <w:rPr>
          <w:rFonts w:asciiTheme="minorHAnsi" w:hAnsiTheme="minorHAnsi" w:cstheme="minorHAnsi"/>
          <w:bCs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>, N) or hypoxia (0.1% pO</w:t>
      </w:r>
      <w:r w:rsidRPr="00C90AC2">
        <w:rPr>
          <w:rFonts w:asciiTheme="minorHAnsi" w:hAnsiTheme="minorHAnsi" w:cstheme="minorHAnsi"/>
          <w:bCs/>
          <w:noProof w:val="0"/>
          <w:sz w:val="24"/>
          <w:szCs w:val="24"/>
          <w:vertAlign w:val="subscript"/>
        </w:rPr>
        <w:t>2</w:t>
      </w:r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 xml:space="preserve">, H) conditions for 24 hours. Results </w:t>
      </w:r>
      <w:proofErr w:type="gramStart"/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>are reported</w:t>
      </w:r>
      <w:proofErr w:type="gramEnd"/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 xml:space="preserve"> as mean ± SEM from three indepen</w:t>
      </w:r>
      <w:bookmarkStart w:id="1" w:name="_GoBack"/>
      <w:bookmarkEnd w:id="1"/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 xml:space="preserve">dent experiments. </w:t>
      </w:r>
      <w:proofErr w:type="gramStart"/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>ns</w:t>
      </w:r>
      <w:proofErr w:type="gramEnd"/>
      <w:r w:rsidRPr="00C90AC2">
        <w:rPr>
          <w:rFonts w:asciiTheme="minorHAnsi" w:hAnsiTheme="minorHAnsi" w:cstheme="minorHAnsi"/>
          <w:bCs/>
          <w:noProof w:val="0"/>
          <w:sz w:val="24"/>
          <w:szCs w:val="24"/>
        </w:rPr>
        <w:t xml:space="preserve"> = not significant, * = p&lt;0.05, **, P &lt; 0.01, *** = p&lt;0.001 determined by unpaired two tailed unpaired Student’s t test.</w:t>
      </w:r>
    </w:p>
    <w:p w14:paraId="34A3DD27" w14:textId="7E118F4C" w:rsidR="00350D10" w:rsidRPr="00C90AC2" w:rsidRDefault="00D213D1" w:rsidP="00CC6C23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  <w:r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 </w:t>
      </w:r>
      <w:r w:rsidR="00350D10" w:rsidRPr="00C90AC2">
        <w:rPr>
          <w:rFonts w:asciiTheme="minorHAnsi" w:hAnsiTheme="minorHAnsi" w:cstheme="minorHAnsi"/>
          <w:b/>
          <w:noProof w:val="0"/>
          <w:sz w:val="24"/>
          <w:szCs w:val="24"/>
        </w:rPr>
        <w:t>(</w:t>
      </w:r>
      <w:r w:rsidR="00C77ABE" w:rsidRPr="00C90AC2">
        <w:rPr>
          <w:rFonts w:asciiTheme="minorHAnsi" w:hAnsiTheme="minorHAnsi" w:cstheme="minorHAnsi"/>
          <w:b/>
          <w:noProof w:val="0"/>
          <w:sz w:val="24"/>
          <w:szCs w:val="24"/>
        </w:rPr>
        <w:t>G</w:t>
      </w:r>
      <w:r w:rsidR="00350D10" w:rsidRPr="00C90AC2">
        <w:rPr>
          <w:rFonts w:asciiTheme="minorHAnsi" w:hAnsiTheme="minorHAnsi" w:cstheme="minorHAnsi"/>
          <w:b/>
          <w:noProof w:val="0"/>
          <w:sz w:val="24"/>
          <w:szCs w:val="24"/>
        </w:rPr>
        <w:t>)</w:t>
      </w:r>
      <w:r w:rsidR="00350D10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="003A12FB" w:rsidRPr="00C90AC2">
        <w:rPr>
          <w:rFonts w:asciiTheme="minorHAnsi" w:hAnsiTheme="minorHAnsi" w:cstheme="minorHAnsi"/>
          <w:bCs/>
          <w:i/>
          <w:iCs/>
          <w:noProof w:val="0"/>
          <w:sz w:val="24"/>
          <w:szCs w:val="24"/>
          <w:u w:val="single"/>
        </w:rPr>
        <w:t>Upper panel:</w:t>
      </w:r>
      <w:r w:rsidR="003A12FB" w:rsidRPr="00C90AC2">
        <w:rPr>
          <w:rFonts w:asciiTheme="minorHAnsi" w:hAnsiTheme="minorHAnsi" w:cstheme="minorHAnsi"/>
          <w:b/>
          <w:noProof w:val="0"/>
          <w:sz w:val="24"/>
          <w:szCs w:val="24"/>
        </w:rPr>
        <w:t xml:space="preserve"> 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Treatment strategy of B16-F10 cells cultured under hypoxia with different concentrations of ACF (left panel). </w:t>
      </w:r>
      <w:r w:rsidR="003A12FB" w:rsidRPr="00C90AC2">
        <w:rPr>
          <w:rFonts w:asciiTheme="minorHAnsi" w:hAnsiTheme="minorHAnsi" w:cstheme="minorHAnsi"/>
          <w:i/>
          <w:iCs/>
          <w:noProof w:val="0"/>
          <w:sz w:val="24"/>
          <w:szCs w:val="24"/>
          <w:u w:val="single"/>
        </w:rPr>
        <w:t>Middle panels: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RT-qPCR quantification of Glut-1 (</w:t>
      </w:r>
      <w:r w:rsidR="003A12FB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Slc2a1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) and </w:t>
      </w:r>
      <w:proofErr w:type="spellStart"/>
      <w:r w:rsidR="003A12FB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>Vegf</w:t>
      </w:r>
      <w:proofErr w:type="spellEnd"/>
      <w:r w:rsidR="003A12FB" w:rsidRPr="00C90AC2">
        <w:rPr>
          <w:rFonts w:asciiTheme="minorHAnsi" w:hAnsiTheme="minorHAnsi" w:cstheme="minorHAnsi"/>
          <w:i/>
          <w:iCs/>
          <w:noProof w:val="0"/>
          <w:sz w:val="24"/>
          <w:szCs w:val="24"/>
        </w:rPr>
        <w:t xml:space="preserve"> 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lastRenderedPageBreak/>
        <w:t>gene expression in B16-F10 cells cultured under normoxia (21% pO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>, N) or hypoxia (0.1% pO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  <w:vertAlign w:val="subscript"/>
        </w:rPr>
        <w:t>2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, H) conditions for 24 hours and treated with different concentrations of ACF (5, 10, 20, and 30 </w:t>
      </w:r>
      <w:proofErr w:type="spellStart"/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>μM</w:t>
      </w:r>
      <w:proofErr w:type="spellEnd"/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) for last 6 hours. Data </w:t>
      </w:r>
      <w:proofErr w:type="gramStart"/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>are reported</w:t>
      </w:r>
      <w:proofErr w:type="gramEnd"/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as fold change (FC) and represent the average of three independent experiments. The error bars represent </w:t>
      </w:r>
      <w:r w:rsidR="00FC49BC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mean 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± SEM. ns = not significant, * = p&lt;0.05, ** = p&lt;0.01, and *** = p&lt;0.001 calculated using an unpaired two-tailed Student’s </w:t>
      </w:r>
      <w:r w:rsidR="003A12FB"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="003A12FB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-test. </w:t>
      </w:r>
      <w:r w:rsidR="003A12FB" w:rsidRPr="00C90AC2">
        <w:rPr>
          <w:rFonts w:asciiTheme="minorHAnsi" w:hAnsiTheme="minorHAnsi" w:cstheme="minorHAnsi"/>
          <w:i/>
          <w:iCs/>
          <w:noProof w:val="0"/>
          <w:sz w:val="24"/>
          <w:szCs w:val="24"/>
          <w:u w:val="single"/>
        </w:rPr>
        <w:t>Lower</w:t>
      </w:r>
      <w:r w:rsidR="00350D10" w:rsidRPr="00C90AC2">
        <w:rPr>
          <w:rFonts w:asciiTheme="minorHAnsi" w:hAnsiTheme="minorHAnsi" w:cstheme="minorHAnsi"/>
          <w:i/>
          <w:iCs/>
          <w:noProof w:val="0"/>
          <w:sz w:val="24"/>
          <w:szCs w:val="24"/>
          <w:u w:val="single"/>
        </w:rPr>
        <w:t xml:space="preserve"> panels:</w:t>
      </w:r>
      <w:r w:rsidR="00350D10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="00CC6C23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RT-qPCR quantification of Ccl2 and Ccl5 gene expression in B16-F10 cells cultured normoxia (21% pO2, N) or hypoxia (0.1% pO2, H) conditions for 24 hours and treated with different concentrations of ACF (5, 10 and 20 </w:t>
      </w:r>
      <w:proofErr w:type="spellStart"/>
      <w:r w:rsidR="00CC6C23" w:rsidRPr="00C90AC2">
        <w:rPr>
          <w:rFonts w:asciiTheme="minorHAnsi" w:hAnsiTheme="minorHAnsi" w:cstheme="minorHAnsi"/>
          <w:noProof w:val="0"/>
          <w:sz w:val="24"/>
          <w:szCs w:val="24"/>
        </w:rPr>
        <w:t>μM</w:t>
      </w:r>
      <w:proofErr w:type="spellEnd"/>
      <w:r w:rsidR="00CC6C23" w:rsidRPr="00C90AC2">
        <w:rPr>
          <w:rFonts w:asciiTheme="minorHAnsi" w:hAnsiTheme="minorHAnsi" w:cstheme="minorHAnsi"/>
          <w:noProof w:val="0"/>
          <w:sz w:val="24"/>
          <w:szCs w:val="24"/>
        </w:rPr>
        <w:t>) for last 6 hours. Data are reported as fold change (FC) and represent the average of three independent experiments ± SEM. ns = not significant, calculated using an unpaired two-tailed Student’s t-test.</w:t>
      </w:r>
      <w:r w:rsidR="00350D10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 All results are shown as mean ± SEM. ns = not significant, * = p&lt;0.05, *** = p&lt;0.001, calculated using an unpaired two-tailed Student’s </w:t>
      </w:r>
      <w:r w:rsidR="00350D10" w:rsidRPr="00C90AC2">
        <w:rPr>
          <w:rFonts w:asciiTheme="minorHAnsi" w:hAnsiTheme="minorHAnsi" w:cstheme="minorHAnsi"/>
          <w:i/>
          <w:noProof w:val="0"/>
          <w:sz w:val="24"/>
          <w:szCs w:val="24"/>
        </w:rPr>
        <w:t>t</w:t>
      </w:r>
      <w:r w:rsidR="00350D10" w:rsidRPr="00C90AC2">
        <w:rPr>
          <w:rFonts w:asciiTheme="minorHAnsi" w:hAnsiTheme="minorHAnsi" w:cstheme="minorHAnsi"/>
          <w:noProof w:val="0"/>
          <w:sz w:val="24"/>
          <w:szCs w:val="24"/>
        </w:rPr>
        <w:t xml:space="preserve">-test. </w:t>
      </w:r>
    </w:p>
    <w:p w14:paraId="0E81E825" w14:textId="77777777" w:rsidR="00965DB9" w:rsidRPr="00C90AC2" w:rsidRDefault="00965DB9" w:rsidP="00965DB9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</w:p>
    <w:p w14:paraId="24585378" w14:textId="77777777" w:rsidR="00E51DAB" w:rsidRPr="00C90AC2" w:rsidRDefault="00E51DAB">
      <w:pPr>
        <w:spacing w:before="0" w:after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C90AC2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412FF6A" w14:textId="729A5BC0" w:rsidR="00E51DAB" w:rsidRPr="00C90AC2" w:rsidRDefault="00E51DAB" w:rsidP="005D25B8">
      <w:pPr>
        <w:pStyle w:val="NoSpacing"/>
        <w:spacing w:line="360" w:lineRule="auto"/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</w:pPr>
      <w:r w:rsidRPr="00C90AC2"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  <w:lastRenderedPageBreak/>
        <w:t xml:space="preserve">Legends for supplementary Figure </w:t>
      </w:r>
      <w:r w:rsidR="005D25B8" w:rsidRPr="00C90AC2">
        <w:rPr>
          <w:rFonts w:asciiTheme="minorHAnsi" w:hAnsiTheme="minorHAnsi" w:cstheme="minorHAnsi"/>
          <w:b/>
          <w:noProof w:val="0"/>
          <w:sz w:val="32"/>
          <w:szCs w:val="32"/>
          <w:u w:val="single"/>
        </w:rPr>
        <w:t>3</w:t>
      </w:r>
    </w:p>
    <w:p w14:paraId="7B7328DC" w14:textId="799769D6" w:rsidR="00EE0DD2" w:rsidRPr="00C90AC2" w:rsidRDefault="00EE0DD2" w:rsidP="000F7500">
      <w:pPr>
        <w:spacing w:before="0" w:after="0" w:line="360" w:lineRule="auto"/>
        <w:rPr>
          <w:color w:val="auto"/>
          <w:sz w:val="24"/>
          <w:szCs w:val="24"/>
        </w:rPr>
      </w:pPr>
      <w:r w:rsidRPr="00C90AC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A-C: 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Quantification of the activation marker CD69 (left panels) and exhaustion marker PD-1 (right panels) on NK 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(</w:t>
      </w:r>
      <w:r w:rsidR="00E3776E"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A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proofErr w:type="gramStart"/>
      <w:r w:rsidRPr="00C90AC2">
        <w:rPr>
          <w:rFonts w:asciiTheme="minorHAnsi" w:hAnsiTheme="minorHAnsi" w:cstheme="minorHAnsi"/>
          <w:color w:val="auto"/>
          <w:sz w:val="24"/>
          <w:szCs w:val="24"/>
        </w:rPr>
        <w:t>;</w:t>
      </w:r>
      <w:proofErr w:type="gramEnd"/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CD4</w:t>
      </w:r>
      <w:r w:rsidR="00FC49BC" w:rsidRPr="00C90AC2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+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eff 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(</w:t>
      </w:r>
      <w:r w:rsidR="00E3776E"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B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and CD8</w:t>
      </w:r>
      <w:r w:rsidRPr="00C90AC2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+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C49BC"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T cells 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(</w:t>
      </w:r>
      <w:r w:rsidR="00E3776E"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C</w:t>
      </w:r>
      <w:r w:rsidRPr="00C90AC2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infiltrating control and ACF-treated B16-F10 tumors. Data are reported as the percentage (</w:t>
      </w:r>
      <w:proofErr w:type="gramStart"/>
      <w:r w:rsidRPr="00C90AC2">
        <w:rPr>
          <w:rFonts w:asciiTheme="minorHAnsi" w:hAnsiTheme="minorHAnsi" w:cstheme="minorHAnsi"/>
          <w:color w:val="auto"/>
          <w:sz w:val="24"/>
          <w:szCs w:val="24"/>
        </w:rPr>
        <w:t>%</w:t>
      </w:r>
      <w:proofErr w:type="gramEnd"/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="00FC49BC"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of </w:t>
      </w:r>
      <w:r w:rsidR="000F7500" w:rsidRPr="00C90AC2">
        <w:rPr>
          <w:rFonts w:asciiTheme="minorHAnsi" w:hAnsiTheme="minorHAnsi" w:cstheme="minorHAnsi"/>
          <w:color w:val="auto"/>
          <w:sz w:val="24"/>
          <w:szCs w:val="24"/>
        </w:rPr>
        <w:t>CD45</w:t>
      </w:r>
      <w:r w:rsidR="00FC49BC"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cells 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and represent the mean </w:t>
      </w:r>
      <w:r w:rsidRPr="00C90AC2">
        <w:rPr>
          <w:color w:val="auto"/>
          <w:sz w:val="24"/>
          <w:szCs w:val="24"/>
        </w:rPr>
        <w:t>± SEM (error bars)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AC2">
        <w:rPr>
          <w:color w:val="auto"/>
          <w:sz w:val="24"/>
          <w:szCs w:val="24"/>
        </w:rPr>
        <w:t>of 5 tumor</w:t>
      </w:r>
      <w:r w:rsidR="00FC49BC" w:rsidRPr="00C90AC2">
        <w:rPr>
          <w:color w:val="auto"/>
          <w:sz w:val="24"/>
          <w:szCs w:val="24"/>
        </w:rPr>
        <w:t>s</w:t>
      </w:r>
      <w:r w:rsidR="000F7500" w:rsidRPr="00C90AC2">
        <w:rPr>
          <w:color w:val="auto"/>
          <w:sz w:val="24"/>
          <w:szCs w:val="24"/>
        </w:rPr>
        <w:t xml:space="preserve"> per group</w:t>
      </w:r>
      <w:r w:rsidRPr="00C90AC2">
        <w:rPr>
          <w:color w:val="auto"/>
          <w:sz w:val="24"/>
          <w:szCs w:val="24"/>
        </w:rPr>
        <w:t xml:space="preserve"> (each dot represents one tumor). Statistically significant differences (indicated by asterisks) are calculated compared to control tumors using an unpaired two-tailed Student’s t-test (ns= not significant; </w:t>
      </w:r>
      <w:r w:rsidRPr="00C90AC2">
        <w:rPr>
          <w:rFonts w:asciiTheme="minorHAnsi" w:hAnsiTheme="minorHAnsi" w:cstheme="minorHAnsi"/>
          <w:color w:val="auto"/>
          <w:sz w:val="24"/>
          <w:szCs w:val="24"/>
        </w:rPr>
        <w:t>* = p&lt;0.05</w:t>
      </w:r>
      <w:r w:rsidRPr="00C90AC2">
        <w:rPr>
          <w:color w:val="auto"/>
          <w:sz w:val="24"/>
          <w:szCs w:val="24"/>
        </w:rPr>
        <w:t>).</w:t>
      </w:r>
    </w:p>
    <w:p w14:paraId="3782ACD4" w14:textId="41B2DE64" w:rsidR="000032AF" w:rsidRPr="00C90AC2" w:rsidRDefault="000032AF" w:rsidP="00E3776E">
      <w:pPr>
        <w:spacing w:before="0" w:after="0" w:line="360" w:lineRule="auto"/>
        <w:rPr>
          <w:color w:val="auto"/>
          <w:sz w:val="24"/>
          <w:szCs w:val="24"/>
        </w:rPr>
      </w:pPr>
    </w:p>
    <w:p w14:paraId="052D3060" w14:textId="2C580D30" w:rsidR="00615F67" w:rsidRPr="00C90AC2" w:rsidRDefault="000032AF" w:rsidP="00615F67">
      <w:pPr>
        <w:spacing w:before="0" w:after="0" w:line="360" w:lineRule="auto"/>
        <w:rPr>
          <w:color w:val="auto"/>
          <w:sz w:val="24"/>
          <w:szCs w:val="24"/>
        </w:rPr>
      </w:pPr>
      <w:r w:rsidRPr="00C90AC2">
        <w:rPr>
          <w:b/>
          <w:bCs/>
          <w:color w:val="auto"/>
          <w:sz w:val="24"/>
          <w:szCs w:val="24"/>
        </w:rPr>
        <w:t xml:space="preserve">D: </w:t>
      </w:r>
      <w:r w:rsidR="00001652" w:rsidRPr="00C90AC2">
        <w:rPr>
          <w:color w:val="auto"/>
          <w:sz w:val="24"/>
          <w:szCs w:val="24"/>
        </w:rPr>
        <w:t>Individual curves of tumor growth in mice</w:t>
      </w:r>
      <w:r w:rsidR="00615F67" w:rsidRPr="00C90AC2">
        <w:rPr>
          <w:color w:val="auto"/>
          <w:sz w:val="24"/>
          <w:szCs w:val="24"/>
        </w:rPr>
        <w:t xml:space="preserve"> treated with isotype (control), anti-PD-1, TRP-2</w:t>
      </w:r>
      <w:r w:rsidR="00615F67" w:rsidRPr="00C90AC2">
        <w:rPr>
          <w:color w:val="auto"/>
          <w:sz w:val="24"/>
          <w:szCs w:val="24"/>
          <w:vertAlign w:val="subscript"/>
        </w:rPr>
        <w:t>(180-188)</w:t>
      </w:r>
      <w:r w:rsidR="00615F67" w:rsidRPr="00C90AC2">
        <w:rPr>
          <w:color w:val="auto"/>
          <w:sz w:val="24"/>
          <w:szCs w:val="24"/>
        </w:rPr>
        <w:t>, ACF, double (</w:t>
      </w:r>
      <w:bookmarkStart w:id="2" w:name="OLE_LINK2"/>
      <w:r w:rsidR="00615F67" w:rsidRPr="00C90AC2">
        <w:rPr>
          <w:color w:val="auto"/>
          <w:sz w:val="24"/>
          <w:szCs w:val="24"/>
        </w:rPr>
        <w:t>anti-PD-1 + TRP-2</w:t>
      </w:r>
      <w:bookmarkEnd w:id="2"/>
      <w:r w:rsidR="00615F67" w:rsidRPr="00C90AC2">
        <w:rPr>
          <w:color w:val="auto"/>
          <w:sz w:val="24"/>
          <w:szCs w:val="24"/>
        </w:rPr>
        <w:t>) and triple (anti-PD-1 + TRP-2 + ACF) combination</w:t>
      </w:r>
      <w:r w:rsidR="00BD32E3" w:rsidRPr="00C90AC2">
        <w:rPr>
          <w:color w:val="auto"/>
          <w:sz w:val="24"/>
          <w:szCs w:val="24"/>
        </w:rPr>
        <w:t>s</w:t>
      </w:r>
      <w:r w:rsidR="00615F67" w:rsidRPr="00C90AC2">
        <w:rPr>
          <w:color w:val="auto"/>
          <w:sz w:val="24"/>
          <w:szCs w:val="24"/>
        </w:rPr>
        <w:t xml:space="preserve">. </w:t>
      </w:r>
    </w:p>
    <w:p w14:paraId="468B2FB1" w14:textId="77777777" w:rsidR="00125AB4" w:rsidRPr="00C90AC2" w:rsidRDefault="00125AB4" w:rsidP="00290059">
      <w:pPr>
        <w:pStyle w:val="NoSpacing"/>
        <w:spacing w:beforeLines="120" w:before="288" w:line="360" w:lineRule="auto"/>
        <w:rPr>
          <w:rFonts w:asciiTheme="minorHAnsi" w:hAnsiTheme="minorHAnsi" w:cstheme="minorHAnsi"/>
          <w:noProof w:val="0"/>
          <w:sz w:val="24"/>
          <w:szCs w:val="24"/>
        </w:rPr>
      </w:pPr>
    </w:p>
    <w:p w14:paraId="713A4A45" w14:textId="5252DC93" w:rsidR="00A266A5" w:rsidRPr="00C90AC2" w:rsidRDefault="007019F4">
      <w:pPr>
        <w:spacing w:before="0" w:after="0"/>
        <w:jc w:val="left"/>
        <w:rPr>
          <w:noProof/>
        </w:rPr>
      </w:pPr>
      <w:r w:rsidRPr="00C90AC2">
        <w:br w:type="page"/>
      </w:r>
    </w:p>
    <w:p w14:paraId="0B1C0945" w14:textId="00B30EFC" w:rsidR="008574B5" w:rsidRPr="00C90AC2" w:rsidRDefault="008574B5" w:rsidP="006A7320">
      <w:pPr>
        <w:spacing w:before="0" w:after="0" w:line="360" w:lineRule="auto"/>
        <w:jc w:val="left"/>
        <w:rPr>
          <w:b/>
          <w:color w:val="auto"/>
          <w:sz w:val="32"/>
          <w:szCs w:val="32"/>
          <w:u w:val="single"/>
        </w:rPr>
      </w:pPr>
      <w:r w:rsidRPr="00C90AC2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lastRenderedPageBreak/>
        <w:t>Legends for supplementary Table 1</w:t>
      </w:r>
    </w:p>
    <w:p w14:paraId="4D9C59A8" w14:textId="6C17E3FD" w:rsidR="008574B5" w:rsidRPr="00FC49BC" w:rsidRDefault="008574B5" w:rsidP="00E0481D">
      <w:pPr>
        <w:spacing w:before="0" w:after="0" w:line="360" w:lineRule="auto"/>
        <w:rPr>
          <w:b/>
          <w:color w:val="auto"/>
          <w:sz w:val="32"/>
          <w:szCs w:val="32"/>
          <w:u w:val="single"/>
        </w:rPr>
      </w:pPr>
      <w:r w:rsidRPr="00C90AC2">
        <w:rPr>
          <w:color w:val="auto"/>
          <w:sz w:val="24"/>
          <w:szCs w:val="24"/>
        </w:rPr>
        <w:t>Information about the TCGA melanoma patient described in Figure 4C. The table shows the TCGA patient and sample ID</w:t>
      </w:r>
      <w:r w:rsidR="00882F9F" w:rsidRPr="00C90AC2">
        <w:rPr>
          <w:color w:val="auto"/>
          <w:sz w:val="24"/>
          <w:szCs w:val="24"/>
        </w:rPr>
        <w:t>s</w:t>
      </w:r>
      <w:r w:rsidRPr="00C90AC2">
        <w:rPr>
          <w:color w:val="auto"/>
          <w:sz w:val="24"/>
          <w:szCs w:val="24"/>
        </w:rPr>
        <w:t xml:space="preserve">; </w:t>
      </w:r>
      <w:r w:rsidR="00501A59" w:rsidRPr="00C90AC2">
        <w:rPr>
          <w:color w:val="auto"/>
          <w:sz w:val="24"/>
          <w:szCs w:val="24"/>
        </w:rPr>
        <w:t xml:space="preserve">mRNA </w:t>
      </w:r>
      <w:r w:rsidRPr="00C90AC2">
        <w:rPr>
          <w:color w:val="auto"/>
          <w:sz w:val="24"/>
          <w:szCs w:val="24"/>
        </w:rPr>
        <w:t xml:space="preserve">expression and status of </w:t>
      </w:r>
      <w:r w:rsidR="00501A59" w:rsidRPr="00C90AC2">
        <w:rPr>
          <w:color w:val="auto"/>
          <w:sz w:val="24"/>
          <w:szCs w:val="24"/>
        </w:rPr>
        <w:t xml:space="preserve">CCL5; survival status and time; </w:t>
      </w:r>
      <w:r w:rsidRPr="00C90AC2">
        <w:rPr>
          <w:color w:val="auto"/>
          <w:sz w:val="24"/>
          <w:szCs w:val="24"/>
        </w:rPr>
        <w:t>Winter hypoxia score</w:t>
      </w:r>
      <w:r w:rsidR="00501A59" w:rsidRPr="00C90AC2">
        <w:rPr>
          <w:color w:val="auto"/>
          <w:sz w:val="24"/>
          <w:szCs w:val="24"/>
        </w:rPr>
        <w:t xml:space="preserve"> and mRNA expression of markers for: NK (NCR1 and NCR3); CD3 (CD3D and CD3E); CD4 and CD8 (CD8A and CD8B).</w:t>
      </w:r>
    </w:p>
    <w:p w14:paraId="247583BF" w14:textId="154E2385" w:rsidR="00AF0394" w:rsidRPr="00B07937" w:rsidRDefault="00AF0394" w:rsidP="00AC4275">
      <w:pPr>
        <w:spacing w:before="0" w:after="0"/>
        <w:rPr>
          <w:b/>
          <w:noProof/>
          <w:sz w:val="32"/>
          <w:szCs w:val="32"/>
          <w:u w:val="single"/>
        </w:rPr>
      </w:pPr>
    </w:p>
    <w:sectPr w:rsidR="00AF0394" w:rsidRPr="00B07937" w:rsidSect="00820D8F">
      <w:footerReference w:type="default" r:id="rId7"/>
      <w:pgSz w:w="11900" w:h="16840"/>
      <w:pgMar w:top="1452" w:right="1134" w:bottom="1483" w:left="1134" w:header="1701" w:footer="28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606BC" w14:textId="77777777" w:rsidR="008E31F1" w:rsidRDefault="008E31F1" w:rsidP="00863875">
      <w:r>
        <w:separator/>
      </w:r>
    </w:p>
  </w:endnote>
  <w:endnote w:type="continuationSeparator" w:id="0">
    <w:p w14:paraId="709CD865" w14:textId="77777777" w:rsidR="008E31F1" w:rsidRDefault="008E31F1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5778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37312" w14:textId="6F94B027" w:rsidR="00AA3590" w:rsidRDefault="00AA3590">
            <w:pPr>
              <w:pStyle w:val="Footer"/>
              <w:jc w:val="center"/>
            </w:pPr>
            <w:r w:rsidRPr="00AA3590">
              <w:rPr>
                <w:color w:val="auto"/>
                <w:sz w:val="24"/>
                <w:szCs w:val="24"/>
              </w:rPr>
              <w:t xml:space="preserve">Page </w: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instrText xml:space="preserve"> PAGE </w:instrTex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="00C90AC2">
              <w:rPr>
                <w:b/>
                <w:bCs/>
                <w:noProof/>
                <w:color w:val="auto"/>
                <w:sz w:val="24"/>
                <w:szCs w:val="24"/>
              </w:rPr>
              <w:t>3</w: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  <w:r w:rsidRPr="00AA3590">
              <w:rPr>
                <w:color w:val="auto"/>
                <w:sz w:val="24"/>
                <w:szCs w:val="24"/>
              </w:rPr>
              <w:t xml:space="preserve"> of </w: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instrText xml:space="preserve"> NUMPAGES  </w:instrTex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="00C90AC2">
              <w:rPr>
                <w:b/>
                <w:bCs/>
                <w:noProof/>
                <w:color w:val="auto"/>
                <w:sz w:val="24"/>
                <w:szCs w:val="24"/>
              </w:rPr>
              <w:t>5</w:t>
            </w:r>
            <w:r w:rsidRPr="00AA3590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14:paraId="30926690" w14:textId="77777777" w:rsidR="00182080" w:rsidRPr="0023220F" w:rsidRDefault="00182080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1225" w14:textId="77777777" w:rsidR="008E31F1" w:rsidRDefault="008E31F1" w:rsidP="00863875">
      <w:r>
        <w:separator/>
      </w:r>
    </w:p>
  </w:footnote>
  <w:footnote w:type="continuationSeparator" w:id="0">
    <w:p w14:paraId="1F39EE42" w14:textId="77777777" w:rsidR="008E31F1" w:rsidRDefault="008E31F1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 w15:restartNumberingAfterBreak="0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 w15:restartNumberingAfterBreak="0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 w15:restartNumberingAfterBreak="0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 w15:restartNumberingAfterBreak="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 w15:restartNumberingAfterBreak="0">
    <w:nsid w:val="00FD15BF"/>
    <w:multiLevelType w:val="hybridMultilevel"/>
    <w:tmpl w:val="2FECC2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014D5A"/>
    <w:multiLevelType w:val="hybridMultilevel"/>
    <w:tmpl w:val="D3B20BAA"/>
    <w:lvl w:ilvl="0" w:tplc="1C30E5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A0FFB"/>
    <w:multiLevelType w:val="hybridMultilevel"/>
    <w:tmpl w:val="96BC4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20"/>
  </w:num>
  <w:num w:numId="14">
    <w:abstractNumId w:val="19"/>
  </w:num>
  <w:num w:numId="15">
    <w:abstractNumId w:val="13"/>
  </w:num>
  <w:num w:numId="16">
    <w:abstractNumId w:val="23"/>
  </w:num>
  <w:num w:numId="17">
    <w:abstractNumId w:val="14"/>
  </w:num>
  <w:num w:numId="18">
    <w:abstractNumId w:val="18"/>
  </w:num>
  <w:num w:numId="19">
    <w:abstractNumId w:val="12"/>
  </w:num>
  <w:num w:numId="20">
    <w:abstractNumId w:val="15"/>
  </w:num>
  <w:num w:numId="21">
    <w:abstractNumId w:val="17"/>
  </w:num>
  <w:num w:numId="22">
    <w:abstractNumId w:val="1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5z0sdd8xset3ewesvv2vw0dz5fd2pv5s2x&quot;&gt;My EndNote Library Papier AL 22072020&lt;record-ids&gt;&lt;item&gt;1&lt;/item&gt;&lt;item&gt;2&lt;/item&gt;&lt;item&gt;3&lt;/item&gt;&lt;item&gt;4&lt;/item&gt;&lt;item&gt;5&lt;/item&gt;&lt;item&gt;6&lt;/item&gt;&lt;item&gt;8&lt;/item&gt;&lt;item&gt;9&lt;/item&gt;&lt;item&gt;10&lt;/item&gt;&lt;item&gt;13&lt;/item&gt;&lt;item&gt;16&lt;/item&gt;&lt;item&gt;17&lt;/item&gt;&lt;item&gt;18&lt;/item&gt;&lt;item&gt;19&lt;/item&gt;&lt;item&gt;20&lt;/item&gt;&lt;item&gt;28&lt;/item&gt;&lt;item&gt;29&lt;/item&gt;&lt;item&gt;30&lt;/item&gt;&lt;item&gt;31&lt;/item&gt;&lt;item&gt;34&lt;/item&gt;&lt;item&gt;138&lt;/item&gt;&lt;item&gt;139&lt;/item&gt;&lt;item&gt;140&lt;/item&gt;&lt;item&gt;141&lt;/item&gt;&lt;item&gt;142&lt;/item&gt;&lt;item&gt;151&lt;/item&gt;&lt;/record-ids&gt;&lt;/item&gt;&lt;/Libraries&gt;"/>
  </w:docVars>
  <w:rsids>
    <w:rsidRoot w:val="009D6FE7"/>
    <w:rsid w:val="00001652"/>
    <w:rsid w:val="000032AF"/>
    <w:rsid w:val="000326EB"/>
    <w:rsid w:val="00050724"/>
    <w:rsid w:val="00055F8F"/>
    <w:rsid w:val="00085F20"/>
    <w:rsid w:val="0009502A"/>
    <w:rsid w:val="000B7A10"/>
    <w:rsid w:val="000F7500"/>
    <w:rsid w:val="001054FD"/>
    <w:rsid w:val="001148A6"/>
    <w:rsid w:val="00125AB4"/>
    <w:rsid w:val="001428E2"/>
    <w:rsid w:val="00182080"/>
    <w:rsid w:val="001A3C02"/>
    <w:rsid w:val="001A45B0"/>
    <w:rsid w:val="001B1659"/>
    <w:rsid w:val="0022259B"/>
    <w:rsid w:val="00227872"/>
    <w:rsid w:val="0023220F"/>
    <w:rsid w:val="00240074"/>
    <w:rsid w:val="002414F2"/>
    <w:rsid w:val="0026031F"/>
    <w:rsid w:val="00267D28"/>
    <w:rsid w:val="00290059"/>
    <w:rsid w:val="002C7480"/>
    <w:rsid w:val="002F09C3"/>
    <w:rsid w:val="003202D4"/>
    <w:rsid w:val="003326B1"/>
    <w:rsid w:val="00350D10"/>
    <w:rsid w:val="00394820"/>
    <w:rsid w:val="003A12FB"/>
    <w:rsid w:val="004338A0"/>
    <w:rsid w:val="0044777D"/>
    <w:rsid w:val="00472ED4"/>
    <w:rsid w:val="0049301D"/>
    <w:rsid w:val="00496895"/>
    <w:rsid w:val="004B7269"/>
    <w:rsid w:val="004E2E58"/>
    <w:rsid w:val="004F4B78"/>
    <w:rsid w:val="004F69FD"/>
    <w:rsid w:val="00501A59"/>
    <w:rsid w:val="00510689"/>
    <w:rsid w:val="0056560C"/>
    <w:rsid w:val="00567E7A"/>
    <w:rsid w:val="00581AA8"/>
    <w:rsid w:val="00586717"/>
    <w:rsid w:val="005A25CA"/>
    <w:rsid w:val="005B198D"/>
    <w:rsid w:val="005D25B8"/>
    <w:rsid w:val="005E345C"/>
    <w:rsid w:val="00614332"/>
    <w:rsid w:val="00615F67"/>
    <w:rsid w:val="006226D1"/>
    <w:rsid w:val="00626BCC"/>
    <w:rsid w:val="00670996"/>
    <w:rsid w:val="006924D0"/>
    <w:rsid w:val="006A7320"/>
    <w:rsid w:val="006C4C00"/>
    <w:rsid w:val="006F571A"/>
    <w:rsid w:val="007019F4"/>
    <w:rsid w:val="00706930"/>
    <w:rsid w:val="0071472E"/>
    <w:rsid w:val="00727DA9"/>
    <w:rsid w:val="00733D3C"/>
    <w:rsid w:val="00756D92"/>
    <w:rsid w:val="007570BD"/>
    <w:rsid w:val="00771EB5"/>
    <w:rsid w:val="00777B8D"/>
    <w:rsid w:val="007B3FB8"/>
    <w:rsid w:val="007B73A9"/>
    <w:rsid w:val="007D5A06"/>
    <w:rsid w:val="007D7E63"/>
    <w:rsid w:val="007F07B4"/>
    <w:rsid w:val="007F69E6"/>
    <w:rsid w:val="0080157B"/>
    <w:rsid w:val="00820D8F"/>
    <w:rsid w:val="00850C29"/>
    <w:rsid w:val="008574B5"/>
    <w:rsid w:val="00861CDD"/>
    <w:rsid w:val="00863718"/>
    <w:rsid w:val="00863875"/>
    <w:rsid w:val="00882F9F"/>
    <w:rsid w:val="008945F1"/>
    <w:rsid w:val="008A0810"/>
    <w:rsid w:val="008C0FC2"/>
    <w:rsid w:val="008D6012"/>
    <w:rsid w:val="008E31F1"/>
    <w:rsid w:val="009461E4"/>
    <w:rsid w:val="00965DB9"/>
    <w:rsid w:val="009828C9"/>
    <w:rsid w:val="00990BEA"/>
    <w:rsid w:val="009A3EBD"/>
    <w:rsid w:val="009B4BF7"/>
    <w:rsid w:val="009C3FF8"/>
    <w:rsid w:val="009C4283"/>
    <w:rsid w:val="009C7E95"/>
    <w:rsid w:val="009D6FE7"/>
    <w:rsid w:val="009E090E"/>
    <w:rsid w:val="00A0045A"/>
    <w:rsid w:val="00A04C21"/>
    <w:rsid w:val="00A07616"/>
    <w:rsid w:val="00A15F54"/>
    <w:rsid w:val="00A266A5"/>
    <w:rsid w:val="00A3265F"/>
    <w:rsid w:val="00A352E8"/>
    <w:rsid w:val="00A5769B"/>
    <w:rsid w:val="00A7579A"/>
    <w:rsid w:val="00A903B9"/>
    <w:rsid w:val="00AA3590"/>
    <w:rsid w:val="00AC4275"/>
    <w:rsid w:val="00AE4C8A"/>
    <w:rsid w:val="00AF0394"/>
    <w:rsid w:val="00AF2206"/>
    <w:rsid w:val="00B03717"/>
    <w:rsid w:val="00B07937"/>
    <w:rsid w:val="00B35920"/>
    <w:rsid w:val="00B63E7B"/>
    <w:rsid w:val="00B647D0"/>
    <w:rsid w:val="00B73C34"/>
    <w:rsid w:val="00B76125"/>
    <w:rsid w:val="00B80014"/>
    <w:rsid w:val="00B92A00"/>
    <w:rsid w:val="00B96514"/>
    <w:rsid w:val="00BA0387"/>
    <w:rsid w:val="00BA2812"/>
    <w:rsid w:val="00BB01BB"/>
    <w:rsid w:val="00BB0AE1"/>
    <w:rsid w:val="00BB6252"/>
    <w:rsid w:val="00BD0705"/>
    <w:rsid w:val="00BD32E3"/>
    <w:rsid w:val="00BF0D14"/>
    <w:rsid w:val="00C0383E"/>
    <w:rsid w:val="00C13C62"/>
    <w:rsid w:val="00C22F3C"/>
    <w:rsid w:val="00C25439"/>
    <w:rsid w:val="00C43810"/>
    <w:rsid w:val="00C57ABF"/>
    <w:rsid w:val="00C61690"/>
    <w:rsid w:val="00C77ABE"/>
    <w:rsid w:val="00C90AC2"/>
    <w:rsid w:val="00CC6C23"/>
    <w:rsid w:val="00CE1344"/>
    <w:rsid w:val="00CF3744"/>
    <w:rsid w:val="00D213D1"/>
    <w:rsid w:val="00D52070"/>
    <w:rsid w:val="00D579DB"/>
    <w:rsid w:val="00D6785D"/>
    <w:rsid w:val="00D84AA9"/>
    <w:rsid w:val="00DA0622"/>
    <w:rsid w:val="00DA47FB"/>
    <w:rsid w:val="00DB14E7"/>
    <w:rsid w:val="00DB3690"/>
    <w:rsid w:val="00DC0D80"/>
    <w:rsid w:val="00DE11BB"/>
    <w:rsid w:val="00DE2EDA"/>
    <w:rsid w:val="00DF0E3B"/>
    <w:rsid w:val="00E0481D"/>
    <w:rsid w:val="00E25D7D"/>
    <w:rsid w:val="00E3776E"/>
    <w:rsid w:val="00E509F1"/>
    <w:rsid w:val="00E51DAB"/>
    <w:rsid w:val="00E750AD"/>
    <w:rsid w:val="00E836DC"/>
    <w:rsid w:val="00E97C1C"/>
    <w:rsid w:val="00EC6E33"/>
    <w:rsid w:val="00EC7B7B"/>
    <w:rsid w:val="00ED36B5"/>
    <w:rsid w:val="00EE0DD2"/>
    <w:rsid w:val="00EE7134"/>
    <w:rsid w:val="00F33B83"/>
    <w:rsid w:val="00F34893"/>
    <w:rsid w:val="00F50257"/>
    <w:rsid w:val="00F74E3E"/>
    <w:rsid w:val="00F94839"/>
    <w:rsid w:val="00F952D9"/>
    <w:rsid w:val="00F953E5"/>
    <w:rsid w:val="00FA148D"/>
    <w:rsid w:val="00FB59EF"/>
    <w:rsid w:val="00FC49BC"/>
    <w:rsid w:val="00FC5A29"/>
    <w:rsid w:val="00FE0E31"/>
    <w:rsid w:val="00FE12FE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0A638"/>
  <w15:chartTrackingRefBased/>
  <w15:docId w15:val="{D52F1CBF-2C65-4CD8-A1D2-5508A6C3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FE7"/>
    <w:pPr>
      <w:spacing w:before="120" w:after="120"/>
      <w:jc w:val="both"/>
    </w:pPr>
    <w:rPr>
      <w:rFonts w:cs="Calibri-Light"/>
      <w:color w:val="000000"/>
      <w:sz w:val="22"/>
      <w:szCs w:val="22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pacing w:before="40" w:after="0"/>
      <w:outlineLvl w:val="4"/>
    </w:pPr>
    <w:rPr>
      <w:rFonts w:eastAsia="Times New Roman" w:cs="Times New Roman"/>
      <w:color w:val="6E97A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</w:pPr>
    <w:rPr>
      <w:color w:val="404040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ind w:left="1418" w:hanging="1418"/>
      <w:jc w:val="left"/>
    </w:pPr>
    <w:rPr>
      <w:color w:val="E8412C"/>
      <w:sz w:val="16"/>
      <w:szCs w:val="16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pacing w:before="0" w:after="0"/>
      <w:contextualSpacing/>
    </w:pPr>
    <w:rPr>
      <w:rFonts w:ascii="Calibri Light" w:eastAsia="Times New Roman" w:hAnsi="Calibri Light" w:cs="Times New Roman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pacing w:after="160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contextualSpacing/>
    </w:pPr>
  </w:style>
  <w:style w:type="paragraph" w:styleId="List">
    <w:name w:val="List"/>
    <w:basedOn w:val="Normal"/>
    <w:uiPriority w:val="99"/>
    <w:unhideWhenUsed/>
    <w:rsid w:val="00614332"/>
    <w:pPr>
      <w:ind w:left="283" w:hanging="283"/>
      <w:contextualSpacing/>
    </w:p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ind w:left="568"/>
      <w:contextualSpacing/>
    </w:p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ind w:left="851" w:hanging="284"/>
      <w:contextualSpacing/>
    </w:pPr>
  </w:style>
  <w:style w:type="paragraph" w:styleId="NoSpacing">
    <w:name w:val="No Spacing"/>
    <w:link w:val="NoSpacingChar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F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E7"/>
    <w:rPr>
      <w:rFonts w:ascii="Segoe UI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D6FE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fr-BE" w:eastAsia="fr-BE"/>
    </w:rPr>
  </w:style>
  <w:style w:type="paragraph" w:customStyle="1" w:styleId="Paragraph">
    <w:name w:val="Paragraph"/>
    <w:basedOn w:val="Normal"/>
    <w:link w:val="ParagraphChar"/>
    <w:rsid w:val="009D6FE7"/>
    <w:pPr>
      <w:spacing w:after="0"/>
      <w:ind w:firstLine="72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aser">
    <w:name w:val="Teaser"/>
    <w:basedOn w:val="Normal"/>
    <w:rsid w:val="009D6FE7"/>
    <w:pPr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9D6FE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6FE7"/>
    <w:rPr>
      <w:color w:val="6E97AD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6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F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FE7"/>
    <w:rPr>
      <w:rFonts w:cs="Calibri-Light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FE7"/>
    <w:rPr>
      <w:rFonts w:cs="Calibri-Light"/>
      <w:b/>
      <w:bCs/>
      <w:color w:val="000000"/>
    </w:rPr>
  </w:style>
  <w:style w:type="character" w:customStyle="1" w:styleId="authors-list-item">
    <w:name w:val="authors-list-item"/>
    <w:basedOn w:val="DefaultParagraphFont"/>
    <w:rsid w:val="009D6FE7"/>
  </w:style>
  <w:style w:type="character" w:customStyle="1" w:styleId="author-sup-separator">
    <w:name w:val="author-sup-separator"/>
    <w:basedOn w:val="DefaultParagraphFont"/>
    <w:rsid w:val="009D6FE7"/>
  </w:style>
  <w:style w:type="character" w:customStyle="1" w:styleId="comma">
    <w:name w:val="comma"/>
    <w:basedOn w:val="DefaultParagraphFont"/>
    <w:rsid w:val="009D6FE7"/>
  </w:style>
  <w:style w:type="character" w:customStyle="1" w:styleId="highwire-citation-authors">
    <w:name w:val="highwire-citation-authors"/>
    <w:basedOn w:val="DefaultParagraphFont"/>
    <w:rsid w:val="009D6FE7"/>
  </w:style>
  <w:style w:type="character" w:customStyle="1" w:styleId="highwire-citation-author">
    <w:name w:val="highwire-citation-author"/>
    <w:basedOn w:val="DefaultParagraphFont"/>
    <w:rsid w:val="009D6FE7"/>
  </w:style>
  <w:style w:type="character" w:customStyle="1" w:styleId="nlm-given-names">
    <w:name w:val="nlm-given-names"/>
    <w:basedOn w:val="DefaultParagraphFont"/>
    <w:rsid w:val="009D6FE7"/>
  </w:style>
  <w:style w:type="character" w:customStyle="1" w:styleId="nlm-surname">
    <w:name w:val="nlm-surname"/>
    <w:basedOn w:val="DefaultParagraphFont"/>
    <w:rsid w:val="009D6FE7"/>
  </w:style>
  <w:style w:type="character" w:customStyle="1" w:styleId="highwire-cite-metadata-doi">
    <w:name w:val="highwire-cite-metadata-doi"/>
    <w:basedOn w:val="DefaultParagraphFont"/>
    <w:rsid w:val="009D6FE7"/>
  </w:style>
  <w:style w:type="character" w:customStyle="1" w:styleId="metadata-label">
    <w:name w:val="metadata-label"/>
    <w:basedOn w:val="DefaultParagraphFont"/>
    <w:rsid w:val="009D6FE7"/>
  </w:style>
  <w:style w:type="character" w:customStyle="1" w:styleId="highwire-cite-metadata-date">
    <w:name w:val="highwire-cite-metadata-date"/>
    <w:basedOn w:val="DefaultParagraphFont"/>
    <w:rsid w:val="009D6FE7"/>
  </w:style>
  <w:style w:type="paragraph" w:customStyle="1" w:styleId="EndNoteBibliographyTitle">
    <w:name w:val="EndNote Bibliography Title"/>
    <w:basedOn w:val="Normal"/>
    <w:link w:val="EndNoteBibliographyTitleChar"/>
    <w:rsid w:val="009D6FE7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6FE7"/>
    <w:rPr>
      <w:rFonts w:cs="Calibri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9D6FE7"/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6FE7"/>
    <w:rPr>
      <w:rFonts w:cs="Calibri"/>
      <w:noProof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9D6FE7"/>
    <w:rPr>
      <w:rFonts w:cs="Calibri-Light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D6FE7"/>
    <w:rPr>
      <w:color w:val="C896C8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050724"/>
    <w:rPr>
      <w:rFonts w:cs="Calibri-Light"/>
      <w:noProof/>
      <w:color w:val="00000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2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Health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Bassam Janji</dc:creator>
  <cp:keywords/>
  <dc:description/>
  <cp:lastModifiedBy>Bassam Janji</cp:lastModifiedBy>
  <cp:revision>18</cp:revision>
  <cp:lastPrinted>2021-03-10T20:54:00Z</cp:lastPrinted>
  <dcterms:created xsi:type="dcterms:W3CDTF">2021-03-06T01:42:00Z</dcterms:created>
  <dcterms:modified xsi:type="dcterms:W3CDTF">2021-04-26T14:50:00Z</dcterms:modified>
</cp:coreProperties>
</file>