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</w:pPr>
      <w:bookmarkStart w:id="3" w:name="_GoBack"/>
      <w:bookmarkEnd w:id="3"/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Supplementary Figure 1. TSPAN8 is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</w:rPr>
        <w:t>highly expressed in multiple tumours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 and promotes tumour metastasis in mice.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>(A-B) Immunohistochemical staining for TSPAN8 was performed on 15 human breast cancer (A) and 10 human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hepatocellular carcinoma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 (B)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specimens. Representative images of normal adjacent tissues (NATs) and tumour tissues (TTs)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are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shown. Scale bars: 200 μm. The t-test was performed to compare differences between tumour and normal adjacent tissues. (C) The </w:t>
      </w:r>
      <w:r>
        <w:rPr>
          <w:rFonts w:hint="eastAsia" w:ascii="Arial Unicode MS" w:hAnsi="Arial Unicode MS" w:eastAsia="Arial Unicode MS" w:cs="Arial Unicode MS"/>
          <w:bCs/>
          <w:i/>
          <w:iCs/>
          <w:color w:val="auto"/>
          <w:sz w:val="24"/>
          <w:szCs w:val="24"/>
          <w:highlight w:val="none"/>
          <w:shd w:val="clear" w:color="auto" w:fill="FFFFFF"/>
        </w:rPr>
        <w:t>TSPAN8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 mRNA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</w:rPr>
        <w:t>level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 was analysed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in TCGA and GTEx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data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via the GEPIA online tool (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instrText xml:space="preserve"> HYPERLINK "http://gepia.cancer-pku.cn" </w:instrTex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fldChar w:fldCharType="separate"/>
      </w:r>
      <w:r>
        <w:rPr>
          <w:rStyle w:val="5"/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http://gepia.cancer-pku.cn</w:t>
      </w:r>
      <w:r>
        <w:rPr>
          <w:rStyle w:val="5"/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fldChar w:fldCharType="end"/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). (D-E) SW1990 cells with or without expression of HA-TSPAN8 were injected into 6-week-old nude mice. The tumour metastasis ability was analysed.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Supplementary Figure 2. 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</w:rPr>
        <w:t xml:space="preserve">TSPAN8 </w:t>
      </w:r>
      <w:bookmarkStart w:id="0" w:name="OLE_LINK57"/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</w:rPr>
        <w:t xml:space="preserve">is </w:t>
      </w:r>
      <w:bookmarkEnd w:id="0"/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</w:rPr>
        <w:t>depleted by shRNA and rescued by complementation with shRNA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</w:rPr>
        <w:t>-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</w:rPr>
        <w:t>resistant TSPAN8 in BxPC-3 and AsPC-1 cells.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(A)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>The</w:t>
      </w:r>
      <w:bookmarkStart w:id="1" w:name="OLE_LINK20"/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 metastatic potential</w:t>
      </w:r>
      <w:bookmarkEnd w:id="1"/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 of the different pancreatic cell lines was quantified by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Boyden chamber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Matrigel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invasion assays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>. A total of 5000 cells were seeded in 24-well invasion chambers. After 48 hr, the cells were counted under a microscope. BxPC-3 (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B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>) and AsPC-1 (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C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) cells were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express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lang w:val="en-US" w:eastAsia="zh-CN"/>
        </w:rPr>
        <w:t>ed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the control shRNA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or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TSPAN8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shRNA vector or reconstituted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with shRNA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-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resistant TSPAN8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, and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immunoblot analysis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was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performed with the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TSPAN8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antibodies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. (D-F)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TSPAN8 was transiently overexpressed in HPDE6-C7 cells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. I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mmunoblot analysis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was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performed with the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TSPAN8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antibodies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. </w:t>
      </w:r>
      <w:bookmarkStart w:id="2" w:name="OLE_LINK16"/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Boyden chamber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Matrigel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invasion assays</w:t>
      </w:r>
      <w:bookmarkEnd w:id="2"/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(E) and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wound healing assay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(F) were performed.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In A,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and F, the experiments were performed in triplicate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,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and the t-test was performed. Scale bars: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00 μm.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The values are presented as the means ± SDs. 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&lt;0.05, **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&lt;0.01, ***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&lt;0.001, and ****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&lt;0.0001.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bidi w:val="0"/>
        <w:snapToGrid w:val="0"/>
        <w:spacing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 w:val="0"/>
          <w:bCs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Supplementary Figure 3. EGF upregulates TSPAN8 expression.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>(A-B)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SW1990 cells expressing TSPAN8-EGFP were treated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</w:rPr>
        <w:t>with 100 ng/ml EGF for 2 h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lang w:val="en-US" w:eastAsia="zh-CN"/>
        </w:rPr>
        <w:t>r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</w:rPr>
        <w:t xml:space="preserve">. </w:t>
      </w:r>
      <w:r>
        <w:rPr>
          <w:rFonts w:hint="eastAsia" w:ascii="Arial Unicode MS" w:hAnsi="Arial Unicode MS" w:eastAsia="Arial Unicode MS" w:cs="Arial Unicode MS"/>
          <w:bCs/>
          <w:color w:val="auto"/>
          <w:sz w:val="24"/>
          <w:szCs w:val="24"/>
          <w:highlight w:val="none"/>
          <w:shd w:val="clear" w:color="auto" w:fill="FFFFFF"/>
          <w:lang w:bidi="ar"/>
        </w:rPr>
        <w:t>Immunofluorescence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analysis was performed (A). The fluorescence intensity of EGFP was calculated (B). (C) BxPC-3 and SW1990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cells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were treated with or without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eastAsia="zh-CN"/>
        </w:rPr>
        <w:t>AG1478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(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10 μM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) for 1 hr prior to EGF treatment (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100 ng/ml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) for 2 hr. (D) BxPC-3 cells expressing the control shRNA or SOX9 shRNA vector were subjected to immunoblot analysis. (E) TSPAN8 mRNA levels were analysed by q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-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PCR in BxPC-3 cells with or without SOX9 shRNA expression. (F) BxPC-3 cells were treated with or without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eastAsia="zh-CN"/>
        </w:rPr>
        <w:t>AG1478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(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10 μM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) for 1 hr prior to EGF treatment (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100 ng/ml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) for 2 hr. Protein expression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was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analysed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by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immunoblotting with the indicated antibodies. In B, C and E, the experiments were performed in triplicate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,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and the t-test was performed. The values are presented as the means ± SDs. 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&lt;0.05 and *** </w:t>
      </w:r>
      <w:r>
        <w:rPr>
          <w:rFonts w:hint="eastAsia" w:ascii="Arial Unicode MS" w:hAnsi="Arial Unicode MS" w:eastAsia="Arial Unicode MS" w:cs="Arial Unicode MS"/>
          <w:i/>
          <w:iCs/>
          <w:color w:val="auto"/>
          <w:sz w:val="24"/>
          <w:szCs w:val="24"/>
          <w:highlight w:val="none"/>
          <w:shd w:val="clear" w:color="auto" w:fill="FFFFFF"/>
        </w:rPr>
        <w:t>P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&lt;0.001.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>Supplementary Figure 4. SOX9 regulates the expression of cell migration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</w:rPr>
        <w:t>-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>related genes</w:t>
      </w:r>
      <w:r>
        <w:rPr>
          <w:rFonts w:hint="eastAsia" w:ascii="Arial Unicode MS" w:hAnsi="Arial Unicode MS" w:eastAsia="Arial Unicode MS" w:cs="Arial Unicode MS"/>
          <w:b/>
          <w:bCs/>
          <w:iCs/>
          <w:color w:val="auto"/>
          <w:sz w:val="24"/>
          <w:szCs w:val="24"/>
          <w:highlight w:val="none"/>
        </w:rPr>
        <w:t xml:space="preserve">. </w:t>
      </w:r>
      <w:r>
        <w:rPr>
          <w:rFonts w:hint="eastAsia" w:ascii="Arial Unicode MS" w:hAnsi="Arial Unicode MS" w:eastAsia="Arial Unicode MS" w:cs="Arial Unicode MS"/>
          <w:iCs/>
          <w:color w:val="auto"/>
          <w:sz w:val="24"/>
          <w:szCs w:val="24"/>
          <w:highlight w:val="none"/>
        </w:rPr>
        <w:t>(A)</w:t>
      </w:r>
      <w:r>
        <w:rPr>
          <w:rFonts w:hint="eastAsia" w:ascii="Arial Unicode MS" w:hAnsi="Arial Unicode MS" w:eastAsia="Arial Unicode MS" w:cs="Arial Unicode MS"/>
          <w:b/>
          <w:bCs/>
          <w:iCs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Arial Unicode MS" w:hAnsi="Arial Unicode MS" w:eastAsia="Arial Unicode MS" w:cs="Arial Unicode MS"/>
          <w:iCs/>
          <w:color w:val="auto"/>
          <w:sz w:val="24"/>
          <w:szCs w:val="24"/>
          <w:highlight w:val="none"/>
        </w:rPr>
        <w:t>Venn diagram show</w:t>
      </w:r>
      <w:r>
        <w:rPr>
          <w:rFonts w:hint="eastAsia" w:ascii="Arial Unicode MS" w:hAnsi="Arial Unicode MS" w:eastAsia="Arial Unicode MS" w:cs="Arial Unicode MS"/>
          <w:iCs/>
          <w:color w:val="auto"/>
          <w:sz w:val="24"/>
          <w:szCs w:val="24"/>
          <w:highlight w:val="none"/>
          <w:lang w:val="en-US" w:eastAsia="zh-CN"/>
        </w:rPr>
        <w:t>ed</w:t>
      </w:r>
      <w:r>
        <w:rPr>
          <w:rFonts w:hint="eastAsia" w:ascii="Arial Unicode MS" w:hAnsi="Arial Unicode MS" w:eastAsia="Arial Unicode MS" w:cs="Arial Unicode MS"/>
          <w:iCs/>
          <w:color w:val="auto"/>
          <w:sz w:val="24"/>
          <w:szCs w:val="24"/>
          <w:highlight w:val="none"/>
        </w:rPr>
        <w:t xml:space="preserve"> the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overlap of peaks in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SW1990 cells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stable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overexpression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>of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lang w:val="en-US" w:eastAsia="zh-CN"/>
        </w:rPr>
        <w:t xml:space="preserve"> Flag-SOX9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(blue) or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vector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(yellow). (B) GO enrichment analysis showed the GO terms enriched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of the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 different genes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.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(C) KEGG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pathway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enrichment analysis was performed with different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genes.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(D) Venn diagram showed the overlap of binding sites of SOX9 in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the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 xml:space="preserve">promoter region of </w:t>
      </w:r>
      <w:r>
        <w:rPr>
          <w:rFonts w:hint="eastAsia" w:ascii="Arial Unicode MS" w:hAnsi="Arial Unicode MS" w:eastAsia="Arial Unicode MS" w:cs="Arial Unicode MS"/>
          <w:i/>
          <w:color w:val="auto"/>
          <w:sz w:val="24"/>
          <w:szCs w:val="24"/>
          <w:highlight w:val="none"/>
          <w:shd w:val="clear" w:color="auto" w:fill="FFFFFF"/>
        </w:rPr>
        <w:t>TSPAN8</w:t>
      </w:r>
      <w:r>
        <w:rPr>
          <w:rFonts w:hint="eastAsia" w:ascii="Arial Unicode MS" w:hAnsi="Arial Unicode MS" w:eastAsia="Arial Unicode MS" w:cs="Arial Unicode MS"/>
          <w:i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bidi w:val="0"/>
        <w:snapToGrid w:val="0"/>
        <w:spacing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</w:rPr>
        <w:t xml:space="preserve">Supplementary Figure 5. 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  <w:shd w:val="clear" w:color="auto" w:fill="FFFFFF"/>
        </w:rPr>
        <w:t>Correlation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</w:rPr>
        <w:t xml:space="preserve"> analysis of </w:t>
      </w:r>
      <w:r>
        <w:rPr>
          <w:rFonts w:hint="eastAsia" w:ascii="Arial Unicode MS" w:hAnsi="Arial Unicode MS" w:eastAsia="Arial Unicode MS" w:cs="Arial Unicode MS"/>
          <w:b/>
          <w:bCs/>
          <w:i/>
          <w:color w:val="auto"/>
          <w:sz w:val="24"/>
          <w:szCs w:val="24"/>
          <w:highlight w:val="none"/>
        </w:rPr>
        <w:t>SOX9</w:t>
      </w:r>
      <w:r>
        <w:rPr>
          <w:rFonts w:hint="eastAsia" w:ascii="Arial Unicode MS" w:hAnsi="Arial Unicode MS" w:eastAsia="Arial Unicode MS" w:cs="Arial Unicode MS"/>
          <w:b/>
          <w:bCs/>
          <w:color w:val="auto"/>
          <w:sz w:val="24"/>
          <w:szCs w:val="24"/>
          <w:highlight w:val="none"/>
        </w:rPr>
        <w:t xml:space="preserve"> and </w:t>
      </w:r>
      <w:r>
        <w:rPr>
          <w:rFonts w:hint="eastAsia" w:ascii="Arial Unicode MS" w:hAnsi="Arial Unicode MS" w:eastAsia="Arial Unicode MS" w:cs="Arial Unicode MS"/>
          <w:b/>
          <w:bCs/>
          <w:i/>
          <w:color w:val="auto"/>
          <w:sz w:val="24"/>
          <w:szCs w:val="24"/>
          <w:highlight w:val="none"/>
        </w:rPr>
        <w:t xml:space="preserve">TSPAN8 </w:t>
      </w:r>
      <w:r>
        <w:rPr>
          <w:rFonts w:hint="eastAsia" w:ascii="Arial Unicode MS" w:hAnsi="Arial Unicode MS" w:eastAsia="Arial Unicode MS" w:cs="Arial Unicode MS"/>
          <w:b/>
          <w:bCs/>
          <w:iCs/>
          <w:color w:val="auto"/>
          <w:sz w:val="24"/>
          <w:szCs w:val="24"/>
          <w:highlight w:val="none"/>
        </w:rPr>
        <w:t>mRNA expression in lung cancer, prostate cancer and skin cancer.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Correlation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analysis of </w:t>
      </w:r>
      <w:r>
        <w:rPr>
          <w:rFonts w:hint="eastAsia" w:ascii="Arial Unicode MS" w:hAnsi="Arial Unicode MS" w:eastAsia="Arial Unicode MS" w:cs="Arial Unicode MS"/>
          <w:i/>
          <w:color w:val="auto"/>
          <w:sz w:val="24"/>
          <w:szCs w:val="24"/>
          <w:highlight w:val="none"/>
        </w:rPr>
        <w:t>SOX9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</w:rPr>
        <w:t xml:space="preserve"> and </w:t>
      </w:r>
      <w:r>
        <w:rPr>
          <w:rFonts w:hint="eastAsia" w:ascii="Arial Unicode MS" w:hAnsi="Arial Unicode MS" w:eastAsia="Arial Unicode MS" w:cs="Arial Unicode MS"/>
          <w:i/>
          <w:color w:val="auto"/>
          <w:sz w:val="24"/>
          <w:szCs w:val="24"/>
          <w:highlight w:val="none"/>
        </w:rPr>
        <w:t xml:space="preserve">TSPAN8 </w:t>
      </w:r>
      <w:r>
        <w:rPr>
          <w:rFonts w:hint="eastAsia" w:ascii="Arial Unicode MS" w:hAnsi="Arial Unicode MS" w:eastAsia="Arial Unicode MS" w:cs="Arial Unicode MS"/>
          <w:iCs/>
          <w:color w:val="auto"/>
          <w:sz w:val="24"/>
          <w:szCs w:val="24"/>
          <w:highlight w:val="none"/>
        </w:rPr>
        <w:t xml:space="preserve">mRNA expression in lung cancer (A), prostate cancer (B) and skin cancer (C) were performed with data in the </w:t>
      </w:r>
      <w:r>
        <w:rPr>
          <w:rFonts w:hint="eastAsia" w:ascii="Arial Unicode MS" w:hAnsi="Arial Unicode MS" w:eastAsia="Arial Unicode MS" w:cs="Arial Unicode MS"/>
          <w:color w:val="auto"/>
          <w:sz w:val="24"/>
          <w:szCs w:val="24"/>
          <w:highlight w:val="none"/>
          <w:shd w:val="clear" w:color="auto" w:fill="FFFFFF"/>
        </w:rPr>
        <w:t>TCGA dataset.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bidi w:val="0"/>
        <w:snapToGrid w:val="0"/>
        <w:spacing w:after="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 w:val="0"/>
          <w:bCs w:val="0"/>
          <w:i w:val="0"/>
          <w:iCs/>
          <w:color w:val="auto"/>
          <w:sz w:val="24"/>
          <w:szCs w:val="24"/>
          <w:highlight w:val="none"/>
          <w:lang w:val="en-US"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44D32"/>
    <w:rsid w:val="1944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2021-04-29T16:33:00Z</dcterms:created>
  <dc:creator>jeffrey</dc:creator>
  <cp:lastModifiedBy>jeffrey</cp:lastModifiedBy>
  <dcterms:modified xsi:type="dcterms:W3CDTF">2021-04-29T16:34:39Z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6B261CCF37FA46309D8724CEC8B6E0AD</vt:lpwstr>
  </property>
</Properties>
</file>