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0EA783" w14:textId="38D070EF" w:rsidR="000D7D37" w:rsidRPr="00E439FD" w:rsidRDefault="000D7D37" w:rsidP="000D7D37">
      <w:pPr>
        <w:spacing w:line="360" w:lineRule="auto"/>
        <w:jc w:val="both"/>
        <w:rPr>
          <w:b/>
          <w:sz w:val="28"/>
        </w:rPr>
      </w:pPr>
      <w:r w:rsidRPr="00E439FD">
        <w:rPr>
          <w:b/>
          <w:sz w:val="28"/>
        </w:rPr>
        <w:t xml:space="preserve">Supplementary </w:t>
      </w:r>
      <w:r>
        <w:rPr>
          <w:b/>
          <w:sz w:val="28"/>
        </w:rPr>
        <w:t>Figures and Tables Legends</w:t>
      </w:r>
    </w:p>
    <w:p w14:paraId="293D0BE8" w14:textId="77777777" w:rsidR="000D7D37" w:rsidRPr="006B7733" w:rsidRDefault="000D7D37" w:rsidP="000D7D37">
      <w:pPr>
        <w:tabs>
          <w:tab w:val="left" w:pos="720"/>
          <w:tab w:val="left" w:pos="1800"/>
          <w:tab w:val="left" w:pos="2880"/>
          <w:tab w:val="left" w:pos="3960"/>
          <w:tab w:val="left" w:pos="4140"/>
          <w:tab w:val="left" w:pos="4860"/>
          <w:tab w:val="left" w:pos="5580"/>
          <w:tab w:val="left" w:pos="6300"/>
          <w:tab w:val="left" w:pos="7200"/>
        </w:tabs>
        <w:spacing w:line="360" w:lineRule="auto"/>
        <w:jc w:val="both"/>
        <w:rPr>
          <w:rFonts w:ascii="Arial" w:eastAsia="GulliverRM" w:hAnsi="Arial"/>
          <w:sz w:val="20"/>
          <w:szCs w:val="20"/>
        </w:rPr>
      </w:pPr>
      <w:r w:rsidRPr="006B7733">
        <w:rPr>
          <w:rFonts w:ascii="Arial" w:hAnsi="Arial"/>
          <w:b/>
          <w:bCs/>
          <w:sz w:val="20"/>
          <w:szCs w:val="20"/>
        </w:rPr>
        <w:t>Supplement Figure S1</w:t>
      </w:r>
      <w:r w:rsidRPr="006B7733">
        <w:rPr>
          <w:rFonts w:ascii="Arial" w:hAnsi="Arial"/>
          <w:sz w:val="20"/>
          <w:szCs w:val="20"/>
        </w:rPr>
        <w:t xml:space="preserve"> Homology analysis of nucleotide sequence of UBE2C pseudogene and UBE2C gene from human genome. </w:t>
      </w:r>
    </w:p>
    <w:p w14:paraId="25FE896B" w14:textId="77777777" w:rsidR="000D7D37" w:rsidRPr="006B7733" w:rsidRDefault="000D7D37" w:rsidP="000D7D37">
      <w:pPr>
        <w:spacing w:line="360" w:lineRule="auto"/>
        <w:jc w:val="both"/>
        <w:rPr>
          <w:rFonts w:ascii="Arial" w:hAnsi="Arial"/>
          <w:sz w:val="20"/>
          <w:szCs w:val="20"/>
        </w:rPr>
      </w:pPr>
    </w:p>
    <w:p w14:paraId="30EA81F3" w14:textId="09C2D20A" w:rsidR="000D7D37" w:rsidRPr="006B7733" w:rsidRDefault="000D7D37" w:rsidP="000D7D37">
      <w:pPr>
        <w:spacing w:line="360" w:lineRule="auto"/>
        <w:jc w:val="both"/>
        <w:rPr>
          <w:rFonts w:ascii="Arial" w:hAnsi="Arial"/>
          <w:b/>
          <w:sz w:val="20"/>
          <w:szCs w:val="20"/>
        </w:rPr>
      </w:pPr>
      <w:r w:rsidRPr="006B7733">
        <w:rPr>
          <w:rFonts w:ascii="Arial" w:hAnsi="Arial"/>
          <w:b/>
          <w:bCs/>
          <w:sz w:val="20"/>
          <w:szCs w:val="20"/>
        </w:rPr>
        <w:t>Supplement Figure S2</w:t>
      </w:r>
      <w:r w:rsidRPr="006B7733">
        <w:rPr>
          <w:rFonts w:ascii="Arial" w:hAnsi="Arial"/>
          <w:sz w:val="20"/>
          <w:szCs w:val="20"/>
        </w:rPr>
        <w:t xml:space="preserve"> Knockdown of UBE2CP3 inhibits GC cell growth and cell cycle distribution. (A) Knockdown of UBE2CP3 inhibited cell growth rate of GC cell lines. (B, C) Knockdown of UBE2CP3 significantly affected the distribution of different cell cycle phases in GC cell lines. (D) The overexpression efficiency of UBE2CP3 was verified in GC cell lines by qRT-PCR assay. </w:t>
      </w:r>
      <w:r w:rsidR="001A5040">
        <w:rPr>
          <w:rFonts w:ascii="Arial" w:hAnsi="Arial"/>
          <w:sz w:val="20"/>
          <w:szCs w:val="20"/>
        </w:rPr>
        <w:t>T</w:t>
      </w:r>
      <w:r w:rsidR="001A5040" w:rsidRPr="005F77C5">
        <w:rPr>
          <w:rFonts w:ascii="Arial" w:hAnsi="Arial"/>
          <w:sz w:val="20"/>
          <w:szCs w:val="20"/>
        </w:rPr>
        <w:t xml:space="preserve">he P values were estimated using </w:t>
      </w:r>
      <w:r w:rsidR="001A5040">
        <w:rPr>
          <w:rFonts w:ascii="Arial" w:hAnsi="Arial"/>
          <w:sz w:val="20"/>
          <w:szCs w:val="20"/>
        </w:rPr>
        <w:t>one-way ANOVA test</w:t>
      </w:r>
      <w:r w:rsidR="001A5040">
        <w:t>.</w:t>
      </w:r>
      <w:r w:rsidR="001A5040" w:rsidRPr="006B7733">
        <w:rPr>
          <w:rFonts w:ascii="Arial" w:hAnsi="Arial"/>
          <w:sz w:val="20"/>
          <w:szCs w:val="20"/>
        </w:rPr>
        <w:t xml:space="preserve"> </w:t>
      </w:r>
      <w:r w:rsidR="001A5040" w:rsidRPr="001620D2">
        <w:t>**</w:t>
      </w:r>
      <w:r w:rsidR="001A5040" w:rsidRPr="006B7733">
        <w:rPr>
          <w:rFonts w:ascii="Arial" w:hAnsi="Arial"/>
          <w:sz w:val="20"/>
          <w:szCs w:val="20"/>
        </w:rPr>
        <w:t>, P &lt; 0.01</w:t>
      </w:r>
      <w:r w:rsidRPr="006B7733">
        <w:rPr>
          <w:rFonts w:ascii="Arial" w:hAnsi="Arial"/>
          <w:sz w:val="20"/>
          <w:szCs w:val="20"/>
        </w:rPr>
        <w:t>.</w:t>
      </w:r>
    </w:p>
    <w:p w14:paraId="2F8803F8" w14:textId="77777777" w:rsidR="000D7D37" w:rsidRPr="006B7733" w:rsidRDefault="000D7D37" w:rsidP="000D7D37">
      <w:pPr>
        <w:spacing w:line="360" w:lineRule="auto"/>
        <w:jc w:val="both"/>
        <w:rPr>
          <w:rFonts w:ascii="Arial" w:hAnsi="Arial"/>
          <w:sz w:val="20"/>
          <w:szCs w:val="20"/>
        </w:rPr>
      </w:pPr>
    </w:p>
    <w:p w14:paraId="100D1FE2" w14:textId="77777777" w:rsidR="000D7D37" w:rsidRPr="006B7733" w:rsidRDefault="000D7D37" w:rsidP="000D7D37">
      <w:pPr>
        <w:spacing w:line="360" w:lineRule="auto"/>
        <w:jc w:val="both"/>
        <w:rPr>
          <w:rFonts w:ascii="Arial" w:hAnsi="Arial"/>
          <w:sz w:val="20"/>
          <w:szCs w:val="20"/>
        </w:rPr>
      </w:pPr>
      <w:r w:rsidRPr="006B7733">
        <w:rPr>
          <w:rFonts w:ascii="Arial" w:hAnsi="Arial"/>
          <w:b/>
          <w:bCs/>
          <w:sz w:val="20"/>
          <w:szCs w:val="20"/>
        </w:rPr>
        <w:t>Supplement Figure S3</w:t>
      </w:r>
      <w:r w:rsidRPr="006B7733">
        <w:rPr>
          <w:rFonts w:ascii="Arial" w:hAnsi="Arial"/>
          <w:sz w:val="20"/>
          <w:szCs w:val="20"/>
        </w:rPr>
        <w:t xml:space="preserve"> Using different network tools to predict the miRNA that UBE2CP3 can absorb by acting as ceRNA. (A) The miRNAs that UBE2CP3 can absorb were predicted by Annolnc web tool. According to the prediction results, UBE2CP3 contains 3 miR-138-5p binding sites. (B) The miRNAs that UBE2CP3 can absorb were predicted by miRcode web tool. (C) The miRNAs that UBE2CP3 can absorb were predicted by StarBase web tool.</w:t>
      </w:r>
    </w:p>
    <w:p w14:paraId="628CCBF5" w14:textId="77777777" w:rsidR="000D7D37" w:rsidRPr="006B7733" w:rsidRDefault="000D7D37" w:rsidP="000D7D37">
      <w:pPr>
        <w:spacing w:line="360" w:lineRule="auto"/>
        <w:jc w:val="both"/>
        <w:rPr>
          <w:rFonts w:ascii="Arial" w:hAnsi="Arial"/>
          <w:sz w:val="20"/>
          <w:szCs w:val="20"/>
        </w:rPr>
      </w:pPr>
    </w:p>
    <w:p w14:paraId="4E79724F" w14:textId="3FEA41EB" w:rsidR="000D7D37" w:rsidRPr="006B7733" w:rsidRDefault="000D7D37" w:rsidP="000D7D37">
      <w:pPr>
        <w:spacing w:line="360" w:lineRule="auto"/>
        <w:jc w:val="both"/>
        <w:rPr>
          <w:rFonts w:ascii="Arial" w:hAnsi="Arial"/>
          <w:sz w:val="20"/>
          <w:szCs w:val="20"/>
        </w:rPr>
      </w:pPr>
      <w:r w:rsidRPr="006B7733">
        <w:rPr>
          <w:rFonts w:ascii="Arial" w:hAnsi="Arial"/>
          <w:b/>
          <w:bCs/>
          <w:sz w:val="20"/>
          <w:szCs w:val="20"/>
        </w:rPr>
        <w:t>Supplement Figure S4</w:t>
      </w:r>
      <w:r w:rsidRPr="006B7733">
        <w:rPr>
          <w:rFonts w:ascii="Arial" w:hAnsi="Arial"/>
          <w:sz w:val="20"/>
          <w:szCs w:val="20"/>
        </w:rPr>
        <w:t xml:space="preserve"> </w:t>
      </w:r>
      <w:proofErr w:type="gramStart"/>
      <w:r w:rsidR="00EE65C4">
        <w:rPr>
          <w:rFonts w:ascii="Arial" w:hAnsi="Arial"/>
          <w:sz w:val="20"/>
          <w:szCs w:val="20"/>
        </w:rPr>
        <w:t>The</w:t>
      </w:r>
      <w:proofErr w:type="gramEnd"/>
      <w:r w:rsidR="00EE65C4">
        <w:rPr>
          <w:rFonts w:ascii="Arial" w:hAnsi="Arial"/>
          <w:sz w:val="20"/>
          <w:szCs w:val="20"/>
        </w:rPr>
        <w:t xml:space="preserve"> effect of UBE2CP3 overexpression on the expression of ITGA2</w:t>
      </w:r>
      <w:r w:rsidRPr="006B7733">
        <w:rPr>
          <w:rFonts w:ascii="Arial" w:hAnsi="Arial"/>
          <w:sz w:val="20"/>
          <w:szCs w:val="20"/>
        </w:rPr>
        <w:t xml:space="preserve">. (A) The </w:t>
      </w:r>
      <w:r w:rsidR="00EE65C4">
        <w:rPr>
          <w:rFonts w:ascii="Arial" w:hAnsi="Arial"/>
          <w:sz w:val="20"/>
          <w:szCs w:val="20"/>
        </w:rPr>
        <w:t>ITGA2 expression was determined by qPCR assay in the MGC803 cell line overexpressing UBE2CP3</w:t>
      </w:r>
      <w:r w:rsidRPr="006B7733">
        <w:rPr>
          <w:rFonts w:ascii="Arial" w:hAnsi="Arial"/>
          <w:sz w:val="20"/>
          <w:szCs w:val="20"/>
        </w:rPr>
        <w:t>.</w:t>
      </w:r>
      <w:r w:rsidR="00EE65C4">
        <w:rPr>
          <w:rFonts w:ascii="Arial" w:hAnsi="Arial"/>
          <w:sz w:val="20"/>
          <w:szCs w:val="20"/>
        </w:rPr>
        <w:t xml:space="preserve"> T</w:t>
      </w:r>
      <w:r w:rsidR="00EE65C4" w:rsidRPr="005F77C5">
        <w:rPr>
          <w:rFonts w:ascii="Arial" w:hAnsi="Arial"/>
          <w:sz w:val="20"/>
          <w:szCs w:val="20"/>
        </w:rPr>
        <w:t xml:space="preserve">he P values were estimated using </w:t>
      </w:r>
      <w:r w:rsidR="00EE65C4">
        <w:rPr>
          <w:rFonts w:ascii="Arial" w:hAnsi="Arial"/>
          <w:sz w:val="20"/>
          <w:szCs w:val="20"/>
        </w:rPr>
        <w:t>one-way ANOVA test</w:t>
      </w:r>
      <w:r w:rsidR="00EE65C4">
        <w:t>.</w:t>
      </w:r>
      <w:r w:rsidRPr="006B7733">
        <w:rPr>
          <w:rFonts w:ascii="Arial" w:hAnsi="Arial"/>
          <w:sz w:val="20"/>
          <w:szCs w:val="20"/>
        </w:rPr>
        <w:t xml:space="preserve"> </w:t>
      </w:r>
      <w:r w:rsidR="00EE65C4" w:rsidRPr="001620D2">
        <w:t>**</w:t>
      </w:r>
      <w:r w:rsidR="00EE65C4" w:rsidRPr="006B7733">
        <w:rPr>
          <w:rFonts w:ascii="Arial" w:hAnsi="Arial"/>
          <w:sz w:val="20"/>
          <w:szCs w:val="20"/>
        </w:rPr>
        <w:t xml:space="preserve">, P &lt; 0.01. </w:t>
      </w:r>
      <w:r w:rsidRPr="006B7733">
        <w:rPr>
          <w:rFonts w:ascii="Arial" w:hAnsi="Arial"/>
          <w:sz w:val="20"/>
          <w:szCs w:val="20"/>
        </w:rPr>
        <w:t xml:space="preserve">(B) </w:t>
      </w:r>
      <w:r w:rsidR="00EE65C4" w:rsidRPr="006B7733">
        <w:rPr>
          <w:rFonts w:ascii="Arial" w:hAnsi="Arial"/>
          <w:sz w:val="20"/>
          <w:szCs w:val="20"/>
        </w:rPr>
        <w:t xml:space="preserve">The </w:t>
      </w:r>
      <w:r w:rsidR="00EE65C4">
        <w:rPr>
          <w:rFonts w:ascii="Arial" w:hAnsi="Arial"/>
          <w:sz w:val="20"/>
          <w:szCs w:val="20"/>
        </w:rPr>
        <w:t>ITGA2 protein level was determined by western blotting assay in the MGC803 cell line overexpressing UBE2CP3</w:t>
      </w:r>
      <w:r w:rsidR="00EE65C4" w:rsidRPr="006B7733">
        <w:rPr>
          <w:rFonts w:ascii="Arial" w:hAnsi="Arial"/>
          <w:sz w:val="20"/>
          <w:szCs w:val="20"/>
        </w:rPr>
        <w:t>.</w:t>
      </w:r>
    </w:p>
    <w:p w14:paraId="242327A7" w14:textId="4026F568" w:rsidR="000D7D37" w:rsidRDefault="000D7D37" w:rsidP="000D7D37">
      <w:pPr>
        <w:spacing w:line="360" w:lineRule="auto"/>
        <w:jc w:val="both"/>
        <w:rPr>
          <w:rFonts w:ascii="Arial" w:hAnsi="Arial"/>
          <w:sz w:val="20"/>
          <w:szCs w:val="20"/>
        </w:rPr>
      </w:pPr>
    </w:p>
    <w:p w14:paraId="31A15CEA" w14:textId="7461CF26" w:rsidR="00EE65C4" w:rsidRPr="00EE65C4" w:rsidRDefault="00EE65C4" w:rsidP="000D7D37">
      <w:pPr>
        <w:spacing w:line="360" w:lineRule="auto"/>
        <w:jc w:val="both"/>
        <w:rPr>
          <w:rFonts w:ascii="Arial" w:hAnsi="Arial"/>
          <w:sz w:val="20"/>
          <w:szCs w:val="20"/>
        </w:rPr>
      </w:pPr>
      <w:r w:rsidRPr="006B7733">
        <w:rPr>
          <w:rFonts w:ascii="Arial" w:hAnsi="Arial"/>
          <w:b/>
          <w:bCs/>
          <w:sz w:val="20"/>
          <w:szCs w:val="20"/>
        </w:rPr>
        <w:t>Supplement Figure S</w:t>
      </w:r>
      <w:r>
        <w:rPr>
          <w:rFonts w:ascii="Arial" w:hAnsi="Arial"/>
          <w:b/>
          <w:bCs/>
          <w:sz w:val="20"/>
          <w:szCs w:val="20"/>
        </w:rPr>
        <w:t>5</w:t>
      </w:r>
      <w:r w:rsidRPr="006B7733">
        <w:rPr>
          <w:rFonts w:ascii="Arial" w:hAnsi="Arial"/>
          <w:sz w:val="20"/>
          <w:szCs w:val="20"/>
        </w:rPr>
        <w:t xml:space="preserve"> Potential RNA-RNA interaction region between IGFBP7 mRNA and UBE2CP3 mRNA was analyzed by IntaRNA web tool. (A) The predicted RNA-RNA interaction </w:t>
      </w:r>
      <w:r w:rsidRPr="006B7733">
        <w:rPr>
          <w:rFonts w:ascii="Arial" w:hAnsi="Arial"/>
          <w:sz w:val="20"/>
          <w:szCs w:val="20"/>
        </w:rPr>
        <w:lastRenderedPageBreak/>
        <w:t>site and folding energy between IGFBP7 mRNA and UBE2CP3 mRNA was shown in the plot. (B) The predicted RNA-RNA interaction site was located at the 3’UTR of IGFBP7.</w:t>
      </w:r>
    </w:p>
    <w:p w14:paraId="55059378" w14:textId="77777777" w:rsidR="00EE65C4" w:rsidRPr="00EE65C4" w:rsidRDefault="00EE65C4" w:rsidP="000D7D37">
      <w:pPr>
        <w:spacing w:line="360" w:lineRule="auto"/>
        <w:jc w:val="both"/>
        <w:rPr>
          <w:rFonts w:ascii="Arial" w:hAnsi="Arial"/>
          <w:sz w:val="20"/>
          <w:szCs w:val="20"/>
        </w:rPr>
      </w:pPr>
    </w:p>
    <w:p w14:paraId="73B4FB2B" w14:textId="39EC25F3" w:rsidR="000D7D37" w:rsidRPr="006B7733" w:rsidRDefault="000D7D37" w:rsidP="000D7D37">
      <w:pPr>
        <w:spacing w:line="360" w:lineRule="auto"/>
        <w:jc w:val="both"/>
        <w:rPr>
          <w:rFonts w:ascii="Arial" w:hAnsi="Arial"/>
          <w:sz w:val="20"/>
          <w:szCs w:val="20"/>
        </w:rPr>
      </w:pPr>
      <w:r w:rsidRPr="006B7733">
        <w:rPr>
          <w:rFonts w:ascii="Arial" w:hAnsi="Arial"/>
          <w:b/>
          <w:bCs/>
          <w:sz w:val="20"/>
          <w:szCs w:val="20"/>
        </w:rPr>
        <w:t>Supplement Figure S</w:t>
      </w:r>
      <w:r w:rsidR="00EE65C4">
        <w:rPr>
          <w:rFonts w:ascii="Arial" w:hAnsi="Arial"/>
          <w:b/>
          <w:bCs/>
          <w:sz w:val="20"/>
          <w:szCs w:val="20"/>
        </w:rPr>
        <w:t>6</w:t>
      </w:r>
      <w:r w:rsidRPr="006B7733">
        <w:rPr>
          <w:rFonts w:ascii="Arial" w:hAnsi="Arial"/>
          <w:sz w:val="20"/>
          <w:szCs w:val="20"/>
        </w:rPr>
        <w:t xml:space="preserve"> Knockdown of IGFBP7 significantly decreased the expression level of ITGA2 in GC cell lines. (A) The knockdown efficiency of IGFBP7 was verified in the RNA-seq data of SGC7901 cells. (B) The transcripts abundance of ITGA2 detected by the RNA-seq of IGFBP7-depletion was shown in the plot. The ordinate represents counts per million (CPM) value (0-400). (C) The ITGA2 expression level was detected after knockdown of IGFBP7 in different GC cell lines. </w:t>
      </w:r>
      <w:r w:rsidR="004B0769">
        <w:rPr>
          <w:rFonts w:ascii="Arial" w:hAnsi="Arial"/>
          <w:sz w:val="20"/>
          <w:szCs w:val="20"/>
        </w:rPr>
        <w:t>T</w:t>
      </w:r>
      <w:r w:rsidR="004B0769" w:rsidRPr="005F77C5">
        <w:rPr>
          <w:rFonts w:ascii="Arial" w:hAnsi="Arial"/>
          <w:sz w:val="20"/>
          <w:szCs w:val="20"/>
        </w:rPr>
        <w:t xml:space="preserve">he P values were estimated using </w:t>
      </w:r>
      <w:r w:rsidR="004B0769">
        <w:rPr>
          <w:rFonts w:ascii="Arial" w:hAnsi="Arial"/>
          <w:sz w:val="20"/>
          <w:szCs w:val="20"/>
        </w:rPr>
        <w:t>one-way ANOVA test</w:t>
      </w:r>
      <w:r w:rsidR="004B0769">
        <w:t>.</w:t>
      </w:r>
      <w:r w:rsidR="004B0769" w:rsidRPr="006B7733">
        <w:rPr>
          <w:rFonts w:ascii="Arial" w:hAnsi="Arial"/>
          <w:sz w:val="20"/>
          <w:szCs w:val="20"/>
        </w:rPr>
        <w:t xml:space="preserve"> </w:t>
      </w:r>
      <w:r w:rsidR="004B0769" w:rsidRPr="001620D2">
        <w:t>**</w:t>
      </w:r>
      <w:r w:rsidR="004B0769" w:rsidRPr="006B7733">
        <w:rPr>
          <w:rFonts w:ascii="Arial" w:hAnsi="Arial"/>
          <w:sz w:val="20"/>
          <w:szCs w:val="20"/>
        </w:rPr>
        <w:t>, P &lt; 0.01.</w:t>
      </w:r>
      <w:r w:rsidRPr="006B7733">
        <w:rPr>
          <w:rFonts w:ascii="Arial" w:hAnsi="Arial"/>
          <w:sz w:val="20"/>
          <w:szCs w:val="20"/>
        </w:rPr>
        <w:t xml:space="preserve"> (D) IGFBP7 expression was upregulated in GC tissues compared to the gastric normal tissues.</w:t>
      </w:r>
      <w:r>
        <w:rPr>
          <w:rFonts w:ascii="Arial" w:hAnsi="Arial"/>
          <w:sz w:val="20"/>
          <w:szCs w:val="20"/>
        </w:rPr>
        <w:t xml:space="preserve"> </w:t>
      </w:r>
      <w:r w:rsidR="004B0769">
        <w:rPr>
          <w:rFonts w:ascii="Arial" w:hAnsi="Arial"/>
          <w:sz w:val="20"/>
          <w:szCs w:val="20"/>
        </w:rPr>
        <w:t>T</w:t>
      </w:r>
      <w:r w:rsidR="004B0769" w:rsidRPr="005F77C5">
        <w:rPr>
          <w:rFonts w:ascii="Arial" w:hAnsi="Arial"/>
          <w:sz w:val="20"/>
          <w:szCs w:val="20"/>
        </w:rPr>
        <w:t xml:space="preserve">he P values were estimated using </w:t>
      </w:r>
      <w:r w:rsidR="004B0769">
        <w:rPr>
          <w:rFonts w:ascii="Arial" w:hAnsi="Arial"/>
          <w:sz w:val="20"/>
          <w:szCs w:val="20"/>
        </w:rPr>
        <w:t>one-way ANOVA test</w:t>
      </w:r>
      <w:r w:rsidR="004B0769">
        <w:t>.</w:t>
      </w:r>
      <w:r w:rsidR="004B0769" w:rsidRPr="006B7733">
        <w:rPr>
          <w:rFonts w:ascii="Arial" w:hAnsi="Arial"/>
          <w:sz w:val="20"/>
          <w:szCs w:val="20"/>
        </w:rPr>
        <w:t xml:space="preserve"> </w:t>
      </w:r>
      <w:r w:rsidR="004B0769" w:rsidRPr="001620D2">
        <w:t>**</w:t>
      </w:r>
      <w:r w:rsidR="004B0769" w:rsidRPr="006B7733">
        <w:rPr>
          <w:rFonts w:ascii="Arial" w:hAnsi="Arial"/>
          <w:sz w:val="20"/>
          <w:szCs w:val="20"/>
        </w:rPr>
        <w:t>, P &lt; 0.01.</w:t>
      </w:r>
      <w:r>
        <w:t xml:space="preserve"> </w:t>
      </w:r>
      <w:r w:rsidRPr="006B7733">
        <w:rPr>
          <w:rFonts w:ascii="Arial" w:hAnsi="Arial"/>
          <w:sz w:val="20"/>
          <w:szCs w:val="20"/>
        </w:rPr>
        <w:t>(E) The overexpression of IGFBP7 predicted a poor prognosis (OVS+DFS) in GC patients from TCGA cohort.</w:t>
      </w:r>
      <w:r>
        <w:rPr>
          <w:rFonts w:ascii="Arial" w:hAnsi="Arial"/>
          <w:sz w:val="20"/>
          <w:szCs w:val="20"/>
        </w:rPr>
        <w:t xml:space="preserve"> T</w:t>
      </w:r>
      <w:r w:rsidRPr="005F77C5">
        <w:rPr>
          <w:rFonts w:ascii="Arial" w:hAnsi="Arial"/>
          <w:sz w:val="20"/>
          <w:szCs w:val="20"/>
        </w:rPr>
        <w:t>he P values were estimated using</w:t>
      </w:r>
      <w:r>
        <w:t xml:space="preserve"> </w:t>
      </w:r>
      <w:r w:rsidRPr="005F77C5">
        <w:rPr>
          <w:rFonts w:ascii="Arial" w:hAnsi="Arial"/>
          <w:sz w:val="20"/>
          <w:szCs w:val="20"/>
        </w:rPr>
        <w:t>log-rank test</w:t>
      </w:r>
      <w:r>
        <w:rPr>
          <w:rFonts w:hint="eastAsia"/>
        </w:rPr>
        <w:t>.</w:t>
      </w:r>
      <w:r w:rsidRPr="006B7733">
        <w:rPr>
          <w:rFonts w:ascii="Arial" w:hAnsi="Arial"/>
          <w:sz w:val="20"/>
          <w:szCs w:val="20"/>
        </w:rPr>
        <w:t xml:space="preserve"> (F) The overexpression of IGFBP7 predicted a poor prognosis (OVS+DFS) in GC patients from GSE62254 cohort.</w:t>
      </w:r>
      <w:r>
        <w:rPr>
          <w:rFonts w:ascii="Arial" w:hAnsi="Arial"/>
          <w:sz w:val="20"/>
          <w:szCs w:val="20"/>
        </w:rPr>
        <w:t xml:space="preserve"> T</w:t>
      </w:r>
      <w:r w:rsidRPr="005F77C5">
        <w:rPr>
          <w:rFonts w:ascii="Arial" w:hAnsi="Arial"/>
          <w:sz w:val="20"/>
          <w:szCs w:val="20"/>
        </w:rPr>
        <w:t>he P values were estimated using</w:t>
      </w:r>
      <w:r>
        <w:t xml:space="preserve"> </w:t>
      </w:r>
      <w:r w:rsidRPr="005F77C5">
        <w:rPr>
          <w:rFonts w:ascii="Arial" w:hAnsi="Arial"/>
          <w:sz w:val="20"/>
          <w:szCs w:val="20"/>
        </w:rPr>
        <w:t>log-rank test</w:t>
      </w:r>
      <w:r>
        <w:rPr>
          <w:rFonts w:hint="eastAsia"/>
        </w:rPr>
        <w:t>.</w:t>
      </w:r>
      <w:r>
        <w:t xml:space="preserve"> </w:t>
      </w:r>
    </w:p>
    <w:p w14:paraId="0114A818" w14:textId="77777777" w:rsidR="000D7D37" w:rsidRPr="006B7733" w:rsidRDefault="000D7D37" w:rsidP="000D7D37">
      <w:pPr>
        <w:spacing w:line="360" w:lineRule="auto"/>
        <w:jc w:val="both"/>
        <w:rPr>
          <w:rFonts w:ascii="Arial" w:hAnsi="Arial"/>
          <w:sz w:val="20"/>
          <w:szCs w:val="20"/>
        </w:rPr>
      </w:pPr>
    </w:p>
    <w:p w14:paraId="1F6B56F1" w14:textId="77777777" w:rsidR="000D7D37" w:rsidRPr="006B7733" w:rsidRDefault="000D7D37" w:rsidP="000D7D37">
      <w:pPr>
        <w:spacing w:line="360" w:lineRule="auto"/>
        <w:jc w:val="both"/>
        <w:rPr>
          <w:rFonts w:ascii="Arial" w:hAnsi="Arial"/>
          <w:sz w:val="20"/>
          <w:szCs w:val="20"/>
        </w:rPr>
      </w:pPr>
    </w:p>
    <w:p w14:paraId="73F3146B" w14:textId="51F662EB" w:rsidR="000D7D37" w:rsidRPr="006B7733" w:rsidRDefault="000D7D37" w:rsidP="000D7D37">
      <w:pPr>
        <w:spacing w:line="360" w:lineRule="auto"/>
        <w:jc w:val="both"/>
        <w:rPr>
          <w:rFonts w:ascii="Arial" w:hAnsi="Arial"/>
          <w:sz w:val="20"/>
          <w:szCs w:val="20"/>
        </w:rPr>
      </w:pPr>
      <w:r w:rsidRPr="006B7733">
        <w:rPr>
          <w:rFonts w:ascii="Arial" w:hAnsi="Arial"/>
          <w:b/>
          <w:bCs/>
          <w:sz w:val="20"/>
          <w:szCs w:val="20"/>
        </w:rPr>
        <w:t>Table S</w:t>
      </w:r>
      <w:r w:rsidR="00007B20">
        <w:rPr>
          <w:rFonts w:ascii="Arial" w:hAnsi="Arial"/>
          <w:b/>
          <w:bCs/>
          <w:sz w:val="20"/>
          <w:szCs w:val="20"/>
        </w:rPr>
        <w:t>1</w:t>
      </w:r>
      <w:r w:rsidRPr="006B7733">
        <w:rPr>
          <w:rFonts w:ascii="Arial" w:hAnsi="Arial"/>
          <w:b/>
          <w:bCs/>
          <w:sz w:val="20"/>
          <w:szCs w:val="20"/>
        </w:rPr>
        <w:t xml:space="preserve">: </w:t>
      </w:r>
      <w:r w:rsidRPr="006B7733">
        <w:rPr>
          <w:rFonts w:ascii="Arial" w:hAnsi="Arial"/>
          <w:sz w:val="20"/>
          <w:szCs w:val="20"/>
        </w:rPr>
        <w:t>The full-length cDNA sequence of UBE2CP3 according to the sanger sequencing.</w:t>
      </w:r>
    </w:p>
    <w:p w14:paraId="4F6347E7" w14:textId="77777777" w:rsidR="000D7D37" w:rsidRPr="006B7733" w:rsidRDefault="000D7D37" w:rsidP="000D7D37">
      <w:pPr>
        <w:spacing w:line="360" w:lineRule="auto"/>
        <w:jc w:val="both"/>
        <w:rPr>
          <w:rFonts w:ascii="Arial" w:hAnsi="Arial"/>
          <w:sz w:val="20"/>
          <w:szCs w:val="20"/>
        </w:rPr>
      </w:pPr>
    </w:p>
    <w:p w14:paraId="2ECA4CA6" w14:textId="7FCF2667" w:rsidR="000D7D37" w:rsidRPr="006B7733" w:rsidRDefault="000D7D37" w:rsidP="000D7D37">
      <w:pPr>
        <w:spacing w:line="360" w:lineRule="auto"/>
        <w:jc w:val="both"/>
        <w:rPr>
          <w:rFonts w:ascii="Arial" w:hAnsi="Arial"/>
          <w:sz w:val="20"/>
          <w:szCs w:val="20"/>
        </w:rPr>
      </w:pPr>
      <w:r w:rsidRPr="006B7733">
        <w:rPr>
          <w:rFonts w:ascii="Arial" w:hAnsi="Arial"/>
          <w:b/>
          <w:bCs/>
          <w:sz w:val="20"/>
          <w:szCs w:val="20"/>
        </w:rPr>
        <w:t>Table S</w:t>
      </w:r>
      <w:r w:rsidR="00007B20">
        <w:rPr>
          <w:rFonts w:ascii="Arial" w:hAnsi="Arial"/>
          <w:b/>
          <w:bCs/>
          <w:sz w:val="20"/>
          <w:szCs w:val="20"/>
        </w:rPr>
        <w:t>2</w:t>
      </w:r>
      <w:r w:rsidRPr="006B7733">
        <w:rPr>
          <w:rFonts w:ascii="Arial" w:hAnsi="Arial"/>
          <w:b/>
          <w:bCs/>
          <w:sz w:val="20"/>
          <w:szCs w:val="20"/>
        </w:rPr>
        <w:t xml:space="preserve">: </w:t>
      </w:r>
      <w:r w:rsidRPr="006B7733">
        <w:rPr>
          <w:rFonts w:ascii="Arial" w:hAnsi="Arial"/>
          <w:sz w:val="20"/>
          <w:szCs w:val="20"/>
        </w:rPr>
        <w:t>The RNA-seq data of UBE2CP3 knockdown in SGC7901 cells.</w:t>
      </w:r>
    </w:p>
    <w:p w14:paraId="21EB4D14" w14:textId="77777777" w:rsidR="000D7D37" w:rsidRPr="006B7733" w:rsidRDefault="000D7D37" w:rsidP="000D7D37">
      <w:pPr>
        <w:spacing w:line="360" w:lineRule="auto"/>
        <w:jc w:val="both"/>
        <w:rPr>
          <w:rFonts w:ascii="Arial" w:hAnsi="Arial"/>
          <w:sz w:val="20"/>
          <w:szCs w:val="20"/>
        </w:rPr>
      </w:pPr>
    </w:p>
    <w:p w14:paraId="5AF8CAC3" w14:textId="4EBFD8DB" w:rsidR="000D7D37" w:rsidRDefault="000D7D37" w:rsidP="000D7D37">
      <w:pPr>
        <w:spacing w:line="360" w:lineRule="auto"/>
        <w:jc w:val="both"/>
      </w:pPr>
      <w:r w:rsidRPr="006B7733">
        <w:rPr>
          <w:rFonts w:ascii="Arial" w:hAnsi="Arial"/>
          <w:b/>
          <w:bCs/>
          <w:sz w:val="20"/>
          <w:szCs w:val="20"/>
        </w:rPr>
        <w:t>Table S</w:t>
      </w:r>
      <w:r w:rsidR="00007B20">
        <w:rPr>
          <w:rFonts w:ascii="Arial" w:hAnsi="Arial"/>
          <w:b/>
          <w:bCs/>
          <w:sz w:val="20"/>
          <w:szCs w:val="20"/>
        </w:rPr>
        <w:t>3</w:t>
      </w:r>
      <w:r w:rsidRPr="006B7733">
        <w:rPr>
          <w:rFonts w:ascii="Arial" w:hAnsi="Arial"/>
          <w:b/>
          <w:bCs/>
          <w:sz w:val="20"/>
          <w:szCs w:val="20"/>
        </w:rPr>
        <w:t xml:space="preserve">: </w:t>
      </w:r>
      <w:r w:rsidRPr="006B7733">
        <w:rPr>
          <w:rFonts w:ascii="Arial" w:hAnsi="Arial"/>
          <w:sz w:val="20"/>
          <w:szCs w:val="20"/>
        </w:rPr>
        <w:t>The mass spectrometry (MS) analysis of the proteins in specifically differential band around 90 kDa in RNA pulldown assay.</w:t>
      </w:r>
    </w:p>
    <w:p w14:paraId="15877428" w14:textId="77777777" w:rsidR="000D7D37" w:rsidRDefault="000D7D37" w:rsidP="000D7D37">
      <w:pPr>
        <w:rPr>
          <w:b/>
          <w:bCs/>
        </w:rPr>
      </w:pPr>
    </w:p>
    <w:p w14:paraId="087FE9CB" w14:textId="3F1F8A84" w:rsidR="000D7D37" w:rsidRDefault="000D7D37" w:rsidP="000D7D37">
      <w:r w:rsidRPr="001F010D">
        <w:rPr>
          <w:rFonts w:hint="eastAsia"/>
          <w:b/>
          <w:bCs/>
        </w:rPr>
        <w:lastRenderedPageBreak/>
        <w:t>T</w:t>
      </w:r>
      <w:r w:rsidRPr="001F010D">
        <w:rPr>
          <w:b/>
          <w:bCs/>
        </w:rPr>
        <w:t>able S</w:t>
      </w:r>
      <w:r w:rsidR="00007B20">
        <w:rPr>
          <w:b/>
          <w:bCs/>
        </w:rPr>
        <w:t>4</w:t>
      </w:r>
      <w:r w:rsidRPr="001F010D">
        <w:rPr>
          <w:b/>
          <w:bCs/>
        </w:rPr>
        <w:t>:</w:t>
      </w:r>
      <w:r>
        <w:rPr>
          <w:b/>
          <w:bCs/>
        </w:rPr>
        <w:t xml:space="preserve"> </w:t>
      </w:r>
      <w:r w:rsidRPr="00127ECB">
        <w:t>The</w:t>
      </w:r>
      <w:r>
        <w:t xml:space="preserve"> transcription factors that bind to the UBE2CP3 promoter are analyzed by Cistrome web tool.</w:t>
      </w:r>
    </w:p>
    <w:p w14:paraId="3811D314" w14:textId="77777777" w:rsidR="00007B20" w:rsidRDefault="00007B20" w:rsidP="000D7D37"/>
    <w:p w14:paraId="3175FC1A" w14:textId="0480B410" w:rsidR="00007B20" w:rsidRPr="006B7733" w:rsidRDefault="00007B20" w:rsidP="00007B20">
      <w:pPr>
        <w:spacing w:line="360" w:lineRule="auto"/>
        <w:jc w:val="both"/>
        <w:rPr>
          <w:rFonts w:ascii="Arial" w:hAnsi="Arial"/>
          <w:sz w:val="20"/>
          <w:szCs w:val="20"/>
        </w:rPr>
      </w:pPr>
      <w:r w:rsidRPr="006B7733">
        <w:rPr>
          <w:rFonts w:ascii="Arial" w:hAnsi="Arial"/>
          <w:b/>
          <w:bCs/>
          <w:sz w:val="20"/>
          <w:szCs w:val="20"/>
        </w:rPr>
        <w:t>Table S</w:t>
      </w:r>
      <w:r>
        <w:rPr>
          <w:rFonts w:ascii="Arial" w:hAnsi="Arial"/>
          <w:b/>
          <w:bCs/>
          <w:sz w:val="20"/>
          <w:szCs w:val="20"/>
        </w:rPr>
        <w:t>5</w:t>
      </w:r>
      <w:r w:rsidRPr="006B7733">
        <w:rPr>
          <w:rFonts w:ascii="Arial" w:hAnsi="Arial"/>
          <w:b/>
          <w:bCs/>
          <w:sz w:val="20"/>
          <w:szCs w:val="20"/>
        </w:rPr>
        <w:t xml:space="preserve">: </w:t>
      </w:r>
      <w:r w:rsidRPr="006B7733">
        <w:rPr>
          <w:rFonts w:ascii="Arial" w:hAnsi="Arial"/>
          <w:sz w:val="20"/>
          <w:szCs w:val="20"/>
        </w:rPr>
        <w:t>The information of siRNAs and primers used in this study.</w:t>
      </w:r>
    </w:p>
    <w:p w14:paraId="16554DD6" w14:textId="77777777" w:rsidR="00007B20" w:rsidRPr="006B7733" w:rsidRDefault="00007B20" w:rsidP="00007B20">
      <w:pPr>
        <w:spacing w:line="360" w:lineRule="auto"/>
        <w:jc w:val="both"/>
        <w:rPr>
          <w:rFonts w:ascii="Arial" w:hAnsi="Arial"/>
          <w:sz w:val="20"/>
          <w:szCs w:val="20"/>
        </w:rPr>
      </w:pPr>
    </w:p>
    <w:p w14:paraId="6197BCCB" w14:textId="05BD02C2" w:rsidR="00007B20" w:rsidRPr="006B7733" w:rsidRDefault="00007B20" w:rsidP="00007B20">
      <w:pPr>
        <w:spacing w:line="360" w:lineRule="auto"/>
        <w:jc w:val="both"/>
        <w:rPr>
          <w:rFonts w:ascii="Arial" w:hAnsi="Arial"/>
          <w:sz w:val="20"/>
          <w:szCs w:val="20"/>
        </w:rPr>
      </w:pPr>
      <w:r w:rsidRPr="006B7733">
        <w:rPr>
          <w:rFonts w:ascii="Arial" w:hAnsi="Arial"/>
          <w:b/>
          <w:bCs/>
          <w:sz w:val="20"/>
          <w:szCs w:val="20"/>
        </w:rPr>
        <w:t>Table S</w:t>
      </w:r>
      <w:r>
        <w:rPr>
          <w:rFonts w:ascii="Arial" w:hAnsi="Arial"/>
          <w:b/>
          <w:bCs/>
          <w:sz w:val="20"/>
          <w:szCs w:val="20"/>
        </w:rPr>
        <w:t>6</w:t>
      </w:r>
      <w:r w:rsidRPr="006B7733">
        <w:rPr>
          <w:rFonts w:ascii="Arial" w:hAnsi="Arial"/>
          <w:b/>
          <w:bCs/>
          <w:sz w:val="20"/>
          <w:szCs w:val="20"/>
        </w:rPr>
        <w:t xml:space="preserve">: </w:t>
      </w:r>
      <w:r w:rsidRPr="006B7733">
        <w:rPr>
          <w:rFonts w:ascii="Arial" w:hAnsi="Arial"/>
          <w:sz w:val="20"/>
          <w:szCs w:val="20"/>
        </w:rPr>
        <w:t>The information of antibodies used in this study.</w:t>
      </w:r>
    </w:p>
    <w:p w14:paraId="2DE81727" w14:textId="77777777" w:rsidR="002D7CB9" w:rsidRPr="00007B20" w:rsidRDefault="002D7CB9"/>
    <w:sectPr w:rsidR="002D7CB9" w:rsidRPr="00007B2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0D4D6A" w14:textId="77777777" w:rsidR="000E25A3" w:rsidRDefault="000E25A3" w:rsidP="00EE65C4">
      <w:pPr>
        <w:spacing w:after="0" w:line="240" w:lineRule="auto"/>
      </w:pPr>
      <w:r>
        <w:separator/>
      </w:r>
    </w:p>
  </w:endnote>
  <w:endnote w:type="continuationSeparator" w:id="0">
    <w:p w14:paraId="4391F674" w14:textId="77777777" w:rsidR="000E25A3" w:rsidRDefault="000E25A3" w:rsidP="00EE6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GulliverRM">
    <w:altName w:val="Times New Roman"/>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CEAE60" w14:textId="77777777" w:rsidR="000E25A3" w:rsidRDefault="000E25A3" w:rsidP="00EE65C4">
      <w:pPr>
        <w:spacing w:after="0" w:line="240" w:lineRule="auto"/>
      </w:pPr>
      <w:r>
        <w:separator/>
      </w:r>
    </w:p>
  </w:footnote>
  <w:footnote w:type="continuationSeparator" w:id="0">
    <w:p w14:paraId="232B67C8" w14:textId="77777777" w:rsidR="000E25A3" w:rsidRDefault="000E25A3" w:rsidP="00EE65C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D37"/>
    <w:rsid w:val="00007B20"/>
    <w:rsid w:val="000D7D37"/>
    <w:rsid w:val="000E25A3"/>
    <w:rsid w:val="001A5040"/>
    <w:rsid w:val="002D7CB9"/>
    <w:rsid w:val="004B0769"/>
    <w:rsid w:val="0079251F"/>
    <w:rsid w:val="00EE65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D5ACCF"/>
  <w15:chartTrackingRefBased/>
  <w15:docId w15:val="{3C6264DF-AA42-4476-BFD2-1E87EB8E2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7D37"/>
    <w:pPr>
      <w:spacing w:after="200" w:line="276" w:lineRule="auto"/>
    </w:pPr>
    <w:rPr>
      <w:rFonts w:ascii="Calibri" w:eastAsia="宋体" w:hAnsi="Calibri" w:cs="Arial"/>
      <w:kern w:val="0"/>
      <w:sz w:val="22"/>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E65C4"/>
    <w:pPr>
      <w:pBdr>
        <w:bottom w:val="single" w:sz="6" w:space="1" w:color="auto"/>
      </w:pBd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EE65C4"/>
    <w:rPr>
      <w:rFonts w:ascii="Calibri" w:eastAsia="宋体" w:hAnsi="Calibri" w:cs="Arial"/>
      <w:kern w:val="0"/>
      <w:sz w:val="18"/>
      <w:szCs w:val="18"/>
      <w:lang w:val="en-GB"/>
    </w:rPr>
  </w:style>
  <w:style w:type="paragraph" w:styleId="a5">
    <w:name w:val="footer"/>
    <w:basedOn w:val="a"/>
    <w:link w:val="a6"/>
    <w:uiPriority w:val="99"/>
    <w:unhideWhenUsed/>
    <w:rsid w:val="00EE65C4"/>
    <w:pPr>
      <w:tabs>
        <w:tab w:val="center" w:pos="4153"/>
        <w:tab w:val="right" w:pos="8306"/>
      </w:tabs>
      <w:snapToGrid w:val="0"/>
      <w:spacing w:line="240" w:lineRule="auto"/>
    </w:pPr>
    <w:rPr>
      <w:sz w:val="18"/>
      <w:szCs w:val="18"/>
    </w:rPr>
  </w:style>
  <w:style w:type="character" w:customStyle="1" w:styleId="a6">
    <w:name w:val="页脚 字符"/>
    <w:basedOn w:val="a0"/>
    <w:link w:val="a5"/>
    <w:uiPriority w:val="99"/>
    <w:rsid w:val="00EE65C4"/>
    <w:rPr>
      <w:rFonts w:ascii="Calibri" w:eastAsia="宋体" w:hAnsi="Calibri" w:cs="Arial"/>
      <w:kern w:val="0"/>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487</Words>
  <Characters>2781</Characters>
  <Application>Microsoft Office Word</Application>
  <DocSecurity>0</DocSecurity>
  <Lines>23</Lines>
  <Paragraphs>6</Paragraphs>
  <ScaleCrop>false</ScaleCrop>
  <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Qin Shanshan</dc:creator>
  <cp:keywords/>
  <dc:description/>
  <cp:lastModifiedBy>Qin Shanshan</cp:lastModifiedBy>
  <cp:revision>5</cp:revision>
  <dcterms:created xsi:type="dcterms:W3CDTF">2021-05-10T10:28:00Z</dcterms:created>
  <dcterms:modified xsi:type="dcterms:W3CDTF">2021-06-28T01:55:00Z</dcterms:modified>
</cp:coreProperties>
</file>