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ECC0F" w14:textId="70B70271" w:rsidR="00432237" w:rsidRPr="00232F89" w:rsidRDefault="00372F4F" w:rsidP="00232F89">
      <w:pPr>
        <w:jc w:val="center"/>
        <w:rPr>
          <w:rFonts w:ascii="Arial" w:hAnsi="Arial" w:cs="Arial"/>
          <w:b/>
          <w:sz w:val="28"/>
          <w:szCs w:val="28"/>
          <w:lang w:val="en-US"/>
        </w:rPr>
      </w:pPr>
      <w:bookmarkStart w:id="0" w:name="_GoBack"/>
      <w:bookmarkEnd w:id="0"/>
      <w:r w:rsidRPr="00232F89">
        <w:rPr>
          <w:rFonts w:ascii="Arial" w:hAnsi="Arial" w:cs="Arial"/>
          <w:b/>
          <w:sz w:val="28"/>
          <w:szCs w:val="28"/>
          <w:lang w:val="en-US"/>
        </w:rPr>
        <w:t>Supplementary information</w:t>
      </w:r>
    </w:p>
    <w:p w14:paraId="37E59061" w14:textId="7CE09F4B" w:rsidR="00372F4F" w:rsidRPr="00232F89" w:rsidRDefault="00372F4F">
      <w:pPr>
        <w:rPr>
          <w:rFonts w:ascii="Arial" w:hAnsi="Arial" w:cs="Arial"/>
          <w:lang w:val="en-US"/>
        </w:rPr>
      </w:pPr>
    </w:p>
    <w:p w14:paraId="504BFA14" w14:textId="5B2225FC" w:rsidR="00372F4F" w:rsidRPr="00232F89" w:rsidRDefault="00372F4F">
      <w:pPr>
        <w:rPr>
          <w:rFonts w:ascii="Arial" w:hAnsi="Arial" w:cs="Arial"/>
          <w:b/>
          <w:bCs/>
          <w:lang w:val="en-US"/>
        </w:rPr>
      </w:pPr>
      <w:r w:rsidRPr="00232F89">
        <w:rPr>
          <w:rFonts w:ascii="Arial" w:hAnsi="Arial" w:cs="Arial"/>
          <w:b/>
          <w:bCs/>
          <w:lang w:val="en-US"/>
        </w:rPr>
        <w:t>Supplementary methods</w:t>
      </w:r>
    </w:p>
    <w:p w14:paraId="44914007" w14:textId="13521946" w:rsidR="00372F4F" w:rsidRPr="00372F4F" w:rsidRDefault="00372F4F">
      <w:pPr>
        <w:rPr>
          <w:lang w:val="en-US"/>
        </w:rPr>
      </w:pPr>
    </w:p>
    <w:p w14:paraId="5ADB4AD5" w14:textId="77777777" w:rsidR="00372F4F" w:rsidRPr="00372F4F" w:rsidRDefault="00372F4F" w:rsidP="00372F4F">
      <w:pPr>
        <w:pStyle w:val="NoSpacing"/>
        <w:spacing w:line="480" w:lineRule="auto"/>
        <w:jc w:val="both"/>
        <w:rPr>
          <w:rFonts w:ascii="Arial" w:hAnsi="Arial" w:cs="Arial"/>
          <w:b/>
          <w:color w:val="000000" w:themeColor="text1"/>
          <w:sz w:val="22"/>
          <w:szCs w:val="22"/>
        </w:rPr>
      </w:pPr>
      <w:r w:rsidRPr="00372F4F">
        <w:rPr>
          <w:rFonts w:ascii="Arial" w:hAnsi="Arial" w:cs="Arial"/>
          <w:b/>
          <w:color w:val="000000" w:themeColor="text1"/>
          <w:sz w:val="22"/>
          <w:szCs w:val="22"/>
        </w:rPr>
        <w:t>Transfection of siRNA</w:t>
      </w:r>
    </w:p>
    <w:p w14:paraId="29D2B408"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U20S-GFP-LC3 or 22Rv1 cells were transfected using INTERFERin (Polyplus) following the manufacturer’s instructions. Next, 48 hours (simple transfection) or 96 and 48 hours (double transfection) before collection, cells were transfected with 25 nM of AllStars Negative Control siRNA_scramble (Qiagen, 1027280) as control or siRNA_METTL1 (siRNA METTL1-1 (Qiagen, SI00076118) or METTL1-2 (Qiagen, SI00076132)).</w:t>
      </w:r>
    </w:p>
    <w:p w14:paraId="13516AE7"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357EEB26" w14:textId="77777777" w:rsidR="00372F4F" w:rsidRPr="00372F4F" w:rsidRDefault="00372F4F" w:rsidP="00372F4F">
      <w:pPr>
        <w:pStyle w:val="NoSpacing"/>
        <w:spacing w:line="480" w:lineRule="auto"/>
        <w:jc w:val="both"/>
        <w:rPr>
          <w:rFonts w:ascii="Arial" w:hAnsi="Arial" w:cs="Arial"/>
          <w:b/>
          <w:color w:val="000000" w:themeColor="text1"/>
          <w:sz w:val="22"/>
          <w:szCs w:val="22"/>
        </w:rPr>
      </w:pPr>
      <w:bookmarkStart w:id="1" w:name="_Toc108603967"/>
      <w:r w:rsidRPr="00372F4F">
        <w:rPr>
          <w:rFonts w:ascii="Arial" w:hAnsi="Arial" w:cs="Arial"/>
          <w:b/>
          <w:color w:val="000000" w:themeColor="text1"/>
          <w:sz w:val="22"/>
          <w:szCs w:val="22"/>
        </w:rPr>
        <w:t>Single-cell spheroids formation</w:t>
      </w:r>
      <w:bookmarkEnd w:id="1"/>
    </w:p>
    <w:p w14:paraId="610FD25E" w14:textId="77777777" w:rsidR="00372F4F" w:rsidRPr="00372F4F" w:rsidRDefault="00372F4F" w:rsidP="00372F4F">
      <w:pPr>
        <w:spacing w:line="480" w:lineRule="auto"/>
        <w:jc w:val="both"/>
        <w:rPr>
          <w:rFonts w:ascii="Arial" w:hAnsi="Arial" w:cs="Arial"/>
          <w:color w:val="000000" w:themeColor="text1"/>
          <w:sz w:val="22"/>
          <w:szCs w:val="22"/>
          <w:lang w:val="en-US"/>
        </w:rPr>
      </w:pPr>
      <w:r w:rsidRPr="00372F4F">
        <w:rPr>
          <w:rFonts w:ascii="Arial" w:hAnsi="Arial" w:cs="Arial"/>
          <w:color w:val="000000" w:themeColor="text1"/>
          <w:sz w:val="22"/>
          <w:szCs w:val="22"/>
          <w:lang w:val="en-US"/>
        </w:rPr>
        <w:t xml:space="preserve">PC3 and DU145 cell lines were grown in non-adherent conditions by pre-treating p96-well plates with 12 g/L of poly-2-hydroxyethyl methacrylate (polyHEMA, Santa Cruz Biotech.) resuspended in ethanol (Supelco). Plates were dried overnight at 65ºC and 1-1.5 cells per well were seeded by performing serial dilutions. Spheres were grown in DMEM/F12 (Gibco) medium supplemented with 1% B27 (Gibco, 17504-044), 0.02 µg/ml EGF (Gibco, PH60315), 0.004 µg/ml bFGF (ThermoFisher, 68-8785-63), 8% BSA (Nzytech, MB04602) and 1% penicillin/streptomycin. Wells with single cells were selected by microscopic observation. Spheroids were grown for 18-21 days and manually counted. At least three replicates were performed. For qPCR analysis, spheroids were collected by centrifugation and RNA was extracted from either cells growing in normal conditions, or spheroids at passage 1 (Sp1) and passage 2 (Sp2). </w:t>
      </w:r>
      <w:bookmarkStart w:id="2" w:name="_Toc108603966"/>
    </w:p>
    <w:p w14:paraId="37063784" w14:textId="77777777" w:rsidR="00372F4F" w:rsidRPr="00372F4F" w:rsidRDefault="00372F4F" w:rsidP="00372F4F">
      <w:pPr>
        <w:spacing w:line="480" w:lineRule="auto"/>
        <w:jc w:val="both"/>
        <w:rPr>
          <w:rFonts w:ascii="Arial" w:hAnsi="Arial" w:cs="Arial"/>
          <w:b/>
          <w:color w:val="000000" w:themeColor="text1"/>
          <w:sz w:val="22"/>
          <w:szCs w:val="22"/>
          <w:lang w:val="en-US"/>
        </w:rPr>
      </w:pPr>
    </w:p>
    <w:p w14:paraId="048C94DB" w14:textId="77777777" w:rsidR="00372F4F" w:rsidRPr="00372F4F" w:rsidRDefault="00372F4F" w:rsidP="00372F4F">
      <w:pPr>
        <w:spacing w:line="480" w:lineRule="auto"/>
        <w:jc w:val="both"/>
        <w:rPr>
          <w:rFonts w:ascii="Arial" w:hAnsi="Arial" w:cs="Arial"/>
          <w:color w:val="000000" w:themeColor="text1"/>
          <w:sz w:val="22"/>
          <w:szCs w:val="22"/>
          <w:lang w:val="en-US"/>
        </w:rPr>
      </w:pPr>
      <w:r w:rsidRPr="00372F4F">
        <w:rPr>
          <w:rFonts w:ascii="Arial" w:hAnsi="Arial" w:cs="Arial"/>
          <w:b/>
          <w:color w:val="000000" w:themeColor="text1"/>
          <w:sz w:val="22"/>
          <w:szCs w:val="22"/>
          <w:lang w:val="en-US"/>
        </w:rPr>
        <w:t>Soft agar colony formation assay</w:t>
      </w:r>
      <w:bookmarkEnd w:id="2"/>
    </w:p>
    <w:p w14:paraId="20373721" w14:textId="77777777" w:rsidR="00372F4F" w:rsidRPr="00372F4F" w:rsidRDefault="00372F4F" w:rsidP="00372F4F">
      <w:pPr>
        <w:spacing w:line="480" w:lineRule="auto"/>
        <w:jc w:val="both"/>
        <w:rPr>
          <w:rFonts w:ascii="Arial" w:hAnsi="Arial" w:cs="Arial"/>
          <w:color w:val="000000" w:themeColor="text1"/>
          <w:sz w:val="22"/>
          <w:szCs w:val="22"/>
          <w:lang w:val="en-US"/>
        </w:rPr>
      </w:pPr>
      <w:r w:rsidRPr="00372F4F">
        <w:rPr>
          <w:rFonts w:ascii="Arial" w:hAnsi="Arial" w:cs="Arial"/>
          <w:color w:val="000000" w:themeColor="text1"/>
          <w:sz w:val="22"/>
          <w:szCs w:val="22"/>
          <w:lang w:val="en-US"/>
        </w:rPr>
        <w:t xml:space="preserve">Briefly, 1.5 ml of complete DMEM medium containing 0.6% of low melting agarose (Sigma-Aldrich, 2070) was poured into 6-well plates followed by incubation for 1h at 4ºC for agar solidification. A second layer with 0.3% low melting agarose and 2.500 cells in 1.5 ml of complete medium was spread over the bottom layer. Then, plates were </w:t>
      </w:r>
      <w:r w:rsidRPr="00372F4F">
        <w:rPr>
          <w:rFonts w:ascii="Arial" w:hAnsi="Arial" w:cs="Arial"/>
          <w:color w:val="000000" w:themeColor="text1"/>
          <w:sz w:val="22"/>
          <w:szCs w:val="22"/>
          <w:lang w:val="en-US"/>
        </w:rPr>
        <w:lastRenderedPageBreak/>
        <w:t>maintained for 15 min at 4ºC to enable agar solidification and then moved to a CO</w:t>
      </w:r>
      <w:r w:rsidRPr="00372F4F">
        <w:rPr>
          <w:rFonts w:ascii="Arial" w:hAnsi="Arial" w:cs="Arial"/>
          <w:color w:val="000000" w:themeColor="text1"/>
          <w:sz w:val="22"/>
          <w:szCs w:val="22"/>
          <w:vertAlign w:val="subscript"/>
          <w:lang w:val="en-US"/>
        </w:rPr>
        <w:t>2</w:t>
      </w:r>
      <w:r w:rsidRPr="00372F4F">
        <w:rPr>
          <w:rFonts w:ascii="Arial" w:hAnsi="Arial" w:cs="Arial"/>
          <w:color w:val="000000" w:themeColor="text1"/>
          <w:sz w:val="22"/>
          <w:szCs w:val="22"/>
          <w:lang w:val="en-US"/>
        </w:rPr>
        <w:t xml:space="preserve"> incubator. Colonies were grown for 14-21 days. For colony visualization, soft-agar plates were stained with 0.005% crystal violet in 1% methanol and scanned, and the number of colonies was quantified using ImageJ. As a seeding control, 20.000 cells were seeded in 12-wells plate, collected the following day, fixed with 4% PFA, stained with 0.1% crystal violet (Sigma-Aldrich) in 10% methanol crystal violet, and dissolved in 10% acetic acid. The number of colonies was quantified using particle counter of ImageJ software and normalised with the seeding control absorbance measurement at 595 nm. </w:t>
      </w:r>
    </w:p>
    <w:p w14:paraId="1116938B"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2A26E874" w14:textId="77777777" w:rsidR="00372F4F" w:rsidRPr="00372F4F" w:rsidRDefault="00372F4F" w:rsidP="00372F4F">
      <w:pPr>
        <w:pStyle w:val="NoSpacing"/>
        <w:spacing w:line="480" w:lineRule="auto"/>
        <w:jc w:val="both"/>
        <w:rPr>
          <w:rFonts w:ascii="Arial" w:hAnsi="Arial" w:cs="Arial"/>
          <w:b/>
          <w:color w:val="000000" w:themeColor="text1"/>
          <w:sz w:val="22"/>
          <w:szCs w:val="22"/>
        </w:rPr>
      </w:pPr>
      <w:r w:rsidRPr="00372F4F">
        <w:rPr>
          <w:rFonts w:ascii="Arial" w:hAnsi="Arial" w:cs="Arial"/>
          <w:b/>
          <w:color w:val="000000" w:themeColor="text1"/>
          <w:sz w:val="22"/>
          <w:szCs w:val="22"/>
        </w:rPr>
        <w:t>Northern blotting</w:t>
      </w:r>
    </w:p>
    <w:p w14:paraId="31B08362"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For stress induction, cells were treated with 200µM of NaAsO</w:t>
      </w:r>
      <w:r w:rsidRPr="00372F4F">
        <w:rPr>
          <w:rFonts w:ascii="Arial" w:hAnsi="Arial" w:cs="Arial"/>
          <w:color w:val="000000" w:themeColor="text1"/>
          <w:sz w:val="22"/>
          <w:szCs w:val="22"/>
          <w:vertAlign w:val="subscript"/>
        </w:rPr>
        <w:t>2</w:t>
      </w:r>
      <w:r w:rsidRPr="00372F4F">
        <w:rPr>
          <w:rFonts w:ascii="Arial" w:hAnsi="Arial" w:cs="Arial"/>
          <w:color w:val="000000" w:themeColor="text1"/>
          <w:sz w:val="22"/>
          <w:szCs w:val="22"/>
        </w:rPr>
        <w:t xml:space="preserve"> for two hours, collecting the cells 2 or 8 h after stress induction. 96 μM of angiogenin inhibitor N65828 was added together with NaAsO</w:t>
      </w:r>
      <w:r w:rsidRPr="00372F4F">
        <w:rPr>
          <w:rFonts w:ascii="Arial" w:hAnsi="Arial" w:cs="Arial"/>
          <w:color w:val="000000" w:themeColor="text1"/>
          <w:sz w:val="22"/>
          <w:szCs w:val="22"/>
          <w:vertAlign w:val="subscript"/>
        </w:rPr>
        <w:t>2</w:t>
      </w:r>
      <w:r w:rsidRPr="00372F4F">
        <w:rPr>
          <w:rFonts w:ascii="Arial" w:hAnsi="Arial" w:cs="Arial"/>
          <w:color w:val="000000" w:themeColor="text1"/>
          <w:sz w:val="22"/>
          <w:szCs w:val="22"/>
        </w:rPr>
        <w:t>. Total RNA was extracted from PC3 using Trizol (Honeywell, 33539), and 5 to 10 μg were run in 15% polyacrylamide 8M urea-TBE gels, and transferred to a Nylon Hybond-NX membrane (GE Healthcare) in 0.5x TBE. Membranes were cross-linked with 120 mJ/cm</w:t>
      </w:r>
      <w:r w:rsidRPr="00372F4F">
        <w:rPr>
          <w:rFonts w:ascii="Arial" w:hAnsi="Arial" w:cs="Arial"/>
          <w:color w:val="000000" w:themeColor="text1"/>
          <w:sz w:val="22"/>
          <w:szCs w:val="22"/>
          <w:vertAlign w:val="superscript"/>
        </w:rPr>
        <w:t>2</w:t>
      </w:r>
      <w:r w:rsidRPr="00372F4F">
        <w:rPr>
          <w:rFonts w:ascii="Arial" w:hAnsi="Arial" w:cs="Arial"/>
          <w:color w:val="000000" w:themeColor="text1"/>
          <w:sz w:val="22"/>
          <w:szCs w:val="22"/>
        </w:rPr>
        <w:t xml:space="preserve"> in UV Stratalinker 2400. Membranes were pre-hybridised at 42ºC for 1 h in ULTRAhybond buffer (ThermoFisher Scientific). Single-stranded DNA probes were radiolabelled at the 5’ end by incubating 20 pmol of the specific probe with 80 mCi of </w:t>
      </w:r>
      <w:r w:rsidRPr="00372F4F">
        <w:rPr>
          <w:rFonts w:ascii="Arial" w:hAnsi="Arial" w:cs="Arial"/>
          <w:color w:val="000000" w:themeColor="text1"/>
          <w:sz w:val="22"/>
          <w:szCs w:val="22"/>
          <w:vertAlign w:val="superscript"/>
        </w:rPr>
        <w:t>32</w:t>
      </w:r>
      <w:r w:rsidRPr="00372F4F">
        <w:rPr>
          <w:rFonts w:ascii="Arial" w:hAnsi="Arial" w:cs="Arial"/>
          <w:color w:val="000000" w:themeColor="text1"/>
          <w:sz w:val="22"/>
          <w:szCs w:val="22"/>
        </w:rPr>
        <w:t>P-ATP (Perkin Elmer) and T4 PNK (NEB) for 1 h at 37ºC. Probes were purified with Oligo Clean and Concentrator columns (Zymo Research) and denatured for 5 min at 95ºC. Membranes were incubated overnight with the radiolabelled probes and then washed twice with low stringent buffer (0.1xSSC, 0.1% SDS) at 42ºC for 15 min and twice with high stringent buffer (2x SSC, 0.1% SDS). Membranes were dried and exposed overnight at -80ºC with X-ray films. The oligos used were; 5’-Ala-TGC: 5’-CCACTGAGCTACATCCCC-3’. 5’-Cys: 5’-TACCCCTGAGCTATACCCCC-3’, 5’-Pro: 5’-ATACCCCTAGACCAACGAGCC-3’, 5’-Val-AAC: 5’-ACCACTACACTACGGAAAC-3’.</w:t>
      </w:r>
    </w:p>
    <w:p w14:paraId="5BAD06E4"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17EE2CD3" w14:textId="77777777" w:rsidR="00372F4F" w:rsidRPr="00372F4F" w:rsidRDefault="00372F4F" w:rsidP="00372F4F">
      <w:pPr>
        <w:pStyle w:val="NoSpacing"/>
        <w:spacing w:line="480" w:lineRule="auto"/>
        <w:jc w:val="both"/>
        <w:rPr>
          <w:rFonts w:ascii="Arial" w:hAnsi="Arial" w:cs="Arial"/>
          <w:b/>
          <w:color w:val="000000" w:themeColor="text1"/>
          <w:sz w:val="22"/>
          <w:szCs w:val="22"/>
        </w:rPr>
      </w:pPr>
      <w:r w:rsidRPr="00372F4F">
        <w:rPr>
          <w:rFonts w:ascii="Arial" w:hAnsi="Arial" w:cs="Arial"/>
          <w:b/>
          <w:color w:val="000000" w:themeColor="text1"/>
          <w:sz w:val="22"/>
          <w:szCs w:val="22"/>
        </w:rPr>
        <w:lastRenderedPageBreak/>
        <w:t>Flow cytometry</w:t>
      </w:r>
    </w:p>
    <w:p w14:paraId="273A65E2"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For global protein synthesis quantification using O-propargyl-puromycin (OP-puro) labelling, cells were treated with 200µM of NaAsO</w:t>
      </w:r>
      <w:r w:rsidRPr="00372F4F">
        <w:rPr>
          <w:rFonts w:ascii="Arial" w:hAnsi="Arial" w:cs="Arial"/>
          <w:color w:val="000000" w:themeColor="text1"/>
          <w:sz w:val="22"/>
          <w:szCs w:val="22"/>
          <w:vertAlign w:val="subscript"/>
        </w:rPr>
        <w:t>2</w:t>
      </w:r>
      <w:r w:rsidRPr="00372F4F">
        <w:rPr>
          <w:rFonts w:ascii="Arial" w:hAnsi="Arial" w:cs="Arial"/>
          <w:color w:val="000000" w:themeColor="text1"/>
          <w:sz w:val="22"/>
          <w:szCs w:val="22"/>
        </w:rPr>
        <w:t xml:space="preserve"> for two hours, collecting the cells 2 or 8 h after stress induction. For protein labelling, cells were incubated with 20 μM of OP-puro (Medchem Source LLP) for 1h at 37ºC before acquisition. Cells were trypsinised and fixed with 1% paraformaldehyde in PBS for 15 min on ice. Cells were then washed in PBS and permeabilised in 3% FBS (Sigma-Aldrich) and 0.1% saponin (Santa Cruz Biotech.) for 5 min at room temperature. OP-puro conjugation to a fluorochrome was performed for 30 minutes by an azide-alkyne cycloaddition using the Click-iT Cell Reaction Buffer Kit (Jena Bioscience) and 5 μM of Alexa Cy5.5-azide (Jena Bioscience). Then, cells were washed twice with permeabilization buffer before acquisition. Fluorescence was acquired in Accuri C6 cytometer and protein synthesis was analysed with FlowJo software (BD Biosciences).</w:t>
      </w:r>
    </w:p>
    <w:p w14:paraId="066350AB"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2B1A6120" w14:textId="77777777" w:rsidR="00372F4F" w:rsidRPr="00372F4F" w:rsidRDefault="00372F4F" w:rsidP="00372F4F">
      <w:pPr>
        <w:spacing w:line="480" w:lineRule="auto"/>
        <w:jc w:val="both"/>
        <w:rPr>
          <w:rFonts w:ascii="Arial" w:hAnsi="Arial" w:cs="Arial"/>
          <w:color w:val="000000" w:themeColor="text1"/>
          <w:sz w:val="22"/>
          <w:szCs w:val="22"/>
          <w:lang w:val="en-US"/>
        </w:rPr>
      </w:pPr>
      <w:r w:rsidRPr="00372F4F">
        <w:rPr>
          <w:rFonts w:ascii="Arial" w:hAnsi="Arial" w:cs="Arial"/>
          <w:color w:val="000000" w:themeColor="text1"/>
          <w:sz w:val="22"/>
          <w:szCs w:val="22"/>
          <w:lang w:val="en-US"/>
        </w:rPr>
        <w:t xml:space="preserve">Quantification of intracellular Reactive Oxygen Species (ROS) was performed in PC3 WT and </w:t>
      </w:r>
      <w:r w:rsidRPr="00372F4F">
        <w:rPr>
          <w:rFonts w:ascii="Arial" w:hAnsi="Arial" w:cs="Arial"/>
          <w:i/>
          <w:iCs/>
          <w:color w:val="000000" w:themeColor="text1"/>
          <w:sz w:val="22"/>
          <w:szCs w:val="22"/>
          <w:lang w:val="en-US"/>
        </w:rPr>
        <w:t>METTL1</w:t>
      </w:r>
      <w:r w:rsidRPr="00372F4F">
        <w:rPr>
          <w:rFonts w:ascii="Arial" w:hAnsi="Arial" w:cs="Arial"/>
          <w:color w:val="000000" w:themeColor="text1"/>
          <w:sz w:val="22"/>
          <w:szCs w:val="22"/>
          <w:lang w:val="en-US"/>
        </w:rPr>
        <w:t xml:space="preserve"> </w:t>
      </w:r>
      <w:r w:rsidRPr="00372F4F">
        <w:rPr>
          <w:rFonts w:ascii="Arial" w:hAnsi="Arial" w:cs="Arial"/>
          <w:i/>
          <w:color w:val="000000" w:themeColor="text1"/>
          <w:sz w:val="22"/>
          <w:szCs w:val="22"/>
          <w:lang w:val="en-US"/>
        </w:rPr>
        <w:t>KO</w:t>
      </w:r>
      <w:r w:rsidRPr="00372F4F">
        <w:rPr>
          <w:rFonts w:ascii="Arial" w:hAnsi="Arial" w:cs="Arial"/>
          <w:color w:val="000000" w:themeColor="text1"/>
          <w:sz w:val="22"/>
          <w:szCs w:val="22"/>
          <w:lang w:val="en-US"/>
        </w:rPr>
        <w:t xml:space="preserve"> cell lines. Three replicates were used per condition. Cells were resuspended in complete medium supplemented with 20 µM of 2’7’-Dichlorofluorescin Diacetate (DCHF-DA, Calbiochem) and incubated for 30 min at 37ºC in the darkness. After centrifugation, cell pellet was resuspended in homemade Hank's buffered salt solution (HBSS) supplemented with 5% FBS and measured with BD Accuri C6 (BD biosystems) within 30 min after DCHF-DA incubation. Cell debris and doublets were discriminated, and mean fluorescence intensity was quantified using FlowJo software. </w:t>
      </w:r>
    </w:p>
    <w:p w14:paraId="2E0CDA86"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3E280E9C" w14:textId="77777777" w:rsidR="00372F4F" w:rsidRPr="00372F4F" w:rsidRDefault="00372F4F" w:rsidP="00372F4F">
      <w:pPr>
        <w:spacing w:line="480" w:lineRule="auto"/>
        <w:jc w:val="both"/>
        <w:rPr>
          <w:rFonts w:ascii="Arial" w:hAnsi="Arial" w:cs="Arial"/>
          <w:color w:val="000000" w:themeColor="text1"/>
          <w:sz w:val="22"/>
          <w:szCs w:val="22"/>
          <w:lang w:val="en-US"/>
        </w:rPr>
      </w:pPr>
      <w:r w:rsidRPr="00372F4F">
        <w:rPr>
          <w:rFonts w:ascii="Arial" w:hAnsi="Arial" w:cs="Arial"/>
          <w:color w:val="000000" w:themeColor="text1"/>
          <w:sz w:val="22"/>
          <w:szCs w:val="22"/>
          <w:lang w:val="en-US"/>
        </w:rPr>
        <w:t xml:space="preserve">For evaluation of the lysosome-autophagosome fusion, the pH sensitive probe Lysotracker DeepRed (ThermoFisher Scientific) was used. PC3 cells were transiently transfected with pEGFP-LC3 (Addgene, #21073) using JetPEI (PolyPlus). Transfected cells were selected with 50 </w:t>
      </w:r>
      <w:r w:rsidRPr="00372F4F">
        <w:rPr>
          <w:rFonts w:ascii="Symbol" w:hAnsi="Symbol" w:cs="Arial"/>
          <w:color w:val="000000" w:themeColor="text1"/>
          <w:sz w:val="22"/>
          <w:szCs w:val="22"/>
        </w:rPr>
        <w:t></w:t>
      </w:r>
      <w:r w:rsidRPr="00372F4F">
        <w:rPr>
          <w:rFonts w:ascii="Arial" w:hAnsi="Arial" w:cs="Arial"/>
          <w:color w:val="000000" w:themeColor="text1"/>
          <w:sz w:val="22"/>
          <w:szCs w:val="22"/>
          <w:lang w:val="en-US"/>
        </w:rPr>
        <w:t xml:space="preserve">g/ml of G418 for three days and all experiments were performed within a week after selection for ensuring an optimal plasmid expression. Cells </w:t>
      </w:r>
      <w:r w:rsidRPr="00372F4F">
        <w:rPr>
          <w:rFonts w:ascii="Arial" w:hAnsi="Arial" w:cs="Arial"/>
          <w:color w:val="000000" w:themeColor="text1"/>
          <w:sz w:val="22"/>
          <w:szCs w:val="22"/>
          <w:lang w:val="en-US"/>
        </w:rPr>
        <w:lastRenderedPageBreak/>
        <w:t>were treated for 24 hours with 20 nM of Rapamycin (LC laboratories), or for 6h with 10 µM chloroquine (CQ, Sigma-Aldrich). Prior to collection, cells were incubated with 50 nM Lysotracker for 30 min at 37ºC in the darkness. Three biological replicates were acquired using BD Accuri C6 (BD Biosciences).</w:t>
      </w:r>
    </w:p>
    <w:p w14:paraId="21C55EE6" w14:textId="77777777" w:rsidR="00372F4F" w:rsidRPr="00372F4F" w:rsidRDefault="00372F4F" w:rsidP="00372F4F">
      <w:pPr>
        <w:spacing w:line="480" w:lineRule="auto"/>
        <w:jc w:val="both"/>
        <w:rPr>
          <w:rFonts w:ascii="Arial" w:hAnsi="Arial" w:cs="Arial"/>
          <w:color w:val="000000" w:themeColor="text1"/>
          <w:sz w:val="22"/>
          <w:szCs w:val="22"/>
          <w:lang w:val="en-US"/>
        </w:rPr>
      </w:pPr>
    </w:p>
    <w:p w14:paraId="2BD66A6F" w14:textId="77777777" w:rsidR="00372F4F" w:rsidRPr="00372F4F" w:rsidRDefault="00372F4F" w:rsidP="00372F4F">
      <w:pPr>
        <w:spacing w:line="480" w:lineRule="auto"/>
        <w:jc w:val="both"/>
        <w:rPr>
          <w:rFonts w:ascii="Arial" w:hAnsi="Arial" w:cs="Arial"/>
          <w:b/>
          <w:color w:val="000000" w:themeColor="text1"/>
          <w:sz w:val="22"/>
          <w:szCs w:val="22"/>
          <w:lang w:val="en-US"/>
        </w:rPr>
      </w:pPr>
      <w:r w:rsidRPr="00372F4F">
        <w:rPr>
          <w:rFonts w:ascii="Arial" w:hAnsi="Arial" w:cs="Arial"/>
          <w:b/>
          <w:color w:val="000000" w:themeColor="text1"/>
          <w:sz w:val="22"/>
          <w:szCs w:val="22"/>
          <w:lang w:val="en-US"/>
        </w:rPr>
        <w:t>Quantification of protein aggregates</w:t>
      </w:r>
    </w:p>
    <w:p w14:paraId="5BBDE5BC" w14:textId="77777777" w:rsidR="00372F4F" w:rsidRPr="00372F4F" w:rsidRDefault="00372F4F" w:rsidP="00372F4F">
      <w:pPr>
        <w:spacing w:line="480" w:lineRule="auto"/>
        <w:jc w:val="both"/>
        <w:rPr>
          <w:rFonts w:ascii="Arial" w:hAnsi="Arial" w:cs="Arial"/>
          <w:color w:val="000000" w:themeColor="text1"/>
          <w:sz w:val="22"/>
          <w:szCs w:val="22"/>
          <w:lang w:val="en-US"/>
        </w:rPr>
      </w:pPr>
      <w:r w:rsidRPr="00372F4F">
        <w:rPr>
          <w:rFonts w:ascii="Arial" w:hAnsi="Arial" w:cs="Arial"/>
          <w:color w:val="000000" w:themeColor="text1"/>
          <w:sz w:val="22"/>
          <w:szCs w:val="22"/>
          <w:lang w:val="en-US"/>
        </w:rPr>
        <w:t xml:space="preserve">Protein aggregates were quantified in PC3 using PROTEOSTAT Aggresome detection kit (Enzo LifeSciences, ENZ-51035) following kit instructions. Cells were visualised with Leica SP5 confocal microscope. </w:t>
      </w:r>
    </w:p>
    <w:p w14:paraId="1F234D18"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2851457F" w14:textId="77777777" w:rsidR="00372F4F" w:rsidRPr="00372F4F" w:rsidRDefault="00372F4F" w:rsidP="00372F4F">
      <w:pPr>
        <w:spacing w:line="480" w:lineRule="auto"/>
        <w:jc w:val="both"/>
        <w:rPr>
          <w:rFonts w:ascii="Arial" w:hAnsi="Arial" w:cs="Arial"/>
          <w:b/>
          <w:color w:val="000000" w:themeColor="text1"/>
          <w:sz w:val="22"/>
          <w:szCs w:val="22"/>
          <w:lang w:val="en-US"/>
        </w:rPr>
      </w:pPr>
      <w:r w:rsidRPr="00372F4F">
        <w:rPr>
          <w:rFonts w:ascii="Arial" w:hAnsi="Arial" w:cs="Arial"/>
          <w:b/>
          <w:color w:val="000000" w:themeColor="text1"/>
          <w:sz w:val="22"/>
          <w:szCs w:val="22"/>
          <w:lang w:val="en-US"/>
        </w:rPr>
        <w:t>Proteomic analysis</w:t>
      </w:r>
    </w:p>
    <w:p w14:paraId="50E3E051" w14:textId="5286C757" w:rsidR="00372F4F" w:rsidRPr="00372F4F" w:rsidRDefault="00372F4F" w:rsidP="00372F4F">
      <w:pPr>
        <w:pStyle w:val="NoSpacing"/>
        <w:spacing w:line="480" w:lineRule="auto"/>
        <w:jc w:val="both"/>
        <w:rPr>
          <w:rFonts w:ascii="Arial" w:hAnsi="Arial" w:cs="Arial"/>
          <w:color w:val="000000" w:themeColor="text1"/>
          <w:sz w:val="22"/>
          <w:szCs w:val="22"/>
          <w:shd w:val="clear" w:color="auto" w:fill="FFFF00"/>
        </w:rPr>
      </w:pPr>
      <w:r w:rsidRPr="00372F4F">
        <w:rPr>
          <w:rFonts w:ascii="Arial" w:hAnsi="Arial" w:cs="Arial"/>
          <w:bCs/>
          <w:color w:val="000000" w:themeColor="text1"/>
          <w:sz w:val="22"/>
          <w:szCs w:val="22"/>
        </w:rPr>
        <w:t xml:space="preserve">The proteome composition was analysed in DU145 cells silenced for </w:t>
      </w:r>
      <w:r w:rsidRPr="00372F4F">
        <w:rPr>
          <w:rFonts w:ascii="Arial" w:hAnsi="Arial" w:cs="Arial"/>
          <w:bCs/>
          <w:i/>
          <w:color w:val="000000" w:themeColor="text1"/>
          <w:sz w:val="22"/>
          <w:szCs w:val="22"/>
        </w:rPr>
        <w:t xml:space="preserve">METTL1 </w:t>
      </w:r>
      <w:r w:rsidRPr="00372F4F">
        <w:rPr>
          <w:rFonts w:ascii="Arial" w:hAnsi="Arial" w:cs="Arial"/>
          <w:bCs/>
          <w:color w:val="000000" w:themeColor="text1"/>
          <w:sz w:val="22"/>
          <w:szCs w:val="22"/>
        </w:rPr>
        <w:t xml:space="preserve">using doxycycline-inducible shRNA_METTL1. Cells infected for shRNA METTL1-4 were induced for 72 hours with 0.1 </w:t>
      </w:r>
      <w:r w:rsidRPr="00372F4F">
        <w:rPr>
          <w:rFonts w:ascii="Symbol" w:hAnsi="Symbol" w:cs="Arial"/>
          <w:bCs/>
          <w:color w:val="000000" w:themeColor="text1"/>
          <w:sz w:val="22"/>
          <w:szCs w:val="22"/>
        </w:rPr>
        <w:t></w:t>
      </w:r>
      <w:r w:rsidRPr="00372F4F">
        <w:rPr>
          <w:rFonts w:ascii="Arial" w:hAnsi="Arial" w:cs="Arial"/>
          <w:bCs/>
          <w:color w:val="000000" w:themeColor="text1"/>
          <w:sz w:val="22"/>
          <w:szCs w:val="22"/>
        </w:rPr>
        <w:t>g/ml of doxycycline. Non-induced cells were used as a control. Cells were lysed in 2M thiourea, 7M Urea, 4% Chaps and 200mM DTT, and extracts were cleared by centrifugation</w:t>
      </w:r>
      <w:r w:rsidRPr="00372F4F">
        <w:rPr>
          <w:rFonts w:ascii="Arial" w:hAnsi="Arial" w:cs="Arial"/>
          <w:b/>
          <w:color w:val="000000" w:themeColor="text1"/>
          <w:sz w:val="22"/>
          <w:szCs w:val="22"/>
        </w:rPr>
        <w:t xml:space="preserve">. </w:t>
      </w:r>
      <w:r w:rsidRPr="00372F4F">
        <w:rPr>
          <w:rFonts w:ascii="Arial" w:hAnsi="Arial" w:cs="Arial"/>
          <w:color w:val="000000" w:themeColor="text1"/>
          <w:sz w:val="22"/>
          <w:szCs w:val="22"/>
        </w:rPr>
        <w:t>Samples were incubated for 30 min at room temperature under agitation and digested following the FASP protocol. A trypsin:protein 1:10 ratio was added and incubated overnight at 37</w:t>
      </w:r>
      <w:r w:rsidRPr="00372F4F">
        <w:rPr>
          <w:rFonts w:ascii="Arial" w:hAnsi="Arial" w:cs="Arial"/>
          <w:color w:val="000000" w:themeColor="text1"/>
          <w:sz w:val="22"/>
          <w:szCs w:val="22"/>
          <w:vertAlign w:val="superscript"/>
        </w:rPr>
        <w:t>o</w:t>
      </w:r>
      <w:r w:rsidRPr="00372F4F">
        <w:rPr>
          <w:rFonts w:ascii="Arial" w:hAnsi="Arial" w:cs="Arial"/>
          <w:color w:val="000000" w:themeColor="text1"/>
          <w:sz w:val="22"/>
          <w:szCs w:val="22"/>
        </w:rPr>
        <w:t xml:space="preserve">C. Samples were diluted in ammonium bicarbonate to 1.5 M urea and the same trypsin ratio, and conditions as described above were added. The resulting peptides were concentrated in a speed-vac and desalted using C18 stage tips (Millipore). </w:t>
      </w:r>
      <w:r w:rsidRPr="00372F4F">
        <w:rPr>
          <w:rFonts w:ascii="Arial" w:eastAsia="Calibri" w:hAnsi="Arial" w:cs="Arial"/>
          <w:color w:val="000000" w:themeColor="text1"/>
          <w:sz w:val="22"/>
          <w:szCs w:val="22"/>
        </w:rPr>
        <w:t xml:space="preserve">Samples were analysed in a hybrid trapped ion mobility spectrometry – quadrupole time of flight mass spectrometer (timsTOF Pro with PASEF, Bruker Daltonics) coupled online either to a nano Elute (Bruker) or EvoSep ONE liquid chromatograph (EvoSep). PEAKS software was used under default settings for protein identification and quantification. Searches were carried out against a human protein entry database (Uniprot/Swissprot), with precursor and fragment tolerances of 20 ppm and 0.05 Da respectively. Proteins with one peptide at FDR&lt;1% were considered </w:t>
      </w:r>
      <w:r w:rsidRPr="00372F4F">
        <w:rPr>
          <w:rFonts w:ascii="Arial" w:eastAsia="Calibri" w:hAnsi="Arial" w:cs="Arial"/>
          <w:color w:val="000000" w:themeColor="text1"/>
          <w:sz w:val="22"/>
          <w:szCs w:val="22"/>
        </w:rPr>
        <w:lastRenderedPageBreak/>
        <w:t>for further analysis.</w:t>
      </w:r>
      <w:r w:rsidRPr="00372F4F">
        <w:rPr>
          <w:rFonts w:eastAsia="Calibri"/>
          <w:color w:val="000000" w:themeColor="text1"/>
        </w:rPr>
        <w:t> </w:t>
      </w:r>
      <w:r w:rsidRPr="00372F4F">
        <w:rPr>
          <w:rFonts w:ascii="Arial" w:eastAsia="Calibri" w:hAnsi="Arial" w:cs="Arial"/>
          <w:color w:val="000000" w:themeColor="text1"/>
          <w:sz w:val="22"/>
          <w:szCs w:val="22"/>
        </w:rPr>
        <w:t>Intensity data</w:t>
      </w:r>
      <w:r w:rsidRPr="00372F4F">
        <w:rPr>
          <w:rFonts w:eastAsia="Calibri"/>
          <w:color w:val="000000" w:themeColor="text1"/>
        </w:rPr>
        <w:t> </w:t>
      </w:r>
      <w:r w:rsidRPr="00372F4F">
        <w:rPr>
          <w:rFonts w:ascii="Arial" w:eastAsia="Calibri" w:hAnsi="Arial" w:cs="Arial"/>
          <w:color w:val="000000" w:themeColor="text1"/>
          <w:sz w:val="22"/>
          <w:szCs w:val="22"/>
        </w:rPr>
        <w:t xml:space="preserve">were loaded onto Perseus platform </w:t>
      </w:r>
      <w:r w:rsidRPr="00372F4F">
        <w:rPr>
          <w:rFonts w:ascii="Arial" w:eastAsia="Calibri" w:hAnsi="Arial" w:cs="Arial"/>
          <w:color w:val="000000" w:themeColor="text1"/>
          <w:sz w:val="22"/>
          <w:szCs w:val="22"/>
        </w:rPr>
        <w:fldChar w:fldCharType="begin">
          <w:fldData xml:space="preserve">PEVuZE5vdGU+PENpdGU+PEF1dGhvcj5UeWFub3ZhPC9BdXRob3I+PFllYXI+MjAxNjwvWWVhcj48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</w:fldData>
        </w:fldChar>
      </w:r>
      <w:r w:rsidR="00500677">
        <w:rPr>
          <w:rFonts w:ascii="Arial" w:eastAsia="Calibri" w:hAnsi="Arial" w:cs="Arial"/>
          <w:color w:val="000000" w:themeColor="text1"/>
          <w:sz w:val="22"/>
          <w:szCs w:val="22"/>
        </w:rPr>
        <w:instrText xml:space="preserve"> ADDIN EN.CITE </w:instrText>
      </w:r>
      <w:r w:rsidR="00500677">
        <w:rPr>
          <w:rFonts w:ascii="Arial" w:eastAsia="Calibri" w:hAnsi="Arial" w:cs="Arial"/>
          <w:color w:val="000000" w:themeColor="text1"/>
          <w:sz w:val="22"/>
          <w:szCs w:val="22"/>
        </w:rPr>
        <w:fldChar w:fldCharType="begin">
          <w:fldData xml:space="preserve">PEVuZE5vdGU+PENpdGU+PEF1dGhvcj5UeWFub3ZhPC9BdXRob3I+PFllYXI+MjAxNjwvWWVhcj48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</w:fldData>
        </w:fldChar>
      </w:r>
      <w:r w:rsidR="00500677">
        <w:rPr>
          <w:rFonts w:ascii="Arial" w:eastAsia="Calibri" w:hAnsi="Arial" w:cs="Arial"/>
          <w:color w:val="000000" w:themeColor="text1"/>
          <w:sz w:val="22"/>
          <w:szCs w:val="22"/>
        </w:rPr>
        <w:instrText xml:space="preserve"> ADDIN EN.CITE.DATA </w:instrText>
      </w:r>
      <w:r w:rsidR="00500677">
        <w:rPr>
          <w:rFonts w:ascii="Arial" w:eastAsia="Calibri" w:hAnsi="Arial" w:cs="Arial"/>
          <w:color w:val="000000" w:themeColor="text1"/>
          <w:sz w:val="22"/>
          <w:szCs w:val="22"/>
        </w:rPr>
      </w:r>
      <w:r w:rsidR="00500677">
        <w:rPr>
          <w:rFonts w:ascii="Arial" w:eastAsia="Calibri" w:hAnsi="Arial" w:cs="Arial"/>
          <w:color w:val="000000" w:themeColor="text1"/>
          <w:sz w:val="22"/>
          <w:szCs w:val="22"/>
        </w:rPr>
        <w:fldChar w:fldCharType="end"/>
      </w:r>
      <w:r w:rsidRPr="00372F4F">
        <w:rPr>
          <w:rFonts w:ascii="Arial" w:eastAsia="Calibri" w:hAnsi="Arial" w:cs="Arial"/>
          <w:color w:val="000000" w:themeColor="text1"/>
          <w:sz w:val="22"/>
          <w:szCs w:val="22"/>
        </w:rPr>
      </w:r>
      <w:r w:rsidRPr="00372F4F">
        <w:rPr>
          <w:rFonts w:ascii="Arial" w:eastAsia="Calibri" w:hAnsi="Arial" w:cs="Arial"/>
          <w:color w:val="000000" w:themeColor="text1"/>
          <w:sz w:val="22"/>
          <w:szCs w:val="22"/>
        </w:rPr>
        <w:fldChar w:fldCharType="separate"/>
      </w:r>
      <w:r w:rsidR="00500677" w:rsidRPr="00500677">
        <w:rPr>
          <w:rFonts w:ascii="Arial" w:eastAsia="Calibri" w:hAnsi="Arial" w:cs="Arial"/>
          <w:noProof/>
          <w:color w:val="000000" w:themeColor="text1"/>
          <w:sz w:val="22"/>
          <w:szCs w:val="22"/>
          <w:vertAlign w:val="superscript"/>
        </w:rPr>
        <w:t>1</w:t>
      </w:r>
      <w:r w:rsidRPr="00372F4F">
        <w:rPr>
          <w:rFonts w:ascii="Arial" w:eastAsia="Calibri" w:hAnsi="Arial" w:cs="Arial"/>
          <w:color w:val="000000" w:themeColor="text1"/>
          <w:sz w:val="22"/>
          <w:szCs w:val="22"/>
        </w:rPr>
        <w:fldChar w:fldCharType="end"/>
      </w:r>
      <w:r w:rsidRPr="00372F4F">
        <w:rPr>
          <w:rFonts w:eastAsia="Calibri"/>
          <w:color w:val="000000" w:themeColor="text1"/>
        </w:rPr>
        <w:t> </w:t>
      </w:r>
      <w:r w:rsidRPr="00372F4F">
        <w:rPr>
          <w:rFonts w:ascii="Arial" w:eastAsia="Calibri" w:hAnsi="Arial" w:cs="Arial"/>
          <w:color w:val="000000" w:themeColor="text1"/>
          <w:sz w:val="22"/>
          <w:szCs w:val="22"/>
        </w:rPr>
        <w:t>and further processed (log</w:t>
      </w:r>
      <w:r w:rsidRPr="00372F4F">
        <w:rPr>
          <w:rFonts w:ascii="Arial" w:eastAsia="Calibri" w:hAnsi="Arial" w:cs="Arial"/>
          <w:color w:val="000000" w:themeColor="text1"/>
          <w:sz w:val="22"/>
          <w:szCs w:val="22"/>
          <w:vertAlign w:val="subscript"/>
        </w:rPr>
        <w:t>2</w:t>
      </w:r>
      <w:r w:rsidRPr="00372F4F">
        <w:rPr>
          <w:rFonts w:eastAsia="Calibri"/>
          <w:color w:val="000000" w:themeColor="text1"/>
        </w:rPr>
        <w:t> </w:t>
      </w:r>
      <w:r w:rsidRPr="00372F4F">
        <w:rPr>
          <w:rFonts w:ascii="Arial" w:eastAsia="Calibri" w:hAnsi="Arial" w:cs="Arial"/>
          <w:color w:val="000000" w:themeColor="text1"/>
          <w:sz w:val="22"/>
          <w:szCs w:val="22"/>
        </w:rPr>
        <w:t>transformation, imputation).</w:t>
      </w:r>
    </w:p>
    <w:p w14:paraId="512172B2" w14:textId="77777777" w:rsidR="00372F4F" w:rsidRPr="00372F4F" w:rsidRDefault="00372F4F" w:rsidP="00372F4F">
      <w:pPr>
        <w:pStyle w:val="NoSpacing"/>
        <w:spacing w:line="480" w:lineRule="auto"/>
        <w:jc w:val="both"/>
        <w:rPr>
          <w:rFonts w:ascii="Arial" w:eastAsia="Calibri" w:hAnsi="Arial" w:cs="Arial"/>
          <w:color w:val="000000" w:themeColor="text1"/>
          <w:sz w:val="22"/>
          <w:szCs w:val="22"/>
        </w:rPr>
      </w:pPr>
    </w:p>
    <w:p w14:paraId="0B39E664"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To identify specific gene subsets sharing co-occurrent functional annotations linking them to particular Gene Ontology (GO) Biological Process categories with high statistical significance, the Gene Ontology tool powered by Panther (</w:t>
      </w:r>
      <w:hyperlink r:id="rId6" w:history="1">
        <w:r w:rsidRPr="00372F4F">
          <w:rPr>
            <w:rFonts w:ascii="Arial" w:hAnsi="Arial" w:cs="Arial"/>
            <w:color w:val="000000" w:themeColor="text1"/>
            <w:sz w:val="22"/>
            <w:szCs w:val="22"/>
          </w:rPr>
          <w:t>http://geneontology.org/</w:t>
        </w:r>
      </w:hyperlink>
      <w:r w:rsidRPr="00372F4F">
        <w:rPr>
          <w:rFonts w:ascii="Arial" w:hAnsi="Arial" w:cs="Arial"/>
          <w:color w:val="000000" w:themeColor="text1"/>
          <w:sz w:val="22"/>
          <w:szCs w:val="22"/>
        </w:rPr>
        <w:t xml:space="preserve">) was used. Fisher's Exact test was applied with Bonferroni correction. </w:t>
      </w:r>
    </w:p>
    <w:p w14:paraId="474847FE"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3AFEC7EC" w14:textId="77777777" w:rsidR="00372F4F" w:rsidRPr="00372F4F" w:rsidRDefault="00372F4F" w:rsidP="00372F4F">
      <w:pPr>
        <w:pStyle w:val="NoSpacing"/>
        <w:spacing w:line="480" w:lineRule="auto"/>
        <w:jc w:val="both"/>
        <w:rPr>
          <w:rFonts w:ascii="Arial" w:hAnsi="Arial" w:cs="Arial"/>
          <w:b/>
          <w:color w:val="000000" w:themeColor="text1"/>
          <w:sz w:val="22"/>
          <w:szCs w:val="22"/>
        </w:rPr>
      </w:pPr>
      <w:r w:rsidRPr="00372F4F">
        <w:rPr>
          <w:rFonts w:ascii="Arial" w:hAnsi="Arial" w:cs="Arial"/>
          <w:b/>
          <w:color w:val="000000" w:themeColor="text1"/>
          <w:sz w:val="22"/>
          <w:szCs w:val="22"/>
        </w:rPr>
        <w:t>RNA extraction and quantitative real-time PCR (RT-qPCR)</w:t>
      </w:r>
    </w:p>
    <w:p w14:paraId="5B486ABF" w14:textId="77777777" w:rsidR="00372F4F" w:rsidRPr="00372F4F" w:rsidRDefault="00372F4F" w:rsidP="00372F4F">
      <w:pPr>
        <w:pStyle w:val="NoSpacing"/>
        <w:spacing w:line="480" w:lineRule="auto"/>
        <w:jc w:val="both"/>
        <w:rPr>
          <w:rFonts w:ascii="Arial" w:eastAsia="Cardo" w:hAnsi="Arial" w:cs="Arial"/>
          <w:color w:val="000000" w:themeColor="text1"/>
          <w:sz w:val="22"/>
          <w:szCs w:val="22"/>
        </w:rPr>
      </w:pPr>
      <w:r w:rsidRPr="00372F4F">
        <w:rPr>
          <w:rFonts w:ascii="Arial" w:hAnsi="Arial" w:cs="Arial"/>
          <w:color w:val="000000" w:themeColor="text1"/>
          <w:sz w:val="22"/>
          <w:szCs w:val="22"/>
        </w:rPr>
        <w:t>RNA from cells was extracted using Nucleospin RNA kit (Macherey-Nagel) or NZY Total RNA Isolation kit (NZYTech). Concentration was measured using NanoDrop ND-1000. For cDNA synthesis, 500 ng of RNA was reverse transcribed using Maxima H Minus cDNA Synthesis Master Mix (ThermoFisher Scientific). RT-qPCR reactions were carried out either using 2x Taqman Fast Universal PCR Master Mix (Applied Biosystems) with specific TaqMan or UPL probes, or using 2x NZY qPCR Green Master Mix (NZYtech, #MB125</w:t>
      </w:r>
      <w:r w:rsidRPr="00372F4F">
        <w:rPr>
          <w:rFonts w:ascii="Arial" w:eastAsia="Cardo" w:hAnsi="Arial" w:cs="Arial"/>
          <w:color w:val="000000" w:themeColor="text1"/>
          <w:sz w:val="22"/>
          <w:szCs w:val="22"/>
        </w:rPr>
        <w:t xml:space="preserve">) with specifically designed primers. QuantStudio™ 3 or QuantStudio™ 5 Real-Time PCR Systems (Applied biosystems) were used for running the reactions. Taqman probes Hs01096146_m1 and Hs02758991_g1 were used for human </w:t>
      </w:r>
      <w:r w:rsidRPr="00372F4F">
        <w:rPr>
          <w:rFonts w:ascii="Arial" w:eastAsia="Cardo" w:hAnsi="Arial" w:cs="Arial"/>
          <w:i/>
          <w:color w:val="000000" w:themeColor="text1"/>
          <w:sz w:val="22"/>
          <w:szCs w:val="22"/>
        </w:rPr>
        <w:t>METTL1</w:t>
      </w:r>
      <w:r w:rsidRPr="00372F4F">
        <w:rPr>
          <w:rFonts w:ascii="Arial" w:eastAsia="Cardo" w:hAnsi="Arial" w:cs="Arial"/>
          <w:color w:val="000000" w:themeColor="text1"/>
          <w:sz w:val="22"/>
          <w:szCs w:val="22"/>
        </w:rPr>
        <w:t xml:space="preserve"> and </w:t>
      </w:r>
      <w:r w:rsidRPr="00372F4F">
        <w:rPr>
          <w:rFonts w:ascii="Arial" w:eastAsia="Cardo" w:hAnsi="Arial" w:cs="Arial"/>
          <w:i/>
          <w:color w:val="000000" w:themeColor="text1"/>
          <w:sz w:val="22"/>
          <w:szCs w:val="22"/>
        </w:rPr>
        <w:t>GAPDH</w:t>
      </w:r>
      <w:r w:rsidRPr="00372F4F">
        <w:rPr>
          <w:rFonts w:ascii="Arial" w:eastAsia="Cardo" w:hAnsi="Arial" w:cs="Arial"/>
          <w:color w:val="000000" w:themeColor="text1"/>
          <w:sz w:val="22"/>
          <w:szCs w:val="22"/>
        </w:rPr>
        <w:t xml:space="preserve"> amplification respectively. For Taqman Master Mix reactions with UPL probes, the primers for human genes used were: </w:t>
      </w:r>
    </w:p>
    <w:p w14:paraId="0433FC34" w14:textId="77777777" w:rsidR="00372F4F" w:rsidRPr="00372F4F" w:rsidRDefault="00372F4F" w:rsidP="00372F4F">
      <w:pPr>
        <w:pStyle w:val="NoSpacing"/>
        <w:spacing w:line="480" w:lineRule="auto"/>
        <w:jc w:val="both"/>
        <w:rPr>
          <w:rFonts w:ascii="Arial" w:eastAsia="Cardo" w:hAnsi="Arial" w:cs="Arial"/>
          <w:color w:val="000000" w:themeColor="text1"/>
          <w:sz w:val="22"/>
          <w:szCs w:val="22"/>
        </w:rPr>
      </w:pPr>
      <w:r w:rsidRPr="00372F4F">
        <w:rPr>
          <w:rFonts w:ascii="Arial" w:hAnsi="Arial" w:cs="Arial"/>
          <w:color w:val="000000" w:themeColor="text1"/>
          <w:sz w:val="22"/>
          <w:szCs w:val="22"/>
        </w:rPr>
        <w:t xml:space="preserve"> </w:t>
      </w:r>
      <w:r w:rsidRPr="00372F4F">
        <w:rPr>
          <w:rFonts w:ascii="Arial" w:eastAsia="Cardo" w:hAnsi="Arial" w:cs="Arial"/>
          <w:color w:val="000000" w:themeColor="text1"/>
          <w:sz w:val="22"/>
          <w:szCs w:val="22"/>
        </w:rPr>
        <w:t xml:space="preserve">F-5’-CACATTCATGTGGGCATTTC-3’ and R-5’-TGCTTGTCATGAAGTCGACAG-3’ for p16, F-5’-GAATCTCCAGGGCACCAA-3’ and R-5’-TGGCATTGCAAACTGGTC-3’ for p21, F-5’-CTCATGACCAGAAAGACCATACA-3’ and R-5’-GGACACAAGCTTAAACCCAGA-3’ for </w:t>
      </w:r>
      <w:r w:rsidRPr="00372F4F">
        <w:rPr>
          <w:rFonts w:ascii="Arial" w:eastAsia="Cardo" w:hAnsi="Arial" w:cs="Arial"/>
          <w:i/>
          <w:color w:val="000000" w:themeColor="text1"/>
          <w:sz w:val="22"/>
          <w:szCs w:val="22"/>
        </w:rPr>
        <w:t>IL8</w:t>
      </w:r>
      <w:r w:rsidRPr="00372F4F">
        <w:rPr>
          <w:rFonts w:ascii="Arial" w:eastAsia="Cardo" w:hAnsi="Arial" w:cs="Arial"/>
          <w:color w:val="000000" w:themeColor="text1"/>
          <w:sz w:val="22"/>
          <w:szCs w:val="22"/>
        </w:rPr>
        <w:t xml:space="preserve">, F-5’- TGAAATCAGGTATTCAACAGAGAAA-3’ and R-5’-CTCCCTCGCTGTTTTTATGG-3’ for </w:t>
      </w:r>
      <w:r w:rsidRPr="00372F4F">
        <w:rPr>
          <w:rFonts w:ascii="Arial" w:eastAsia="Cardo" w:hAnsi="Arial" w:cs="Arial"/>
          <w:i/>
          <w:color w:val="000000" w:themeColor="text1"/>
          <w:sz w:val="22"/>
          <w:szCs w:val="22"/>
        </w:rPr>
        <w:t xml:space="preserve">IL-1B, </w:t>
      </w:r>
      <w:r w:rsidRPr="00372F4F">
        <w:rPr>
          <w:rFonts w:ascii="Arial" w:eastAsia="Cardo" w:hAnsi="Arial" w:cs="Arial"/>
          <w:color w:val="000000" w:themeColor="text1"/>
          <w:sz w:val="22"/>
          <w:szCs w:val="22"/>
        </w:rPr>
        <w:t>F-5’-</w:t>
      </w:r>
      <w:r w:rsidRPr="00372F4F">
        <w:rPr>
          <w:rFonts w:ascii="Arial" w:eastAsia="Cardo" w:hAnsi="Arial" w:cs="Arial"/>
          <w:caps/>
          <w:color w:val="000000" w:themeColor="text1"/>
          <w:sz w:val="22"/>
          <w:szCs w:val="22"/>
        </w:rPr>
        <w:t>ccatgtgctggtgtgtgaa</w:t>
      </w:r>
      <w:r w:rsidRPr="00372F4F">
        <w:rPr>
          <w:rFonts w:ascii="Arial" w:eastAsia="Cardo" w:hAnsi="Arial" w:cs="Arial"/>
          <w:color w:val="000000" w:themeColor="text1"/>
          <w:sz w:val="22"/>
          <w:szCs w:val="22"/>
        </w:rPr>
        <w:t xml:space="preserve"> and R-5’-</w:t>
      </w:r>
      <w:r w:rsidRPr="00372F4F">
        <w:rPr>
          <w:rFonts w:ascii="Arial" w:eastAsia="Cardo" w:hAnsi="Arial" w:cs="Arial"/>
          <w:caps/>
          <w:color w:val="000000" w:themeColor="text1"/>
          <w:sz w:val="22"/>
          <w:szCs w:val="22"/>
        </w:rPr>
        <w:t xml:space="preserve">tgtgttttagttcaatgatgatcca </w:t>
      </w:r>
      <w:r w:rsidRPr="00372F4F">
        <w:rPr>
          <w:rFonts w:ascii="Arial" w:eastAsia="Cardo" w:hAnsi="Arial" w:cs="Arial"/>
          <w:color w:val="000000" w:themeColor="text1"/>
          <w:sz w:val="22"/>
          <w:szCs w:val="22"/>
        </w:rPr>
        <w:t xml:space="preserve">for </w:t>
      </w:r>
      <w:r w:rsidRPr="00372F4F">
        <w:rPr>
          <w:rFonts w:ascii="Arial" w:eastAsia="Cardo" w:hAnsi="Arial" w:cs="Arial"/>
          <w:i/>
          <w:color w:val="000000" w:themeColor="text1"/>
          <w:sz w:val="22"/>
          <w:szCs w:val="22"/>
        </w:rPr>
        <w:t>EPCAM</w:t>
      </w:r>
      <w:r w:rsidRPr="00372F4F">
        <w:rPr>
          <w:rFonts w:ascii="Arial" w:eastAsia="Cardo" w:hAnsi="Arial" w:cs="Arial"/>
          <w:color w:val="000000" w:themeColor="text1"/>
          <w:sz w:val="22"/>
          <w:szCs w:val="22"/>
        </w:rPr>
        <w:t>, F-5’-</w:t>
      </w:r>
      <w:r w:rsidRPr="00372F4F">
        <w:rPr>
          <w:rFonts w:ascii="Arial" w:eastAsia="Cardo" w:hAnsi="Arial" w:cs="Arial"/>
          <w:caps/>
          <w:color w:val="000000" w:themeColor="text1"/>
          <w:sz w:val="22"/>
          <w:szCs w:val="22"/>
        </w:rPr>
        <w:t xml:space="preserve">gggggaatggaccttgtatag </w:t>
      </w:r>
      <w:r w:rsidRPr="00372F4F">
        <w:rPr>
          <w:rFonts w:ascii="Arial" w:eastAsia="Cardo" w:hAnsi="Arial" w:cs="Arial"/>
          <w:color w:val="000000" w:themeColor="text1"/>
          <w:sz w:val="22"/>
          <w:szCs w:val="22"/>
        </w:rPr>
        <w:t>and R-5’-</w:t>
      </w:r>
      <w:r w:rsidRPr="00372F4F">
        <w:rPr>
          <w:rFonts w:ascii="Arial" w:eastAsia="Cardo" w:hAnsi="Arial" w:cs="Arial"/>
          <w:caps/>
          <w:color w:val="000000" w:themeColor="text1"/>
          <w:sz w:val="22"/>
          <w:szCs w:val="22"/>
        </w:rPr>
        <w:t xml:space="preserve">gcaaagctcctaccgtacca </w:t>
      </w:r>
      <w:r w:rsidRPr="00372F4F">
        <w:rPr>
          <w:rFonts w:ascii="Arial" w:eastAsia="Cardo" w:hAnsi="Arial" w:cs="Arial"/>
          <w:color w:val="000000" w:themeColor="text1"/>
          <w:sz w:val="22"/>
          <w:szCs w:val="22"/>
        </w:rPr>
        <w:t xml:space="preserve">for </w:t>
      </w:r>
      <w:r w:rsidRPr="00372F4F">
        <w:rPr>
          <w:rFonts w:ascii="Arial" w:eastAsia="Cardo" w:hAnsi="Arial" w:cs="Arial"/>
          <w:i/>
          <w:color w:val="000000" w:themeColor="text1"/>
          <w:sz w:val="22"/>
          <w:szCs w:val="22"/>
        </w:rPr>
        <w:t xml:space="preserve">SOX2, </w:t>
      </w:r>
      <w:r w:rsidRPr="00372F4F">
        <w:rPr>
          <w:rFonts w:ascii="Arial" w:eastAsia="Cardo" w:hAnsi="Arial" w:cs="Arial"/>
          <w:color w:val="000000" w:themeColor="text1"/>
          <w:sz w:val="22"/>
          <w:szCs w:val="22"/>
        </w:rPr>
        <w:lastRenderedPageBreak/>
        <w:t>F-5’-CTTTCCACGACGGTGACAC-3’ and R-5’-TCAGGAAGTAGTTTCCATAGGT-3’ for p53, F-5’-</w:t>
      </w:r>
      <w:r w:rsidRPr="00372F4F">
        <w:rPr>
          <w:rFonts w:ascii="Arial" w:hAnsi="Arial" w:cs="Arial"/>
          <w:color w:val="000000" w:themeColor="text1"/>
          <w:sz w:val="22"/>
          <w:szCs w:val="22"/>
        </w:rPr>
        <w:t xml:space="preserve"> </w:t>
      </w:r>
      <w:r w:rsidRPr="00372F4F">
        <w:rPr>
          <w:rFonts w:ascii="Arial" w:eastAsia="Cardo" w:hAnsi="Arial" w:cs="Arial"/>
          <w:color w:val="000000" w:themeColor="text1"/>
          <w:sz w:val="22"/>
          <w:szCs w:val="22"/>
        </w:rPr>
        <w:t xml:space="preserve">CCAGGAGCCCAGCTATGAAC -3’ and R-5’-CCCAGGGAGAAGGCAACTG-3’ for </w:t>
      </w:r>
      <w:r w:rsidRPr="00372F4F">
        <w:rPr>
          <w:rFonts w:ascii="Arial" w:eastAsia="Cardo" w:hAnsi="Arial" w:cs="Arial"/>
          <w:i/>
          <w:color w:val="000000" w:themeColor="text1"/>
          <w:sz w:val="22"/>
          <w:szCs w:val="22"/>
        </w:rPr>
        <w:t>IL6,</w:t>
      </w:r>
      <w:r w:rsidRPr="00372F4F">
        <w:rPr>
          <w:rFonts w:ascii="Arial" w:eastAsia="Cardo" w:hAnsi="Arial" w:cs="Arial"/>
          <w:color w:val="000000" w:themeColor="text1"/>
          <w:sz w:val="22"/>
          <w:szCs w:val="22"/>
        </w:rPr>
        <w:t xml:space="preserve"> F-5’-</w:t>
      </w:r>
      <w:r w:rsidRPr="00372F4F">
        <w:rPr>
          <w:rFonts w:ascii="Arial" w:hAnsi="Arial" w:cs="Arial"/>
          <w:color w:val="000000" w:themeColor="text1"/>
          <w:sz w:val="22"/>
          <w:szCs w:val="22"/>
        </w:rPr>
        <w:t xml:space="preserve"> </w:t>
      </w:r>
      <w:r w:rsidRPr="00372F4F">
        <w:rPr>
          <w:rFonts w:ascii="Arial" w:eastAsia="Cardo" w:hAnsi="Arial" w:cs="Arial"/>
          <w:color w:val="000000" w:themeColor="text1"/>
          <w:sz w:val="22"/>
          <w:szCs w:val="22"/>
        </w:rPr>
        <w:t xml:space="preserve">AGATTTGTACAGGAGTCTCCGTTG-3’ and R-5’-AAGTCCACGGGCAGACGA-3’ for </w:t>
      </w:r>
      <w:r w:rsidRPr="00372F4F">
        <w:rPr>
          <w:rFonts w:ascii="Arial" w:eastAsia="Cardo" w:hAnsi="Arial" w:cs="Arial"/>
          <w:i/>
          <w:color w:val="000000" w:themeColor="text1"/>
          <w:sz w:val="22"/>
          <w:szCs w:val="22"/>
        </w:rPr>
        <w:t>IL1A</w:t>
      </w:r>
      <w:r w:rsidRPr="00372F4F">
        <w:rPr>
          <w:rFonts w:ascii="Arial" w:eastAsia="Cardo" w:hAnsi="Arial" w:cs="Arial"/>
          <w:color w:val="000000" w:themeColor="text1"/>
          <w:sz w:val="22"/>
          <w:szCs w:val="22"/>
        </w:rPr>
        <w:t xml:space="preserve">, F-5’-GGCGAATCAGAAGCAGCAAGCAAC-3’ and R-5’-ATTGGCCAGCTGCCGTGTGAA-3’ for </w:t>
      </w:r>
      <w:r w:rsidRPr="00372F4F">
        <w:rPr>
          <w:rFonts w:ascii="Arial" w:eastAsia="Cardo" w:hAnsi="Arial" w:cs="Arial"/>
          <w:i/>
          <w:color w:val="000000" w:themeColor="text1"/>
          <w:sz w:val="22"/>
          <w:szCs w:val="22"/>
        </w:rPr>
        <w:t>CCL20</w:t>
      </w:r>
      <w:r w:rsidRPr="00372F4F">
        <w:rPr>
          <w:rFonts w:ascii="Arial" w:eastAsia="Cardo" w:hAnsi="Arial" w:cs="Arial"/>
          <w:color w:val="000000" w:themeColor="text1"/>
          <w:sz w:val="22"/>
          <w:szCs w:val="22"/>
        </w:rPr>
        <w:t xml:space="preserve">, F-5’-GCGGGGACTAGTGGAGAAG-3’ and R-5’-CTGCCCATCATCATGACCT-3’ for p15, F-5’-AAAGGGAATAAGTACTGGGC-3’ and R-5’-CAGTGTTTTCCTCAGAAAGAG-3’ for </w:t>
      </w:r>
      <w:r w:rsidRPr="00372F4F">
        <w:rPr>
          <w:rFonts w:ascii="Arial" w:eastAsia="Cardo" w:hAnsi="Arial" w:cs="Arial"/>
          <w:i/>
          <w:color w:val="000000" w:themeColor="text1"/>
          <w:sz w:val="22"/>
          <w:szCs w:val="22"/>
        </w:rPr>
        <w:t>MMP1</w:t>
      </w:r>
      <w:r w:rsidRPr="00372F4F">
        <w:rPr>
          <w:rFonts w:ascii="Arial" w:eastAsia="Cardo" w:hAnsi="Arial" w:cs="Arial"/>
          <w:color w:val="000000" w:themeColor="text1"/>
          <w:sz w:val="22"/>
          <w:szCs w:val="22"/>
        </w:rPr>
        <w:t xml:space="preserve"> and F-5’-TAAAGACAGGCACTTTTGG-3’ and R-5’-GAGATGGCCAAAATGAAGAG-3’ for </w:t>
      </w:r>
      <w:r w:rsidRPr="00372F4F">
        <w:rPr>
          <w:rFonts w:ascii="Arial" w:eastAsia="Cardo" w:hAnsi="Arial" w:cs="Arial"/>
          <w:i/>
          <w:color w:val="000000" w:themeColor="text1"/>
          <w:sz w:val="22"/>
          <w:szCs w:val="22"/>
        </w:rPr>
        <w:t xml:space="preserve">MMP3, </w:t>
      </w:r>
      <w:r w:rsidRPr="00372F4F">
        <w:rPr>
          <w:rFonts w:ascii="Arial" w:eastAsia="Cardo" w:hAnsi="Arial" w:cs="Arial"/>
          <w:color w:val="000000" w:themeColor="text1"/>
          <w:sz w:val="22"/>
          <w:szCs w:val="22"/>
        </w:rPr>
        <w:t xml:space="preserve">F-5’-CGGCGCTTCTGAACGCGATC and R-5’-GCTGTTCCTGACTCGGCAAACGT for </w:t>
      </w:r>
      <w:r w:rsidRPr="00372F4F">
        <w:rPr>
          <w:rFonts w:ascii="Arial" w:eastAsia="Cardo" w:hAnsi="Arial" w:cs="Arial"/>
          <w:i/>
          <w:color w:val="000000" w:themeColor="text1"/>
          <w:sz w:val="22"/>
          <w:szCs w:val="22"/>
        </w:rPr>
        <w:t>INHBA</w:t>
      </w:r>
      <w:r w:rsidRPr="00372F4F">
        <w:rPr>
          <w:rFonts w:ascii="Arial" w:eastAsia="Cardo" w:hAnsi="Arial" w:cs="Arial"/>
          <w:color w:val="000000" w:themeColor="text1"/>
          <w:sz w:val="22"/>
          <w:szCs w:val="22"/>
        </w:rPr>
        <w:t xml:space="preserve">. </w:t>
      </w:r>
      <w:r w:rsidRPr="00372F4F">
        <w:rPr>
          <w:rFonts w:ascii="Arial" w:hAnsi="Arial" w:cs="Arial"/>
          <w:color w:val="000000" w:themeColor="text1"/>
          <w:sz w:val="22"/>
          <w:szCs w:val="22"/>
        </w:rPr>
        <w:t>The ddCt values were measured and normalised against GAPDH values. Three replicates were used. Biological replicates are indicated in each experiment.</w:t>
      </w:r>
    </w:p>
    <w:p w14:paraId="595F100F"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2EF7FFFE" w14:textId="77777777" w:rsidR="00372F4F" w:rsidRPr="00372F4F" w:rsidRDefault="00372F4F" w:rsidP="00372F4F">
      <w:pPr>
        <w:pStyle w:val="NoSpacing"/>
        <w:spacing w:line="480" w:lineRule="auto"/>
        <w:jc w:val="both"/>
        <w:rPr>
          <w:rFonts w:ascii="Arial" w:hAnsi="Arial" w:cs="Arial"/>
          <w:b/>
          <w:color w:val="000000" w:themeColor="text1"/>
          <w:sz w:val="22"/>
          <w:szCs w:val="22"/>
        </w:rPr>
      </w:pPr>
      <w:r w:rsidRPr="00372F4F">
        <w:rPr>
          <w:rFonts w:ascii="Arial" w:hAnsi="Arial" w:cs="Arial"/>
          <w:b/>
          <w:color w:val="000000" w:themeColor="text1"/>
          <w:sz w:val="22"/>
          <w:szCs w:val="22"/>
        </w:rPr>
        <w:t>Western Blot</w:t>
      </w:r>
    </w:p>
    <w:p w14:paraId="7B24865E"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For total cell protein extraction, cells were lysed in lysis buffer (150 mM NaCl, 40 mM Tris pH 7.6, 1% Triton X-100, 1 mM EDTA, and 1 mM MgCl</w:t>
      </w:r>
      <w:r w:rsidRPr="00372F4F">
        <w:rPr>
          <w:rFonts w:ascii="Arial" w:hAnsi="Arial" w:cs="Arial"/>
          <w:color w:val="000000" w:themeColor="text1"/>
          <w:sz w:val="22"/>
          <w:szCs w:val="22"/>
          <w:vertAlign w:val="subscript"/>
        </w:rPr>
        <w:t>2</w:t>
      </w:r>
      <w:r w:rsidRPr="00372F4F">
        <w:rPr>
          <w:rFonts w:ascii="Arial" w:hAnsi="Arial" w:cs="Arial"/>
          <w:color w:val="000000" w:themeColor="text1"/>
          <w:sz w:val="22"/>
          <w:szCs w:val="22"/>
        </w:rPr>
        <w:t xml:space="preserve">) </w:t>
      </w:r>
      <w:r w:rsidRPr="00372F4F">
        <w:rPr>
          <w:rFonts w:ascii="Arial" w:eastAsia="Cardo" w:hAnsi="Arial" w:cs="Arial"/>
          <w:color w:val="000000" w:themeColor="text1"/>
          <w:sz w:val="22"/>
          <w:szCs w:val="22"/>
        </w:rPr>
        <w:t xml:space="preserve">supplemented with cOmPlete EDTA-free proteases inhibitor cocktail (Roche) and phosphatases inhibitors (1 mM Sodium Fluoride, 1 mM Sodium Orthovanadate and 1 mM </w:t>
      </w:r>
      <w:r w:rsidRPr="00372F4F">
        <w:rPr>
          <w:rFonts w:ascii="Tahoma" w:eastAsia="Cardo" w:hAnsi="Tahoma" w:cs="Tahoma"/>
          <w:color w:val="000000" w:themeColor="text1"/>
          <w:sz w:val="22"/>
          <w:szCs w:val="22"/>
        </w:rPr>
        <w:t>ꞵ</w:t>
      </w:r>
      <w:r w:rsidRPr="00372F4F">
        <w:rPr>
          <w:rFonts w:ascii="Arial" w:eastAsia="Cardo" w:hAnsi="Arial" w:cs="Arial"/>
          <w:color w:val="000000" w:themeColor="text1"/>
          <w:sz w:val="22"/>
          <w:szCs w:val="22"/>
        </w:rPr>
        <w:t xml:space="preserve">-glycerophosphate (Sigma-Aldrich)). Proteins were cleared by centrifugation for 10 min at 13,000 rpm. </w:t>
      </w:r>
      <w:r w:rsidRPr="00372F4F">
        <w:rPr>
          <w:rFonts w:ascii="Arial" w:hAnsi="Arial" w:cs="Arial"/>
          <w:color w:val="000000" w:themeColor="text1"/>
          <w:sz w:val="22"/>
          <w:szCs w:val="22"/>
        </w:rPr>
        <w:t>Total protein concentration was determined using Pierce BCA Protein Assay Kit (ThermoFisher Scientific). Equal amounts of protein were loaded in SDS-PAGE gels and transferred onto nitrocellulose membranes (HE Healthcare) by wet transference. Membranes were blocked with TBS-T 5% skimmed milk and primary antibodies were prepared in the blocking solution. The following primary antibodies were used for Western Blot: anti-METTL1 (Abcam, Ab157097), anti-HA (Biolegend, 901514), anti-LC3 (Cell Signaling, 12741), anti-p62 (BD biosciences, 610832), anti-ULK (Cell Signaling, 8054), anti-pULK</w:t>
      </w:r>
      <w:r w:rsidRPr="00372F4F">
        <w:rPr>
          <w:rFonts w:ascii="Arial" w:hAnsi="Arial" w:cs="Arial"/>
          <w:color w:val="000000" w:themeColor="text1"/>
          <w:sz w:val="22"/>
          <w:szCs w:val="22"/>
          <w:vertAlign w:val="superscript"/>
        </w:rPr>
        <w:t>S757</w:t>
      </w:r>
      <w:r w:rsidRPr="00372F4F">
        <w:rPr>
          <w:rFonts w:ascii="Arial" w:hAnsi="Arial" w:cs="Arial"/>
          <w:color w:val="000000" w:themeColor="text1"/>
          <w:sz w:val="22"/>
          <w:szCs w:val="22"/>
        </w:rPr>
        <w:t xml:space="preserve"> (Cell Signaling, 6888), anti-pS6 (Cell Signaling, 4858), anti-S6 (Santa Cruz, sc-74459), anti-pAKT (Cell Signaling, 4060), anti-AKT (Cell Signaling, </w:t>
      </w:r>
      <w:r w:rsidRPr="00372F4F">
        <w:rPr>
          <w:rFonts w:ascii="Arial" w:hAnsi="Arial" w:cs="Arial"/>
          <w:color w:val="000000" w:themeColor="text1"/>
          <w:sz w:val="22"/>
          <w:szCs w:val="22"/>
        </w:rPr>
        <w:lastRenderedPageBreak/>
        <w:t>9272S), anti-GAPDH (Cell Signaling, 2118) and anti-HSP90 (Santa Cruz, sc-515081). HRP-conjugated secondary antibodies anti-mouse (Cytiva, NXA931V) or anti-rabbit (Cytiva, NA934V) were incubated for 1 hour at room temperature and signals were detected using homemade ECL (0.1M Tris-HCl pH8.5, 0.2mM coumaric acid, 1.25mM Luminol) and Fujifilm super RX (Fujifilm) films. Band intensities were quantified with ImageJ software.</w:t>
      </w:r>
    </w:p>
    <w:p w14:paraId="4343AED9"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1697877D" w14:textId="77777777" w:rsidR="00372F4F" w:rsidRPr="00372F4F" w:rsidRDefault="00372F4F" w:rsidP="00372F4F">
      <w:pPr>
        <w:spacing w:line="480" w:lineRule="auto"/>
        <w:jc w:val="both"/>
        <w:rPr>
          <w:rFonts w:ascii="Arial" w:hAnsi="Arial" w:cs="Arial"/>
          <w:color w:val="000000" w:themeColor="text1"/>
          <w:sz w:val="22"/>
          <w:szCs w:val="22"/>
          <w:lang w:val="en-US"/>
        </w:rPr>
      </w:pPr>
      <w:r w:rsidRPr="00372F4F">
        <w:rPr>
          <w:rFonts w:ascii="Arial" w:hAnsi="Arial" w:cs="Arial"/>
          <w:color w:val="000000" w:themeColor="text1"/>
          <w:sz w:val="22"/>
          <w:szCs w:val="22"/>
          <w:lang w:val="en-US"/>
        </w:rPr>
        <w:t>For autophagy dysregulation, PC3 and DU145 cells were grown in complete DMEM supplemented with 10% FBS and treated for 24 hours with 20 nM of rapamycin (LC laboratories), or for 6h with 10 µM chloroquine (CQ, Sigma-Aldrich). In addition, starvation was induced by growing cells in EBSS + Glucose (ThermoFisher Scientific) medium without amino acids and FBS. Essential and non-essential amino acids (ThermoFisher Scientific) were added to EBSS + Glucose as +AA control.</w:t>
      </w:r>
    </w:p>
    <w:p w14:paraId="4E3572EB" w14:textId="77777777" w:rsidR="00372F4F" w:rsidRPr="00372F4F" w:rsidRDefault="00372F4F" w:rsidP="00372F4F">
      <w:pPr>
        <w:pStyle w:val="NoSpacing"/>
        <w:spacing w:line="480" w:lineRule="auto"/>
        <w:jc w:val="both"/>
        <w:rPr>
          <w:rFonts w:ascii="Arial" w:eastAsia="Cardo" w:hAnsi="Arial" w:cs="Arial"/>
          <w:color w:val="000000" w:themeColor="text1"/>
          <w:sz w:val="22"/>
          <w:szCs w:val="22"/>
        </w:rPr>
      </w:pPr>
    </w:p>
    <w:p w14:paraId="73867729" w14:textId="77777777" w:rsidR="00372F4F" w:rsidRPr="00372F4F" w:rsidRDefault="00372F4F" w:rsidP="00372F4F">
      <w:pPr>
        <w:rPr>
          <w:rFonts w:ascii="Arial" w:hAnsi="Arial" w:cs="Arial"/>
          <w:b/>
          <w:bCs/>
          <w:color w:val="000000" w:themeColor="text1"/>
          <w:sz w:val="22"/>
          <w:szCs w:val="22"/>
          <w:lang w:val="en-US"/>
        </w:rPr>
      </w:pPr>
      <w:r w:rsidRPr="00372F4F">
        <w:rPr>
          <w:rFonts w:ascii="Arial" w:hAnsi="Arial" w:cs="Arial"/>
          <w:b/>
          <w:bCs/>
          <w:color w:val="000000" w:themeColor="text1"/>
          <w:sz w:val="22"/>
          <w:szCs w:val="22"/>
          <w:lang w:val="en-US"/>
        </w:rPr>
        <w:t xml:space="preserve">Cell immunofluorescence </w:t>
      </w:r>
    </w:p>
    <w:p w14:paraId="08965F47" w14:textId="77777777" w:rsidR="00372F4F" w:rsidRPr="00372F4F" w:rsidRDefault="00372F4F" w:rsidP="00372F4F">
      <w:pPr>
        <w:rPr>
          <w:color w:val="000000" w:themeColor="text1"/>
          <w:lang w:val="en-US"/>
        </w:rPr>
      </w:pPr>
    </w:p>
    <w:p w14:paraId="0BD1D22E"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 xml:space="preserve">Cells were fixed for 10 min with 4% PFA (Panreac Applichem). Cells were permeabilised with Triton X-100/PBS (Panreac Applichem), followed by blocking with specific serum, and </w:t>
      </w:r>
      <w:r w:rsidRPr="00372F4F">
        <w:rPr>
          <w:rFonts w:ascii="Arial" w:hAnsi="Arial" w:cs="Arial"/>
          <w:bCs/>
          <w:color w:val="000000" w:themeColor="text1"/>
          <w:sz w:val="22"/>
          <w:szCs w:val="22"/>
        </w:rPr>
        <w:t xml:space="preserve">incubated with primary antibodies prepared in blocking solution at </w:t>
      </w:r>
      <w:r w:rsidRPr="00372F4F">
        <w:rPr>
          <w:rFonts w:ascii="Arial" w:hAnsi="Arial" w:cs="Arial"/>
          <w:color w:val="000000" w:themeColor="text1"/>
          <w:sz w:val="22"/>
          <w:szCs w:val="22"/>
        </w:rPr>
        <w:t>4ºC overnight: anti-METTL1 (Abcam, Ab157097), anti-LC3 (Cell Signaling, 12741), anti-LAMP1 (Santa Cruz, sc-20011). Secondary antibody incubation was performed for one hour with anti-Rabbit or anti-Goat conjugated to Alexa Fluor fluorophores (ThermoFisher Scientific). Nuclei were stained with DAPI (Sigma-Aldrich, D9542). For image acquisition, Leica SP5 confocal microscope was used.</w:t>
      </w:r>
    </w:p>
    <w:p w14:paraId="0B78E8B5"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388431DC" w14:textId="77777777" w:rsidR="00372F4F" w:rsidRPr="00372F4F" w:rsidRDefault="00372F4F" w:rsidP="00372F4F">
      <w:pPr>
        <w:spacing w:line="480" w:lineRule="auto"/>
        <w:jc w:val="both"/>
        <w:rPr>
          <w:rFonts w:ascii="Arial" w:hAnsi="Arial" w:cs="Arial"/>
          <w:b/>
          <w:color w:val="000000" w:themeColor="text1"/>
          <w:sz w:val="22"/>
          <w:szCs w:val="22"/>
          <w:lang w:val="en-US"/>
        </w:rPr>
      </w:pPr>
      <w:r w:rsidRPr="00372F4F">
        <w:rPr>
          <w:rFonts w:ascii="Arial" w:hAnsi="Arial" w:cs="Arial"/>
          <w:color w:val="000000" w:themeColor="text1"/>
          <w:sz w:val="22"/>
          <w:szCs w:val="22"/>
          <w:lang w:val="en-US"/>
        </w:rPr>
        <w:t xml:space="preserve">For </w:t>
      </w:r>
      <w:r w:rsidRPr="00372F4F">
        <w:rPr>
          <w:rFonts w:ascii="Symbol" w:hAnsi="Symbol" w:cs="Arial"/>
          <w:color w:val="000000" w:themeColor="text1"/>
          <w:sz w:val="22"/>
          <w:szCs w:val="22"/>
        </w:rPr>
        <w:t></w:t>
      </w:r>
      <w:r w:rsidRPr="00372F4F">
        <w:rPr>
          <w:rFonts w:ascii="Arial" w:hAnsi="Arial" w:cs="Arial"/>
          <w:color w:val="000000" w:themeColor="text1"/>
          <w:sz w:val="22"/>
          <w:szCs w:val="22"/>
          <w:lang w:val="en-US"/>
        </w:rPr>
        <w:t xml:space="preserve">H2AX and BRCA1 foci visualisation, PC3 and DU145 WT and </w:t>
      </w:r>
      <w:r w:rsidRPr="00372F4F">
        <w:rPr>
          <w:rFonts w:ascii="Arial" w:hAnsi="Arial" w:cs="Arial"/>
          <w:i/>
          <w:color w:val="000000" w:themeColor="text1"/>
          <w:sz w:val="22"/>
          <w:szCs w:val="22"/>
          <w:lang w:val="en-US"/>
        </w:rPr>
        <w:t>METTL1 KO</w:t>
      </w:r>
      <w:r w:rsidRPr="00372F4F">
        <w:rPr>
          <w:rFonts w:ascii="Arial" w:hAnsi="Arial" w:cs="Arial"/>
          <w:color w:val="000000" w:themeColor="text1"/>
          <w:sz w:val="22"/>
          <w:szCs w:val="22"/>
          <w:lang w:val="en-US"/>
        </w:rPr>
        <w:t xml:space="preserve"> cells were seeded on coverslips. The day after, coverslips were washed once with PBS followed by treatment with pre-extraction buffer (25 mM Tris-HCl, pH 7.5, 50 mM NaCl, 1 mM EDTA, 3 mM MgCl</w:t>
      </w:r>
      <w:r w:rsidRPr="00372F4F">
        <w:rPr>
          <w:rFonts w:ascii="Arial" w:hAnsi="Arial" w:cs="Arial"/>
          <w:color w:val="000000" w:themeColor="text1"/>
          <w:sz w:val="22"/>
          <w:szCs w:val="22"/>
          <w:vertAlign w:val="subscript"/>
          <w:lang w:val="en-US"/>
        </w:rPr>
        <w:t>2</w:t>
      </w:r>
      <w:r w:rsidRPr="00372F4F">
        <w:rPr>
          <w:rFonts w:ascii="Arial" w:hAnsi="Arial" w:cs="Arial"/>
          <w:color w:val="000000" w:themeColor="text1"/>
          <w:sz w:val="22"/>
          <w:szCs w:val="22"/>
          <w:lang w:val="en-US"/>
        </w:rPr>
        <w:t xml:space="preserve">, 300 mM sucrose and 0.2% Triton X-100) for 5 min on ice. </w:t>
      </w:r>
      <w:r w:rsidRPr="00372F4F">
        <w:rPr>
          <w:rFonts w:ascii="Arial" w:hAnsi="Arial" w:cs="Arial"/>
          <w:color w:val="000000" w:themeColor="text1"/>
          <w:sz w:val="22"/>
          <w:szCs w:val="22"/>
          <w:lang w:val="en-US"/>
        </w:rPr>
        <w:lastRenderedPageBreak/>
        <w:t>After a wash with PBS, cells were fixed with 4% paraformaldehyde for 20 min. Following one wash with PBS, cells were blocked for 1 h with 5% FBS in PBS, and then, co-stained with the primary antibodies: anti-</w:t>
      </w:r>
      <w:r w:rsidRPr="00372F4F">
        <w:rPr>
          <w:rFonts w:ascii="Symbol" w:hAnsi="Symbol" w:cs="Arial"/>
          <w:color w:val="000000" w:themeColor="text1"/>
          <w:sz w:val="22"/>
          <w:szCs w:val="22"/>
        </w:rPr>
        <w:t></w:t>
      </w:r>
      <w:r w:rsidRPr="00372F4F">
        <w:rPr>
          <w:rFonts w:ascii="Arial" w:hAnsi="Arial" w:cs="Arial"/>
          <w:color w:val="000000" w:themeColor="text1"/>
          <w:sz w:val="22"/>
          <w:szCs w:val="22"/>
          <w:lang w:val="en-US"/>
        </w:rPr>
        <w:t>H2AX (Cell Signaling, 2577L) and anti-BRCA1 (Santa Cruz Biotech., sc-6954) both at 1:500 in blocking solution overnight at 4ºC, and then co-immunostained with the secondary antibodies Alexa Fluor 488 goat anti-rabbit</w:t>
      </w:r>
      <w:r w:rsidRPr="00372F4F">
        <w:rPr>
          <w:rFonts w:ascii="Arial" w:hAnsi="Arial" w:cs="Arial"/>
          <w:b/>
          <w:color w:val="000000" w:themeColor="text1"/>
          <w:sz w:val="22"/>
          <w:szCs w:val="22"/>
          <w:lang w:val="en-US"/>
        </w:rPr>
        <w:t xml:space="preserve"> </w:t>
      </w:r>
      <w:r w:rsidRPr="00372F4F">
        <w:rPr>
          <w:rFonts w:ascii="Arial" w:hAnsi="Arial" w:cs="Arial"/>
          <w:color w:val="000000" w:themeColor="text1"/>
          <w:sz w:val="22"/>
          <w:szCs w:val="22"/>
          <w:lang w:val="en-US"/>
        </w:rPr>
        <w:t>IgG (H+L) (Invitrogen, A11034) or Alexa Fluor 594 goat anti-mouse</w:t>
      </w:r>
      <w:r w:rsidRPr="00372F4F">
        <w:rPr>
          <w:rFonts w:ascii="Arial" w:hAnsi="Arial" w:cs="Arial"/>
          <w:b/>
          <w:color w:val="000000" w:themeColor="text1"/>
          <w:sz w:val="22"/>
          <w:szCs w:val="22"/>
          <w:lang w:val="en-US"/>
        </w:rPr>
        <w:t xml:space="preserve"> </w:t>
      </w:r>
      <w:r w:rsidRPr="00372F4F">
        <w:rPr>
          <w:rFonts w:ascii="Arial" w:hAnsi="Arial" w:cs="Arial"/>
          <w:color w:val="000000" w:themeColor="text1"/>
          <w:sz w:val="22"/>
          <w:szCs w:val="22"/>
          <w:lang w:val="en-US"/>
        </w:rPr>
        <w:t>IgG (H+L) (Invitrogen, A11032)</w:t>
      </w:r>
      <w:r w:rsidRPr="00372F4F">
        <w:rPr>
          <w:rFonts w:ascii="Arial" w:hAnsi="Arial" w:cs="Arial"/>
          <w:b/>
          <w:color w:val="000000" w:themeColor="text1"/>
          <w:sz w:val="22"/>
          <w:szCs w:val="22"/>
          <w:lang w:val="en-US"/>
        </w:rPr>
        <w:t xml:space="preserve"> </w:t>
      </w:r>
      <w:r w:rsidRPr="00372F4F">
        <w:rPr>
          <w:rFonts w:ascii="Arial" w:hAnsi="Arial" w:cs="Arial"/>
          <w:color w:val="000000" w:themeColor="text1"/>
          <w:sz w:val="22"/>
          <w:szCs w:val="22"/>
          <w:lang w:val="en-US"/>
        </w:rPr>
        <w:t>at 1:1000 in blocking buffer. After washing with PBS and dried with ethanol 70% and 100% washes, coverslips were mounted into glass slides using Vectashield mounting medium with DAPI (Vector Laboratories). Foci immunofluorescences were analysed for quantification using a Leica Fluorescence microscope with a HCX PL APO 63x/1.4 OIL objective. In all cases, more than 100 cells were analysed per condition and the experiments were replicated independently at least three times. Representative images shown in the figure were further taken using a LEICA confocal microscope TCS SP5 was used with a HCX PL APO lambda blue 63X/ 1.4 OIL objective.</w:t>
      </w:r>
    </w:p>
    <w:p w14:paraId="4279910D"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4CBE682E"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 xml:space="preserve">For GFP-LC3 puncta visualisation, U2OS-GFP-LC3 cells, transfected with siRNA against human </w:t>
      </w:r>
      <w:r w:rsidRPr="00372F4F">
        <w:rPr>
          <w:rFonts w:ascii="Arial" w:hAnsi="Arial" w:cs="Arial"/>
          <w:i/>
          <w:color w:val="000000" w:themeColor="text1"/>
          <w:sz w:val="22"/>
          <w:szCs w:val="22"/>
        </w:rPr>
        <w:t>METTL1</w:t>
      </w:r>
      <w:r w:rsidRPr="00372F4F">
        <w:rPr>
          <w:rFonts w:ascii="Arial" w:hAnsi="Arial" w:cs="Arial"/>
          <w:color w:val="000000" w:themeColor="text1"/>
          <w:sz w:val="22"/>
          <w:szCs w:val="22"/>
        </w:rPr>
        <w:t xml:space="preserve"> and growing on coverslips were fixed for 10 min with 4% of PFA. Then nuclei were stained with DAPI (Sigma-Aldrich, D9542). For image acquisition Leica SP5 confocal microscope was used. For GFP puncta quantification, more than 100 cells were analysed per condition and the experiments were replicated three times. </w:t>
      </w:r>
    </w:p>
    <w:p w14:paraId="3FAF78FD"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49C1584D" w14:textId="77777777" w:rsidR="00372F4F" w:rsidRPr="00372F4F" w:rsidRDefault="00372F4F" w:rsidP="00372F4F">
      <w:pPr>
        <w:pStyle w:val="NoSpacing"/>
        <w:spacing w:line="480" w:lineRule="auto"/>
        <w:jc w:val="both"/>
        <w:rPr>
          <w:rFonts w:ascii="Arial" w:hAnsi="Arial" w:cs="Arial"/>
          <w:b/>
          <w:bCs/>
          <w:color w:val="000000" w:themeColor="text1"/>
          <w:sz w:val="22"/>
          <w:szCs w:val="22"/>
        </w:rPr>
      </w:pPr>
      <w:r w:rsidRPr="00372F4F">
        <w:rPr>
          <w:rFonts w:ascii="Arial" w:hAnsi="Arial" w:cs="Arial"/>
          <w:b/>
          <w:bCs/>
          <w:color w:val="000000" w:themeColor="text1"/>
          <w:sz w:val="22"/>
          <w:szCs w:val="22"/>
        </w:rPr>
        <w:t>Senescence Associated-</w:t>
      </w:r>
      <w:r w:rsidRPr="00372F4F">
        <w:rPr>
          <w:rFonts w:ascii="Arial" w:hAnsi="Arial" w:cs="Arial"/>
          <w:b/>
          <w:bCs/>
          <w:color w:val="000000" w:themeColor="text1"/>
          <w:sz w:val="22"/>
          <w:szCs w:val="22"/>
        </w:rPr>
        <w:sym w:font="Symbol" w:char="F062"/>
      </w:r>
      <w:r w:rsidRPr="00372F4F">
        <w:rPr>
          <w:rFonts w:ascii="Arial" w:hAnsi="Arial" w:cs="Arial"/>
          <w:b/>
          <w:bCs/>
          <w:color w:val="000000" w:themeColor="text1"/>
          <w:sz w:val="22"/>
          <w:szCs w:val="22"/>
        </w:rPr>
        <w:t>-galactosidase (SA-</w:t>
      </w:r>
      <w:r w:rsidRPr="00372F4F">
        <w:rPr>
          <w:rFonts w:ascii="Arial" w:hAnsi="Arial" w:cs="Arial"/>
          <w:b/>
          <w:bCs/>
          <w:color w:val="000000" w:themeColor="text1"/>
          <w:sz w:val="22"/>
          <w:szCs w:val="22"/>
        </w:rPr>
        <w:sym w:font="Symbol" w:char="F062"/>
      </w:r>
      <w:r w:rsidRPr="00372F4F">
        <w:rPr>
          <w:rFonts w:ascii="Arial" w:hAnsi="Arial" w:cs="Arial"/>
          <w:b/>
          <w:bCs/>
          <w:color w:val="000000" w:themeColor="text1"/>
          <w:sz w:val="22"/>
          <w:szCs w:val="22"/>
        </w:rPr>
        <w:t>-Gal) staining</w:t>
      </w:r>
    </w:p>
    <w:p w14:paraId="19656C60"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Cells growing on coverslips were treated with 10 nM Docetaxel or 60 nM Doxorubicin for one or three days. Then, cells were fixed with 0.5% glutaraldehyde (Santa Cruz Biotech.) for 10 minutes at room temperature. Cells were washed twice with 1x PBS/1 mM MgCl</w:t>
      </w:r>
      <w:r w:rsidRPr="00372F4F">
        <w:rPr>
          <w:rFonts w:ascii="Arial" w:hAnsi="Arial" w:cs="Arial"/>
          <w:color w:val="000000" w:themeColor="text1"/>
          <w:sz w:val="22"/>
          <w:szCs w:val="22"/>
          <w:vertAlign w:val="subscript"/>
        </w:rPr>
        <w:t>2</w:t>
      </w:r>
      <w:r w:rsidRPr="00372F4F">
        <w:rPr>
          <w:rFonts w:ascii="Arial" w:hAnsi="Arial" w:cs="Arial"/>
          <w:color w:val="000000" w:themeColor="text1"/>
          <w:sz w:val="22"/>
          <w:szCs w:val="22"/>
        </w:rPr>
        <w:t xml:space="preserve"> (pH 5.5-6) and incubated in staining solution (20x KC [100 mM K</w:t>
      </w:r>
      <w:r w:rsidRPr="00372F4F">
        <w:rPr>
          <w:rFonts w:ascii="Arial" w:hAnsi="Arial" w:cs="Arial"/>
          <w:color w:val="000000" w:themeColor="text1"/>
          <w:sz w:val="22"/>
          <w:szCs w:val="22"/>
          <w:vertAlign w:val="subscript"/>
        </w:rPr>
        <w:t>3</w:t>
      </w:r>
      <w:r w:rsidRPr="00372F4F">
        <w:rPr>
          <w:rFonts w:ascii="Arial" w:hAnsi="Arial" w:cs="Arial"/>
          <w:color w:val="000000" w:themeColor="text1"/>
          <w:sz w:val="22"/>
          <w:szCs w:val="22"/>
        </w:rPr>
        <w:t>FE(CN)</w:t>
      </w:r>
      <w:r w:rsidRPr="00372F4F">
        <w:rPr>
          <w:rFonts w:ascii="Arial" w:hAnsi="Arial" w:cs="Arial"/>
          <w:color w:val="000000" w:themeColor="text1"/>
          <w:sz w:val="22"/>
          <w:szCs w:val="22"/>
          <w:vertAlign w:val="subscript"/>
        </w:rPr>
        <w:t>6</w:t>
      </w:r>
      <w:r w:rsidRPr="00372F4F">
        <w:rPr>
          <w:rFonts w:ascii="Arial" w:hAnsi="Arial" w:cs="Arial"/>
          <w:color w:val="000000" w:themeColor="text1"/>
          <w:sz w:val="22"/>
          <w:szCs w:val="22"/>
        </w:rPr>
        <w:t xml:space="preserve"> and 100 mM K</w:t>
      </w:r>
      <w:r w:rsidRPr="00372F4F">
        <w:rPr>
          <w:rFonts w:ascii="Arial" w:hAnsi="Arial" w:cs="Arial"/>
          <w:color w:val="000000" w:themeColor="text1"/>
          <w:sz w:val="22"/>
          <w:szCs w:val="22"/>
          <w:vertAlign w:val="subscript"/>
        </w:rPr>
        <w:t>4</w:t>
      </w:r>
      <w:r w:rsidRPr="00372F4F">
        <w:rPr>
          <w:rFonts w:ascii="Arial" w:hAnsi="Arial" w:cs="Arial"/>
          <w:color w:val="000000" w:themeColor="text1"/>
          <w:sz w:val="22"/>
          <w:szCs w:val="22"/>
        </w:rPr>
        <w:t>Fe(CN)</w:t>
      </w:r>
      <w:r w:rsidRPr="00372F4F">
        <w:rPr>
          <w:rFonts w:ascii="Arial" w:hAnsi="Arial" w:cs="Arial"/>
          <w:color w:val="000000" w:themeColor="text1"/>
          <w:sz w:val="22"/>
          <w:szCs w:val="22"/>
          <w:vertAlign w:val="subscript"/>
        </w:rPr>
        <w:t>6</w:t>
      </w:r>
      <w:r w:rsidRPr="00372F4F">
        <w:rPr>
          <w:rFonts w:ascii="Arial" w:hAnsi="Arial" w:cs="Arial"/>
          <w:color w:val="000000" w:themeColor="text1"/>
          <w:sz w:val="22"/>
          <w:szCs w:val="22"/>
        </w:rPr>
        <w:t>*3H</w:t>
      </w:r>
      <w:r w:rsidRPr="00372F4F">
        <w:rPr>
          <w:rFonts w:ascii="Arial" w:hAnsi="Arial" w:cs="Arial"/>
          <w:color w:val="000000" w:themeColor="text1"/>
          <w:sz w:val="22"/>
          <w:szCs w:val="22"/>
          <w:vertAlign w:val="subscript"/>
        </w:rPr>
        <w:t>2</w:t>
      </w:r>
      <w:r w:rsidRPr="00372F4F">
        <w:rPr>
          <w:rFonts w:ascii="Arial" w:hAnsi="Arial" w:cs="Arial"/>
          <w:color w:val="000000" w:themeColor="text1"/>
          <w:sz w:val="22"/>
          <w:szCs w:val="22"/>
        </w:rPr>
        <w:t>O in PBS (Sigma-Aldrich)], 20x X-Gal solution (Santa Cruz Biotech.) diluted to 1x in PBS/1mM MgCl</w:t>
      </w:r>
      <w:r w:rsidRPr="00372F4F">
        <w:rPr>
          <w:rFonts w:ascii="Arial" w:hAnsi="Arial" w:cs="Arial"/>
          <w:color w:val="000000" w:themeColor="text1"/>
          <w:sz w:val="22"/>
          <w:szCs w:val="22"/>
          <w:vertAlign w:val="subscript"/>
        </w:rPr>
        <w:t>2</w:t>
      </w:r>
      <w:r w:rsidRPr="00372F4F">
        <w:rPr>
          <w:rFonts w:ascii="Arial" w:hAnsi="Arial" w:cs="Arial"/>
          <w:color w:val="000000" w:themeColor="text1"/>
          <w:sz w:val="22"/>
          <w:szCs w:val="22"/>
        </w:rPr>
        <w:t xml:space="preserve"> at pH 5.5-6) for 48 hours at 37°C. Coverslips were </w:t>
      </w:r>
      <w:r w:rsidRPr="00372F4F">
        <w:rPr>
          <w:rFonts w:ascii="Arial" w:hAnsi="Arial" w:cs="Arial"/>
          <w:color w:val="000000" w:themeColor="text1"/>
          <w:sz w:val="22"/>
          <w:szCs w:val="22"/>
        </w:rPr>
        <w:lastRenderedPageBreak/>
        <w:t>mounted in 4.8% Mowiol 4-88 (Sigma-Aldrich), 12% glycerol (VWR), 0.05 M Tris. Images were acquired with an Olympus BX-51 microscope with a digital camera Olympus DP70, and β-galactosidase positive cells were manually counted. At least 100 cells were analysed per condition and the experiments were replicated three times.</w:t>
      </w:r>
    </w:p>
    <w:p w14:paraId="62FB4FA7"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5E2B9D05" w14:textId="77777777" w:rsidR="00372F4F" w:rsidRPr="00372F4F" w:rsidRDefault="00372F4F" w:rsidP="00372F4F">
      <w:pPr>
        <w:pStyle w:val="NoSpacing"/>
        <w:spacing w:line="480" w:lineRule="auto"/>
        <w:jc w:val="both"/>
        <w:rPr>
          <w:rFonts w:ascii="Arial" w:hAnsi="Arial" w:cs="Arial"/>
          <w:b/>
          <w:bCs/>
          <w:color w:val="000000" w:themeColor="text1"/>
          <w:sz w:val="22"/>
          <w:szCs w:val="22"/>
        </w:rPr>
      </w:pPr>
      <w:r w:rsidRPr="00372F4F">
        <w:rPr>
          <w:rFonts w:ascii="Arial" w:hAnsi="Arial" w:cs="Arial"/>
          <w:b/>
          <w:bCs/>
          <w:color w:val="000000" w:themeColor="text1"/>
          <w:sz w:val="22"/>
          <w:szCs w:val="22"/>
        </w:rPr>
        <w:t>Growth curves and survival curves</w:t>
      </w:r>
    </w:p>
    <w:p w14:paraId="4A33C379"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Cells were maintained in complete medium during the experiment. Day 0 was taken as seeding control and was considered less than 24 h after seeding. When working with cells with doxycycline-inducible vectors, 0.1 µg/ml of doxycycline was added to the cells. For stress induction, 15 nM Docetaxel (LC laboratories), 3725 nM of freshly prepared H</w:t>
      </w:r>
      <w:r w:rsidRPr="00372F4F">
        <w:rPr>
          <w:rFonts w:ascii="Arial" w:hAnsi="Arial" w:cs="Arial"/>
          <w:color w:val="000000" w:themeColor="text1"/>
          <w:sz w:val="22"/>
          <w:szCs w:val="22"/>
          <w:vertAlign w:val="subscript"/>
        </w:rPr>
        <w:t>2</w:t>
      </w:r>
      <w:r w:rsidRPr="00372F4F">
        <w:rPr>
          <w:rFonts w:ascii="Arial" w:hAnsi="Arial" w:cs="Arial"/>
          <w:color w:val="000000" w:themeColor="text1"/>
          <w:sz w:val="22"/>
          <w:szCs w:val="22"/>
        </w:rPr>
        <w:t>O</w:t>
      </w:r>
      <w:r w:rsidRPr="00372F4F">
        <w:rPr>
          <w:rFonts w:ascii="Arial" w:hAnsi="Arial" w:cs="Arial"/>
          <w:color w:val="000000" w:themeColor="text1"/>
          <w:sz w:val="22"/>
          <w:szCs w:val="22"/>
          <w:vertAlign w:val="subscript"/>
        </w:rPr>
        <w:t xml:space="preserve">2 </w:t>
      </w:r>
      <w:r w:rsidRPr="00372F4F">
        <w:rPr>
          <w:rFonts w:ascii="Arial" w:hAnsi="Arial" w:cs="Arial"/>
          <w:color w:val="000000" w:themeColor="text1"/>
          <w:sz w:val="22"/>
          <w:szCs w:val="22"/>
        </w:rPr>
        <w:t>(Santa Cruz Biotech.), 20 nM Rapamycin (LC Laboratories), 20 J/cm</w:t>
      </w:r>
      <w:r w:rsidRPr="00372F4F">
        <w:rPr>
          <w:rFonts w:ascii="Arial" w:hAnsi="Arial" w:cs="Arial"/>
          <w:color w:val="000000" w:themeColor="text1"/>
          <w:sz w:val="22"/>
          <w:szCs w:val="22"/>
          <w:vertAlign w:val="superscript"/>
        </w:rPr>
        <w:t>2</w:t>
      </w:r>
      <w:r w:rsidRPr="00372F4F">
        <w:rPr>
          <w:rFonts w:ascii="Arial" w:hAnsi="Arial" w:cs="Arial"/>
          <w:color w:val="000000" w:themeColor="text1"/>
          <w:sz w:val="22"/>
          <w:szCs w:val="22"/>
        </w:rPr>
        <w:t xml:space="preserve"> UV pulse, 7 µM Etoposide (Sigma-Aldrich) were prepared in complete DMEM. Evaluation of 3-methyl adenine (3MA, Sigma-Aldrich) was performed in Earle’s Balance Salts Solution medium (EBSS, Sigma-Aldrich, E2888) supplemented with 4.5 g/L of glucose and 2 mM 3MA. Treatments were added 8 hours after curve seeding and medium was refreshed every two days. For collection, cells were fixed with 4% paraformaldehyde (Panreac), and stained with 0.1% crystal violet (Sigma-Aldrich) in 10% methanol for 1 hour. Then cells were washed with dH</w:t>
      </w:r>
      <w:r w:rsidRPr="00372F4F">
        <w:rPr>
          <w:rFonts w:ascii="Arial" w:hAnsi="Arial" w:cs="Arial"/>
          <w:color w:val="000000" w:themeColor="text1"/>
          <w:sz w:val="22"/>
          <w:szCs w:val="22"/>
          <w:vertAlign w:val="subscript"/>
        </w:rPr>
        <w:t>2</w:t>
      </w:r>
      <w:r w:rsidRPr="00372F4F">
        <w:rPr>
          <w:rFonts w:ascii="Arial" w:hAnsi="Arial" w:cs="Arial"/>
          <w:color w:val="000000" w:themeColor="text1"/>
          <w:sz w:val="22"/>
          <w:szCs w:val="22"/>
        </w:rPr>
        <w:t>O and dried overnight at room temperature. Crystal violet was dissolved in 10% acetic acid (Panreac), for 40 min and absorbance at 595 nm was measured using Plate Infinite reader 200 Pro (TECAN) to quantify cell density. All data were normalised to day 0 measurements. At least 4 replicates were performed per biological replicate.</w:t>
      </w:r>
    </w:p>
    <w:p w14:paraId="3EDEE00F" w14:textId="77777777" w:rsidR="00372F4F" w:rsidRPr="00372F4F" w:rsidRDefault="00372F4F" w:rsidP="00372F4F">
      <w:pPr>
        <w:pStyle w:val="NoSpacing"/>
        <w:spacing w:line="480" w:lineRule="auto"/>
        <w:jc w:val="both"/>
        <w:rPr>
          <w:rFonts w:ascii="Arial" w:eastAsiaTheme="minorHAnsi" w:hAnsi="Arial" w:cs="Arial"/>
          <w:color w:val="000000" w:themeColor="text1"/>
          <w:sz w:val="22"/>
          <w:szCs w:val="22"/>
        </w:rPr>
      </w:pPr>
      <w:bookmarkStart w:id="3" w:name="_Toc108604002"/>
    </w:p>
    <w:p w14:paraId="074676E5" w14:textId="77777777" w:rsidR="00372F4F" w:rsidRPr="00372F4F" w:rsidRDefault="00372F4F" w:rsidP="00372F4F">
      <w:pPr>
        <w:pStyle w:val="NoSpacing"/>
        <w:spacing w:line="480" w:lineRule="auto"/>
        <w:jc w:val="both"/>
        <w:rPr>
          <w:rFonts w:ascii="Arial" w:hAnsi="Arial" w:cs="Arial"/>
          <w:b/>
          <w:color w:val="000000" w:themeColor="text1"/>
          <w:sz w:val="22"/>
          <w:szCs w:val="22"/>
        </w:rPr>
      </w:pPr>
      <w:r w:rsidRPr="00372F4F">
        <w:rPr>
          <w:rFonts w:ascii="Arial" w:hAnsi="Arial" w:cs="Arial"/>
          <w:b/>
          <w:color w:val="000000" w:themeColor="text1"/>
          <w:sz w:val="22"/>
          <w:szCs w:val="22"/>
        </w:rPr>
        <w:t>Prostate dissociation and sorting of normal and tumoural prostate cell populations</w:t>
      </w:r>
      <w:bookmarkEnd w:id="3"/>
    </w:p>
    <w:p w14:paraId="354BE1B2" w14:textId="77777777" w:rsidR="00372F4F" w:rsidRPr="00372F4F" w:rsidRDefault="00372F4F" w:rsidP="00372F4F">
      <w:pPr>
        <w:spacing w:line="480" w:lineRule="auto"/>
        <w:jc w:val="both"/>
        <w:rPr>
          <w:rFonts w:ascii="Arial" w:hAnsi="Arial" w:cs="Arial"/>
          <w:color w:val="000000" w:themeColor="text1"/>
          <w:sz w:val="22"/>
          <w:szCs w:val="22"/>
          <w:lang w:val="en-US"/>
        </w:rPr>
      </w:pPr>
      <w:r w:rsidRPr="00372F4F">
        <w:rPr>
          <w:rFonts w:ascii="Arial" w:hAnsi="Arial" w:cs="Arial"/>
          <w:color w:val="000000" w:themeColor="text1"/>
          <w:sz w:val="22"/>
          <w:szCs w:val="22"/>
          <w:lang w:val="en-US"/>
        </w:rPr>
        <w:t xml:space="preserve">Prostates of 5 months old </w:t>
      </w:r>
      <w:r w:rsidRPr="00372F4F">
        <w:rPr>
          <w:rFonts w:ascii="Arial" w:hAnsi="Arial" w:cs="Arial"/>
          <w:i/>
          <w:color w:val="000000" w:themeColor="text1"/>
          <w:sz w:val="22"/>
          <w:szCs w:val="22"/>
          <w:lang w:val="en-US"/>
        </w:rPr>
        <w:t>WT, PbCre/Pten</w:t>
      </w:r>
      <w:r w:rsidRPr="00372F4F">
        <w:rPr>
          <w:rFonts w:ascii="Arial" w:hAnsi="Arial" w:cs="Arial"/>
          <w:i/>
          <w:color w:val="000000" w:themeColor="text1"/>
          <w:sz w:val="22"/>
          <w:szCs w:val="22"/>
          <w:vertAlign w:val="superscript"/>
          <w:lang w:val="en-US"/>
        </w:rPr>
        <w:t>fl/fl</w:t>
      </w:r>
      <w:r w:rsidRPr="00372F4F">
        <w:rPr>
          <w:rFonts w:ascii="Arial" w:hAnsi="Arial" w:cs="Arial"/>
          <w:i/>
          <w:color w:val="000000" w:themeColor="text1"/>
          <w:sz w:val="22"/>
          <w:szCs w:val="22"/>
          <w:lang w:val="en-US"/>
        </w:rPr>
        <w:t>/Mettl1</w:t>
      </w:r>
      <w:r w:rsidRPr="00372F4F">
        <w:rPr>
          <w:rFonts w:ascii="Arial" w:hAnsi="Arial" w:cs="Arial"/>
          <w:i/>
          <w:color w:val="000000" w:themeColor="text1"/>
          <w:sz w:val="22"/>
          <w:szCs w:val="22"/>
          <w:vertAlign w:val="superscript"/>
          <w:lang w:val="en-US"/>
        </w:rPr>
        <w:t>+/+</w:t>
      </w:r>
      <w:r w:rsidRPr="00372F4F">
        <w:rPr>
          <w:rFonts w:ascii="Arial" w:hAnsi="Arial" w:cs="Arial"/>
          <w:color w:val="000000" w:themeColor="text1"/>
          <w:sz w:val="22"/>
          <w:szCs w:val="22"/>
          <w:lang w:val="en-US"/>
        </w:rPr>
        <w:t xml:space="preserve"> and </w:t>
      </w:r>
      <w:r w:rsidRPr="00372F4F">
        <w:rPr>
          <w:rFonts w:ascii="Arial" w:hAnsi="Arial" w:cs="Arial"/>
          <w:i/>
          <w:color w:val="000000" w:themeColor="text1"/>
          <w:sz w:val="22"/>
          <w:szCs w:val="22"/>
          <w:lang w:val="en-US"/>
        </w:rPr>
        <w:t>PbCre/Pten</w:t>
      </w:r>
      <w:r w:rsidRPr="00372F4F">
        <w:rPr>
          <w:rFonts w:ascii="Arial" w:hAnsi="Arial" w:cs="Arial"/>
          <w:i/>
          <w:color w:val="000000" w:themeColor="text1"/>
          <w:sz w:val="22"/>
          <w:szCs w:val="22"/>
          <w:vertAlign w:val="superscript"/>
          <w:lang w:val="en-US"/>
        </w:rPr>
        <w:t>fl/fl</w:t>
      </w:r>
      <w:r w:rsidRPr="00372F4F">
        <w:rPr>
          <w:rFonts w:ascii="Arial" w:hAnsi="Arial" w:cs="Arial"/>
          <w:i/>
          <w:color w:val="000000" w:themeColor="text1"/>
          <w:sz w:val="22"/>
          <w:szCs w:val="22"/>
          <w:lang w:val="en-US"/>
        </w:rPr>
        <w:t>/ Mettl1</w:t>
      </w:r>
      <w:r w:rsidRPr="00372F4F">
        <w:rPr>
          <w:rFonts w:ascii="Arial" w:hAnsi="Arial" w:cs="Arial"/>
          <w:i/>
          <w:color w:val="000000" w:themeColor="text1"/>
          <w:sz w:val="22"/>
          <w:szCs w:val="22"/>
          <w:vertAlign w:val="superscript"/>
          <w:lang w:val="en-US"/>
        </w:rPr>
        <w:t>fl/fl</w:t>
      </w:r>
      <w:r w:rsidRPr="00372F4F">
        <w:rPr>
          <w:rFonts w:ascii="Arial" w:hAnsi="Arial" w:cs="Arial"/>
          <w:color w:val="000000" w:themeColor="text1"/>
          <w:sz w:val="22"/>
          <w:szCs w:val="22"/>
          <w:lang w:val="en-US"/>
        </w:rPr>
        <w:t xml:space="preserve"> mice were dissected and dissociated for 1 hour at 37ºC in rotation with DMEM-F12 medium containing 5% FBS and 1x collagenase Type 1 (ThermoFisher) and 1x hyaluronidase </w:t>
      </w:r>
      <w:r w:rsidRPr="00372F4F">
        <w:rPr>
          <w:rFonts w:ascii="Arial" w:hAnsi="Arial" w:cs="Arial"/>
          <w:color w:val="000000" w:themeColor="text1"/>
          <w:sz w:val="22"/>
          <w:szCs w:val="22"/>
          <w:lang w:val="en-US"/>
        </w:rPr>
        <w:lastRenderedPageBreak/>
        <w:t>(Stem Cell). After centrifugation, the pellet was incubated for 1 hour at 37ºC with 0.25% trypsin, followed by treatment with 5 mg/ml dispase II (Sigma-Aldrich) and 1 U/µl DNAse (Sigma-Aldrich) for 30 min at 37ºC. Dissociated cells were then filtered through a 0.45 µm cell strainer and stained for prostate populations with specific fluorochrome- or biotin-conjugated primary antibodies for 15-30 min in the dark. For Lineage negative: CD31-Biotin (13-0311-82, eBioscience, at 1:250), CD45-Biotin (15886978, BD Biosciences, at 1:500), Ter119-Biotin (13-5921-82, eBioscience, 1:100). And prostate specific: Sca1-APC (17-59581-82, eBioscience, 1:100), CD49f-PE (12-0495-83, eBioscience, 1:500), CD24-FITC (560992, BD Pharmingen, 1:100). For lineage negative antibodies, cells were washed and incubated with Streptavidine-eFluor710 (49-4317-82, eBioscience, 1:100) for 15 min in the dark. The cells were washed and analysed and/or sorted using BD FACS Aria II (BD Biosciences). FACS analysis was performed using FlowJo software. DAPI gating was used to separate viable from dead cells and Linage</w:t>
      </w:r>
      <w:r w:rsidRPr="00372F4F">
        <w:rPr>
          <w:rFonts w:ascii="Arial" w:hAnsi="Arial" w:cs="Arial"/>
          <w:color w:val="000000" w:themeColor="text1"/>
          <w:sz w:val="22"/>
          <w:szCs w:val="22"/>
          <w:vertAlign w:val="superscript"/>
          <w:lang w:val="en-US"/>
        </w:rPr>
        <w:t xml:space="preserve"> </w:t>
      </w:r>
      <w:r w:rsidRPr="00372F4F">
        <w:rPr>
          <w:rFonts w:ascii="Arial" w:hAnsi="Arial" w:cs="Arial"/>
          <w:color w:val="000000" w:themeColor="text1"/>
          <w:sz w:val="22"/>
          <w:szCs w:val="22"/>
          <w:lang w:val="en-US"/>
        </w:rPr>
        <w:t xml:space="preserve">negative to separate epithelial and stromal cells from blood and endothelial cells. </w:t>
      </w:r>
    </w:p>
    <w:p w14:paraId="3B1E2D7A" w14:textId="77777777" w:rsidR="00372F4F" w:rsidRPr="00372F4F" w:rsidRDefault="00372F4F" w:rsidP="00372F4F">
      <w:pPr>
        <w:spacing w:line="480" w:lineRule="auto"/>
        <w:jc w:val="both"/>
        <w:rPr>
          <w:rFonts w:ascii="Arial" w:hAnsi="Arial" w:cs="Arial"/>
          <w:color w:val="000000" w:themeColor="text1"/>
          <w:sz w:val="22"/>
          <w:szCs w:val="22"/>
          <w:lang w:val="en-US"/>
        </w:rPr>
      </w:pPr>
    </w:p>
    <w:p w14:paraId="0FC3638F" w14:textId="77777777" w:rsidR="00372F4F" w:rsidRPr="00372F4F" w:rsidRDefault="00372F4F" w:rsidP="00372F4F">
      <w:pPr>
        <w:spacing w:line="480" w:lineRule="auto"/>
        <w:jc w:val="both"/>
        <w:rPr>
          <w:rFonts w:ascii="Arial" w:eastAsia="Cardo" w:hAnsi="Arial" w:cs="Arial"/>
          <w:color w:val="000000" w:themeColor="text1"/>
          <w:sz w:val="22"/>
          <w:szCs w:val="22"/>
          <w:lang w:val="en-US"/>
        </w:rPr>
      </w:pPr>
      <w:r w:rsidRPr="00372F4F">
        <w:rPr>
          <w:rFonts w:ascii="Arial" w:hAnsi="Arial" w:cs="Arial"/>
          <w:color w:val="000000" w:themeColor="text1"/>
          <w:sz w:val="22"/>
          <w:szCs w:val="22"/>
          <w:lang w:val="en-US"/>
        </w:rPr>
        <w:t xml:space="preserve">RNA extraction was performed using Total RNA Purification Plus Kit (NorGen Biotek Corp, 48300). All RNA was reverse-transcribed using Maxima H Minus cDNA Synthesis Master Mix (ThermoFisher Scientific). RT-qPCR reactions were carried out either using 2x Taqman Fast </w:t>
      </w:r>
      <w:r w:rsidRPr="00372F4F">
        <w:rPr>
          <w:rFonts w:ascii="Arial" w:eastAsia="Cardo" w:hAnsi="Arial" w:cs="Arial"/>
          <w:color w:val="000000" w:themeColor="text1"/>
          <w:sz w:val="22"/>
          <w:szCs w:val="22"/>
          <w:lang w:val="en-US"/>
        </w:rPr>
        <w:t xml:space="preserve">Universal PCR Master Mix (Applied Biosystems) with specific UPL probes. QuantStudio™ 3 or QuantStudio™ 5 Real-Time PCR Systems (Applied biosystems) were used. For Taqman Master Mix reactions the TaqMan probes used were: for mouse GAPDH: Mm99999915_g1; for mouse CD49F: Mm01333831_m1. For UPL probes, the primers for mouse genes used were: METTL1_Fw: gctatggtggcttgttagtgg; METTL1_Rv: cttcacccgaatctccagac with probe UPL #16 (Roche); Sca1_Fw: cccctaccctgatggagtct; Sca1_Rv: tgttctttactttccttgtttgagaa with probe UPL #16; Krt5_Fw: cagagctgaggaacatgcag; Krt5_Rv: cattctcagccgtggtacg with probe #22. </w:t>
      </w:r>
    </w:p>
    <w:p w14:paraId="55CF2E4E" w14:textId="77777777" w:rsidR="00372F4F" w:rsidRPr="00372F4F" w:rsidRDefault="00372F4F" w:rsidP="00372F4F">
      <w:pPr>
        <w:pStyle w:val="NoSpacing"/>
        <w:spacing w:line="480" w:lineRule="auto"/>
        <w:jc w:val="both"/>
        <w:rPr>
          <w:rFonts w:ascii="Arial" w:eastAsiaTheme="minorHAnsi" w:hAnsi="Arial" w:cs="Arial"/>
          <w:color w:val="000000" w:themeColor="text1"/>
          <w:sz w:val="22"/>
          <w:szCs w:val="22"/>
        </w:rPr>
      </w:pPr>
    </w:p>
    <w:p w14:paraId="08303983" w14:textId="77777777" w:rsidR="00372F4F" w:rsidRPr="00372F4F" w:rsidRDefault="00372F4F" w:rsidP="00372F4F">
      <w:pPr>
        <w:pStyle w:val="NoSpacing"/>
        <w:spacing w:line="480" w:lineRule="auto"/>
        <w:jc w:val="both"/>
        <w:rPr>
          <w:rFonts w:ascii="Arial" w:hAnsi="Arial" w:cs="Arial"/>
          <w:b/>
          <w:bCs/>
          <w:color w:val="000000" w:themeColor="text1"/>
          <w:sz w:val="22"/>
          <w:szCs w:val="22"/>
        </w:rPr>
      </w:pPr>
      <w:r w:rsidRPr="00372F4F">
        <w:rPr>
          <w:rFonts w:ascii="Arial" w:hAnsi="Arial" w:cs="Arial"/>
          <w:b/>
          <w:bCs/>
          <w:color w:val="000000" w:themeColor="text1"/>
          <w:sz w:val="22"/>
          <w:szCs w:val="22"/>
        </w:rPr>
        <w:t>Tissue immunohistochemistry and immunofluorescence</w:t>
      </w:r>
    </w:p>
    <w:p w14:paraId="3D1AFB88"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lastRenderedPageBreak/>
        <w:t xml:space="preserve">Mouse tissue was collected and fixed overnight with 4% paraformaldehyde, transferred to 70% EtOH, embedded in paraffin, and sectioned with 5-10 μm of thickness. A standard immunohistochemistry or immunofluorescence protocol was employed and ImmPRESS™ reagents (Vector Labs) were used for immunohistochemistry. Tissue slides were dewaxed, </w:t>
      </w:r>
      <w:r w:rsidRPr="00372F4F">
        <w:rPr>
          <w:rFonts w:ascii="Arial" w:hAnsi="Arial" w:cs="Arial"/>
          <w:bCs/>
          <w:color w:val="000000" w:themeColor="text1"/>
          <w:sz w:val="22"/>
          <w:szCs w:val="22"/>
        </w:rPr>
        <w:t xml:space="preserve">followed by antigen retrieval performed </w:t>
      </w:r>
      <w:r w:rsidRPr="00372F4F">
        <w:rPr>
          <w:rFonts w:ascii="Arial" w:hAnsi="Arial" w:cs="Arial"/>
          <w:color w:val="000000" w:themeColor="text1"/>
          <w:sz w:val="22"/>
          <w:szCs w:val="22"/>
        </w:rPr>
        <w:t xml:space="preserve">in the microwave using citrate buffer (pH 6) (Ki67, cleaved-Casp3, AR, K18, LC3, </w:t>
      </w:r>
      <w:r w:rsidRPr="00372F4F">
        <w:rPr>
          <w:rFonts w:ascii="Symbol" w:hAnsi="Symbol" w:cs="Arial"/>
          <w:color w:val="000000" w:themeColor="text1"/>
          <w:sz w:val="22"/>
          <w:szCs w:val="22"/>
        </w:rPr>
        <w:t></w:t>
      </w:r>
      <w:r w:rsidRPr="00372F4F">
        <w:rPr>
          <w:rFonts w:ascii="Arial" w:hAnsi="Arial" w:cs="Arial"/>
          <w:color w:val="000000" w:themeColor="text1"/>
          <w:sz w:val="22"/>
          <w:szCs w:val="22"/>
        </w:rPr>
        <w:t xml:space="preserve">H2AX) or Tris-EDTA buffer (pH 9) (METTL1, K14). For immunohistochemistry, peroxidase activity was blocked for 30 minutes with 3% hydrogen peroxide (Emsure). Then, slides were washed with PBS and permeabilised with 2% Triton X-100/PBS (Panreac), followed by blocking with specific serum. </w:t>
      </w:r>
      <w:r w:rsidRPr="00372F4F">
        <w:rPr>
          <w:rFonts w:ascii="Arial" w:hAnsi="Arial" w:cs="Arial"/>
          <w:bCs/>
          <w:color w:val="000000" w:themeColor="text1"/>
          <w:sz w:val="22"/>
          <w:szCs w:val="22"/>
        </w:rPr>
        <w:t xml:space="preserve">Thereafter, tissue sections were incubated overnight at 4ºC with primary antibodies prepared in blocking solution </w:t>
      </w:r>
      <w:r w:rsidRPr="00372F4F">
        <w:rPr>
          <w:rFonts w:ascii="Arial" w:hAnsi="Arial" w:cs="Arial"/>
          <w:color w:val="000000" w:themeColor="text1"/>
          <w:sz w:val="22"/>
          <w:szCs w:val="22"/>
        </w:rPr>
        <w:t>with the following antibodies: anti-Ki67 (Vector Labs, VP-K451, 1:100), anti-cleaved-Casp3 (Cell Signaling, 9661S, 1:100), anti-METTL1 (Invitrogen, PA5-54280, 1:100), anti-AR (Cell signalling, 5153, 1:100), anti-K14 (Covance, PRB-155P-100, 1:100), anti-K18 (Abcam, ab59400, 1:100), anti-LC3 (Cell Signaling, 12741, 1:100), anti-</w:t>
      </w:r>
      <w:r w:rsidRPr="00372F4F">
        <w:rPr>
          <w:rFonts w:ascii="Symbol" w:hAnsi="Symbol" w:cs="Arial"/>
          <w:color w:val="000000" w:themeColor="text1"/>
          <w:sz w:val="22"/>
          <w:szCs w:val="22"/>
        </w:rPr>
        <w:t></w:t>
      </w:r>
      <w:r w:rsidRPr="00372F4F">
        <w:rPr>
          <w:rFonts w:ascii="Arial" w:hAnsi="Arial" w:cs="Arial"/>
          <w:color w:val="000000" w:themeColor="text1"/>
          <w:sz w:val="22"/>
          <w:szCs w:val="22"/>
        </w:rPr>
        <w:t xml:space="preserve">H2AX (Cell Signaling, 2577L, 1:200). For tissue immunohistochemistry, secondary antibody incubation was performed with ImmPress HRP kit (Vector Laboratories) and the reaction was visualised with ImmPact DABSubstrate kit or Red Substrate kits (Vector Laboratories). Finally, slides were counterstained with Haematoxylin and Eosin (Millipore) and mounted with DPX (Sigma-Aldrich). For immunofluorescence, secondary antibody incubation was performed for one hour with anti-Rabbit Alexa Fluor 488, anti-Goat 488 or anti-Rabbit Alexa Fluor 594 antibodies (Invitrogen). Nuclei were stained with DAPI (Sigma-Aldrich, D9542). Vector® TrueVIEW® Autofluorescence Quenching Kit was used following the manufacturer's instructions for tissue autofluorescence reduction and slide mounting. For image acquisition, Olympus BX-51 Microscope and Leica DM6 B Microscope were used for immunohistochemistry and immunofluorescence slides, respectively. </w:t>
      </w:r>
    </w:p>
    <w:p w14:paraId="4F3058F0"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0CD0C270"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lastRenderedPageBreak/>
        <w:t>For LC3 staining quantification, DAB and hematoxylin channels were separated using the H-DAB option from Colour Deconvolution plugin of ImageJ software. DAB intensity was measured and ODs were calculated using the following formula: OD=log(max intensity/Mean intensity); where max intensity is 255 for 8-bit images. For measuring DNA damage, the percentage of γH2AX positive cells was calculated by dividing the number of cells with γH2AX foci between the total number of nuclei in a total of 10 pictures per tumour.</w:t>
      </w:r>
    </w:p>
    <w:p w14:paraId="3FBFEE99"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413127FE" w14:textId="77777777" w:rsidR="00372F4F" w:rsidRPr="00372F4F" w:rsidRDefault="00372F4F" w:rsidP="00372F4F">
      <w:pPr>
        <w:pStyle w:val="NoSpacing"/>
        <w:spacing w:line="480" w:lineRule="auto"/>
        <w:jc w:val="both"/>
        <w:rPr>
          <w:rFonts w:ascii="Arial" w:hAnsi="Arial" w:cs="Arial"/>
          <w:b/>
          <w:color w:val="000000" w:themeColor="text1"/>
          <w:sz w:val="22"/>
          <w:szCs w:val="22"/>
        </w:rPr>
      </w:pPr>
      <w:r w:rsidRPr="00372F4F">
        <w:rPr>
          <w:rFonts w:ascii="Arial" w:hAnsi="Arial" w:cs="Arial"/>
          <w:b/>
          <w:color w:val="000000" w:themeColor="text1"/>
          <w:sz w:val="22"/>
          <w:szCs w:val="22"/>
        </w:rPr>
        <w:t xml:space="preserve">Paraffin-embedded prostate samples </w:t>
      </w:r>
    </w:p>
    <w:p w14:paraId="15D80EE5"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Paraffin-embedded prostate samples included in this study were provided by the Biobank Hospital Universitario Puerta de Hierro Majadahonda (HUPHM)/Instituto de Investigación Sanitaria Puerta de Hierro-Segovia de Arana (IDIPHISA) (PT17/0015/0020 in the Spanish National Biobanks Network), they were processed following standard operating procedures with the appropriate approval of the Ethics and Scientific Committees.</w:t>
      </w:r>
    </w:p>
    <w:p w14:paraId="1CC035F2"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14E234B9" w14:textId="77777777" w:rsidR="00372F4F" w:rsidRPr="00372F4F" w:rsidRDefault="00372F4F" w:rsidP="00372F4F">
      <w:pPr>
        <w:pStyle w:val="NoSpacing"/>
        <w:spacing w:line="480" w:lineRule="auto"/>
        <w:jc w:val="both"/>
        <w:rPr>
          <w:rFonts w:ascii="Arial" w:hAnsi="Arial" w:cs="Arial"/>
          <w:b/>
          <w:color w:val="000000" w:themeColor="text1"/>
          <w:sz w:val="22"/>
          <w:szCs w:val="22"/>
        </w:rPr>
      </w:pPr>
      <w:r w:rsidRPr="00372F4F">
        <w:rPr>
          <w:rFonts w:ascii="Arial" w:hAnsi="Arial" w:cs="Arial"/>
          <w:b/>
          <w:color w:val="000000" w:themeColor="text1"/>
          <w:sz w:val="22"/>
          <w:szCs w:val="22"/>
        </w:rPr>
        <w:t>Mouse lines and experimental procedures with mice</w:t>
      </w:r>
    </w:p>
    <w:p w14:paraId="450D4C56" w14:textId="77777777" w:rsidR="00372F4F" w:rsidRP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color w:val="000000" w:themeColor="text1"/>
          <w:sz w:val="22"/>
          <w:szCs w:val="22"/>
        </w:rPr>
        <w:t xml:space="preserve">All mice were maintained at the Animal Research Core Facility at the University of Salamanca, in ventilated filter cages under Specific Pathogen Free (SPF) conditions with food and water available </w:t>
      </w:r>
      <w:r w:rsidRPr="00372F4F">
        <w:rPr>
          <w:rFonts w:ascii="Arial" w:hAnsi="Arial" w:cs="Arial"/>
          <w:i/>
          <w:iCs/>
          <w:color w:val="000000" w:themeColor="text1"/>
          <w:sz w:val="22"/>
          <w:szCs w:val="22"/>
        </w:rPr>
        <w:t>ad libitum</w:t>
      </w:r>
      <w:r w:rsidRPr="00372F4F">
        <w:rPr>
          <w:rFonts w:ascii="Arial" w:hAnsi="Arial" w:cs="Arial"/>
          <w:color w:val="000000" w:themeColor="text1"/>
          <w:sz w:val="22"/>
          <w:szCs w:val="22"/>
        </w:rPr>
        <w:t xml:space="preserve">. All mouse experiments were performed following the ethical guidelines established by the Biosafety and Bioethics Committee at the University of Salamanca (under protocols #269, #506, #595) and by the Competent Authority of the Castilla y León Government. </w:t>
      </w:r>
    </w:p>
    <w:p w14:paraId="2A3662C0" w14:textId="38556E91" w:rsidR="00372F4F" w:rsidRPr="00372F4F" w:rsidRDefault="00372F4F" w:rsidP="00372F4F">
      <w:pPr>
        <w:spacing w:before="240" w:after="240" w:line="480" w:lineRule="auto"/>
        <w:jc w:val="both"/>
        <w:rPr>
          <w:rFonts w:ascii="Arial" w:hAnsi="Arial" w:cs="Arial"/>
          <w:color w:val="000000" w:themeColor="text1"/>
          <w:sz w:val="22"/>
          <w:szCs w:val="22"/>
          <w:lang w:val="en-US"/>
        </w:rPr>
      </w:pPr>
      <w:r w:rsidRPr="00372F4F">
        <w:rPr>
          <w:rFonts w:ascii="Arial" w:hAnsi="Arial" w:cs="Arial"/>
          <w:i/>
          <w:color w:val="000000" w:themeColor="text1"/>
          <w:sz w:val="22"/>
          <w:szCs w:val="22"/>
          <w:lang w:val="en-US"/>
        </w:rPr>
        <w:t>Mettl1</w:t>
      </w:r>
      <w:r w:rsidRPr="00372F4F">
        <w:rPr>
          <w:rFonts w:ascii="Arial" w:hAnsi="Arial" w:cs="Arial"/>
          <w:i/>
          <w:color w:val="000000" w:themeColor="text1"/>
          <w:sz w:val="22"/>
          <w:szCs w:val="22"/>
          <w:vertAlign w:val="superscript"/>
          <w:lang w:val="en-US"/>
        </w:rPr>
        <w:t>flox/flox</w:t>
      </w:r>
      <w:r w:rsidRPr="00372F4F">
        <w:rPr>
          <w:rFonts w:ascii="Arial" w:hAnsi="Arial" w:cs="Arial"/>
          <w:i/>
          <w:color w:val="000000" w:themeColor="text1"/>
          <w:sz w:val="22"/>
          <w:szCs w:val="22"/>
          <w:lang w:val="en-US"/>
        </w:rPr>
        <w:t xml:space="preserve"> </w:t>
      </w:r>
      <w:r w:rsidRPr="00372F4F">
        <w:rPr>
          <w:rFonts w:ascii="Arial" w:hAnsi="Arial" w:cs="Arial"/>
          <w:color w:val="000000" w:themeColor="text1"/>
          <w:sz w:val="22"/>
          <w:szCs w:val="22"/>
          <w:lang w:val="en-US"/>
        </w:rPr>
        <w:t>allele for</w:t>
      </w:r>
      <w:r w:rsidRPr="00372F4F">
        <w:rPr>
          <w:rFonts w:ascii="Arial" w:hAnsi="Arial" w:cs="Arial"/>
          <w:i/>
          <w:color w:val="000000" w:themeColor="text1"/>
          <w:sz w:val="22"/>
          <w:szCs w:val="22"/>
          <w:lang w:val="en-US"/>
        </w:rPr>
        <w:t xml:space="preserve"> </w:t>
      </w:r>
      <w:r w:rsidRPr="00372F4F">
        <w:rPr>
          <w:rFonts w:ascii="Arial" w:hAnsi="Arial" w:cs="Arial"/>
          <w:color w:val="000000" w:themeColor="text1"/>
          <w:sz w:val="22"/>
          <w:szCs w:val="22"/>
          <w:lang w:val="en-US"/>
        </w:rPr>
        <w:t xml:space="preserve">conditional deletion of </w:t>
      </w:r>
      <w:r w:rsidRPr="00372F4F">
        <w:rPr>
          <w:rFonts w:ascii="Arial" w:hAnsi="Arial" w:cs="Arial"/>
          <w:i/>
          <w:color w:val="000000" w:themeColor="text1"/>
          <w:sz w:val="22"/>
          <w:szCs w:val="22"/>
          <w:lang w:val="en-US"/>
        </w:rPr>
        <w:t>Mettl1</w:t>
      </w:r>
      <w:r w:rsidRPr="00372F4F">
        <w:rPr>
          <w:rFonts w:ascii="Arial" w:hAnsi="Arial" w:cs="Arial"/>
          <w:color w:val="000000" w:themeColor="text1"/>
          <w:sz w:val="22"/>
          <w:szCs w:val="22"/>
          <w:lang w:val="en-US"/>
        </w:rPr>
        <w:t xml:space="preserve"> in</w:t>
      </w:r>
      <w:r w:rsidRPr="00372F4F">
        <w:rPr>
          <w:rFonts w:ascii="Arial" w:hAnsi="Arial" w:cs="Arial"/>
          <w:i/>
          <w:color w:val="000000" w:themeColor="text1"/>
          <w:sz w:val="22"/>
          <w:szCs w:val="22"/>
          <w:lang w:val="en-US"/>
        </w:rPr>
        <w:t xml:space="preserve"> </w:t>
      </w:r>
      <w:r w:rsidRPr="00372F4F">
        <w:rPr>
          <w:rFonts w:ascii="Arial" w:hAnsi="Arial" w:cs="Arial"/>
          <w:color w:val="000000" w:themeColor="text1"/>
          <w:sz w:val="22"/>
          <w:szCs w:val="22"/>
          <w:lang w:val="en-US"/>
        </w:rPr>
        <w:t xml:space="preserve">mice, was generated by floxing the exon 2 of </w:t>
      </w:r>
      <w:r w:rsidRPr="00372F4F">
        <w:rPr>
          <w:rFonts w:ascii="Arial" w:hAnsi="Arial" w:cs="Arial"/>
          <w:i/>
          <w:color w:val="000000" w:themeColor="text1"/>
          <w:sz w:val="22"/>
          <w:szCs w:val="22"/>
          <w:lang w:val="en-US"/>
        </w:rPr>
        <w:t>Mettl1</w:t>
      </w:r>
      <w:r w:rsidRPr="00372F4F">
        <w:rPr>
          <w:rFonts w:ascii="Arial" w:hAnsi="Arial" w:cs="Arial"/>
          <w:color w:val="000000" w:themeColor="text1"/>
          <w:sz w:val="22"/>
          <w:szCs w:val="22"/>
          <w:lang w:val="en-US"/>
        </w:rPr>
        <w:t xml:space="preserve"> (Supplementary Fig. S6A). After CRE activity, this genome edition will generate an early truncated METTL1 protein without catalytic activity. Two complementary RNA oligos were designed using the web tool breakingcas </w:t>
      </w:r>
      <w:hyperlink r:id="rId7" w:history="1">
        <w:r w:rsidRPr="00372F4F">
          <w:rPr>
            <w:rStyle w:val="Hyperlink"/>
            <w:rFonts w:ascii="Arial" w:hAnsi="Arial" w:cs="Arial"/>
            <w:color w:val="000000" w:themeColor="text1"/>
            <w:sz w:val="22"/>
            <w:szCs w:val="22"/>
            <w:lang w:val="en-US"/>
          </w:rPr>
          <w:t>http://bioinfogp.cnb.csic.es/tools/breakingcas/</w:t>
        </w:r>
      </w:hyperlink>
      <w:r w:rsidRPr="00372F4F">
        <w:rPr>
          <w:rStyle w:val="Hyperlink"/>
          <w:rFonts w:ascii="Arial" w:hAnsi="Arial" w:cs="Arial"/>
          <w:color w:val="000000" w:themeColor="text1"/>
          <w:sz w:val="22"/>
          <w:szCs w:val="22"/>
          <w:lang w:val="en-US"/>
        </w:rPr>
        <w:t xml:space="preserve"> </w:t>
      </w:r>
      <w:r w:rsidRPr="00372F4F">
        <w:rPr>
          <w:rFonts w:ascii="Arial" w:hAnsi="Arial" w:cs="Arial"/>
          <w:color w:val="000000" w:themeColor="text1"/>
          <w:sz w:val="22"/>
          <w:szCs w:val="22"/>
          <w:lang w:val="en-US"/>
        </w:rPr>
        <w:t>as CRISPR RNA guides (crRNA): METTL1 guide 1 and guide 2 (</w:t>
      </w:r>
      <w:r w:rsidRPr="00372F4F">
        <w:rPr>
          <w:rFonts w:ascii="Arial" w:eastAsia="Calibri" w:hAnsi="Arial" w:cs="Arial"/>
          <w:color w:val="000000" w:themeColor="text1"/>
          <w:sz w:val="22"/>
          <w:szCs w:val="22"/>
          <w:lang w:val="en-US"/>
        </w:rPr>
        <w:t>crRNA1: rU rA rA rG rA rG rC rC rA rU rG rA rU rG rA rUr C rC rA rA rG rU rU rU rU rA rG rA rG rC rU rA rU rG rC rU; crRNA 2: rU rG rG rC rU rU rG rU rU rA rG rG rU rA rA rU rA rA rG rC rG rU rU rU rU rA rG rA rG rC rU rA rU rG rC rU</w:t>
      </w:r>
      <w:r w:rsidRPr="00372F4F">
        <w:rPr>
          <w:rFonts w:ascii="Arial" w:hAnsi="Arial" w:cs="Arial"/>
          <w:color w:val="000000" w:themeColor="text1"/>
          <w:sz w:val="22"/>
          <w:szCs w:val="22"/>
          <w:lang w:val="en-US"/>
        </w:rPr>
        <w:t xml:space="preserve">). A  single-strand oligo DNA (ssODN) contained two LoxP sequences in the same orientation flanking exon 2 and two single mutations destroying the PAM sequences was designed as a template for homologous recombination with the sequence CGGGTAAATAAAAATTTTAAAATATACATAAACAAAGTAGTGCTCCAGTGCCTTAGGCAGTCAGTCTCTGGGAAAACCTTACACACATCAGTACCCAGAAGAACTTGGCAGATCTGCAGCCATAGCCTCATGATGGGACTGATTCACACCCTAGAAGCCAATAACTTCGTATAATGTATGCTATACGAAGTTATGGGGACTTCCCATTACACCTTCTACATACCACATGGTCCCTGCATGCAGAGTTTTTTTCTAAGCCTACCACCCCACCCCCAACTCTTACACAAAATGTCTGCACTGGTATGTACAACAGTCTCATGTGTCTCATGTCTTCTTTCTAATAGCCCTGTGAAGCCAGAGGAAATGGACTGGTCTGAGCTTTACCCAGAGTTCTTTGCTCCGCTTATTCAAAATAAGAGCCATGATGATCCAAAAGATGAGAAAGAAAAGCACTCTGGGGCCCAAGTGGAGTTTGCAGACATAGGCTGTGGCTATGGTGGCTTGTTAGGTAATAAGCTCGCCCTTTTCTTGGGACAGGGAGAGGCCTGGGTTCTGCCATCTCAGCAGGTTAGAGGCAGGATTAGTTGACCTTTCCTCCTGGGACCAGACAGCAGTGACATCAGTGTGGAGAGCCTCCACCTTCCTTCTACTCTGGGTCATAACTTCGTATAATGTATGCTATACGAAGTTATTGTGGCCTTTGCCCTGGAGGAGGGAGGGGGCTGCCTCAGATGTATCTGAGAACCCCGGTTGTTCTGTCTAGCTCCAGTGGCTCCAGTCCCTCCGTGAGCCATTCCACTGCCTTGTGCTGGGTCAGTGAGCCGGGTCAGCACAAGCGTCAGAGATCAGCTCCAGTGGCCACTGATCCTGAA. The </w:t>
      </w:r>
      <w:r w:rsidRPr="00372F4F">
        <w:rPr>
          <w:rFonts w:ascii="Arial" w:eastAsia="Calibri" w:hAnsi="Arial" w:cs="Arial"/>
          <w:color w:val="000000" w:themeColor="text1"/>
          <w:sz w:val="22"/>
          <w:szCs w:val="22"/>
          <w:lang w:val="en-US"/>
        </w:rPr>
        <w:t>crRNAs</w:t>
      </w:r>
      <w:r w:rsidRPr="00372F4F">
        <w:rPr>
          <w:rFonts w:ascii="Arial" w:hAnsi="Arial" w:cs="Arial"/>
          <w:color w:val="000000" w:themeColor="text1"/>
          <w:sz w:val="22"/>
          <w:szCs w:val="22"/>
          <w:lang w:val="en-US"/>
        </w:rPr>
        <w:t xml:space="preserve">, the ssODN and the tracrRNA (trans-activating CRISPR RNA) were produced by chemical synthesis (IDT). The </w:t>
      </w:r>
      <w:r w:rsidRPr="00372F4F">
        <w:rPr>
          <w:rFonts w:ascii="Arial" w:eastAsia="Calibri" w:hAnsi="Arial" w:cs="Arial"/>
          <w:color w:val="000000" w:themeColor="text1"/>
          <w:sz w:val="22"/>
          <w:szCs w:val="22"/>
          <w:lang w:val="en-US"/>
        </w:rPr>
        <w:t>crRNA</w:t>
      </w:r>
      <w:r w:rsidRPr="00372F4F">
        <w:rPr>
          <w:rFonts w:ascii="Arial" w:hAnsi="Arial" w:cs="Arial"/>
          <w:color w:val="000000" w:themeColor="text1"/>
          <w:sz w:val="22"/>
          <w:szCs w:val="22"/>
          <w:lang w:val="en-US"/>
        </w:rPr>
        <w:t xml:space="preserve">s and tracrRNA were annealed to obtain the mature sgRNA. A mixture containing 30 ng/µl of recombinant Cas9 protein (IDT), 20 ng/µl each of each sgRNA, and 10 ng/µ) of ssODN were microinjected into C57BL6/J zygotes at the Transgenic Facility (NUCLEUS, University of Salamanca). All edited founders were </w:t>
      </w:r>
      <w:r w:rsidRPr="00372F4F">
        <w:rPr>
          <w:rFonts w:ascii="Arial" w:hAnsi="Arial" w:cs="Arial"/>
          <w:color w:val="000000" w:themeColor="text1"/>
          <w:sz w:val="22"/>
          <w:szCs w:val="22"/>
          <w:lang w:val="en-US"/>
        </w:rPr>
        <w:lastRenderedPageBreak/>
        <w:t xml:space="preserve">identified by PCR amplification (Taq polymerase, NZYTech) with primers flanking the exon 2 (primer F 5’-TCTCCTGGTGTGCATGAAGAC-3’ and R 5′-AGGGAAGGTGGTGGAATCCC-3′). </w:t>
      </w:r>
      <w:r w:rsidRPr="00372F4F">
        <w:rPr>
          <w:rFonts w:ascii="Arial" w:hAnsi="Arial" w:cs="Arial"/>
          <w:i/>
          <w:color w:val="000000" w:themeColor="text1"/>
          <w:sz w:val="22"/>
          <w:szCs w:val="22"/>
          <w:lang w:val="en-US"/>
        </w:rPr>
        <w:t>Mettl1</w:t>
      </w:r>
      <w:r w:rsidRPr="00372F4F">
        <w:rPr>
          <w:rFonts w:ascii="Arial" w:hAnsi="Arial" w:cs="Arial"/>
          <w:i/>
          <w:color w:val="000000" w:themeColor="text1"/>
          <w:sz w:val="22"/>
          <w:szCs w:val="22"/>
          <w:vertAlign w:val="superscript"/>
          <w:lang w:val="en-US"/>
        </w:rPr>
        <w:t>flox/flox</w:t>
      </w:r>
      <w:r w:rsidRPr="00372F4F">
        <w:rPr>
          <w:rFonts w:ascii="Arial" w:hAnsi="Arial" w:cs="Arial"/>
          <w:i/>
          <w:color w:val="000000" w:themeColor="text1"/>
          <w:sz w:val="22"/>
          <w:szCs w:val="22"/>
          <w:lang w:val="en-US"/>
        </w:rPr>
        <w:t xml:space="preserve"> </w:t>
      </w:r>
      <w:r w:rsidRPr="00372F4F">
        <w:rPr>
          <w:rFonts w:ascii="Arial" w:hAnsi="Arial" w:cs="Arial"/>
          <w:color w:val="000000" w:themeColor="text1"/>
          <w:sz w:val="22"/>
          <w:szCs w:val="22"/>
          <w:lang w:val="en-US"/>
        </w:rPr>
        <w:t xml:space="preserve">founders produced an amplicon of 957 base pairs (bp) for edited alleles with a new enzyme restriction site. PCR products were confirmed by Sanger sequencing. The founders were crossed with WT C57BL/6 J to eliminate unwanted off-targets. Heterozygous mice were crossed to give rise to edited heterozygous and homozygous. Genotyping was performed by PCR using primers F-5’-ATCTGCAGCCATAGCCTCAT-3’ and R-5’-TCTAACCTGCTGAGATGGCA-3’. </w:t>
      </w:r>
      <w:r w:rsidRPr="00372F4F">
        <w:rPr>
          <w:rFonts w:ascii="Arial" w:hAnsi="Arial" w:cs="Arial"/>
          <w:i/>
          <w:color w:val="000000" w:themeColor="text1"/>
          <w:sz w:val="22"/>
          <w:szCs w:val="22"/>
          <w:lang w:val="en-US"/>
        </w:rPr>
        <w:t>Pten</w:t>
      </w:r>
      <w:r w:rsidRPr="00372F4F">
        <w:rPr>
          <w:rFonts w:ascii="Arial" w:hAnsi="Arial" w:cs="Arial"/>
          <w:i/>
          <w:color w:val="000000" w:themeColor="text1"/>
          <w:sz w:val="22"/>
          <w:szCs w:val="22"/>
          <w:vertAlign w:val="superscript"/>
          <w:lang w:val="en-US"/>
        </w:rPr>
        <w:t>flox/flox</w:t>
      </w:r>
      <w:r w:rsidRPr="00372F4F">
        <w:rPr>
          <w:rFonts w:ascii="Arial" w:hAnsi="Arial" w:cs="Arial"/>
          <w:i/>
          <w:color w:val="000000" w:themeColor="text1"/>
          <w:sz w:val="22"/>
          <w:szCs w:val="22"/>
          <w:lang w:val="en-US"/>
        </w:rPr>
        <w:t xml:space="preserve"> </w:t>
      </w:r>
      <w:r w:rsidRPr="00372F4F">
        <w:rPr>
          <w:rFonts w:ascii="Arial" w:hAnsi="Arial" w:cs="Arial"/>
          <w:color w:val="000000" w:themeColor="text1"/>
          <w:sz w:val="22"/>
          <w:szCs w:val="22"/>
          <w:lang w:val="en-US"/>
        </w:rPr>
        <w:t xml:space="preserve">and prostate epithelium-specific Cre recombinase </w:t>
      </w:r>
      <w:r w:rsidRPr="00372F4F">
        <w:rPr>
          <w:rFonts w:ascii="Arial" w:hAnsi="Arial" w:cs="Arial"/>
          <w:i/>
          <w:color w:val="000000" w:themeColor="text1"/>
          <w:sz w:val="22"/>
          <w:szCs w:val="22"/>
          <w:lang w:val="en-US"/>
        </w:rPr>
        <w:t>Pb-Cre4</w:t>
      </w:r>
      <w:r w:rsidRPr="00372F4F">
        <w:rPr>
          <w:rFonts w:ascii="Arial" w:hAnsi="Arial" w:cs="Arial"/>
          <w:color w:val="000000" w:themeColor="text1"/>
          <w:sz w:val="22"/>
          <w:szCs w:val="22"/>
          <w:lang w:val="en-US"/>
        </w:rPr>
        <w:t xml:space="preserve"> were previously described</w:t>
      </w:r>
      <w:r w:rsidRPr="00372F4F">
        <w:rPr>
          <w:rFonts w:ascii="Arial" w:hAnsi="Arial" w:cs="Arial"/>
          <w:color w:val="000000" w:themeColor="text1"/>
          <w:sz w:val="22"/>
          <w:szCs w:val="22"/>
          <w:vertAlign w:val="superscript"/>
          <w:lang w:val="en-US"/>
        </w:rPr>
        <w:t>4</w:t>
      </w:r>
      <w:r w:rsidRPr="00372F4F">
        <w:rPr>
          <w:rFonts w:ascii="Arial" w:hAnsi="Arial" w:cs="Arial"/>
          <w:color w:val="000000" w:themeColor="text1"/>
          <w:sz w:val="22"/>
          <w:szCs w:val="22"/>
          <w:lang w:val="en-US"/>
        </w:rPr>
        <w:t xml:space="preserve"> and provided by Pr P.P. Pandolfi. </w:t>
      </w:r>
      <w:r w:rsidRPr="00372F4F">
        <w:rPr>
          <w:rFonts w:ascii="Arial" w:hAnsi="Arial" w:cs="Arial"/>
          <w:i/>
          <w:color w:val="000000" w:themeColor="text1"/>
          <w:sz w:val="22"/>
          <w:szCs w:val="22"/>
          <w:lang w:val="en-US"/>
        </w:rPr>
        <w:t>Mettl1</w:t>
      </w:r>
      <w:r w:rsidRPr="00372F4F">
        <w:rPr>
          <w:rFonts w:ascii="Arial" w:hAnsi="Arial" w:cs="Arial"/>
          <w:i/>
          <w:color w:val="000000" w:themeColor="text1"/>
          <w:sz w:val="22"/>
          <w:szCs w:val="22"/>
          <w:vertAlign w:val="superscript"/>
          <w:lang w:val="en-US"/>
        </w:rPr>
        <w:t>flox/flox</w:t>
      </w:r>
      <w:r w:rsidRPr="00372F4F">
        <w:rPr>
          <w:rFonts w:ascii="Arial" w:hAnsi="Arial" w:cs="Arial"/>
          <w:i/>
          <w:color w:val="000000" w:themeColor="text1"/>
          <w:sz w:val="22"/>
          <w:szCs w:val="22"/>
          <w:lang w:val="en-US"/>
        </w:rPr>
        <w:t xml:space="preserve"> </w:t>
      </w:r>
      <w:r w:rsidRPr="00372F4F">
        <w:rPr>
          <w:rFonts w:ascii="Arial" w:hAnsi="Arial" w:cs="Arial"/>
          <w:color w:val="000000" w:themeColor="text1"/>
          <w:sz w:val="22"/>
          <w:szCs w:val="22"/>
          <w:lang w:val="en-US"/>
        </w:rPr>
        <w:t>mice were crossed to</w:t>
      </w:r>
      <w:r w:rsidRPr="00372F4F">
        <w:rPr>
          <w:rFonts w:ascii="Arial" w:hAnsi="Arial" w:cs="Arial"/>
          <w:i/>
          <w:color w:val="000000" w:themeColor="text1"/>
          <w:sz w:val="22"/>
          <w:szCs w:val="22"/>
          <w:lang w:val="en-US"/>
        </w:rPr>
        <w:t xml:space="preserve"> </w:t>
      </w:r>
      <w:r w:rsidRPr="00372F4F">
        <w:rPr>
          <w:rFonts w:ascii="Arial" w:hAnsi="Arial" w:cs="Arial"/>
          <w:color w:val="000000" w:themeColor="text1"/>
          <w:sz w:val="22"/>
          <w:szCs w:val="22"/>
          <w:lang w:val="en-US"/>
        </w:rPr>
        <w:t>Pten</w:t>
      </w:r>
      <w:r w:rsidRPr="00372F4F">
        <w:rPr>
          <w:rFonts w:ascii="Arial" w:hAnsi="Arial" w:cs="Arial"/>
          <w:color w:val="000000" w:themeColor="text1"/>
          <w:sz w:val="22"/>
          <w:szCs w:val="22"/>
          <w:vertAlign w:val="superscript"/>
          <w:lang w:val="en-US"/>
        </w:rPr>
        <w:t>flox/flox</w:t>
      </w:r>
      <w:r w:rsidRPr="00372F4F">
        <w:rPr>
          <w:rFonts w:ascii="Arial" w:hAnsi="Arial" w:cs="Arial"/>
          <w:color w:val="000000" w:themeColor="text1"/>
          <w:sz w:val="22"/>
          <w:szCs w:val="22"/>
          <w:lang w:val="en-US"/>
        </w:rPr>
        <w:t xml:space="preserve"> and </w:t>
      </w:r>
      <w:r w:rsidRPr="00372F4F">
        <w:rPr>
          <w:rFonts w:ascii="Arial" w:hAnsi="Arial" w:cs="Arial"/>
          <w:i/>
          <w:color w:val="000000" w:themeColor="text1"/>
          <w:sz w:val="22"/>
          <w:szCs w:val="22"/>
          <w:lang w:val="en-US"/>
        </w:rPr>
        <w:t>Pb-Cre</w:t>
      </w:r>
      <w:r w:rsidRPr="00372F4F">
        <w:rPr>
          <w:rFonts w:ascii="Arial" w:hAnsi="Arial" w:cs="Arial"/>
          <w:color w:val="000000" w:themeColor="text1"/>
          <w:sz w:val="22"/>
          <w:szCs w:val="22"/>
          <w:lang w:val="en-US"/>
        </w:rPr>
        <w:t xml:space="preserve"> mice.</w:t>
      </w:r>
    </w:p>
    <w:p w14:paraId="03771B9F" w14:textId="77777777" w:rsidR="00372F4F" w:rsidRPr="00372F4F" w:rsidRDefault="00372F4F" w:rsidP="00372F4F">
      <w:pPr>
        <w:pStyle w:val="NoSpacing"/>
        <w:spacing w:line="480" w:lineRule="auto"/>
        <w:jc w:val="both"/>
        <w:rPr>
          <w:rFonts w:ascii="Arial" w:hAnsi="Arial" w:cs="Arial"/>
          <w:color w:val="000000" w:themeColor="text1"/>
          <w:sz w:val="22"/>
          <w:szCs w:val="22"/>
        </w:rPr>
      </w:pPr>
    </w:p>
    <w:p w14:paraId="0B6B5B43" w14:textId="179C1115" w:rsidR="00372F4F" w:rsidRDefault="00372F4F" w:rsidP="00372F4F">
      <w:pPr>
        <w:pStyle w:val="NoSpacing"/>
        <w:spacing w:line="480" w:lineRule="auto"/>
        <w:jc w:val="both"/>
        <w:rPr>
          <w:rFonts w:ascii="Arial" w:hAnsi="Arial" w:cs="Arial"/>
          <w:color w:val="000000" w:themeColor="text1"/>
          <w:sz w:val="22"/>
          <w:szCs w:val="22"/>
        </w:rPr>
      </w:pPr>
      <w:r w:rsidRPr="00372F4F">
        <w:rPr>
          <w:rFonts w:ascii="Arial" w:hAnsi="Arial" w:cs="Arial"/>
          <w:iCs/>
          <w:color w:val="000000" w:themeColor="text1"/>
          <w:sz w:val="22"/>
          <w:szCs w:val="22"/>
        </w:rPr>
        <w:t>For xenograft generation,</w:t>
      </w:r>
      <w:r w:rsidRPr="00372F4F">
        <w:rPr>
          <w:rFonts w:ascii="Arial" w:hAnsi="Arial" w:cs="Arial"/>
          <w:i/>
          <w:iCs/>
          <w:color w:val="000000" w:themeColor="text1"/>
          <w:sz w:val="22"/>
          <w:szCs w:val="22"/>
        </w:rPr>
        <w:t xml:space="preserve"> </w:t>
      </w:r>
      <w:r w:rsidRPr="00372F4F">
        <w:rPr>
          <w:rFonts w:ascii="Arial" w:hAnsi="Arial" w:cs="Arial"/>
          <w:color w:val="000000" w:themeColor="text1"/>
          <w:sz w:val="22"/>
          <w:szCs w:val="22"/>
        </w:rPr>
        <w:t>1.5x10</w:t>
      </w:r>
      <w:r w:rsidRPr="00372F4F">
        <w:rPr>
          <w:rFonts w:ascii="Arial" w:hAnsi="Arial" w:cs="Arial"/>
          <w:color w:val="000000" w:themeColor="text1"/>
          <w:sz w:val="22"/>
          <w:szCs w:val="22"/>
          <w:vertAlign w:val="superscript"/>
        </w:rPr>
        <w:t>6</w:t>
      </w:r>
      <w:r w:rsidRPr="00372F4F">
        <w:rPr>
          <w:rFonts w:ascii="Arial" w:hAnsi="Arial" w:cs="Arial"/>
          <w:color w:val="000000" w:themeColor="text1"/>
          <w:sz w:val="22"/>
          <w:szCs w:val="22"/>
        </w:rPr>
        <w:t xml:space="preserve"> of PC3 WT and </w:t>
      </w:r>
      <w:r w:rsidRPr="00372F4F">
        <w:rPr>
          <w:rFonts w:ascii="Arial" w:hAnsi="Arial" w:cs="Arial"/>
          <w:i/>
          <w:color w:val="000000" w:themeColor="text1"/>
          <w:sz w:val="22"/>
          <w:szCs w:val="22"/>
        </w:rPr>
        <w:t>METTL1 KO</w:t>
      </w:r>
      <w:r w:rsidRPr="00372F4F">
        <w:rPr>
          <w:rFonts w:ascii="Arial" w:hAnsi="Arial" w:cs="Arial"/>
          <w:color w:val="000000" w:themeColor="text1"/>
          <w:sz w:val="22"/>
          <w:szCs w:val="22"/>
        </w:rPr>
        <w:t xml:space="preserve"> cells were subcutaneously injected mixed in a 1:1 proportion with Matrigel (Corning, 356234) in the two flanks of seven-week-old BALB/c Nu/Nu male mice. When tumour started to grow exponentially, 15 mg/kg of Docetaxel (LC laboratories) or 20 mg/kg of Etoposide (Sigma-Aldrich) were intraperitoneally injected weekly for three weeks in randomly selected animals. Tumour volume and mice weight were measured three times a week. Tumour volume was estimated using the formula volume= length x width2 x 0.526. After termination, tumours were dissected, weighted and snap-frozen in liquid nitrogen for RNA and protein extraction or fixed with 4% PFA for immunohistochemistry staining.</w:t>
      </w:r>
    </w:p>
    <w:p w14:paraId="5948025B" w14:textId="3A8F51F3" w:rsidR="00232F89" w:rsidRDefault="00232F89" w:rsidP="00372F4F">
      <w:pPr>
        <w:pStyle w:val="NoSpacing"/>
        <w:spacing w:line="480" w:lineRule="auto"/>
        <w:jc w:val="both"/>
        <w:rPr>
          <w:rFonts w:ascii="Arial" w:hAnsi="Arial" w:cs="Arial"/>
          <w:color w:val="000000" w:themeColor="text1"/>
          <w:sz w:val="22"/>
          <w:szCs w:val="22"/>
        </w:rPr>
      </w:pPr>
    </w:p>
    <w:p w14:paraId="00B3C7FE" w14:textId="77777777" w:rsidR="00232F89" w:rsidRPr="0021292C" w:rsidRDefault="00232F89" w:rsidP="00232F89">
      <w:pPr>
        <w:spacing w:line="480" w:lineRule="auto"/>
        <w:jc w:val="both"/>
        <w:rPr>
          <w:rFonts w:ascii="Arial" w:hAnsi="Arial" w:cs="Arial"/>
          <w:b/>
          <w:color w:val="000000" w:themeColor="text1"/>
          <w:sz w:val="22"/>
          <w:szCs w:val="22"/>
        </w:rPr>
      </w:pPr>
      <w:r w:rsidRPr="0021292C">
        <w:rPr>
          <w:rFonts w:ascii="Arial" w:hAnsi="Arial" w:cs="Arial"/>
          <w:b/>
          <w:bCs/>
          <w:color w:val="000000" w:themeColor="text1"/>
          <w:sz w:val="22"/>
          <w:szCs w:val="22"/>
        </w:rPr>
        <w:t xml:space="preserve">Supplementary Figure </w:t>
      </w:r>
      <w:r w:rsidRPr="0021292C">
        <w:rPr>
          <w:rFonts w:ascii="Arial" w:hAnsi="Arial" w:cs="Arial"/>
          <w:b/>
          <w:color w:val="000000" w:themeColor="text1"/>
          <w:sz w:val="22"/>
          <w:szCs w:val="22"/>
        </w:rPr>
        <w:t>legends</w:t>
      </w:r>
    </w:p>
    <w:p w14:paraId="0C0C174B" w14:textId="77777777" w:rsidR="00232F89" w:rsidRPr="0021292C" w:rsidRDefault="00232F89" w:rsidP="00232F89">
      <w:pPr>
        <w:spacing w:line="480" w:lineRule="auto"/>
        <w:jc w:val="both"/>
        <w:rPr>
          <w:rFonts w:ascii="Arial" w:hAnsi="Arial" w:cs="Arial"/>
          <w:color w:val="000000" w:themeColor="text1"/>
          <w:sz w:val="22"/>
          <w:szCs w:val="22"/>
        </w:rPr>
      </w:pPr>
      <w:r w:rsidRPr="0021292C">
        <w:rPr>
          <w:rFonts w:ascii="Arial" w:hAnsi="Arial" w:cs="Arial"/>
          <w:b/>
          <w:bCs/>
          <w:color w:val="000000" w:themeColor="text1"/>
          <w:sz w:val="22"/>
          <w:szCs w:val="22"/>
        </w:rPr>
        <w:t>Supplementary Figure S1</w:t>
      </w:r>
      <w:r w:rsidRPr="0021292C">
        <w:rPr>
          <w:rFonts w:ascii="Arial" w:hAnsi="Arial" w:cs="Arial"/>
          <w:color w:val="000000" w:themeColor="text1"/>
          <w:sz w:val="22"/>
          <w:szCs w:val="22"/>
        </w:rPr>
        <w:t xml:space="preserve">. </w:t>
      </w:r>
      <w:r w:rsidRPr="0021292C">
        <w:rPr>
          <w:rFonts w:ascii="Arial" w:hAnsi="Arial" w:cs="Arial"/>
          <w:b/>
          <w:color w:val="000000" w:themeColor="text1"/>
          <w:sz w:val="22"/>
          <w:szCs w:val="22"/>
        </w:rPr>
        <w:t xml:space="preserve">tRNA fragment-mediated stress pathways in </w:t>
      </w:r>
      <w:r w:rsidRPr="00A60A05">
        <w:rPr>
          <w:rFonts w:ascii="Arial" w:hAnsi="Arial" w:cs="Arial"/>
          <w:b/>
          <w:i/>
          <w:color w:val="000000" w:themeColor="text1"/>
          <w:sz w:val="22"/>
          <w:szCs w:val="22"/>
        </w:rPr>
        <w:t>METTL1-KO</w:t>
      </w:r>
      <w:r w:rsidRPr="0021292C">
        <w:rPr>
          <w:rFonts w:ascii="Arial" w:hAnsi="Arial" w:cs="Arial"/>
          <w:b/>
          <w:color w:val="000000" w:themeColor="text1"/>
          <w:sz w:val="22"/>
          <w:szCs w:val="22"/>
        </w:rPr>
        <w:t xml:space="preserve"> cells.</w:t>
      </w:r>
      <w:r w:rsidRPr="0021292C">
        <w:rPr>
          <w:rFonts w:ascii="Arial" w:hAnsi="Arial" w:cs="Arial"/>
          <w:color w:val="000000" w:themeColor="text1"/>
          <w:sz w:val="22"/>
          <w:szCs w:val="22"/>
        </w:rPr>
        <w:t xml:space="preserve"> </w:t>
      </w:r>
      <w:r w:rsidRPr="0021292C">
        <w:rPr>
          <w:rFonts w:ascii="Arial" w:hAnsi="Arial" w:cs="Arial"/>
          <w:b/>
          <w:bCs/>
          <w:color w:val="000000" w:themeColor="text1"/>
          <w:sz w:val="22"/>
          <w:szCs w:val="22"/>
        </w:rPr>
        <w:t>A, B, C)</w:t>
      </w:r>
      <w:r w:rsidRPr="0021292C">
        <w:rPr>
          <w:rFonts w:ascii="Arial" w:hAnsi="Arial" w:cs="Arial"/>
          <w:color w:val="000000" w:themeColor="text1"/>
          <w:sz w:val="22"/>
          <w:szCs w:val="22"/>
        </w:rPr>
        <w:t xml:space="preserve"> Immunofluorescence (</w:t>
      </w:r>
      <w:r w:rsidRPr="0021292C">
        <w:rPr>
          <w:rFonts w:ascii="Arial" w:hAnsi="Arial" w:cs="Arial"/>
          <w:b/>
          <w:color w:val="000000" w:themeColor="text1"/>
          <w:sz w:val="22"/>
          <w:szCs w:val="22"/>
        </w:rPr>
        <w:t>A</w:t>
      </w:r>
      <w:r w:rsidRPr="0021292C">
        <w:rPr>
          <w:rFonts w:ascii="Arial" w:hAnsi="Arial" w:cs="Arial"/>
          <w:color w:val="000000" w:themeColor="text1"/>
          <w:sz w:val="22"/>
          <w:szCs w:val="22"/>
        </w:rPr>
        <w:t>), western blot (</w:t>
      </w:r>
      <w:r w:rsidRPr="0021292C">
        <w:rPr>
          <w:rFonts w:ascii="Arial" w:hAnsi="Arial" w:cs="Arial"/>
          <w:b/>
          <w:color w:val="000000" w:themeColor="text1"/>
          <w:sz w:val="22"/>
          <w:szCs w:val="22"/>
        </w:rPr>
        <w:t>B</w:t>
      </w:r>
      <w:r w:rsidRPr="0021292C">
        <w:rPr>
          <w:rFonts w:ascii="Arial" w:hAnsi="Arial" w:cs="Arial"/>
          <w:color w:val="000000" w:themeColor="text1"/>
          <w:sz w:val="22"/>
          <w:szCs w:val="22"/>
        </w:rPr>
        <w:t>) and qPCR analyses showing (</w:t>
      </w:r>
      <w:r w:rsidRPr="0021292C">
        <w:rPr>
          <w:rFonts w:ascii="Arial" w:hAnsi="Arial" w:cs="Arial"/>
          <w:b/>
          <w:color w:val="000000" w:themeColor="text1"/>
          <w:sz w:val="22"/>
          <w:szCs w:val="22"/>
        </w:rPr>
        <w:t>C</w:t>
      </w:r>
      <w:r w:rsidRPr="0021292C">
        <w:rPr>
          <w:rFonts w:ascii="Arial" w:hAnsi="Arial" w:cs="Arial"/>
          <w:color w:val="000000" w:themeColor="text1"/>
          <w:sz w:val="22"/>
          <w:szCs w:val="22"/>
        </w:rPr>
        <w:t xml:space="preserve">) </w:t>
      </w:r>
      <w:r w:rsidRPr="0021292C">
        <w:rPr>
          <w:rFonts w:ascii="Arial" w:hAnsi="Arial" w:cs="Arial"/>
          <w:i/>
          <w:color w:val="000000" w:themeColor="text1"/>
          <w:sz w:val="22"/>
          <w:szCs w:val="22"/>
        </w:rPr>
        <w:t>METTL1</w:t>
      </w:r>
      <w:r w:rsidRPr="0021292C">
        <w:rPr>
          <w:rFonts w:ascii="Arial" w:hAnsi="Arial" w:cs="Arial"/>
          <w:color w:val="000000" w:themeColor="text1"/>
          <w:sz w:val="22"/>
          <w:szCs w:val="22"/>
        </w:rPr>
        <w:t xml:space="preserve"> loss in three independent clones of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w:t>
      </w:r>
      <w:r w:rsidRPr="0021292C">
        <w:rPr>
          <w:rFonts w:ascii="Arial" w:hAnsi="Arial" w:cs="Arial"/>
          <w:b/>
          <w:bCs/>
          <w:color w:val="000000" w:themeColor="text1"/>
          <w:sz w:val="22"/>
          <w:szCs w:val="22"/>
        </w:rPr>
        <w:t>D)</w:t>
      </w:r>
      <w:r w:rsidRPr="0021292C">
        <w:rPr>
          <w:rFonts w:ascii="Arial" w:hAnsi="Arial" w:cs="Arial"/>
          <w:color w:val="000000" w:themeColor="text1"/>
          <w:sz w:val="22"/>
          <w:szCs w:val="22"/>
        </w:rPr>
        <w:t xml:space="preserve"> Experimental workflow followed to generate NaBH</w:t>
      </w:r>
      <w:r w:rsidRPr="0021292C">
        <w:rPr>
          <w:rFonts w:ascii="Arial" w:hAnsi="Arial" w:cs="Arial"/>
          <w:color w:val="000000" w:themeColor="text1"/>
          <w:sz w:val="22"/>
          <w:szCs w:val="22"/>
          <w:vertAlign w:val="subscript"/>
        </w:rPr>
        <w:t>4</w:t>
      </w:r>
      <w:r w:rsidRPr="0021292C">
        <w:rPr>
          <w:rFonts w:ascii="Arial" w:hAnsi="Arial" w:cs="Arial"/>
          <w:color w:val="000000" w:themeColor="text1"/>
          <w:sz w:val="22"/>
          <w:szCs w:val="22"/>
        </w:rPr>
        <w:t xml:space="preserve">/Aniline-treated tRNA libraries for </w:t>
      </w:r>
      <w:r w:rsidRPr="0021292C">
        <w:rPr>
          <w:rFonts w:ascii="Arial" w:hAnsi="Arial" w:cs="Arial"/>
          <w:color w:val="000000" w:themeColor="text1"/>
          <w:sz w:val="22"/>
          <w:szCs w:val="22"/>
        </w:rPr>
        <w:lastRenderedPageBreak/>
        <w:t xml:space="preserve">sequencing. </w:t>
      </w:r>
      <w:r w:rsidRPr="0021292C">
        <w:rPr>
          <w:rFonts w:ascii="Arial" w:hAnsi="Arial" w:cs="Arial"/>
          <w:b/>
          <w:bCs/>
          <w:color w:val="000000" w:themeColor="text1"/>
          <w:sz w:val="22"/>
          <w:szCs w:val="22"/>
        </w:rPr>
        <w:t>E, F)</w:t>
      </w:r>
      <w:r w:rsidRPr="0021292C">
        <w:rPr>
          <w:rFonts w:ascii="Arial" w:hAnsi="Arial" w:cs="Arial"/>
          <w:color w:val="000000" w:themeColor="text1"/>
          <w:sz w:val="22"/>
          <w:szCs w:val="22"/>
        </w:rPr>
        <w:t xml:space="preserve"> Read coverage of fragmented tRNAs after NaBH</w:t>
      </w:r>
      <w:r w:rsidRPr="0021292C">
        <w:rPr>
          <w:rFonts w:ascii="Arial" w:hAnsi="Arial" w:cs="Arial"/>
          <w:color w:val="000000" w:themeColor="text1"/>
          <w:sz w:val="22"/>
          <w:szCs w:val="22"/>
          <w:vertAlign w:val="subscript"/>
        </w:rPr>
        <w:t>4</w:t>
      </w:r>
      <w:r w:rsidRPr="0021292C">
        <w:rPr>
          <w:rFonts w:ascii="Arial" w:hAnsi="Arial" w:cs="Arial"/>
          <w:color w:val="000000" w:themeColor="text1"/>
          <w:sz w:val="22"/>
          <w:szCs w:val="22"/>
        </w:rPr>
        <w:t xml:space="preserve">/Aniline treatment of PC3 </w:t>
      </w:r>
      <w:r w:rsidRPr="00A60A05">
        <w:rPr>
          <w:rFonts w:ascii="Arial" w:hAnsi="Arial" w:cs="Arial"/>
          <w:i/>
          <w:color w:val="000000" w:themeColor="text1"/>
          <w:sz w:val="22"/>
          <w:szCs w:val="22"/>
        </w:rPr>
        <w:t>METTL1-KO</w:t>
      </w:r>
      <w:r w:rsidRPr="0021292C">
        <w:rPr>
          <w:rFonts w:ascii="Arial" w:hAnsi="Arial" w:cs="Arial"/>
          <w:color w:val="000000" w:themeColor="text1"/>
          <w:sz w:val="22"/>
          <w:szCs w:val="22"/>
        </w:rPr>
        <w:t xml:space="preserve"> (grey lines) and WT (red lines) RNAs for the indicated METTL1 tRNA substrates (</w:t>
      </w:r>
      <w:r w:rsidRPr="0021292C">
        <w:rPr>
          <w:rFonts w:ascii="Arial" w:hAnsi="Arial" w:cs="Arial"/>
          <w:b/>
          <w:color w:val="000000" w:themeColor="text1"/>
          <w:sz w:val="22"/>
          <w:szCs w:val="22"/>
        </w:rPr>
        <w:t>E</w:t>
      </w:r>
      <w:r w:rsidRPr="0021292C">
        <w:rPr>
          <w:rFonts w:ascii="Arial" w:hAnsi="Arial" w:cs="Arial"/>
          <w:color w:val="000000" w:themeColor="text1"/>
          <w:sz w:val="22"/>
          <w:szCs w:val="22"/>
        </w:rPr>
        <w:t>) and non-substrates (</w:t>
      </w:r>
      <w:r w:rsidRPr="0021292C">
        <w:rPr>
          <w:rFonts w:ascii="Arial" w:hAnsi="Arial" w:cs="Arial"/>
          <w:b/>
          <w:color w:val="000000" w:themeColor="text1"/>
          <w:sz w:val="22"/>
          <w:szCs w:val="22"/>
        </w:rPr>
        <w:t>F</w:t>
      </w:r>
      <w:r w:rsidRPr="0021292C">
        <w:rPr>
          <w:rFonts w:ascii="Arial" w:hAnsi="Arial" w:cs="Arial"/>
          <w:color w:val="000000" w:themeColor="text1"/>
          <w:sz w:val="22"/>
          <w:szCs w:val="22"/>
        </w:rPr>
        <w:t xml:space="preserve">). Circles represent the tRNA fragment (tRF) start sites. </w:t>
      </w:r>
      <w:r w:rsidRPr="0021292C">
        <w:rPr>
          <w:rFonts w:ascii="Arial" w:hAnsi="Arial" w:cs="Arial"/>
          <w:b/>
          <w:bCs/>
          <w:color w:val="000000" w:themeColor="text1"/>
          <w:sz w:val="22"/>
          <w:szCs w:val="22"/>
        </w:rPr>
        <w:t>G)</w:t>
      </w:r>
      <w:r w:rsidRPr="0021292C">
        <w:rPr>
          <w:rFonts w:ascii="Arial" w:hAnsi="Arial" w:cs="Arial"/>
          <w:color w:val="000000" w:themeColor="text1"/>
          <w:sz w:val="22"/>
          <w:szCs w:val="22"/>
        </w:rPr>
        <w:t xml:space="preserve"> Northern blot detection and quantification of full-length mature tRNA substrates in two clones of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color w:val="000000" w:themeColor="text1"/>
          <w:sz w:val="22"/>
          <w:szCs w:val="22"/>
        </w:rPr>
        <w:t>METTL1-KO</w:t>
      </w:r>
      <w:r w:rsidRPr="0021292C">
        <w:rPr>
          <w:rFonts w:ascii="Arial" w:hAnsi="Arial" w:cs="Arial"/>
          <w:color w:val="000000" w:themeColor="text1"/>
          <w:sz w:val="22"/>
          <w:szCs w:val="22"/>
        </w:rPr>
        <w:t xml:space="preserve"> cells. Mean ± SD, n=4. </w:t>
      </w:r>
      <w:r w:rsidRPr="0021292C">
        <w:rPr>
          <w:rFonts w:ascii="Arial" w:hAnsi="Arial" w:cs="Arial"/>
          <w:b/>
          <w:color w:val="000000" w:themeColor="text1"/>
          <w:sz w:val="22"/>
          <w:szCs w:val="22"/>
        </w:rPr>
        <w:t>H)</w:t>
      </w:r>
      <w:r w:rsidRPr="0021292C">
        <w:rPr>
          <w:rFonts w:ascii="Arial" w:hAnsi="Arial" w:cs="Arial"/>
          <w:color w:val="000000" w:themeColor="text1"/>
          <w:sz w:val="22"/>
          <w:szCs w:val="22"/>
        </w:rPr>
        <w:t xml:space="preserve"> Northern blot analysis of a second replicate of Cys tRNA in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color w:val="000000" w:themeColor="text1"/>
          <w:sz w:val="22"/>
          <w:szCs w:val="22"/>
        </w:rPr>
        <w:t>METTL1-KO</w:t>
      </w:r>
      <w:r w:rsidRPr="0021292C">
        <w:rPr>
          <w:rFonts w:ascii="Arial" w:hAnsi="Arial" w:cs="Arial"/>
          <w:i/>
          <w:color w:val="000000" w:themeColor="text1"/>
          <w:sz w:val="22"/>
          <w:szCs w:val="22"/>
        </w:rPr>
        <w:t xml:space="preserve"> </w:t>
      </w:r>
      <w:r w:rsidRPr="0021292C">
        <w:rPr>
          <w:rFonts w:ascii="Arial" w:hAnsi="Arial" w:cs="Arial"/>
          <w:color w:val="000000" w:themeColor="text1"/>
          <w:sz w:val="22"/>
          <w:szCs w:val="22"/>
        </w:rPr>
        <w:t>cells unexposed (0h) or exposed to oxidative stress in the presence (+) or absence (-) of angiogenin inhibitor (ANGi). Red safe stains total tRNAs (</w:t>
      </w:r>
      <w:r w:rsidRPr="0021292C">
        <w:rPr>
          <w:rFonts w:ascii="Arial" w:hAnsi="Arial" w:cs="Arial"/>
          <w:b/>
          <w:color w:val="000000" w:themeColor="text1"/>
          <w:sz w:val="22"/>
          <w:szCs w:val="22"/>
        </w:rPr>
        <w:t>G, H</w:t>
      </w:r>
      <w:r w:rsidRPr="0021292C">
        <w:rPr>
          <w:rFonts w:ascii="Arial" w:hAnsi="Arial" w:cs="Arial"/>
          <w:color w:val="000000" w:themeColor="text1"/>
          <w:sz w:val="22"/>
          <w:szCs w:val="22"/>
        </w:rPr>
        <w:t xml:space="preserve">). </w:t>
      </w:r>
      <w:r w:rsidRPr="0021292C">
        <w:rPr>
          <w:rFonts w:ascii="Arial" w:hAnsi="Arial" w:cs="Arial"/>
          <w:b/>
          <w:color w:val="000000" w:themeColor="text1"/>
          <w:sz w:val="22"/>
          <w:szCs w:val="22"/>
        </w:rPr>
        <w:t>I</w:t>
      </w:r>
      <w:r w:rsidRPr="0021292C">
        <w:rPr>
          <w:rFonts w:ascii="Arial" w:hAnsi="Arial" w:cs="Arial"/>
          <w:color w:val="000000" w:themeColor="text1"/>
          <w:sz w:val="22"/>
          <w:szCs w:val="22"/>
        </w:rPr>
        <w:t xml:space="preserve">) </w:t>
      </w:r>
      <w:r w:rsidRPr="0021292C">
        <w:rPr>
          <w:rFonts w:ascii="Arial" w:hAnsi="Arial" w:cs="Arial"/>
          <w:bCs/>
          <w:color w:val="000000" w:themeColor="text1"/>
          <w:sz w:val="22"/>
          <w:szCs w:val="22"/>
        </w:rPr>
        <w:t>P</w:t>
      </w:r>
      <w:r w:rsidRPr="0021292C">
        <w:rPr>
          <w:rFonts w:ascii="Arial" w:hAnsi="Arial" w:cs="Arial"/>
          <w:color w:val="000000" w:themeColor="text1"/>
          <w:sz w:val="22"/>
          <w:szCs w:val="22"/>
        </w:rPr>
        <w:t xml:space="preserve">ercentage of High OP-puro+ cells in PC3 </w:t>
      </w:r>
      <w:r w:rsidRPr="00A60A05">
        <w:rPr>
          <w:rFonts w:ascii="Arial" w:hAnsi="Arial" w:cs="Arial"/>
          <w:bCs/>
          <w:i/>
          <w:iCs/>
          <w:color w:val="000000" w:themeColor="text1"/>
          <w:sz w:val="22"/>
          <w:szCs w:val="22"/>
        </w:rPr>
        <w:t>METTL1-KO</w:t>
      </w:r>
      <w:r w:rsidRPr="0021292C">
        <w:rPr>
          <w:rFonts w:ascii="Arial" w:hAnsi="Arial" w:cs="Arial"/>
          <w:bCs/>
          <w:color w:val="000000" w:themeColor="text1"/>
          <w:sz w:val="22"/>
          <w:szCs w:val="22"/>
        </w:rPr>
        <w:t xml:space="preserve"> </w:t>
      </w:r>
      <w:r w:rsidRPr="00A60A05">
        <w:rPr>
          <w:rFonts w:ascii="Arial" w:hAnsi="Arial" w:cs="Arial"/>
          <w:bCs/>
          <w:i/>
          <w:iCs/>
          <w:color w:val="000000" w:themeColor="text1"/>
          <w:sz w:val="22"/>
          <w:szCs w:val="22"/>
        </w:rPr>
        <w:t>METTL1-KO</w:t>
      </w:r>
      <w:r w:rsidRPr="0021292C">
        <w:rPr>
          <w:rFonts w:ascii="Arial" w:hAnsi="Arial" w:cs="Arial"/>
          <w:bCs/>
          <w:color w:val="000000" w:themeColor="text1"/>
          <w:sz w:val="22"/>
          <w:szCs w:val="22"/>
        </w:rPr>
        <w:t xml:space="preserve"> </w:t>
      </w:r>
      <w:r w:rsidRPr="0021292C">
        <w:rPr>
          <w:rFonts w:ascii="Arial" w:hAnsi="Arial" w:cs="Arial"/>
          <w:color w:val="000000" w:themeColor="text1"/>
          <w:sz w:val="22"/>
          <w:szCs w:val="22"/>
        </w:rPr>
        <w:t xml:space="preserve">cells versus WT cells. Mean ± SD, n=3. </w:t>
      </w:r>
      <w:r w:rsidRPr="0021292C">
        <w:rPr>
          <w:rFonts w:ascii="Arial" w:hAnsi="Arial" w:cs="Arial"/>
          <w:b/>
          <w:color w:val="000000" w:themeColor="text1"/>
          <w:sz w:val="22"/>
          <w:szCs w:val="22"/>
        </w:rPr>
        <w:t xml:space="preserve">J, K) </w:t>
      </w:r>
      <w:r w:rsidRPr="0021292C">
        <w:rPr>
          <w:rFonts w:ascii="Arial" w:hAnsi="Arial" w:cs="Arial"/>
          <w:color w:val="000000" w:themeColor="text1"/>
          <w:sz w:val="22"/>
          <w:szCs w:val="22"/>
        </w:rPr>
        <w:t xml:space="preserve">Fold change mRNA expression levels of </w:t>
      </w:r>
      <w:r w:rsidRPr="0021292C">
        <w:rPr>
          <w:rFonts w:ascii="Arial" w:hAnsi="Arial" w:cs="Arial"/>
          <w:i/>
          <w:color w:val="000000" w:themeColor="text1"/>
          <w:sz w:val="22"/>
          <w:szCs w:val="22"/>
        </w:rPr>
        <w:t>METTL1</w:t>
      </w:r>
      <w:r w:rsidRPr="0021292C">
        <w:rPr>
          <w:rFonts w:ascii="Arial" w:hAnsi="Arial" w:cs="Arial"/>
          <w:color w:val="000000" w:themeColor="text1"/>
          <w:sz w:val="22"/>
          <w:szCs w:val="22"/>
        </w:rPr>
        <w:t xml:space="preserve"> (</w:t>
      </w:r>
      <w:r w:rsidRPr="0021292C">
        <w:rPr>
          <w:rFonts w:ascii="Arial" w:hAnsi="Arial" w:cs="Arial"/>
          <w:b/>
          <w:color w:val="000000" w:themeColor="text1"/>
          <w:sz w:val="22"/>
          <w:szCs w:val="22"/>
        </w:rPr>
        <w:t>J</w:t>
      </w:r>
      <w:r w:rsidRPr="0021292C">
        <w:rPr>
          <w:rFonts w:ascii="Arial" w:hAnsi="Arial" w:cs="Arial"/>
          <w:color w:val="000000" w:themeColor="text1"/>
          <w:sz w:val="22"/>
          <w:szCs w:val="22"/>
        </w:rPr>
        <w:t xml:space="preserve">) and </w:t>
      </w:r>
      <w:r w:rsidRPr="0021292C">
        <w:rPr>
          <w:rFonts w:ascii="Arial" w:hAnsi="Arial" w:cs="Arial"/>
          <w:bCs/>
          <w:color w:val="000000" w:themeColor="text1"/>
          <w:sz w:val="22"/>
          <w:szCs w:val="22"/>
        </w:rPr>
        <w:t>fold change of the p</w:t>
      </w:r>
      <w:r w:rsidRPr="0021292C">
        <w:rPr>
          <w:rFonts w:ascii="Arial" w:hAnsi="Arial" w:cs="Arial"/>
          <w:color w:val="000000" w:themeColor="text1"/>
          <w:sz w:val="22"/>
          <w:szCs w:val="22"/>
        </w:rPr>
        <w:t>ercentage of OP-puro+ cells (</w:t>
      </w:r>
      <w:r w:rsidRPr="0021292C">
        <w:rPr>
          <w:rFonts w:ascii="Arial" w:hAnsi="Arial" w:cs="Arial"/>
          <w:b/>
          <w:color w:val="000000" w:themeColor="text1"/>
          <w:sz w:val="22"/>
          <w:szCs w:val="22"/>
        </w:rPr>
        <w:t>K</w:t>
      </w:r>
      <w:r w:rsidRPr="0021292C">
        <w:rPr>
          <w:rFonts w:ascii="Arial" w:hAnsi="Arial" w:cs="Arial"/>
          <w:color w:val="000000" w:themeColor="text1"/>
          <w:sz w:val="22"/>
          <w:szCs w:val="22"/>
        </w:rPr>
        <w:t xml:space="preserve">) in </w:t>
      </w:r>
      <w:r w:rsidRPr="0021292C">
        <w:rPr>
          <w:rFonts w:ascii="Arial" w:hAnsi="Arial" w:cs="Arial"/>
          <w:i/>
          <w:color w:val="000000" w:themeColor="text1"/>
          <w:sz w:val="22"/>
          <w:szCs w:val="22"/>
        </w:rPr>
        <w:t>METTL1</w:t>
      </w:r>
      <w:r w:rsidRPr="0021292C">
        <w:rPr>
          <w:rFonts w:ascii="Arial" w:hAnsi="Arial" w:cs="Arial"/>
          <w:color w:val="000000" w:themeColor="text1"/>
          <w:sz w:val="22"/>
          <w:szCs w:val="22"/>
        </w:rPr>
        <w:t>-silenced DU145 cells using shRNAs and a control shRNA (SCR), and induced with doxycycline versus uninduced cells. Mean ± SD, n=3. Stats: one-tailed Student’s t-test (</w:t>
      </w:r>
      <w:r w:rsidRPr="0021292C">
        <w:rPr>
          <w:rFonts w:ascii="Arial" w:hAnsi="Arial" w:cs="Arial"/>
          <w:b/>
          <w:color w:val="000000" w:themeColor="text1"/>
          <w:sz w:val="22"/>
          <w:szCs w:val="22"/>
        </w:rPr>
        <w:t>C</w:t>
      </w:r>
      <w:r w:rsidRPr="0021292C">
        <w:rPr>
          <w:rFonts w:ascii="Arial" w:hAnsi="Arial" w:cs="Arial"/>
          <w:color w:val="000000" w:themeColor="text1"/>
          <w:sz w:val="22"/>
          <w:szCs w:val="22"/>
        </w:rPr>
        <w:t xml:space="preserve">, </w:t>
      </w:r>
      <w:r w:rsidRPr="0021292C">
        <w:rPr>
          <w:rFonts w:ascii="Arial" w:hAnsi="Arial" w:cs="Arial"/>
          <w:b/>
          <w:color w:val="000000" w:themeColor="text1"/>
          <w:sz w:val="22"/>
          <w:szCs w:val="22"/>
        </w:rPr>
        <w:t>G</w:t>
      </w:r>
      <w:r w:rsidRPr="0021292C">
        <w:rPr>
          <w:rFonts w:ascii="Arial" w:hAnsi="Arial" w:cs="Arial"/>
          <w:color w:val="000000" w:themeColor="text1"/>
          <w:sz w:val="22"/>
          <w:szCs w:val="22"/>
        </w:rPr>
        <w:t xml:space="preserve">, </w:t>
      </w:r>
      <w:r w:rsidRPr="0021292C">
        <w:rPr>
          <w:rFonts w:ascii="Arial" w:hAnsi="Arial" w:cs="Arial"/>
          <w:b/>
          <w:color w:val="000000" w:themeColor="text1"/>
          <w:sz w:val="22"/>
          <w:szCs w:val="22"/>
        </w:rPr>
        <w:t>I</w:t>
      </w:r>
      <w:r w:rsidRPr="0021292C">
        <w:rPr>
          <w:rFonts w:ascii="Arial" w:hAnsi="Arial" w:cs="Arial"/>
          <w:color w:val="000000" w:themeColor="text1"/>
          <w:sz w:val="22"/>
          <w:szCs w:val="22"/>
        </w:rPr>
        <w:t>,</w:t>
      </w:r>
      <w:r w:rsidRPr="0021292C">
        <w:rPr>
          <w:rFonts w:ascii="Arial" w:hAnsi="Arial" w:cs="Arial"/>
          <w:b/>
          <w:color w:val="000000" w:themeColor="text1"/>
          <w:sz w:val="22"/>
          <w:szCs w:val="22"/>
        </w:rPr>
        <w:t xml:space="preserve"> J</w:t>
      </w:r>
      <w:r w:rsidRPr="0021292C">
        <w:rPr>
          <w:rFonts w:ascii="Arial" w:hAnsi="Arial" w:cs="Arial"/>
          <w:color w:val="000000" w:themeColor="text1"/>
          <w:sz w:val="22"/>
          <w:szCs w:val="22"/>
        </w:rPr>
        <w:t>,</w:t>
      </w:r>
      <w:r w:rsidRPr="0021292C">
        <w:rPr>
          <w:rFonts w:ascii="Arial" w:hAnsi="Arial" w:cs="Arial"/>
          <w:b/>
          <w:color w:val="000000" w:themeColor="text1"/>
          <w:sz w:val="22"/>
          <w:szCs w:val="22"/>
        </w:rPr>
        <w:t xml:space="preserve"> K</w:t>
      </w:r>
      <w:r w:rsidRPr="0021292C">
        <w:rPr>
          <w:rFonts w:ascii="Arial" w:hAnsi="Arial" w:cs="Arial"/>
          <w:color w:val="000000" w:themeColor="text1"/>
          <w:sz w:val="22"/>
          <w:szCs w:val="22"/>
        </w:rPr>
        <w:t>). ns: non significative, *p&lt;0.05, **p&lt;0.01, ****p&lt;0.0001.</w:t>
      </w:r>
    </w:p>
    <w:p w14:paraId="46E65EAE" w14:textId="77777777" w:rsidR="00232F89" w:rsidRPr="0021292C" w:rsidRDefault="00232F89" w:rsidP="00232F89">
      <w:pPr>
        <w:spacing w:line="480" w:lineRule="auto"/>
        <w:jc w:val="both"/>
        <w:rPr>
          <w:rFonts w:ascii="Arial" w:hAnsi="Arial" w:cs="Arial"/>
          <w:color w:val="000000" w:themeColor="text1"/>
          <w:sz w:val="22"/>
          <w:szCs w:val="22"/>
        </w:rPr>
      </w:pPr>
    </w:p>
    <w:p w14:paraId="0ECB14AA" w14:textId="77777777" w:rsidR="00232F89" w:rsidRPr="0021292C" w:rsidRDefault="00232F89" w:rsidP="00232F89">
      <w:pPr>
        <w:autoSpaceDE w:val="0"/>
        <w:autoSpaceDN w:val="0"/>
        <w:adjustRightInd w:val="0"/>
        <w:spacing w:line="480" w:lineRule="auto"/>
        <w:jc w:val="both"/>
        <w:rPr>
          <w:rFonts w:ascii="Arial" w:hAnsi="Arial" w:cs="Arial"/>
          <w:color w:val="000000" w:themeColor="text1"/>
          <w:sz w:val="22"/>
          <w:szCs w:val="22"/>
        </w:rPr>
      </w:pPr>
      <w:r w:rsidRPr="0021292C">
        <w:rPr>
          <w:rFonts w:ascii="Arial" w:hAnsi="Arial" w:cs="Arial"/>
          <w:b/>
          <w:bCs/>
          <w:color w:val="000000" w:themeColor="text1"/>
          <w:sz w:val="22"/>
          <w:szCs w:val="22"/>
        </w:rPr>
        <w:t>Supplementary Figure S2</w:t>
      </w:r>
      <w:r w:rsidRPr="0021292C">
        <w:rPr>
          <w:rFonts w:ascii="Arial" w:hAnsi="Arial" w:cs="Arial"/>
          <w:color w:val="000000" w:themeColor="text1"/>
          <w:sz w:val="22"/>
          <w:szCs w:val="22"/>
        </w:rPr>
        <w:t xml:space="preserve">. </w:t>
      </w:r>
      <w:r w:rsidRPr="0021292C">
        <w:rPr>
          <w:rFonts w:ascii="Arial" w:hAnsi="Arial" w:cs="Arial"/>
          <w:b/>
          <w:color w:val="000000" w:themeColor="text1"/>
          <w:sz w:val="22"/>
          <w:szCs w:val="22"/>
        </w:rPr>
        <w:t xml:space="preserve">Autophagy clearance in </w:t>
      </w:r>
      <w:r w:rsidRPr="00A60A05">
        <w:rPr>
          <w:rFonts w:ascii="Arial" w:hAnsi="Arial" w:cs="Arial"/>
          <w:b/>
          <w:i/>
          <w:color w:val="000000" w:themeColor="text1"/>
          <w:sz w:val="22"/>
          <w:szCs w:val="22"/>
        </w:rPr>
        <w:t>METTL1-KO</w:t>
      </w:r>
      <w:r w:rsidRPr="0021292C">
        <w:rPr>
          <w:rFonts w:ascii="Arial" w:hAnsi="Arial" w:cs="Arial"/>
          <w:b/>
          <w:color w:val="000000" w:themeColor="text1"/>
          <w:sz w:val="22"/>
          <w:szCs w:val="22"/>
        </w:rPr>
        <w:t xml:space="preserve"> cells.</w:t>
      </w:r>
      <w:r w:rsidRPr="0021292C">
        <w:rPr>
          <w:rFonts w:ascii="Arial" w:hAnsi="Arial" w:cs="Arial"/>
          <w:color w:val="000000" w:themeColor="text1"/>
          <w:sz w:val="22"/>
          <w:szCs w:val="22"/>
        </w:rPr>
        <w:t xml:space="preserve"> </w:t>
      </w:r>
      <w:r w:rsidRPr="0021292C">
        <w:rPr>
          <w:rFonts w:ascii="Arial" w:hAnsi="Arial" w:cs="Arial"/>
          <w:b/>
          <w:bCs/>
          <w:color w:val="000000" w:themeColor="text1"/>
          <w:sz w:val="22"/>
          <w:szCs w:val="22"/>
        </w:rPr>
        <w:t xml:space="preserve">A, B) </w:t>
      </w:r>
      <w:r w:rsidRPr="0021292C">
        <w:rPr>
          <w:rFonts w:ascii="Arial" w:hAnsi="Arial" w:cs="Arial"/>
          <w:color w:val="000000" w:themeColor="text1"/>
          <w:sz w:val="22"/>
          <w:szCs w:val="22"/>
        </w:rPr>
        <w:t xml:space="preserve">Second replicates of western blots of LC3 I/II, p62, and METTL1 in three clones of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growing in complete glucose, amino acid and serum medium, without or with chloroquine (CQ) </w:t>
      </w:r>
      <w:r w:rsidRPr="0021292C">
        <w:rPr>
          <w:rFonts w:ascii="Arial" w:hAnsi="Arial" w:cs="Arial"/>
          <w:bCs/>
          <w:color w:val="000000" w:themeColor="text1"/>
          <w:sz w:val="22"/>
          <w:szCs w:val="22"/>
        </w:rPr>
        <w:t>(</w:t>
      </w:r>
      <w:r w:rsidRPr="0021292C">
        <w:rPr>
          <w:rFonts w:ascii="Arial" w:hAnsi="Arial" w:cs="Arial"/>
          <w:b/>
          <w:bCs/>
          <w:color w:val="000000" w:themeColor="text1"/>
          <w:sz w:val="22"/>
          <w:szCs w:val="22"/>
        </w:rPr>
        <w:t>A</w:t>
      </w:r>
      <w:r w:rsidRPr="0021292C">
        <w:rPr>
          <w:rFonts w:ascii="Arial" w:hAnsi="Arial" w:cs="Arial"/>
          <w:bCs/>
          <w:color w:val="000000" w:themeColor="text1"/>
          <w:sz w:val="22"/>
          <w:szCs w:val="22"/>
        </w:rPr>
        <w:t>)</w:t>
      </w:r>
      <w:r w:rsidRPr="0021292C">
        <w:rPr>
          <w:rFonts w:ascii="Arial" w:hAnsi="Arial" w:cs="Arial"/>
          <w:color w:val="000000" w:themeColor="text1"/>
          <w:sz w:val="22"/>
          <w:szCs w:val="22"/>
        </w:rPr>
        <w:t xml:space="preserve"> or rapamycin treatment (</w:t>
      </w:r>
      <w:r w:rsidRPr="0021292C">
        <w:rPr>
          <w:rFonts w:ascii="Arial" w:hAnsi="Arial" w:cs="Arial"/>
          <w:b/>
          <w:color w:val="000000" w:themeColor="text1"/>
          <w:sz w:val="22"/>
          <w:szCs w:val="22"/>
        </w:rPr>
        <w:t>B</w:t>
      </w:r>
      <w:r w:rsidRPr="0021292C">
        <w:rPr>
          <w:rFonts w:ascii="Arial" w:hAnsi="Arial" w:cs="Arial"/>
          <w:color w:val="000000" w:themeColor="text1"/>
          <w:sz w:val="22"/>
          <w:szCs w:val="22"/>
        </w:rPr>
        <w:t xml:space="preserve">). </w:t>
      </w:r>
      <w:r w:rsidRPr="0021292C">
        <w:rPr>
          <w:rFonts w:ascii="Arial" w:hAnsi="Arial" w:cs="Arial"/>
          <w:b/>
          <w:bCs/>
          <w:color w:val="000000" w:themeColor="text1"/>
          <w:sz w:val="22"/>
          <w:szCs w:val="22"/>
        </w:rPr>
        <w:t>C)</w:t>
      </w:r>
      <w:r w:rsidRPr="0021292C">
        <w:rPr>
          <w:rFonts w:ascii="Arial" w:hAnsi="Arial" w:cs="Arial"/>
          <w:color w:val="000000" w:themeColor="text1"/>
          <w:sz w:val="22"/>
          <w:szCs w:val="22"/>
        </w:rPr>
        <w:t xml:space="preserve"> Western blot of autophagy markers in two clones of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growing in medium without glucose and serum and with amino acids (+ AA), or without amino acids (- AA), or with CQ. </w:t>
      </w:r>
      <w:r w:rsidRPr="0021292C">
        <w:rPr>
          <w:rFonts w:ascii="Arial" w:hAnsi="Arial" w:cs="Arial"/>
          <w:b/>
          <w:color w:val="000000" w:themeColor="text1"/>
          <w:sz w:val="22"/>
          <w:szCs w:val="22"/>
        </w:rPr>
        <w:t>D, E)</w:t>
      </w:r>
      <w:r w:rsidRPr="0021292C">
        <w:rPr>
          <w:rFonts w:ascii="Arial" w:hAnsi="Arial" w:cs="Arial"/>
          <w:color w:val="000000" w:themeColor="text1"/>
          <w:sz w:val="22"/>
          <w:szCs w:val="22"/>
        </w:rPr>
        <w:t xml:space="preserve"> </w:t>
      </w:r>
      <w:r w:rsidRPr="0021292C">
        <w:rPr>
          <w:rFonts w:ascii="Arial" w:hAnsi="Arial" w:cs="Arial"/>
          <w:i/>
          <w:color w:val="000000" w:themeColor="text1"/>
          <w:sz w:val="22"/>
          <w:szCs w:val="22"/>
        </w:rPr>
        <w:t xml:space="preserve">METTL1 </w:t>
      </w:r>
      <w:r w:rsidRPr="0021292C">
        <w:rPr>
          <w:rFonts w:ascii="Arial" w:hAnsi="Arial" w:cs="Arial"/>
          <w:color w:val="000000" w:themeColor="text1"/>
          <w:sz w:val="22"/>
          <w:szCs w:val="22"/>
        </w:rPr>
        <w:t>mRNA relative expression levels (</w:t>
      </w:r>
      <w:r w:rsidRPr="0021292C">
        <w:rPr>
          <w:rFonts w:ascii="Arial" w:hAnsi="Arial" w:cs="Arial"/>
          <w:b/>
          <w:color w:val="000000" w:themeColor="text1"/>
          <w:sz w:val="22"/>
          <w:szCs w:val="22"/>
        </w:rPr>
        <w:t>D</w:t>
      </w:r>
      <w:r w:rsidRPr="0021292C">
        <w:rPr>
          <w:rFonts w:ascii="Arial" w:hAnsi="Arial" w:cs="Arial"/>
          <w:color w:val="000000" w:themeColor="text1"/>
          <w:sz w:val="22"/>
          <w:szCs w:val="22"/>
        </w:rPr>
        <w:t xml:space="preserve">) and western blot of autophagy markers in two clones of DU145 WT and </w:t>
      </w:r>
      <w:r w:rsidRPr="00A60A05">
        <w:rPr>
          <w:rFonts w:ascii="Arial" w:hAnsi="Arial" w:cs="Arial"/>
          <w:i/>
          <w:color w:val="000000" w:themeColor="text1"/>
          <w:sz w:val="22"/>
          <w:szCs w:val="22"/>
        </w:rPr>
        <w:t>METTL1-KO</w:t>
      </w:r>
      <w:r w:rsidRPr="0021292C">
        <w:rPr>
          <w:rFonts w:ascii="Arial" w:hAnsi="Arial" w:cs="Arial"/>
          <w:color w:val="000000" w:themeColor="text1"/>
          <w:sz w:val="22"/>
          <w:szCs w:val="22"/>
        </w:rPr>
        <w:t xml:space="preserve"> cells growing in medium without glucose, and without serum, and with amino acids (+ AA), or without amino acids (- AA), and with CQ. Mean ± SD, n=3.</w:t>
      </w:r>
      <w:r w:rsidRPr="0021292C">
        <w:rPr>
          <w:rFonts w:ascii="Arial" w:hAnsi="Arial" w:cs="Arial"/>
          <w:b/>
          <w:bCs/>
          <w:color w:val="000000" w:themeColor="text1"/>
          <w:sz w:val="22"/>
          <w:szCs w:val="22"/>
        </w:rPr>
        <w:t xml:space="preserve"> </w:t>
      </w:r>
      <w:r w:rsidRPr="0021292C">
        <w:rPr>
          <w:rFonts w:ascii="Arial" w:hAnsi="Arial" w:cs="Arial"/>
          <w:b/>
          <w:color w:val="000000" w:themeColor="text1"/>
          <w:sz w:val="22"/>
          <w:szCs w:val="22"/>
        </w:rPr>
        <w:t>F)</w:t>
      </w:r>
      <w:r w:rsidRPr="0021292C">
        <w:rPr>
          <w:rFonts w:ascii="Arial" w:hAnsi="Arial" w:cs="Arial"/>
          <w:color w:val="000000" w:themeColor="text1"/>
          <w:sz w:val="22"/>
          <w:szCs w:val="22"/>
        </w:rPr>
        <w:t xml:space="preserve"> </w:t>
      </w:r>
      <w:r w:rsidRPr="0021292C">
        <w:rPr>
          <w:rFonts w:ascii="Arial" w:hAnsi="Arial" w:cs="Arial"/>
          <w:i/>
          <w:color w:val="000000" w:themeColor="text1"/>
          <w:sz w:val="22"/>
          <w:szCs w:val="22"/>
        </w:rPr>
        <w:t>METTL1</w:t>
      </w:r>
      <w:r w:rsidRPr="0021292C">
        <w:rPr>
          <w:rFonts w:ascii="Arial" w:hAnsi="Arial" w:cs="Arial"/>
          <w:color w:val="000000" w:themeColor="text1"/>
          <w:sz w:val="22"/>
          <w:szCs w:val="22"/>
        </w:rPr>
        <w:t xml:space="preserve"> mRNA relative expression levels in U2OS cells transfected with siRNAs against </w:t>
      </w:r>
      <w:r w:rsidRPr="0021292C">
        <w:rPr>
          <w:rFonts w:ascii="Arial" w:hAnsi="Arial" w:cs="Arial"/>
          <w:i/>
          <w:color w:val="000000" w:themeColor="text1"/>
          <w:sz w:val="22"/>
          <w:szCs w:val="22"/>
        </w:rPr>
        <w:t>METTL1</w:t>
      </w:r>
      <w:r w:rsidRPr="0021292C">
        <w:rPr>
          <w:rFonts w:ascii="Arial" w:hAnsi="Arial" w:cs="Arial"/>
          <w:color w:val="000000" w:themeColor="text1"/>
          <w:sz w:val="22"/>
          <w:szCs w:val="22"/>
        </w:rPr>
        <w:t xml:space="preserve"> (siM1, siM3) and control siRNA (siScr). Mean ± SD, n=3. </w:t>
      </w:r>
      <w:r w:rsidRPr="0021292C">
        <w:rPr>
          <w:rFonts w:ascii="Arial" w:hAnsi="Arial" w:cs="Arial"/>
          <w:b/>
          <w:color w:val="000000" w:themeColor="text1"/>
          <w:sz w:val="22"/>
          <w:szCs w:val="22"/>
        </w:rPr>
        <w:t>G)</w:t>
      </w:r>
      <w:r w:rsidRPr="0021292C">
        <w:rPr>
          <w:rFonts w:ascii="Arial" w:hAnsi="Arial" w:cs="Arial"/>
          <w:color w:val="000000" w:themeColor="text1"/>
          <w:sz w:val="22"/>
          <w:szCs w:val="22"/>
        </w:rPr>
        <w:t xml:space="preserve"> Gating strategy followed to analyse by flow cytometry the lysotracker fluorescence intensity in PC3 LC3-GFP+ cells transiently transfected with pEGFP-LC3, </w:t>
      </w:r>
      <w:r w:rsidRPr="0021292C">
        <w:rPr>
          <w:rFonts w:ascii="Arial" w:hAnsi="Arial" w:cs="Arial"/>
          <w:color w:val="000000" w:themeColor="text1"/>
          <w:sz w:val="22"/>
          <w:szCs w:val="22"/>
        </w:rPr>
        <w:lastRenderedPageBreak/>
        <w:t xml:space="preserve">without (-), or with rapamycin (Rapa) treatment. Quantification is shown in figure 2. </w:t>
      </w:r>
      <w:r w:rsidRPr="0021292C">
        <w:rPr>
          <w:rFonts w:ascii="Arial" w:hAnsi="Arial" w:cs="Arial"/>
          <w:b/>
          <w:color w:val="000000" w:themeColor="text1"/>
          <w:sz w:val="22"/>
          <w:szCs w:val="22"/>
        </w:rPr>
        <w:t>H, I</w:t>
      </w:r>
      <w:r w:rsidRPr="0021292C">
        <w:rPr>
          <w:rFonts w:ascii="Arial" w:hAnsi="Arial" w:cs="Arial"/>
          <w:b/>
          <w:bCs/>
          <w:color w:val="000000" w:themeColor="text1"/>
          <w:sz w:val="22"/>
          <w:szCs w:val="22"/>
        </w:rPr>
        <w:t>)</w:t>
      </w:r>
      <w:r w:rsidRPr="0021292C">
        <w:rPr>
          <w:rFonts w:ascii="Arial" w:hAnsi="Arial" w:cs="Arial"/>
          <w:color w:val="000000" w:themeColor="text1"/>
          <w:sz w:val="22"/>
          <w:szCs w:val="22"/>
        </w:rPr>
        <w:t xml:space="preserve"> Immunofluorescence (</w:t>
      </w:r>
      <w:r w:rsidRPr="0021292C">
        <w:rPr>
          <w:rFonts w:ascii="Arial" w:hAnsi="Arial" w:cs="Arial"/>
          <w:b/>
          <w:color w:val="000000" w:themeColor="text1"/>
          <w:sz w:val="22"/>
          <w:szCs w:val="22"/>
        </w:rPr>
        <w:t>H</w:t>
      </w:r>
      <w:r w:rsidRPr="0021292C">
        <w:rPr>
          <w:rFonts w:ascii="Arial" w:hAnsi="Arial" w:cs="Arial"/>
          <w:color w:val="000000" w:themeColor="text1"/>
          <w:sz w:val="22"/>
          <w:szCs w:val="22"/>
        </w:rPr>
        <w:t>) and quantification of endogenous LC3, and LAMP1 (</w:t>
      </w:r>
      <w:r w:rsidRPr="0021292C">
        <w:rPr>
          <w:rFonts w:ascii="Arial" w:hAnsi="Arial" w:cs="Arial"/>
          <w:b/>
          <w:color w:val="000000" w:themeColor="text1"/>
          <w:sz w:val="22"/>
          <w:szCs w:val="22"/>
        </w:rPr>
        <w:t>I</w:t>
      </w:r>
      <w:r w:rsidRPr="0021292C">
        <w:rPr>
          <w:rFonts w:ascii="Arial" w:hAnsi="Arial" w:cs="Arial"/>
          <w:color w:val="000000" w:themeColor="text1"/>
          <w:sz w:val="22"/>
          <w:szCs w:val="22"/>
        </w:rPr>
        <w:t xml:space="preserve">) in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treated with rapamycin. Scale bar: 25 μm. Mean ± Max-Min, n=3. </w:t>
      </w:r>
      <w:r w:rsidRPr="0021292C">
        <w:rPr>
          <w:rFonts w:ascii="Arial" w:hAnsi="Arial" w:cs="Arial"/>
          <w:b/>
          <w:bCs/>
          <w:color w:val="000000" w:themeColor="text1"/>
          <w:sz w:val="22"/>
          <w:szCs w:val="22"/>
        </w:rPr>
        <w:t>J)</w:t>
      </w:r>
      <w:r w:rsidRPr="0021292C">
        <w:rPr>
          <w:rFonts w:ascii="Arial" w:hAnsi="Arial" w:cs="Arial"/>
          <w:color w:val="000000" w:themeColor="text1"/>
          <w:sz w:val="22"/>
          <w:szCs w:val="22"/>
        </w:rPr>
        <w:t xml:space="preserve"> Western blots of PI3K-mTORC1 pathway markers, and METTL1 in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treated or untreated with rapamycin. Right panel shows normalised protein level quantification of the indicated proteins. Mean ± Max-Min, n=6.</w:t>
      </w:r>
      <w:r w:rsidRPr="0021292C">
        <w:rPr>
          <w:rFonts w:ascii="Arial" w:hAnsi="Arial" w:cs="Arial"/>
          <w:b/>
          <w:color w:val="000000" w:themeColor="text1"/>
          <w:sz w:val="22"/>
          <w:szCs w:val="22"/>
        </w:rPr>
        <w:t xml:space="preserve"> </w:t>
      </w:r>
      <w:r w:rsidRPr="0021292C">
        <w:rPr>
          <w:rFonts w:ascii="Arial" w:hAnsi="Arial" w:cs="Arial"/>
          <w:color w:val="000000" w:themeColor="text1"/>
          <w:sz w:val="22"/>
          <w:szCs w:val="22"/>
        </w:rPr>
        <w:t>Stats: one-tailed Student’s t-test (</w:t>
      </w:r>
      <w:r w:rsidRPr="0021292C">
        <w:rPr>
          <w:rFonts w:ascii="Arial" w:hAnsi="Arial" w:cs="Arial"/>
          <w:b/>
          <w:color w:val="000000" w:themeColor="text1"/>
          <w:sz w:val="22"/>
          <w:szCs w:val="22"/>
        </w:rPr>
        <w:t>I</w:t>
      </w:r>
      <w:r w:rsidRPr="0021292C">
        <w:rPr>
          <w:rFonts w:ascii="Arial" w:hAnsi="Arial" w:cs="Arial"/>
          <w:color w:val="000000" w:themeColor="text1"/>
          <w:sz w:val="22"/>
          <w:szCs w:val="22"/>
        </w:rPr>
        <w:t>). ***p&lt;0.001.</w:t>
      </w:r>
    </w:p>
    <w:p w14:paraId="1FE478A7" w14:textId="77777777" w:rsidR="00232F89" w:rsidRPr="0021292C" w:rsidRDefault="00232F89" w:rsidP="00232F89">
      <w:pPr>
        <w:spacing w:line="480" w:lineRule="auto"/>
        <w:jc w:val="both"/>
        <w:rPr>
          <w:rFonts w:ascii="Arial" w:hAnsi="Arial" w:cs="Arial"/>
          <w:b/>
          <w:bCs/>
          <w:color w:val="000000" w:themeColor="text1"/>
          <w:sz w:val="22"/>
          <w:szCs w:val="22"/>
        </w:rPr>
      </w:pPr>
    </w:p>
    <w:p w14:paraId="1AF56FAB" w14:textId="77777777" w:rsidR="00232F89" w:rsidRPr="0021292C" w:rsidRDefault="00232F89" w:rsidP="00232F89">
      <w:pPr>
        <w:spacing w:line="480" w:lineRule="auto"/>
        <w:jc w:val="both"/>
        <w:rPr>
          <w:rFonts w:ascii="Arial" w:hAnsi="Arial" w:cs="Arial"/>
          <w:color w:val="000000" w:themeColor="text1"/>
          <w:sz w:val="22"/>
          <w:szCs w:val="22"/>
        </w:rPr>
      </w:pPr>
      <w:r w:rsidRPr="0021292C">
        <w:rPr>
          <w:rFonts w:ascii="Arial" w:hAnsi="Arial" w:cs="Arial"/>
          <w:b/>
          <w:bCs/>
          <w:color w:val="000000" w:themeColor="text1"/>
          <w:sz w:val="22"/>
          <w:szCs w:val="22"/>
        </w:rPr>
        <w:t>Supplementary Figure S3</w:t>
      </w:r>
      <w:r w:rsidRPr="0021292C">
        <w:rPr>
          <w:rFonts w:ascii="Arial" w:hAnsi="Arial" w:cs="Arial"/>
          <w:color w:val="000000" w:themeColor="text1"/>
          <w:sz w:val="22"/>
          <w:szCs w:val="22"/>
        </w:rPr>
        <w:t xml:space="preserve">. </w:t>
      </w:r>
      <w:r w:rsidRPr="0021292C">
        <w:rPr>
          <w:rFonts w:ascii="Arial" w:hAnsi="Arial" w:cs="Arial"/>
          <w:b/>
          <w:color w:val="000000" w:themeColor="text1"/>
          <w:sz w:val="22"/>
          <w:szCs w:val="22"/>
        </w:rPr>
        <w:t xml:space="preserve">Characterizing cell growth and survival in </w:t>
      </w:r>
      <w:r w:rsidRPr="0021292C">
        <w:rPr>
          <w:rFonts w:ascii="Arial" w:hAnsi="Arial" w:cs="Arial"/>
          <w:b/>
          <w:i/>
          <w:color w:val="000000" w:themeColor="text1"/>
          <w:sz w:val="22"/>
          <w:szCs w:val="22"/>
        </w:rPr>
        <w:t>METTL1</w:t>
      </w:r>
      <w:r w:rsidRPr="0021292C">
        <w:rPr>
          <w:rFonts w:ascii="Arial" w:hAnsi="Arial" w:cs="Arial"/>
          <w:b/>
          <w:color w:val="000000" w:themeColor="text1"/>
          <w:sz w:val="22"/>
          <w:szCs w:val="22"/>
        </w:rPr>
        <w:t xml:space="preserve">-deficient cells. </w:t>
      </w:r>
      <w:r w:rsidRPr="0021292C">
        <w:rPr>
          <w:rFonts w:ascii="Arial" w:hAnsi="Arial" w:cs="Arial"/>
          <w:b/>
          <w:bCs/>
          <w:color w:val="000000" w:themeColor="text1"/>
          <w:sz w:val="22"/>
          <w:szCs w:val="22"/>
        </w:rPr>
        <w:t>A)</w:t>
      </w:r>
      <w:r w:rsidRPr="0021292C">
        <w:rPr>
          <w:rFonts w:ascii="Arial" w:hAnsi="Arial" w:cs="Arial"/>
          <w:color w:val="000000" w:themeColor="text1"/>
          <w:sz w:val="22"/>
          <w:szCs w:val="22"/>
        </w:rPr>
        <w:t xml:space="preserve"> Colony formation in soft agar assay of DU145 cells stably expressing doxycycline-inducible shRNA against </w:t>
      </w:r>
      <w:r w:rsidRPr="0021292C">
        <w:rPr>
          <w:rFonts w:ascii="Arial" w:hAnsi="Arial" w:cs="Arial"/>
          <w:i/>
          <w:color w:val="000000" w:themeColor="text1"/>
          <w:sz w:val="22"/>
          <w:szCs w:val="22"/>
        </w:rPr>
        <w:t>METTL1</w:t>
      </w:r>
      <w:r w:rsidRPr="0021292C">
        <w:rPr>
          <w:rFonts w:ascii="Arial" w:hAnsi="Arial" w:cs="Arial"/>
          <w:color w:val="000000" w:themeColor="text1"/>
          <w:sz w:val="22"/>
          <w:szCs w:val="22"/>
        </w:rPr>
        <w:t xml:space="preserve"> (shM3, shM4), and a shRNA scramble control (SCR). Mean ± SD, n=12. </w:t>
      </w:r>
      <w:r w:rsidRPr="0021292C">
        <w:rPr>
          <w:rFonts w:ascii="Arial" w:hAnsi="Arial" w:cs="Arial"/>
          <w:b/>
          <w:bCs/>
          <w:color w:val="000000" w:themeColor="text1"/>
          <w:sz w:val="22"/>
          <w:szCs w:val="22"/>
        </w:rPr>
        <w:t>B)</w:t>
      </w:r>
      <w:r w:rsidRPr="0021292C">
        <w:rPr>
          <w:rFonts w:ascii="Arial" w:hAnsi="Arial" w:cs="Arial"/>
          <w:color w:val="000000" w:themeColor="text1"/>
          <w:sz w:val="22"/>
          <w:szCs w:val="22"/>
        </w:rPr>
        <w:t xml:space="preserve"> H</w:t>
      </w:r>
      <w:r w:rsidRPr="0021292C">
        <w:rPr>
          <w:rFonts w:ascii="Arial" w:hAnsi="Arial" w:cs="Arial"/>
          <w:color w:val="000000" w:themeColor="text1"/>
          <w:sz w:val="22"/>
          <w:szCs w:val="22"/>
          <w:vertAlign w:val="subscript"/>
        </w:rPr>
        <w:t>2</w:t>
      </w:r>
      <w:r w:rsidRPr="0021292C">
        <w:rPr>
          <w:rFonts w:ascii="Arial" w:hAnsi="Arial" w:cs="Arial"/>
          <w:color w:val="000000" w:themeColor="text1"/>
          <w:sz w:val="22"/>
          <w:szCs w:val="22"/>
        </w:rPr>
        <w:t>O</w:t>
      </w:r>
      <w:r w:rsidRPr="0021292C">
        <w:rPr>
          <w:rFonts w:ascii="Arial" w:hAnsi="Arial" w:cs="Arial"/>
          <w:color w:val="000000" w:themeColor="text1"/>
          <w:sz w:val="22"/>
          <w:szCs w:val="22"/>
          <w:vertAlign w:val="subscript"/>
        </w:rPr>
        <w:t xml:space="preserve">2 </w:t>
      </w:r>
      <w:r w:rsidRPr="0021292C">
        <w:rPr>
          <w:rFonts w:ascii="Arial" w:hAnsi="Arial" w:cs="Arial"/>
          <w:color w:val="000000" w:themeColor="text1"/>
          <w:sz w:val="22"/>
          <w:szCs w:val="22"/>
        </w:rPr>
        <w:t xml:space="preserve">dose-response curve of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bCs/>
          <w:i/>
          <w:iCs/>
          <w:color w:val="000000" w:themeColor="text1"/>
          <w:sz w:val="22"/>
          <w:szCs w:val="22"/>
        </w:rPr>
        <w:t>METTL1-KO</w:t>
      </w:r>
      <w:r w:rsidRPr="0021292C">
        <w:rPr>
          <w:rFonts w:ascii="Arial" w:hAnsi="Arial" w:cs="Arial"/>
          <w:bCs/>
          <w:color w:val="000000" w:themeColor="text1"/>
          <w:sz w:val="22"/>
          <w:szCs w:val="22"/>
        </w:rPr>
        <w:t xml:space="preserve"> cells </w:t>
      </w:r>
      <w:r w:rsidRPr="0021292C">
        <w:rPr>
          <w:rFonts w:ascii="Arial" w:hAnsi="Arial" w:cs="Arial"/>
          <w:color w:val="000000" w:themeColor="text1"/>
          <w:sz w:val="22"/>
          <w:szCs w:val="22"/>
        </w:rPr>
        <w:t>at 72 hours. Mean ± SD, n=4. IC</w:t>
      </w:r>
      <w:r w:rsidRPr="0021292C">
        <w:rPr>
          <w:rFonts w:ascii="Arial" w:hAnsi="Arial" w:cs="Arial"/>
          <w:color w:val="000000" w:themeColor="text1"/>
          <w:sz w:val="22"/>
          <w:szCs w:val="22"/>
          <w:vertAlign w:val="subscript"/>
        </w:rPr>
        <w:t>50</w:t>
      </w:r>
      <w:r w:rsidRPr="0021292C">
        <w:rPr>
          <w:rFonts w:ascii="Arial" w:hAnsi="Arial" w:cs="Arial"/>
          <w:color w:val="000000" w:themeColor="text1"/>
          <w:sz w:val="22"/>
          <w:szCs w:val="22"/>
        </w:rPr>
        <w:t xml:space="preserve"> of the average growth of all WT (grey) and </w:t>
      </w:r>
      <w:r w:rsidRPr="00A60A05">
        <w:rPr>
          <w:rFonts w:ascii="Arial" w:hAnsi="Arial" w:cs="Arial"/>
          <w:bCs/>
          <w:i/>
          <w:iCs/>
          <w:color w:val="000000" w:themeColor="text1"/>
          <w:sz w:val="22"/>
          <w:szCs w:val="22"/>
        </w:rPr>
        <w:t>METTL1-KO</w:t>
      </w:r>
      <w:r w:rsidRPr="0021292C">
        <w:rPr>
          <w:rFonts w:ascii="Arial" w:hAnsi="Arial" w:cs="Arial"/>
          <w:bCs/>
          <w:color w:val="000000" w:themeColor="text1"/>
          <w:sz w:val="22"/>
          <w:szCs w:val="22"/>
        </w:rPr>
        <w:t xml:space="preserve"> </w:t>
      </w:r>
      <w:r w:rsidRPr="0021292C">
        <w:rPr>
          <w:rFonts w:ascii="Arial" w:hAnsi="Arial" w:cs="Arial"/>
          <w:color w:val="000000" w:themeColor="text1"/>
          <w:sz w:val="22"/>
          <w:szCs w:val="22"/>
        </w:rPr>
        <w:t xml:space="preserve">(red) clones are indicated as thicker dotted lines. </w:t>
      </w:r>
      <w:r w:rsidRPr="0021292C">
        <w:rPr>
          <w:rFonts w:ascii="Arial" w:hAnsi="Arial" w:cs="Arial"/>
          <w:b/>
          <w:bCs/>
          <w:color w:val="000000" w:themeColor="text1"/>
          <w:sz w:val="22"/>
          <w:szCs w:val="22"/>
        </w:rPr>
        <w:t>C)</w:t>
      </w:r>
      <w:r w:rsidRPr="0021292C">
        <w:rPr>
          <w:rFonts w:ascii="Arial" w:hAnsi="Arial" w:cs="Arial"/>
          <w:color w:val="000000" w:themeColor="text1"/>
          <w:sz w:val="22"/>
          <w:szCs w:val="22"/>
        </w:rPr>
        <w:t xml:space="preserve"> Growth curve of three clones of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treated with 3725 nM H</w:t>
      </w:r>
      <w:r w:rsidRPr="0021292C">
        <w:rPr>
          <w:rFonts w:ascii="Arial" w:hAnsi="Arial" w:cs="Arial"/>
          <w:color w:val="000000" w:themeColor="text1"/>
          <w:sz w:val="22"/>
          <w:szCs w:val="22"/>
          <w:vertAlign w:val="subscript"/>
        </w:rPr>
        <w:t>2</w:t>
      </w:r>
      <w:r w:rsidRPr="0021292C">
        <w:rPr>
          <w:rFonts w:ascii="Arial" w:hAnsi="Arial" w:cs="Arial"/>
          <w:color w:val="000000" w:themeColor="text1"/>
          <w:sz w:val="22"/>
          <w:szCs w:val="22"/>
        </w:rPr>
        <w:t>O</w:t>
      </w:r>
      <w:r w:rsidRPr="0021292C">
        <w:rPr>
          <w:rFonts w:ascii="Arial" w:hAnsi="Arial" w:cs="Arial"/>
          <w:color w:val="000000" w:themeColor="text1"/>
          <w:sz w:val="22"/>
          <w:szCs w:val="22"/>
          <w:vertAlign w:val="subscript"/>
        </w:rPr>
        <w:t>2</w:t>
      </w:r>
      <w:r w:rsidRPr="0021292C">
        <w:rPr>
          <w:rFonts w:ascii="Arial" w:hAnsi="Arial" w:cs="Arial"/>
          <w:color w:val="000000" w:themeColor="text1"/>
          <w:sz w:val="22"/>
          <w:szCs w:val="22"/>
        </w:rPr>
        <w:t xml:space="preserve">. Mean ± SD, n=6. Thicker dotted lines represent the average growth of all WT or </w:t>
      </w:r>
      <w:r w:rsidRPr="00A60A05">
        <w:rPr>
          <w:rFonts w:ascii="Arial" w:hAnsi="Arial" w:cs="Arial"/>
          <w:bCs/>
          <w:i/>
          <w:iCs/>
          <w:color w:val="000000" w:themeColor="text1"/>
          <w:sz w:val="22"/>
          <w:szCs w:val="22"/>
        </w:rPr>
        <w:t>METTL1-KO</w:t>
      </w:r>
      <w:r w:rsidRPr="0021292C">
        <w:rPr>
          <w:rFonts w:ascii="Arial" w:hAnsi="Arial" w:cs="Arial"/>
          <w:bCs/>
          <w:color w:val="000000" w:themeColor="text1"/>
          <w:sz w:val="22"/>
          <w:szCs w:val="22"/>
        </w:rPr>
        <w:t xml:space="preserve"> </w:t>
      </w:r>
      <w:r w:rsidRPr="0021292C">
        <w:rPr>
          <w:rFonts w:ascii="Arial" w:hAnsi="Arial" w:cs="Arial"/>
          <w:color w:val="000000" w:themeColor="text1"/>
          <w:sz w:val="22"/>
          <w:szCs w:val="22"/>
        </w:rPr>
        <w:t xml:space="preserve">clone-derived cell lines. </w:t>
      </w:r>
      <w:r w:rsidRPr="0021292C">
        <w:rPr>
          <w:rFonts w:ascii="Arial" w:hAnsi="Arial" w:cs="Arial"/>
          <w:b/>
          <w:color w:val="000000" w:themeColor="text1"/>
          <w:sz w:val="22"/>
          <w:szCs w:val="22"/>
        </w:rPr>
        <w:t>D</w:t>
      </w:r>
      <w:r w:rsidRPr="0021292C">
        <w:rPr>
          <w:rFonts w:ascii="Arial" w:hAnsi="Arial" w:cs="Arial"/>
          <w:color w:val="000000" w:themeColor="text1"/>
          <w:sz w:val="22"/>
          <w:szCs w:val="22"/>
        </w:rPr>
        <w:t xml:space="preserve">) Growth curve of PC3 expressing and </w:t>
      </w:r>
      <w:r w:rsidRPr="0021292C">
        <w:rPr>
          <w:rFonts w:ascii="Arial" w:hAnsi="Arial" w:cs="Arial"/>
          <w:i/>
          <w:iCs/>
          <w:color w:val="000000" w:themeColor="text1"/>
          <w:sz w:val="22"/>
          <w:szCs w:val="22"/>
        </w:rPr>
        <w:t>METTL1-</w:t>
      </w:r>
      <w:r w:rsidRPr="0021292C">
        <w:rPr>
          <w:rFonts w:ascii="Arial" w:hAnsi="Arial" w:cs="Arial"/>
          <w:color w:val="000000" w:themeColor="text1"/>
          <w:sz w:val="22"/>
          <w:szCs w:val="22"/>
        </w:rPr>
        <w:t>depleted clones exposed to 20 J/cm</w:t>
      </w:r>
      <w:r w:rsidRPr="0021292C">
        <w:rPr>
          <w:rFonts w:ascii="Arial" w:hAnsi="Arial" w:cs="Arial"/>
          <w:color w:val="000000" w:themeColor="text1"/>
          <w:sz w:val="22"/>
          <w:szCs w:val="22"/>
          <w:vertAlign w:val="superscript"/>
        </w:rPr>
        <w:t>2</w:t>
      </w:r>
      <w:r w:rsidRPr="0021292C">
        <w:rPr>
          <w:rFonts w:ascii="Arial" w:hAnsi="Arial" w:cs="Arial"/>
          <w:color w:val="000000" w:themeColor="text1"/>
          <w:sz w:val="22"/>
          <w:szCs w:val="22"/>
        </w:rPr>
        <w:t xml:space="preserve"> of UV light. Mean ± SD, n=6. Thicker dotted lines represent the average growth of all WT or </w:t>
      </w:r>
      <w:r w:rsidRPr="00A60A05">
        <w:rPr>
          <w:rFonts w:ascii="Arial" w:hAnsi="Arial" w:cs="Arial"/>
          <w:bCs/>
          <w:i/>
          <w:iCs/>
          <w:color w:val="000000" w:themeColor="text1"/>
          <w:sz w:val="22"/>
          <w:szCs w:val="22"/>
        </w:rPr>
        <w:t>METTL1-KO</w:t>
      </w:r>
      <w:r w:rsidRPr="0021292C">
        <w:rPr>
          <w:rFonts w:ascii="Arial" w:hAnsi="Arial" w:cs="Arial"/>
          <w:bCs/>
          <w:color w:val="000000" w:themeColor="text1"/>
          <w:sz w:val="22"/>
          <w:szCs w:val="22"/>
        </w:rPr>
        <w:t xml:space="preserve"> </w:t>
      </w:r>
      <w:r w:rsidRPr="0021292C">
        <w:rPr>
          <w:rFonts w:ascii="Arial" w:hAnsi="Arial" w:cs="Arial"/>
          <w:color w:val="000000" w:themeColor="text1"/>
          <w:sz w:val="22"/>
          <w:szCs w:val="22"/>
        </w:rPr>
        <w:t xml:space="preserve">clone-derived cell lines. </w:t>
      </w:r>
      <w:r w:rsidRPr="0021292C">
        <w:rPr>
          <w:rFonts w:ascii="Arial" w:hAnsi="Arial" w:cs="Arial"/>
          <w:b/>
          <w:bCs/>
          <w:color w:val="000000" w:themeColor="text1"/>
          <w:sz w:val="22"/>
          <w:szCs w:val="22"/>
        </w:rPr>
        <w:t>E)</w:t>
      </w:r>
      <w:r w:rsidRPr="0021292C">
        <w:rPr>
          <w:rFonts w:ascii="Arial" w:hAnsi="Arial" w:cs="Arial"/>
          <w:color w:val="000000" w:themeColor="text1"/>
          <w:sz w:val="22"/>
          <w:szCs w:val="22"/>
        </w:rPr>
        <w:t xml:space="preserve"> Rapamycin dose-response curve of three distinct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bCs/>
          <w:i/>
          <w:iCs/>
          <w:color w:val="000000" w:themeColor="text1"/>
          <w:sz w:val="22"/>
          <w:szCs w:val="22"/>
        </w:rPr>
        <w:t>METTL1-KO</w:t>
      </w:r>
      <w:r w:rsidRPr="0021292C">
        <w:rPr>
          <w:rFonts w:ascii="Arial" w:hAnsi="Arial" w:cs="Arial"/>
          <w:bCs/>
          <w:color w:val="000000" w:themeColor="text1"/>
          <w:sz w:val="22"/>
          <w:szCs w:val="22"/>
        </w:rPr>
        <w:t xml:space="preserve"> </w:t>
      </w:r>
      <w:r w:rsidRPr="0021292C">
        <w:rPr>
          <w:rFonts w:ascii="Arial" w:hAnsi="Arial" w:cs="Arial"/>
          <w:color w:val="000000" w:themeColor="text1"/>
          <w:sz w:val="22"/>
          <w:szCs w:val="22"/>
        </w:rPr>
        <w:t>clones after eight days of treatment. Mean ± SD, n=4. The average IC</w:t>
      </w:r>
      <w:r w:rsidRPr="0021292C">
        <w:rPr>
          <w:rFonts w:ascii="Arial" w:hAnsi="Arial" w:cs="Arial"/>
          <w:color w:val="000000" w:themeColor="text1"/>
          <w:sz w:val="22"/>
          <w:szCs w:val="22"/>
          <w:vertAlign w:val="subscript"/>
        </w:rPr>
        <w:t>50</w:t>
      </w:r>
      <w:r w:rsidRPr="0021292C">
        <w:rPr>
          <w:rFonts w:ascii="Arial" w:hAnsi="Arial" w:cs="Arial"/>
          <w:color w:val="000000" w:themeColor="text1"/>
          <w:sz w:val="22"/>
          <w:szCs w:val="22"/>
        </w:rPr>
        <w:t xml:space="preserve"> value of all</w:t>
      </w:r>
      <w:r w:rsidRPr="0021292C">
        <w:rPr>
          <w:rFonts w:ascii="Arial" w:hAnsi="Arial" w:cs="Arial"/>
          <w:i/>
          <w:color w:val="000000" w:themeColor="text1"/>
          <w:sz w:val="22"/>
          <w:szCs w:val="22"/>
        </w:rPr>
        <w:t xml:space="preserve">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color w:val="000000" w:themeColor="text1"/>
          <w:sz w:val="22"/>
          <w:szCs w:val="22"/>
        </w:rPr>
        <w:t>METTL1-KO</w:t>
      </w:r>
      <w:r w:rsidRPr="0021292C">
        <w:rPr>
          <w:rFonts w:ascii="Arial" w:hAnsi="Arial" w:cs="Arial"/>
          <w:color w:val="000000" w:themeColor="text1"/>
          <w:sz w:val="22"/>
          <w:szCs w:val="22"/>
        </w:rPr>
        <w:t xml:space="preserve"> cells</w:t>
      </w:r>
      <w:r w:rsidRPr="0021292C">
        <w:rPr>
          <w:rFonts w:ascii="Arial" w:hAnsi="Arial" w:cs="Arial"/>
          <w:i/>
          <w:color w:val="000000" w:themeColor="text1"/>
          <w:sz w:val="22"/>
          <w:szCs w:val="22"/>
        </w:rPr>
        <w:t xml:space="preserve"> </w:t>
      </w:r>
      <w:r w:rsidRPr="0021292C">
        <w:rPr>
          <w:rFonts w:ascii="Arial" w:hAnsi="Arial" w:cs="Arial"/>
          <w:color w:val="000000" w:themeColor="text1"/>
          <w:sz w:val="22"/>
          <w:szCs w:val="22"/>
        </w:rPr>
        <w:t xml:space="preserve">are represented as thicker dotted lines.  </w:t>
      </w:r>
      <w:r w:rsidRPr="0021292C">
        <w:rPr>
          <w:rFonts w:ascii="Arial" w:hAnsi="Arial" w:cs="Arial"/>
          <w:b/>
          <w:bCs/>
          <w:color w:val="000000" w:themeColor="text1"/>
          <w:sz w:val="22"/>
          <w:szCs w:val="22"/>
        </w:rPr>
        <w:t>E)</w:t>
      </w:r>
      <w:r w:rsidRPr="0021292C">
        <w:rPr>
          <w:rFonts w:ascii="Arial" w:hAnsi="Arial" w:cs="Arial"/>
          <w:color w:val="000000" w:themeColor="text1"/>
          <w:sz w:val="22"/>
          <w:szCs w:val="22"/>
        </w:rPr>
        <w:t xml:space="preserve"> Western blot of METTL1 in PC3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stably expressing an empty vector (eV), HA-METTL1 (WT) or a METTL1 catalytic dead mutant (AFPA) treated with different doxycycline concentrations. Stats: one-tailed Student’s t-test (</w:t>
      </w:r>
      <w:r w:rsidRPr="0021292C">
        <w:rPr>
          <w:rFonts w:ascii="Arial" w:hAnsi="Arial" w:cs="Arial"/>
          <w:b/>
          <w:color w:val="000000" w:themeColor="text1"/>
          <w:sz w:val="22"/>
          <w:szCs w:val="22"/>
        </w:rPr>
        <w:t>A</w:t>
      </w:r>
      <w:r w:rsidRPr="0021292C">
        <w:rPr>
          <w:rFonts w:ascii="Arial" w:hAnsi="Arial" w:cs="Arial"/>
          <w:color w:val="000000" w:themeColor="text1"/>
          <w:sz w:val="22"/>
          <w:szCs w:val="22"/>
        </w:rPr>
        <w:t>), two-way ANOVA test (</w:t>
      </w:r>
      <w:r w:rsidRPr="0021292C">
        <w:rPr>
          <w:rFonts w:ascii="Arial" w:hAnsi="Arial" w:cs="Arial"/>
          <w:b/>
          <w:color w:val="000000" w:themeColor="text1"/>
          <w:sz w:val="22"/>
          <w:szCs w:val="22"/>
        </w:rPr>
        <w:t>C, D</w:t>
      </w:r>
      <w:r w:rsidRPr="0021292C">
        <w:rPr>
          <w:rFonts w:ascii="Arial" w:hAnsi="Arial" w:cs="Arial"/>
          <w:color w:val="000000" w:themeColor="text1"/>
          <w:sz w:val="22"/>
          <w:szCs w:val="22"/>
        </w:rPr>
        <w:t>). *p&lt;0.05, **p&lt;0.01, ***p&lt;0.001, ****p&lt;0.0001.</w:t>
      </w:r>
    </w:p>
    <w:p w14:paraId="54C9B428" w14:textId="77777777" w:rsidR="00232F89" w:rsidRPr="0021292C" w:rsidRDefault="00232F89" w:rsidP="00232F89">
      <w:pPr>
        <w:spacing w:line="480" w:lineRule="auto"/>
        <w:jc w:val="both"/>
        <w:rPr>
          <w:rFonts w:ascii="Arial" w:hAnsi="Arial" w:cs="Arial"/>
          <w:color w:val="000000" w:themeColor="text1"/>
          <w:sz w:val="22"/>
          <w:szCs w:val="22"/>
        </w:rPr>
      </w:pPr>
    </w:p>
    <w:p w14:paraId="591155D8" w14:textId="77777777" w:rsidR="00232F89" w:rsidRPr="0021292C" w:rsidRDefault="00232F89" w:rsidP="00232F89">
      <w:pPr>
        <w:spacing w:line="480" w:lineRule="auto"/>
        <w:jc w:val="both"/>
        <w:rPr>
          <w:rFonts w:ascii="Arial" w:hAnsi="Arial" w:cs="Arial"/>
          <w:color w:val="000000" w:themeColor="text1"/>
          <w:sz w:val="22"/>
          <w:szCs w:val="22"/>
        </w:rPr>
      </w:pPr>
      <w:r w:rsidRPr="0021292C">
        <w:rPr>
          <w:rFonts w:ascii="Arial" w:hAnsi="Arial" w:cs="Arial"/>
          <w:b/>
          <w:bCs/>
          <w:color w:val="000000" w:themeColor="text1"/>
          <w:sz w:val="22"/>
          <w:szCs w:val="22"/>
        </w:rPr>
        <w:lastRenderedPageBreak/>
        <w:t>Supplementary Figure S4</w:t>
      </w:r>
      <w:r w:rsidRPr="0021292C">
        <w:rPr>
          <w:rFonts w:ascii="Arial" w:hAnsi="Arial" w:cs="Arial"/>
          <w:color w:val="000000" w:themeColor="text1"/>
          <w:sz w:val="22"/>
          <w:szCs w:val="22"/>
        </w:rPr>
        <w:t>.</w:t>
      </w:r>
      <w:r w:rsidRPr="0021292C">
        <w:rPr>
          <w:rFonts w:ascii="Arial" w:hAnsi="Arial" w:cs="Arial"/>
          <w:b/>
          <w:color w:val="000000" w:themeColor="text1"/>
          <w:sz w:val="22"/>
          <w:szCs w:val="22"/>
        </w:rPr>
        <w:t xml:space="preserve"> DNA damage and senescence in PCa cell lines in the absence of </w:t>
      </w:r>
      <w:r w:rsidRPr="0021292C">
        <w:rPr>
          <w:rFonts w:ascii="Arial" w:hAnsi="Arial" w:cs="Arial"/>
          <w:b/>
          <w:i/>
          <w:color w:val="000000" w:themeColor="text1"/>
          <w:sz w:val="22"/>
          <w:szCs w:val="22"/>
        </w:rPr>
        <w:t>METTL1</w:t>
      </w:r>
      <w:r w:rsidRPr="0021292C">
        <w:rPr>
          <w:rFonts w:ascii="Arial" w:hAnsi="Arial" w:cs="Arial"/>
          <w:b/>
          <w:color w:val="000000" w:themeColor="text1"/>
          <w:sz w:val="22"/>
          <w:szCs w:val="22"/>
        </w:rPr>
        <w:t xml:space="preserve">. </w:t>
      </w:r>
      <w:r w:rsidRPr="0021292C">
        <w:rPr>
          <w:rFonts w:ascii="Arial" w:hAnsi="Arial" w:cs="Arial"/>
          <w:b/>
          <w:bCs/>
          <w:color w:val="000000" w:themeColor="text1"/>
          <w:sz w:val="22"/>
          <w:szCs w:val="22"/>
        </w:rPr>
        <w:t xml:space="preserve">A) </w:t>
      </w:r>
      <w:r w:rsidRPr="0021292C">
        <w:rPr>
          <w:rFonts w:ascii="Arial" w:hAnsi="Arial" w:cs="Arial"/>
          <w:color w:val="000000" w:themeColor="text1"/>
          <w:sz w:val="22"/>
          <w:szCs w:val="22"/>
        </w:rPr>
        <w:t xml:space="preserve">Flow cytometry histograms of intracellular ROS levels in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w:t>
      </w:r>
      <w:r w:rsidRPr="0021292C">
        <w:rPr>
          <w:rFonts w:ascii="Arial" w:hAnsi="Arial" w:cs="Arial"/>
          <w:b/>
          <w:bCs/>
          <w:color w:val="000000" w:themeColor="text1"/>
          <w:sz w:val="22"/>
          <w:szCs w:val="22"/>
        </w:rPr>
        <w:t>B, C)</w:t>
      </w:r>
      <w:r w:rsidRPr="0021292C">
        <w:rPr>
          <w:rFonts w:ascii="Arial" w:hAnsi="Arial" w:cs="Arial"/>
          <w:color w:val="000000" w:themeColor="text1"/>
          <w:sz w:val="22"/>
          <w:szCs w:val="22"/>
        </w:rPr>
        <w:t xml:space="preserve"> </w:t>
      </w:r>
      <w:r w:rsidRPr="0021292C">
        <w:rPr>
          <w:rFonts w:ascii="Arial" w:hAnsi="Arial" w:cs="Arial"/>
          <w:color w:val="000000" w:themeColor="text1"/>
          <w:sz w:val="22"/>
          <w:szCs w:val="22"/>
        </w:rPr>
        <w:sym w:font="Symbol" w:char="F067"/>
      </w:r>
      <w:r w:rsidRPr="0021292C">
        <w:rPr>
          <w:rFonts w:ascii="Arial" w:hAnsi="Arial" w:cs="Arial"/>
          <w:color w:val="000000" w:themeColor="text1"/>
          <w:sz w:val="22"/>
          <w:szCs w:val="22"/>
        </w:rPr>
        <w:t>H2AX- and BRCA1-foci positive cells quantification (</w:t>
      </w:r>
      <w:r w:rsidRPr="0021292C">
        <w:rPr>
          <w:rFonts w:ascii="Arial" w:hAnsi="Arial" w:cs="Arial"/>
          <w:b/>
          <w:color w:val="000000" w:themeColor="text1"/>
          <w:sz w:val="22"/>
          <w:szCs w:val="22"/>
        </w:rPr>
        <w:t>B</w:t>
      </w:r>
      <w:r w:rsidRPr="0021292C">
        <w:rPr>
          <w:rFonts w:ascii="Arial" w:hAnsi="Arial" w:cs="Arial"/>
          <w:color w:val="000000" w:themeColor="text1"/>
          <w:sz w:val="22"/>
          <w:szCs w:val="22"/>
        </w:rPr>
        <w:t>) and immunofluorescence (</w:t>
      </w:r>
      <w:r w:rsidRPr="0021292C">
        <w:rPr>
          <w:rFonts w:ascii="Arial" w:hAnsi="Arial" w:cs="Arial"/>
          <w:b/>
          <w:color w:val="000000" w:themeColor="text1"/>
          <w:sz w:val="22"/>
          <w:szCs w:val="22"/>
        </w:rPr>
        <w:t>C</w:t>
      </w:r>
      <w:r w:rsidRPr="0021292C">
        <w:rPr>
          <w:rFonts w:ascii="Arial" w:hAnsi="Arial" w:cs="Arial"/>
          <w:color w:val="000000" w:themeColor="text1"/>
          <w:sz w:val="22"/>
          <w:szCs w:val="22"/>
        </w:rPr>
        <w:t xml:space="preserve">) in two clones of DU145 WT and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Mean ± SD, n=3, and 100 cells analysed per replicate. </w:t>
      </w:r>
      <w:r w:rsidRPr="0021292C">
        <w:rPr>
          <w:rFonts w:ascii="Arial" w:hAnsi="Arial" w:cs="Arial"/>
          <w:b/>
          <w:bCs/>
          <w:color w:val="000000" w:themeColor="text1"/>
          <w:sz w:val="22"/>
          <w:szCs w:val="22"/>
        </w:rPr>
        <w:t>D)</w:t>
      </w:r>
      <w:r w:rsidRPr="0021292C">
        <w:rPr>
          <w:rFonts w:ascii="Arial" w:hAnsi="Arial" w:cs="Arial"/>
          <w:color w:val="000000" w:themeColor="text1"/>
          <w:sz w:val="22"/>
          <w:szCs w:val="22"/>
        </w:rPr>
        <w:t xml:space="preserve"> mRNA expression levels of SASP genes in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Mean ± SD, n=18 (</w:t>
      </w:r>
      <w:r w:rsidRPr="0021292C">
        <w:rPr>
          <w:rFonts w:ascii="Arial" w:hAnsi="Arial" w:cs="Arial"/>
          <w:b/>
          <w:color w:val="000000" w:themeColor="text1"/>
          <w:sz w:val="22"/>
          <w:szCs w:val="22"/>
        </w:rPr>
        <w:t>D</w:t>
      </w:r>
      <w:r w:rsidRPr="0021292C">
        <w:rPr>
          <w:rFonts w:ascii="Arial" w:hAnsi="Arial" w:cs="Arial"/>
          <w:color w:val="000000" w:themeColor="text1"/>
          <w:sz w:val="22"/>
          <w:szCs w:val="22"/>
        </w:rPr>
        <w:t xml:space="preserve">). </w:t>
      </w:r>
      <w:r w:rsidRPr="0021292C">
        <w:rPr>
          <w:rFonts w:ascii="Arial" w:hAnsi="Arial" w:cs="Arial"/>
          <w:b/>
          <w:bCs/>
          <w:color w:val="000000" w:themeColor="text1"/>
          <w:sz w:val="22"/>
          <w:szCs w:val="22"/>
        </w:rPr>
        <w:t>E)</w:t>
      </w:r>
      <w:r w:rsidRPr="0021292C">
        <w:rPr>
          <w:rFonts w:ascii="Arial" w:hAnsi="Arial" w:cs="Arial"/>
          <w:color w:val="000000" w:themeColor="text1"/>
          <w:sz w:val="22"/>
          <w:szCs w:val="22"/>
        </w:rPr>
        <w:t xml:space="preserve"> mRNA expression levels of p53, p21, and p16 in different PCa cells. Mean ± SD, n=3. </w:t>
      </w:r>
      <w:r w:rsidRPr="0021292C">
        <w:rPr>
          <w:rFonts w:ascii="Arial" w:hAnsi="Arial" w:cs="Arial"/>
          <w:b/>
          <w:bCs/>
          <w:color w:val="000000" w:themeColor="text1"/>
          <w:sz w:val="22"/>
          <w:szCs w:val="22"/>
        </w:rPr>
        <w:t>F)</w:t>
      </w:r>
      <w:r w:rsidRPr="0021292C">
        <w:rPr>
          <w:rFonts w:ascii="Arial" w:hAnsi="Arial" w:cs="Arial"/>
          <w:color w:val="000000" w:themeColor="text1"/>
          <w:sz w:val="22"/>
          <w:szCs w:val="22"/>
        </w:rPr>
        <w:t xml:space="preserve"> SA-</w:t>
      </w:r>
      <w:r w:rsidRPr="0021292C">
        <w:rPr>
          <w:rFonts w:ascii="Arial" w:hAnsi="Arial" w:cs="Arial"/>
          <w:color w:val="000000" w:themeColor="text1"/>
          <w:sz w:val="22"/>
          <w:szCs w:val="22"/>
        </w:rPr>
        <w:sym w:font="Symbol" w:char="F062"/>
      </w:r>
      <w:r w:rsidRPr="0021292C">
        <w:rPr>
          <w:rFonts w:ascii="Arial" w:hAnsi="Arial" w:cs="Arial"/>
          <w:color w:val="000000" w:themeColor="text1"/>
          <w:sz w:val="22"/>
          <w:szCs w:val="22"/>
        </w:rPr>
        <w:t xml:space="preserve">-gal activity (in blue) in untreated and Docetaxel-treated 22Rv1 cells transiently transfected with an siRNA against </w:t>
      </w:r>
      <w:r w:rsidRPr="0021292C">
        <w:rPr>
          <w:rFonts w:ascii="Arial" w:hAnsi="Arial" w:cs="Arial"/>
          <w:i/>
          <w:color w:val="000000" w:themeColor="text1"/>
          <w:sz w:val="22"/>
          <w:szCs w:val="22"/>
        </w:rPr>
        <w:t>METTL1</w:t>
      </w:r>
      <w:r w:rsidRPr="0021292C">
        <w:rPr>
          <w:rFonts w:ascii="Arial" w:hAnsi="Arial" w:cs="Arial"/>
          <w:color w:val="000000" w:themeColor="text1"/>
          <w:sz w:val="22"/>
          <w:szCs w:val="22"/>
        </w:rPr>
        <w:t xml:space="preserve"> (si_MET1) or an scramble siRNA (si_scr) used as control. Mean ± SD, n=3, 10 images per replicate. </w:t>
      </w:r>
      <w:r w:rsidRPr="0021292C">
        <w:rPr>
          <w:rFonts w:ascii="Arial" w:hAnsi="Arial" w:cs="Arial"/>
          <w:b/>
          <w:bCs/>
          <w:color w:val="000000" w:themeColor="text1"/>
          <w:sz w:val="22"/>
          <w:szCs w:val="22"/>
        </w:rPr>
        <w:t>G)</w:t>
      </w:r>
      <w:r w:rsidRPr="0021292C">
        <w:rPr>
          <w:rFonts w:ascii="Arial" w:hAnsi="Arial" w:cs="Arial"/>
          <w:color w:val="000000" w:themeColor="text1"/>
          <w:sz w:val="22"/>
          <w:szCs w:val="22"/>
        </w:rPr>
        <w:t xml:space="preserve"> mRNA expression levels of SASP genes in 22Rv1 cells transiently silenced with siRNAs against </w:t>
      </w:r>
      <w:r w:rsidRPr="0021292C">
        <w:rPr>
          <w:rFonts w:ascii="Arial" w:hAnsi="Arial" w:cs="Arial"/>
          <w:i/>
          <w:color w:val="000000" w:themeColor="text1"/>
          <w:sz w:val="22"/>
          <w:szCs w:val="22"/>
        </w:rPr>
        <w:t xml:space="preserve">METTL1 </w:t>
      </w:r>
      <w:r w:rsidRPr="0021292C">
        <w:rPr>
          <w:rFonts w:ascii="Arial" w:hAnsi="Arial" w:cs="Arial"/>
          <w:color w:val="000000" w:themeColor="text1"/>
          <w:sz w:val="22"/>
          <w:szCs w:val="22"/>
        </w:rPr>
        <w:t>(si_MET1), and a scramble siRNA (si_scr) used as control. Mean ± SD, n=6.</w:t>
      </w:r>
      <w:r w:rsidRPr="0021292C">
        <w:rPr>
          <w:rFonts w:ascii="Arial" w:hAnsi="Arial" w:cs="Arial"/>
          <w:b/>
          <w:bCs/>
          <w:color w:val="000000" w:themeColor="text1"/>
          <w:sz w:val="22"/>
          <w:szCs w:val="22"/>
        </w:rPr>
        <w:t xml:space="preserve"> G)</w:t>
      </w:r>
      <w:r w:rsidRPr="0021292C">
        <w:rPr>
          <w:rFonts w:ascii="Arial" w:hAnsi="Arial" w:cs="Arial"/>
          <w:color w:val="000000" w:themeColor="text1"/>
          <w:sz w:val="22"/>
          <w:szCs w:val="22"/>
        </w:rPr>
        <w:t xml:space="preserve"> mRNA expression levels of SASP genes in DU145 WT and </w:t>
      </w:r>
      <w:r w:rsidRPr="00A60A05">
        <w:rPr>
          <w:rFonts w:ascii="Arial" w:hAnsi="Arial" w:cs="Arial"/>
          <w:bCs/>
          <w:i/>
          <w:iCs/>
          <w:color w:val="000000" w:themeColor="text1"/>
          <w:sz w:val="22"/>
          <w:szCs w:val="22"/>
        </w:rPr>
        <w:t>METTL1-KO</w:t>
      </w:r>
      <w:r w:rsidRPr="0021292C">
        <w:rPr>
          <w:rFonts w:ascii="Arial" w:hAnsi="Arial" w:cs="Arial"/>
          <w:bCs/>
          <w:color w:val="000000" w:themeColor="text1"/>
          <w:sz w:val="22"/>
          <w:szCs w:val="22"/>
        </w:rPr>
        <w:t xml:space="preserve"> </w:t>
      </w:r>
      <w:r w:rsidRPr="0021292C">
        <w:rPr>
          <w:rFonts w:ascii="Arial" w:hAnsi="Arial" w:cs="Arial"/>
          <w:color w:val="000000" w:themeColor="text1"/>
          <w:sz w:val="22"/>
          <w:szCs w:val="22"/>
        </w:rPr>
        <w:t>cells. Mean ± SD, n=12. Stats: one-tailed Student’s t-test (</w:t>
      </w:r>
      <w:r w:rsidRPr="0021292C">
        <w:rPr>
          <w:rFonts w:ascii="Arial" w:hAnsi="Arial" w:cs="Arial"/>
          <w:b/>
          <w:color w:val="000000" w:themeColor="text1"/>
          <w:sz w:val="22"/>
          <w:szCs w:val="22"/>
        </w:rPr>
        <w:t>B, D, F-H</w:t>
      </w:r>
      <w:r w:rsidRPr="0021292C">
        <w:rPr>
          <w:rFonts w:ascii="Arial" w:hAnsi="Arial" w:cs="Arial"/>
          <w:color w:val="000000" w:themeColor="text1"/>
          <w:sz w:val="22"/>
          <w:szCs w:val="22"/>
        </w:rPr>
        <w:t>). *p&lt;0.05, **p&lt;0.01, ***p&lt;0.001, ****p&lt;0.0001.</w:t>
      </w:r>
    </w:p>
    <w:p w14:paraId="09172E37" w14:textId="77777777" w:rsidR="00232F89" w:rsidRPr="0021292C" w:rsidRDefault="00232F89" w:rsidP="00232F89">
      <w:pPr>
        <w:spacing w:line="480" w:lineRule="auto"/>
        <w:jc w:val="both"/>
        <w:rPr>
          <w:rFonts w:ascii="Arial" w:hAnsi="Arial" w:cs="Arial"/>
          <w:color w:val="000000" w:themeColor="text1"/>
          <w:sz w:val="22"/>
          <w:szCs w:val="22"/>
        </w:rPr>
      </w:pPr>
    </w:p>
    <w:p w14:paraId="5954B94A" w14:textId="77777777" w:rsidR="00232F89" w:rsidRPr="0021292C" w:rsidRDefault="00232F89" w:rsidP="00232F89">
      <w:pPr>
        <w:spacing w:line="480" w:lineRule="auto"/>
        <w:jc w:val="both"/>
        <w:rPr>
          <w:rFonts w:ascii="Arial" w:hAnsi="Arial" w:cs="Arial"/>
          <w:color w:val="000000" w:themeColor="text1"/>
          <w:sz w:val="22"/>
          <w:szCs w:val="22"/>
        </w:rPr>
      </w:pPr>
      <w:r w:rsidRPr="0021292C">
        <w:rPr>
          <w:rFonts w:ascii="Arial" w:hAnsi="Arial" w:cs="Arial"/>
          <w:b/>
          <w:bCs/>
          <w:color w:val="000000" w:themeColor="text1"/>
          <w:sz w:val="22"/>
          <w:szCs w:val="22"/>
        </w:rPr>
        <w:t>Supplementary Figure S5. Sorting strategy and expression of markers of prostate cells in mice and human normal and tumour samples. A)</w:t>
      </w:r>
      <w:r w:rsidRPr="0021292C">
        <w:rPr>
          <w:rFonts w:ascii="Arial" w:hAnsi="Arial" w:cs="Arial"/>
          <w:color w:val="000000" w:themeColor="text1"/>
          <w:sz w:val="22"/>
          <w:szCs w:val="22"/>
        </w:rPr>
        <w:t xml:space="preserve"> Complete gating strategy followed to separate different prostate cell subpopulations from healthy (WT) and </w:t>
      </w:r>
      <w:r w:rsidRPr="0021292C">
        <w:rPr>
          <w:rFonts w:ascii="Arial" w:hAnsi="Arial" w:cs="Arial"/>
          <w:i/>
          <w:iCs/>
          <w:color w:val="000000" w:themeColor="text1"/>
          <w:sz w:val="22"/>
          <w:szCs w:val="22"/>
        </w:rPr>
        <w:t>PtencKO</w:t>
      </w:r>
      <w:r w:rsidRPr="0021292C">
        <w:rPr>
          <w:rFonts w:ascii="Arial" w:hAnsi="Arial" w:cs="Arial"/>
          <w:color w:val="000000" w:themeColor="text1"/>
          <w:sz w:val="22"/>
          <w:szCs w:val="22"/>
        </w:rPr>
        <w:t xml:space="preserve"> mice according to Linage negative, Sca1, CD49 and CD24 expression cell surface markers.</w:t>
      </w:r>
      <w:r w:rsidRPr="0021292C">
        <w:rPr>
          <w:rFonts w:ascii="Arial" w:hAnsi="Arial" w:cs="Arial"/>
          <w:b/>
          <w:bCs/>
          <w:color w:val="000000" w:themeColor="text1"/>
          <w:sz w:val="22"/>
          <w:szCs w:val="22"/>
        </w:rPr>
        <w:t xml:space="preserve"> B)</w:t>
      </w:r>
      <w:r w:rsidRPr="0021292C">
        <w:rPr>
          <w:rFonts w:ascii="Arial" w:hAnsi="Arial" w:cs="Arial"/>
          <w:color w:val="000000" w:themeColor="text1"/>
          <w:sz w:val="22"/>
          <w:szCs w:val="22"/>
        </w:rPr>
        <w:t xml:space="preserve"> mRNA expression levels of </w:t>
      </w:r>
      <w:r w:rsidRPr="0021292C">
        <w:rPr>
          <w:rFonts w:ascii="Arial" w:hAnsi="Arial" w:cs="Arial"/>
          <w:i/>
          <w:color w:val="000000" w:themeColor="text1"/>
          <w:sz w:val="22"/>
          <w:szCs w:val="22"/>
        </w:rPr>
        <w:t xml:space="preserve">METTL1, </w:t>
      </w:r>
      <w:r w:rsidRPr="0021292C">
        <w:rPr>
          <w:rFonts w:ascii="Arial" w:hAnsi="Arial" w:cs="Arial"/>
          <w:color w:val="000000" w:themeColor="text1"/>
          <w:sz w:val="22"/>
          <w:szCs w:val="22"/>
        </w:rPr>
        <w:t xml:space="preserve">and the stem cell markers </w:t>
      </w:r>
      <w:r w:rsidRPr="0021292C">
        <w:rPr>
          <w:rFonts w:ascii="Arial" w:hAnsi="Arial" w:cs="Arial"/>
          <w:i/>
          <w:color w:val="000000" w:themeColor="text1"/>
          <w:sz w:val="22"/>
          <w:szCs w:val="22"/>
        </w:rPr>
        <w:t>EPCAM</w:t>
      </w:r>
      <w:r w:rsidRPr="0021292C">
        <w:rPr>
          <w:rFonts w:ascii="Arial" w:hAnsi="Arial" w:cs="Arial"/>
          <w:color w:val="000000" w:themeColor="text1"/>
          <w:sz w:val="22"/>
          <w:szCs w:val="22"/>
        </w:rPr>
        <w:t xml:space="preserve"> and </w:t>
      </w:r>
      <w:r w:rsidRPr="0021292C">
        <w:rPr>
          <w:rFonts w:ascii="Arial" w:hAnsi="Arial" w:cs="Arial"/>
          <w:i/>
          <w:color w:val="000000" w:themeColor="text1"/>
          <w:sz w:val="22"/>
          <w:szCs w:val="22"/>
        </w:rPr>
        <w:t>SOX2</w:t>
      </w:r>
      <w:r w:rsidRPr="0021292C">
        <w:rPr>
          <w:rFonts w:ascii="Arial" w:hAnsi="Arial" w:cs="Arial"/>
          <w:color w:val="000000" w:themeColor="text1"/>
          <w:sz w:val="22"/>
          <w:szCs w:val="22"/>
        </w:rPr>
        <w:t xml:space="preserve"> in DU145 cells growing in normal conditions (Ad) or in self-renewing conditions (spheroids: Sp). Mean ± SD, n=3. </w:t>
      </w:r>
    </w:p>
    <w:p w14:paraId="22552666" w14:textId="77777777" w:rsidR="00232F89" w:rsidRPr="0021292C" w:rsidRDefault="00232F89" w:rsidP="00232F89">
      <w:pPr>
        <w:spacing w:line="480" w:lineRule="auto"/>
        <w:jc w:val="both"/>
        <w:rPr>
          <w:rFonts w:ascii="Arial" w:hAnsi="Arial" w:cs="Arial"/>
          <w:color w:val="000000" w:themeColor="text1"/>
          <w:sz w:val="22"/>
          <w:szCs w:val="22"/>
        </w:rPr>
      </w:pPr>
    </w:p>
    <w:p w14:paraId="37AEDAB7" w14:textId="77777777" w:rsidR="00232F89" w:rsidRPr="0021292C" w:rsidRDefault="00232F89" w:rsidP="00232F89">
      <w:pPr>
        <w:spacing w:line="480" w:lineRule="auto"/>
        <w:jc w:val="both"/>
        <w:rPr>
          <w:rFonts w:ascii="Arial" w:hAnsi="Arial" w:cs="Arial"/>
          <w:color w:val="000000" w:themeColor="text1"/>
          <w:sz w:val="22"/>
          <w:szCs w:val="22"/>
        </w:rPr>
      </w:pPr>
      <w:r w:rsidRPr="0021292C">
        <w:rPr>
          <w:rFonts w:ascii="Arial" w:hAnsi="Arial" w:cs="Arial"/>
          <w:b/>
          <w:bCs/>
          <w:color w:val="000000" w:themeColor="text1"/>
          <w:sz w:val="22"/>
          <w:szCs w:val="22"/>
        </w:rPr>
        <w:t>Supplementary Figure S6</w:t>
      </w:r>
      <w:r w:rsidRPr="0021292C">
        <w:rPr>
          <w:rFonts w:ascii="Arial" w:hAnsi="Arial" w:cs="Arial"/>
          <w:b/>
          <w:color w:val="000000" w:themeColor="text1"/>
          <w:sz w:val="22"/>
          <w:szCs w:val="22"/>
        </w:rPr>
        <w:t xml:space="preserve">. </w:t>
      </w:r>
      <w:r w:rsidRPr="0021292C">
        <w:rPr>
          <w:rFonts w:ascii="Arial" w:hAnsi="Arial" w:cs="Arial"/>
          <w:bCs/>
          <w:color w:val="000000" w:themeColor="text1"/>
          <w:sz w:val="22"/>
          <w:szCs w:val="22"/>
        </w:rPr>
        <w:t xml:space="preserve">CRISPR Cas9 strategy to generate </w:t>
      </w:r>
      <w:r w:rsidRPr="0021292C">
        <w:rPr>
          <w:rFonts w:ascii="Arial" w:hAnsi="Arial" w:cs="Arial"/>
          <w:bCs/>
          <w:i/>
          <w:color w:val="000000" w:themeColor="text1"/>
          <w:sz w:val="22"/>
          <w:szCs w:val="22"/>
        </w:rPr>
        <w:t>Mettl1</w:t>
      </w:r>
      <w:r w:rsidRPr="0021292C">
        <w:rPr>
          <w:rFonts w:ascii="Arial" w:hAnsi="Arial" w:cs="Arial"/>
          <w:bCs/>
          <w:color w:val="000000" w:themeColor="text1"/>
          <w:sz w:val="22"/>
          <w:szCs w:val="22"/>
        </w:rPr>
        <w:t>-floxed allele in mice</w:t>
      </w:r>
      <w:r w:rsidRPr="0021292C">
        <w:rPr>
          <w:rFonts w:ascii="Arial" w:hAnsi="Arial" w:cs="Arial"/>
          <w:b/>
          <w:bCs/>
          <w:color w:val="000000" w:themeColor="text1"/>
          <w:sz w:val="22"/>
          <w:szCs w:val="22"/>
        </w:rPr>
        <w:t xml:space="preserve">. </w:t>
      </w:r>
    </w:p>
    <w:p w14:paraId="4A097925" w14:textId="77777777" w:rsidR="00232F89" w:rsidRPr="0021292C" w:rsidRDefault="00232F89" w:rsidP="00232F89">
      <w:pPr>
        <w:spacing w:line="480" w:lineRule="auto"/>
        <w:jc w:val="both"/>
        <w:rPr>
          <w:rFonts w:ascii="Arial" w:hAnsi="Arial" w:cs="Arial"/>
          <w:b/>
          <w:bCs/>
          <w:color w:val="000000" w:themeColor="text1"/>
          <w:sz w:val="22"/>
          <w:szCs w:val="22"/>
        </w:rPr>
      </w:pPr>
    </w:p>
    <w:p w14:paraId="68795209" w14:textId="77777777" w:rsidR="00232F89" w:rsidRPr="0021292C" w:rsidRDefault="00232F89" w:rsidP="00232F89">
      <w:pPr>
        <w:spacing w:line="480" w:lineRule="auto"/>
        <w:jc w:val="both"/>
        <w:rPr>
          <w:rFonts w:ascii="Arial" w:hAnsi="Arial" w:cs="Arial"/>
          <w:color w:val="000000" w:themeColor="text1"/>
          <w:sz w:val="22"/>
          <w:szCs w:val="22"/>
        </w:rPr>
      </w:pPr>
      <w:r w:rsidRPr="0021292C">
        <w:rPr>
          <w:rFonts w:ascii="Arial" w:hAnsi="Arial" w:cs="Arial"/>
          <w:b/>
          <w:bCs/>
          <w:color w:val="000000" w:themeColor="text1"/>
          <w:sz w:val="22"/>
          <w:szCs w:val="22"/>
        </w:rPr>
        <w:lastRenderedPageBreak/>
        <w:t>Supplementary Figure S7</w:t>
      </w:r>
      <w:r w:rsidRPr="0021292C">
        <w:rPr>
          <w:rFonts w:ascii="Arial" w:hAnsi="Arial" w:cs="Arial"/>
          <w:color w:val="000000" w:themeColor="text1"/>
          <w:sz w:val="22"/>
          <w:szCs w:val="22"/>
        </w:rPr>
        <w:t xml:space="preserve">. </w:t>
      </w:r>
      <w:r w:rsidRPr="0021292C">
        <w:rPr>
          <w:rFonts w:ascii="Arial" w:hAnsi="Arial" w:cs="Arial"/>
          <w:b/>
          <w:color w:val="000000" w:themeColor="text1"/>
          <w:sz w:val="22"/>
          <w:szCs w:val="22"/>
        </w:rPr>
        <w:t xml:space="preserve">Treatment of WT and </w:t>
      </w:r>
      <w:r w:rsidRPr="00A60A05">
        <w:rPr>
          <w:rFonts w:ascii="Arial" w:hAnsi="Arial" w:cs="Arial"/>
          <w:b/>
          <w:i/>
          <w:color w:val="000000" w:themeColor="text1"/>
          <w:sz w:val="22"/>
          <w:szCs w:val="22"/>
        </w:rPr>
        <w:t>METTL1-KO</w:t>
      </w:r>
      <w:r w:rsidRPr="0021292C">
        <w:rPr>
          <w:rFonts w:ascii="Arial" w:hAnsi="Arial" w:cs="Arial"/>
          <w:b/>
          <w:color w:val="000000" w:themeColor="text1"/>
          <w:sz w:val="22"/>
          <w:szCs w:val="22"/>
        </w:rPr>
        <w:t xml:space="preserve"> xenografts treated with Etoposide. A</w:t>
      </w:r>
      <w:r w:rsidRPr="0021292C">
        <w:rPr>
          <w:rFonts w:ascii="Arial" w:hAnsi="Arial" w:cs="Arial"/>
          <w:b/>
          <w:bCs/>
          <w:color w:val="000000" w:themeColor="text1"/>
          <w:sz w:val="22"/>
          <w:szCs w:val="22"/>
        </w:rPr>
        <w:t>, B)</w:t>
      </w:r>
      <w:r w:rsidRPr="0021292C">
        <w:rPr>
          <w:rFonts w:ascii="Arial" w:hAnsi="Arial" w:cs="Arial"/>
          <w:color w:val="000000" w:themeColor="text1"/>
          <w:sz w:val="22"/>
          <w:szCs w:val="22"/>
        </w:rPr>
        <w:t xml:space="preserve"> Tumour growth of xenografted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w:t>
      </w:r>
      <w:r w:rsidRPr="0021292C">
        <w:rPr>
          <w:rFonts w:ascii="Arial" w:hAnsi="Arial" w:cs="Arial"/>
          <w:b/>
          <w:color w:val="000000" w:themeColor="text1"/>
          <w:sz w:val="22"/>
          <w:szCs w:val="22"/>
        </w:rPr>
        <w:t>A</w:t>
      </w:r>
      <w:r w:rsidRPr="0021292C">
        <w:rPr>
          <w:rFonts w:ascii="Arial" w:hAnsi="Arial" w:cs="Arial"/>
          <w:color w:val="000000" w:themeColor="text1"/>
          <w:sz w:val="22"/>
          <w:szCs w:val="22"/>
        </w:rPr>
        <w:t xml:space="preserve">) and </w:t>
      </w:r>
      <w:r w:rsidRPr="00A60A05">
        <w:rPr>
          <w:rFonts w:ascii="Arial" w:hAnsi="Arial" w:cs="Arial"/>
          <w:i/>
          <w:iCs/>
          <w:color w:val="000000" w:themeColor="text1"/>
          <w:sz w:val="22"/>
          <w:szCs w:val="22"/>
        </w:rPr>
        <w:t>METTL1-KO</w:t>
      </w:r>
      <w:r w:rsidRPr="0021292C">
        <w:rPr>
          <w:rFonts w:ascii="Arial" w:hAnsi="Arial" w:cs="Arial"/>
          <w:color w:val="000000" w:themeColor="text1"/>
          <w:sz w:val="22"/>
          <w:szCs w:val="22"/>
        </w:rPr>
        <w:t xml:space="preserve"> cells (</w:t>
      </w:r>
      <w:r w:rsidRPr="0021292C">
        <w:rPr>
          <w:rFonts w:ascii="Arial" w:hAnsi="Arial" w:cs="Arial"/>
          <w:b/>
          <w:color w:val="000000" w:themeColor="text1"/>
          <w:sz w:val="22"/>
          <w:szCs w:val="22"/>
        </w:rPr>
        <w:t>B</w:t>
      </w:r>
      <w:r w:rsidRPr="0021292C">
        <w:rPr>
          <w:rFonts w:ascii="Arial" w:hAnsi="Arial" w:cs="Arial"/>
          <w:color w:val="000000" w:themeColor="text1"/>
          <w:sz w:val="22"/>
          <w:szCs w:val="22"/>
        </w:rPr>
        <w:t xml:space="preserve">) in athymic nude mice untreated or Etoposide-treated. Arrows indicate days of treatment. Mean ± SEM, n=9. </w:t>
      </w:r>
      <w:r w:rsidRPr="0021292C">
        <w:rPr>
          <w:rFonts w:ascii="Arial" w:hAnsi="Arial" w:cs="Arial"/>
          <w:b/>
          <w:bCs/>
          <w:color w:val="000000" w:themeColor="text1"/>
          <w:sz w:val="22"/>
          <w:szCs w:val="22"/>
        </w:rPr>
        <w:t>C, D)</w:t>
      </w:r>
      <w:r w:rsidRPr="0021292C">
        <w:rPr>
          <w:rFonts w:ascii="Arial" w:hAnsi="Arial" w:cs="Arial"/>
          <w:color w:val="000000" w:themeColor="text1"/>
          <w:sz w:val="22"/>
          <w:szCs w:val="22"/>
        </w:rPr>
        <w:t xml:space="preserve"> Immunostained</w:t>
      </w:r>
      <w:r w:rsidRPr="0021292C">
        <w:rPr>
          <w:rFonts w:ascii="Arial" w:hAnsi="Arial" w:cs="Arial"/>
          <w:bCs/>
          <w:color w:val="000000" w:themeColor="text1"/>
          <w:sz w:val="22"/>
          <w:szCs w:val="22"/>
        </w:rPr>
        <w:t xml:space="preserve"> images (</w:t>
      </w:r>
      <w:r w:rsidRPr="0021292C">
        <w:rPr>
          <w:rFonts w:ascii="Arial" w:hAnsi="Arial" w:cs="Arial"/>
          <w:b/>
          <w:bCs/>
          <w:color w:val="000000" w:themeColor="text1"/>
          <w:sz w:val="22"/>
          <w:szCs w:val="22"/>
        </w:rPr>
        <w:t>C</w:t>
      </w:r>
      <w:r w:rsidRPr="0021292C">
        <w:rPr>
          <w:rFonts w:ascii="Arial" w:hAnsi="Arial" w:cs="Arial"/>
          <w:bCs/>
          <w:color w:val="000000" w:themeColor="text1"/>
          <w:sz w:val="22"/>
          <w:szCs w:val="22"/>
        </w:rPr>
        <w:t>) and quantification (</w:t>
      </w:r>
      <w:r w:rsidRPr="0021292C">
        <w:rPr>
          <w:rFonts w:ascii="Arial" w:hAnsi="Arial" w:cs="Arial"/>
          <w:b/>
          <w:bCs/>
          <w:color w:val="000000" w:themeColor="text1"/>
          <w:sz w:val="22"/>
          <w:szCs w:val="22"/>
        </w:rPr>
        <w:t>D</w:t>
      </w:r>
      <w:r w:rsidRPr="0021292C">
        <w:rPr>
          <w:rFonts w:ascii="Arial" w:hAnsi="Arial" w:cs="Arial"/>
          <w:bCs/>
          <w:color w:val="000000" w:themeColor="text1"/>
          <w:sz w:val="22"/>
          <w:szCs w:val="22"/>
        </w:rPr>
        <w:t xml:space="preserve">) of </w:t>
      </w:r>
      <w:r w:rsidRPr="0021292C">
        <w:rPr>
          <w:rFonts w:ascii="Arial" w:hAnsi="Arial" w:cs="Arial"/>
          <w:color w:val="000000" w:themeColor="text1"/>
          <w:sz w:val="22"/>
          <w:szCs w:val="22"/>
        </w:rPr>
        <w:t xml:space="preserve">LC3 levels, </w:t>
      </w:r>
      <w:r w:rsidRPr="0021292C">
        <w:rPr>
          <w:rFonts w:ascii="Arial" w:hAnsi="Arial" w:cs="Arial"/>
          <w:color w:val="000000" w:themeColor="text1"/>
          <w:sz w:val="22"/>
          <w:szCs w:val="22"/>
        </w:rPr>
        <w:sym w:font="Symbol" w:char="F067"/>
      </w:r>
      <w:r w:rsidRPr="0021292C">
        <w:rPr>
          <w:rFonts w:ascii="Arial" w:hAnsi="Arial" w:cs="Arial"/>
          <w:color w:val="000000" w:themeColor="text1"/>
          <w:sz w:val="22"/>
          <w:szCs w:val="22"/>
        </w:rPr>
        <w:t>H2AX+, cleaved-Caspase 3+, and Ki67+ cells in xenografts. Arrows indicate positive cells (</w:t>
      </w:r>
      <w:r w:rsidRPr="0021292C">
        <w:rPr>
          <w:rFonts w:ascii="Arial" w:hAnsi="Arial" w:cs="Arial"/>
          <w:b/>
          <w:color w:val="000000" w:themeColor="text1"/>
          <w:sz w:val="22"/>
          <w:szCs w:val="22"/>
        </w:rPr>
        <w:t>C</w:t>
      </w:r>
      <w:r w:rsidRPr="0021292C">
        <w:rPr>
          <w:rFonts w:ascii="Arial" w:hAnsi="Arial" w:cs="Arial"/>
          <w:color w:val="000000" w:themeColor="text1"/>
          <w:sz w:val="22"/>
          <w:szCs w:val="22"/>
        </w:rPr>
        <w:t xml:space="preserve">). Mean ± SEM, n= 4 mice, 10 images per mouse. Scale bar: 50 </w:t>
      </w:r>
      <w:r w:rsidRPr="0021292C">
        <w:rPr>
          <w:rFonts w:ascii="Symbol" w:hAnsi="Symbol" w:cs="Arial"/>
          <w:color w:val="000000" w:themeColor="text1"/>
          <w:sz w:val="22"/>
          <w:szCs w:val="22"/>
        </w:rPr>
        <w:t></w:t>
      </w:r>
      <w:r w:rsidRPr="0021292C">
        <w:rPr>
          <w:rFonts w:ascii="Arial" w:hAnsi="Arial" w:cs="Arial"/>
          <w:color w:val="000000" w:themeColor="text1"/>
          <w:sz w:val="22"/>
          <w:szCs w:val="22"/>
        </w:rPr>
        <w:t>m. Stats: Mann Whitney test (</w:t>
      </w:r>
      <w:r w:rsidRPr="0021292C">
        <w:rPr>
          <w:rFonts w:ascii="Arial" w:hAnsi="Arial" w:cs="Arial"/>
          <w:b/>
          <w:color w:val="000000" w:themeColor="text1"/>
          <w:sz w:val="22"/>
          <w:szCs w:val="22"/>
        </w:rPr>
        <w:t>A, B, D</w:t>
      </w:r>
      <w:r w:rsidRPr="0021292C">
        <w:rPr>
          <w:rFonts w:ascii="Arial" w:hAnsi="Arial" w:cs="Arial"/>
          <w:color w:val="000000" w:themeColor="text1"/>
          <w:sz w:val="22"/>
          <w:szCs w:val="22"/>
        </w:rPr>
        <w:t>), ns: not significative, *p&lt;0.05, **p&lt;0.01, ***p&lt;0.001, ****p&lt;0.0001.</w:t>
      </w:r>
    </w:p>
    <w:p w14:paraId="114D1C0F" w14:textId="77777777" w:rsidR="00232F89" w:rsidRPr="0021292C" w:rsidRDefault="00232F89" w:rsidP="00232F89">
      <w:pPr>
        <w:spacing w:line="480" w:lineRule="auto"/>
        <w:jc w:val="both"/>
        <w:rPr>
          <w:rFonts w:ascii="Arial" w:hAnsi="Arial" w:cs="Arial"/>
          <w:color w:val="000000" w:themeColor="text1"/>
          <w:sz w:val="22"/>
          <w:szCs w:val="22"/>
        </w:rPr>
      </w:pPr>
    </w:p>
    <w:p w14:paraId="563A176E" w14:textId="77777777" w:rsidR="00232F89" w:rsidRPr="0021292C" w:rsidRDefault="00232F89" w:rsidP="00232F89">
      <w:pPr>
        <w:spacing w:line="480" w:lineRule="auto"/>
        <w:jc w:val="both"/>
        <w:rPr>
          <w:rFonts w:ascii="Arial" w:hAnsi="Arial" w:cs="Arial"/>
          <w:b/>
          <w:color w:val="000000" w:themeColor="text1"/>
          <w:sz w:val="22"/>
          <w:szCs w:val="22"/>
        </w:rPr>
      </w:pPr>
      <w:r w:rsidRPr="0021292C">
        <w:rPr>
          <w:rFonts w:ascii="Arial" w:hAnsi="Arial" w:cs="Arial"/>
          <w:b/>
          <w:color w:val="000000" w:themeColor="text1"/>
          <w:sz w:val="22"/>
          <w:szCs w:val="22"/>
        </w:rPr>
        <w:t>Table legends</w:t>
      </w:r>
    </w:p>
    <w:p w14:paraId="0DA1C8B5" w14:textId="77777777" w:rsidR="00232F89" w:rsidRPr="0021292C" w:rsidRDefault="00232F89" w:rsidP="00232F89">
      <w:pPr>
        <w:spacing w:line="480" w:lineRule="auto"/>
        <w:jc w:val="both"/>
        <w:rPr>
          <w:rFonts w:ascii="Arial" w:hAnsi="Arial" w:cs="Arial"/>
          <w:color w:val="000000" w:themeColor="text1"/>
          <w:sz w:val="22"/>
          <w:szCs w:val="22"/>
        </w:rPr>
      </w:pPr>
      <w:r w:rsidRPr="0021292C">
        <w:rPr>
          <w:rFonts w:ascii="Arial" w:hAnsi="Arial" w:cs="Arial"/>
          <w:b/>
          <w:color w:val="000000" w:themeColor="text1"/>
          <w:sz w:val="22"/>
          <w:szCs w:val="22"/>
        </w:rPr>
        <w:t>Supplementary Table S1.</w:t>
      </w:r>
      <w:r w:rsidRPr="0021292C">
        <w:rPr>
          <w:rFonts w:ascii="Arial" w:hAnsi="Arial" w:cs="Arial"/>
          <w:color w:val="000000" w:themeColor="text1"/>
          <w:sz w:val="22"/>
          <w:szCs w:val="22"/>
        </w:rPr>
        <w:t xml:space="preserve"> Identification of m</w:t>
      </w:r>
      <w:r w:rsidRPr="0021292C">
        <w:rPr>
          <w:rFonts w:ascii="Arial" w:hAnsi="Arial" w:cs="Arial"/>
          <w:color w:val="000000" w:themeColor="text1"/>
          <w:sz w:val="22"/>
          <w:szCs w:val="22"/>
          <w:vertAlign w:val="superscript"/>
        </w:rPr>
        <w:t>7</w:t>
      </w:r>
      <w:r w:rsidRPr="0021292C">
        <w:rPr>
          <w:rFonts w:ascii="Arial" w:hAnsi="Arial" w:cs="Arial"/>
          <w:color w:val="000000" w:themeColor="text1"/>
          <w:sz w:val="22"/>
          <w:szCs w:val="22"/>
        </w:rPr>
        <w:t>G methylated tRNAs in PC3 cells. tRNA fragments sequences generated from NaBH</w:t>
      </w:r>
      <w:r w:rsidRPr="0021292C">
        <w:rPr>
          <w:rFonts w:ascii="Arial" w:hAnsi="Arial" w:cs="Arial"/>
          <w:color w:val="000000" w:themeColor="text1"/>
          <w:sz w:val="22"/>
          <w:szCs w:val="22"/>
          <w:vertAlign w:val="subscript"/>
        </w:rPr>
        <w:t>4</w:t>
      </w:r>
      <w:r w:rsidRPr="0021292C">
        <w:rPr>
          <w:rFonts w:ascii="Arial" w:hAnsi="Arial" w:cs="Arial"/>
          <w:color w:val="000000" w:themeColor="text1"/>
          <w:sz w:val="22"/>
          <w:szCs w:val="22"/>
        </w:rPr>
        <w:t xml:space="preserve">-Aniline treated </w:t>
      </w:r>
      <w:r w:rsidRPr="00FB1364">
        <w:rPr>
          <w:rFonts w:ascii="Arial" w:hAnsi="Arial" w:cs="Arial"/>
          <w:color w:val="000000" w:themeColor="text1"/>
          <w:sz w:val="22"/>
          <w:szCs w:val="22"/>
        </w:rPr>
        <w:t>PC3-WT</w:t>
      </w:r>
      <w:r w:rsidRPr="0021292C">
        <w:rPr>
          <w:rFonts w:ascii="Arial" w:hAnsi="Arial" w:cs="Arial"/>
          <w:color w:val="000000" w:themeColor="text1"/>
          <w:sz w:val="22"/>
          <w:szCs w:val="22"/>
        </w:rPr>
        <w:t xml:space="preserve"> and </w:t>
      </w:r>
      <w:r w:rsidRPr="00A60A05">
        <w:rPr>
          <w:rFonts w:ascii="Arial" w:hAnsi="Arial" w:cs="Arial"/>
          <w:i/>
          <w:color w:val="000000" w:themeColor="text1"/>
          <w:sz w:val="22"/>
          <w:szCs w:val="22"/>
        </w:rPr>
        <w:t>METTL1-KO</w:t>
      </w:r>
      <w:r w:rsidRPr="0021292C">
        <w:rPr>
          <w:rFonts w:ascii="Arial" w:hAnsi="Arial" w:cs="Arial"/>
          <w:color w:val="000000" w:themeColor="text1"/>
          <w:sz w:val="22"/>
          <w:szCs w:val="22"/>
        </w:rPr>
        <w:t xml:space="preserve"> derived RNAs.</w:t>
      </w:r>
    </w:p>
    <w:p w14:paraId="129D70E5" w14:textId="77777777" w:rsidR="00232F89" w:rsidRPr="0021292C" w:rsidRDefault="00232F89" w:rsidP="00232F89">
      <w:pPr>
        <w:spacing w:line="480" w:lineRule="auto"/>
        <w:jc w:val="both"/>
        <w:rPr>
          <w:rFonts w:ascii="Arial" w:hAnsi="Arial" w:cs="Arial"/>
          <w:color w:val="000000" w:themeColor="text1"/>
          <w:sz w:val="22"/>
          <w:szCs w:val="22"/>
        </w:rPr>
      </w:pPr>
    </w:p>
    <w:p w14:paraId="3D00A9F4" w14:textId="77777777" w:rsidR="00232F89" w:rsidRPr="00605367" w:rsidRDefault="00232F89" w:rsidP="00232F89">
      <w:pPr>
        <w:spacing w:line="480" w:lineRule="auto"/>
        <w:jc w:val="both"/>
        <w:rPr>
          <w:rFonts w:ascii="Arial" w:hAnsi="Arial" w:cs="Arial"/>
          <w:color w:val="000000" w:themeColor="text1"/>
          <w:sz w:val="22"/>
          <w:szCs w:val="22"/>
        </w:rPr>
      </w:pPr>
      <w:r w:rsidRPr="0021292C">
        <w:rPr>
          <w:rFonts w:ascii="Arial" w:hAnsi="Arial" w:cs="Arial"/>
          <w:b/>
          <w:bCs/>
          <w:color w:val="000000" w:themeColor="text1"/>
          <w:sz w:val="22"/>
          <w:szCs w:val="22"/>
        </w:rPr>
        <w:t xml:space="preserve">Supplementary </w:t>
      </w:r>
      <w:r w:rsidRPr="0021292C">
        <w:rPr>
          <w:rFonts w:ascii="Arial" w:hAnsi="Arial" w:cs="Arial"/>
          <w:b/>
          <w:color w:val="000000" w:themeColor="text1"/>
          <w:sz w:val="22"/>
          <w:szCs w:val="22"/>
        </w:rPr>
        <w:t xml:space="preserve">Table S2. </w:t>
      </w:r>
      <w:r w:rsidRPr="0021292C">
        <w:rPr>
          <w:rFonts w:ascii="Arial" w:hAnsi="Arial" w:cs="Arial"/>
          <w:color w:val="000000" w:themeColor="text1"/>
          <w:sz w:val="22"/>
          <w:szCs w:val="22"/>
        </w:rPr>
        <w:t xml:space="preserve">Differentially expressed proteins in </w:t>
      </w:r>
      <w:r w:rsidRPr="0021292C">
        <w:rPr>
          <w:rFonts w:ascii="Arial" w:hAnsi="Arial" w:cs="Arial"/>
          <w:i/>
          <w:color w:val="000000" w:themeColor="text1"/>
          <w:sz w:val="22"/>
          <w:szCs w:val="22"/>
        </w:rPr>
        <w:t>METTL1</w:t>
      </w:r>
      <w:r w:rsidRPr="0021292C">
        <w:rPr>
          <w:rFonts w:ascii="Arial" w:hAnsi="Arial" w:cs="Arial"/>
          <w:color w:val="000000" w:themeColor="text1"/>
          <w:sz w:val="22"/>
          <w:szCs w:val="22"/>
        </w:rPr>
        <w:t>-silenced DU145 cells.</w:t>
      </w:r>
    </w:p>
    <w:p w14:paraId="2747988B" w14:textId="77777777" w:rsidR="00232F89" w:rsidRPr="0021292C" w:rsidRDefault="00232F89" w:rsidP="00372F4F">
      <w:pPr>
        <w:pStyle w:val="NoSpacing"/>
        <w:spacing w:line="480" w:lineRule="auto"/>
        <w:jc w:val="both"/>
        <w:rPr>
          <w:rFonts w:ascii="Arial" w:hAnsi="Arial" w:cs="Arial"/>
          <w:color w:val="000000" w:themeColor="text1"/>
          <w:sz w:val="22"/>
          <w:szCs w:val="22"/>
        </w:rPr>
      </w:pPr>
    </w:p>
    <w:p w14:paraId="311BBB00" w14:textId="5DB19639" w:rsidR="00500677" w:rsidRPr="00500677" w:rsidRDefault="00500677" w:rsidP="00500677">
      <w:pPr>
        <w:pStyle w:val="NoSpacing"/>
        <w:spacing w:line="480" w:lineRule="auto"/>
        <w:jc w:val="both"/>
        <w:rPr>
          <w:rFonts w:ascii="Arial" w:hAnsi="Arial" w:cs="Arial"/>
          <w:b/>
          <w:color w:val="000000" w:themeColor="text1"/>
        </w:rPr>
      </w:pPr>
      <w:r w:rsidRPr="00500677">
        <w:rPr>
          <w:rFonts w:ascii="Arial" w:hAnsi="Arial" w:cs="Arial"/>
          <w:b/>
          <w:color w:val="000000" w:themeColor="text1"/>
        </w:rPr>
        <w:t>References</w:t>
      </w:r>
    </w:p>
    <w:p w14:paraId="63F6D0DF" w14:textId="77777777" w:rsidR="00500677" w:rsidRDefault="00500677">
      <w:pPr>
        <w:rPr>
          <w:lang w:val="en-US"/>
        </w:rPr>
      </w:pPr>
    </w:p>
    <w:p w14:paraId="2AF43874" w14:textId="77777777" w:rsidR="00500677" w:rsidRPr="00500677" w:rsidRDefault="00500677" w:rsidP="00500677">
      <w:pPr>
        <w:pStyle w:val="EndNoteBibliography"/>
        <w:rPr>
          <w:noProof/>
        </w:rPr>
      </w:pPr>
      <w:r>
        <w:fldChar w:fldCharType="begin"/>
      </w:r>
      <w:r>
        <w:instrText xml:space="preserve"> ADDIN EN.REFLIST </w:instrText>
      </w:r>
      <w:r>
        <w:fldChar w:fldCharType="separate"/>
      </w:r>
      <w:r w:rsidRPr="00500677">
        <w:rPr>
          <w:noProof/>
        </w:rPr>
        <w:t>1.</w:t>
      </w:r>
      <w:r w:rsidRPr="00500677">
        <w:rPr>
          <w:noProof/>
        </w:rPr>
        <w:tab/>
        <w:t>Tyanova S, Temu T, Sinitcyn P, Carlson A, Hein MY, Geiger T, et al. The Perseus computational platform for comprehensive analysis of (prote)omics data. Nat Methods 2016; 13:731-40.</w:t>
      </w:r>
    </w:p>
    <w:p w14:paraId="4FA045E8" w14:textId="0B252474" w:rsidR="00372F4F" w:rsidRPr="00372F4F" w:rsidRDefault="00500677">
      <w:pPr>
        <w:rPr>
          <w:lang w:val="en-US"/>
        </w:rPr>
      </w:pPr>
      <w:r>
        <w:rPr>
          <w:lang w:val="en-US"/>
        </w:rPr>
        <w:fldChar w:fldCharType="end"/>
      </w:r>
    </w:p>
    <w:sectPr w:rsidR="00372F4F" w:rsidRPr="00372F4F" w:rsidSect="00E4694F">
      <w:footerReference w:type="even" r:id="rId8"/>
      <w:footerReference w:type="default" r:id="rId9"/>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76000" w14:textId="77777777" w:rsidR="00A833F1" w:rsidRDefault="00A833F1" w:rsidP="00EE0BB4">
      <w:r>
        <w:separator/>
      </w:r>
    </w:p>
  </w:endnote>
  <w:endnote w:type="continuationSeparator" w:id="0">
    <w:p w14:paraId="21B18C6E" w14:textId="77777777" w:rsidR="00A833F1" w:rsidRDefault="00A833F1" w:rsidP="00EE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rdo">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78710502"/>
      <w:docPartObj>
        <w:docPartGallery w:val="Page Numbers (Bottom of Page)"/>
        <w:docPartUnique/>
      </w:docPartObj>
    </w:sdtPr>
    <w:sdtEndPr>
      <w:rPr>
        <w:rStyle w:val="PageNumber"/>
      </w:rPr>
    </w:sdtEndPr>
    <w:sdtContent>
      <w:p w14:paraId="75E40C50" w14:textId="0AB36B3E" w:rsidR="00EE0BB4" w:rsidRDefault="00EE0BB4" w:rsidP="00C77B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2C9F32" w14:textId="77777777" w:rsidR="00EE0BB4" w:rsidRDefault="00EE0BB4" w:rsidP="00EE0B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03724052"/>
      <w:docPartObj>
        <w:docPartGallery w:val="Page Numbers (Bottom of Page)"/>
        <w:docPartUnique/>
      </w:docPartObj>
    </w:sdtPr>
    <w:sdtEndPr>
      <w:rPr>
        <w:rStyle w:val="PageNumber"/>
      </w:rPr>
    </w:sdtEndPr>
    <w:sdtContent>
      <w:p w14:paraId="2C47D460" w14:textId="1F436D31" w:rsidR="00EE0BB4" w:rsidRDefault="00EE0BB4" w:rsidP="00C77B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EE0BCF" w14:textId="77777777" w:rsidR="00EE0BB4" w:rsidRDefault="00EE0BB4" w:rsidP="00EE0B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19619" w14:textId="77777777" w:rsidR="00A833F1" w:rsidRDefault="00A833F1" w:rsidP="00EE0BB4">
      <w:r>
        <w:separator/>
      </w:r>
    </w:p>
  </w:footnote>
  <w:footnote w:type="continuationSeparator" w:id="0">
    <w:p w14:paraId="34D7E0AD" w14:textId="77777777" w:rsidR="00A833F1" w:rsidRDefault="00A833F1" w:rsidP="00EE0B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RNA B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72F4F"/>
    <w:rsid w:val="000F4F57"/>
    <w:rsid w:val="001155E5"/>
    <w:rsid w:val="00122D56"/>
    <w:rsid w:val="00156F57"/>
    <w:rsid w:val="001841FE"/>
    <w:rsid w:val="001B2128"/>
    <w:rsid w:val="001B6B4C"/>
    <w:rsid w:val="001D51E6"/>
    <w:rsid w:val="001D5618"/>
    <w:rsid w:val="00232F89"/>
    <w:rsid w:val="002642FC"/>
    <w:rsid w:val="00280174"/>
    <w:rsid w:val="002E3B90"/>
    <w:rsid w:val="00340086"/>
    <w:rsid w:val="00341B57"/>
    <w:rsid w:val="00357633"/>
    <w:rsid w:val="0036118B"/>
    <w:rsid w:val="00372F4F"/>
    <w:rsid w:val="003858D9"/>
    <w:rsid w:val="003B7209"/>
    <w:rsid w:val="003C7D86"/>
    <w:rsid w:val="003D2CE7"/>
    <w:rsid w:val="00432237"/>
    <w:rsid w:val="00454347"/>
    <w:rsid w:val="00474C1F"/>
    <w:rsid w:val="004D76B8"/>
    <w:rsid w:val="00500677"/>
    <w:rsid w:val="0051698C"/>
    <w:rsid w:val="00591F43"/>
    <w:rsid w:val="005951D5"/>
    <w:rsid w:val="00620934"/>
    <w:rsid w:val="00695722"/>
    <w:rsid w:val="006B7CBF"/>
    <w:rsid w:val="006C798B"/>
    <w:rsid w:val="0070340C"/>
    <w:rsid w:val="007040B0"/>
    <w:rsid w:val="0071082B"/>
    <w:rsid w:val="00717790"/>
    <w:rsid w:val="00792D1C"/>
    <w:rsid w:val="00830732"/>
    <w:rsid w:val="00847559"/>
    <w:rsid w:val="008A358C"/>
    <w:rsid w:val="008D709A"/>
    <w:rsid w:val="008E4D2F"/>
    <w:rsid w:val="00900C36"/>
    <w:rsid w:val="00911B7F"/>
    <w:rsid w:val="00933CF2"/>
    <w:rsid w:val="0094192B"/>
    <w:rsid w:val="00990C86"/>
    <w:rsid w:val="009D3FBA"/>
    <w:rsid w:val="009E2206"/>
    <w:rsid w:val="009F05C9"/>
    <w:rsid w:val="00A62D77"/>
    <w:rsid w:val="00A6759F"/>
    <w:rsid w:val="00A833F1"/>
    <w:rsid w:val="00AA3D86"/>
    <w:rsid w:val="00AB761F"/>
    <w:rsid w:val="00AC091E"/>
    <w:rsid w:val="00AD5596"/>
    <w:rsid w:val="00AD7559"/>
    <w:rsid w:val="00AE02F5"/>
    <w:rsid w:val="00AE0AE2"/>
    <w:rsid w:val="00AF7012"/>
    <w:rsid w:val="00B06621"/>
    <w:rsid w:val="00B0691A"/>
    <w:rsid w:val="00B12A30"/>
    <w:rsid w:val="00B34F28"/>
    <w:rsid w:val="00B365C1"/>
    <w:rsid w:val="00B41FD0"/>
    <w:rsid w:val="00B56589"/>
    <w:rsid w:val="00B75855"/>
    <w:rsid w:val="00B83AF0"/>
    <w:rsid w:val="00B95FF5"/>
    <w:rsid w:val="00BB2F2E"/>
    <w:rsid w:val="00BD1BD6"/>
    <w:rsid w:val="00C77B02"/>
    <w:rsid w:val="00C812FF"/>
    <w:rsid w:val="00CD5CA6"/>
    <w:rsid w:val="00CF0E83"/>
    <w:rsid w:val="00CF47B6"/>
    <w:rsid w:val="00D26417"/>
    <w:rsid w:val="00D30E98"/>
    <w:rsid w:val="00D72246"/>
    <w:rsid w:val="00DE6869"/>
    <w:rsid w:val="00E27B6C"/>
    <w:rsid w:val="00E412EA"/>
    <w:rsid w:val="00E4694F"/>
    <w:rsid w:val="00EA186F"/>
    <w:rsid w:val="00EC78D9"/>
    <w:rsid w:val="00ED62F9"/>
    <w:rsid w:val="00EE0BB4"/>
    <w:rsid w:val="00F004F9"/>
    <w:rsid w:val="00F06755"/>
    <w:rsid w:val="00F10805"/>
    <w:rsid w:val="00F11DEF"/>
    <w:rsid w:val="00F2484F"/>
    <w:rsid w:val="00F67BDE"/>
    <w:rsid w:val="00F8222C"/>
    <w:rsid w:val="00FE1CFC"/>
    <w:rsid w:val="00FE60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481C610"/>
  <w15:chartTrackingRefBased/>
  <w15:docId w15:val="{B64BC833-A7D4-2648-83E5-2DE85102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F4F"/>
    <w:rPr>
      <w:color w:val="0000FF"/>
      <w:u w:val="single"/>
    </w:rPr>
  </w:style>
  <w:style w:type="paragraph" w:styleId="NoSpacing">
    <w:name w:val="No Spacing"/>
    <w:link w:val="NoSpacingChar"/>
    <w:uiPriority w:val="1"/>
    <w:qFormat/>
    <w:rsid w:val="00372F4F"/>
    <w:rPr>
      <w:rFonts w:ascii="Times New Roman" w:eastAsia="Times New Roman" w:hAnsi="Times New Roman" w:cs="Times New Roman"/>
      <w:lang w:val="en-GB"/>
    </w:rPr>
  </w:style>
  <w:style w:type="character" w:customStyle="1" w:styleId="NoSpacingChar">
    <w:name w:val="No Spacing Char"/>
    <w:basedOn w:val="DefaultParagraphFont"/>
    <w:link w:val="NoSpacing"/>
    <w:uiPriority w:val="1"/>
    <w:rsid w:val="00372F4F"/>
    <w:rPr>
      <w:rFonts w:ascii="Times New Roman" w:eastAsia="Times New Roman" w:hAnsi="Times New Roman" w:cs="Times New Roman"/>
      <w:lang w:val="en-GB"/>
    </w:rPr>
  </w:style>
  <w:style w:type="paragraph" w:styleId="BalloonText">
    <w:name w:val="Balloon Text"/>
    <w:basedOn w:val="Normal"/>
    <w:link w:val="BalloonTextChar"/>
    <w:uiPriority w:val="99"/>
    <w:semiHidden/>
    <w:unhideWhenUsed/>
    <w:rsid w:val="0050067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0677"/>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500677"/>
    <w:pPr>
      <w:jc w:val="center"/>
    </w:pPr>
    <w:rPr>
      <w:rFonts w:ascii="Calibri" w:hAnsi="Calibri"/>
      <w:lang w:val="en-US"/>
    </w:rPr>
  </w:style>
  <w:style w:type="character" w:customStyle="1" w:styleId="EndNoteBibliographyTitleChar">
    <w:name w:val="EndNote Bibliography Title Char"/>
    <w:basedOn w:val="DefaultParagraphFont"/>
    <w:link w:val="EndNoteBibliographyTitle"/>
    <w:rsid w:val="00500677"/>
    <w:rPr>
      <w:rFonts w:ascii="Calibri" w:hAnsi="Calibri"/>
      <w:lang w:val="en-US"/>
    </w:rPr>
  </w:style>
  <w:style w:type="paragraph" w:customStyle="1" w:styleId="EndNoteBibliography">
    <w:name w:val="EndNote Bibliography"/>
    <w:basedOn w:val="Normal"/>
    <w:link w:val="EndNoteBibliographyChar"/>
    <w:rsid w:val="00500677"/>
    <w:rPr>
      <w:rFonts w:ascii="Calibri" w:hAnsi="Calibri"/>
      <w:lang w:val="en-US"/>
    </w:rPr>
  </w:style>
  <w:style w:type="character" w:customStyle="1" w:styleId="EndNoteBibliographyChar">
    <w:name w:val="EndNote Bibliography Char"/>
    <w:basedOn w:val="DefaultParagraphFont"/>
    <w:link w:val="EndNoteBibliography"/>
    <w:rsid w:val="00500677"/>
    <w:rPr>
      <w:rFonts w:ascii="Calibri" w:hAnsi="Calibri"/>
      <w:lang w:val="en-US"/>
    </w:rPr>
  </w:style>
  <w:style w:type="paragraph" w:styleId="Footer">
    <w:name w:val="footer"/>
    <w:basedOn w:val="Normal"/>
    <w:link w:val="FooterChar"/>
    <w:uiPriority w:val="99"/>
    <w:unhideWhenUsed/>
    <w:rsid w:val="00EE0BB4"/>
    <w:pPr>
      <w:tabs>
        <w:tab w:val="center" w:pos="4680"/>
        <w:tab w:val="right" w:pos="9360"/>
      </w:tabs>
    </w:pPr>
  </w:style>
  <w:style w:type="character" w:customStyle="1" w:styleId="FooterChar">
    <w:name w:val="Footer Char"/>
    <w:basedOn w:val="DefaultParagraphFont"/>
    <w:link w:val="Footer"/>
    <w:uiPriority w:val="99"/>
    <w:rsid w:val="00EE0BB4"/>
  </w:style>
  <w:style w:type="character" w:styleId="PageNumber">
    <w:name w:val="page number"/>
    <w:basedOn w:val="DefaultParagraphFont"/>
    <w:uiPriority w:val="99"/>
    <w:semiHidden/>
    <w:unhideWhenUsed/>
    <w:rsid w:val="00EE0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bioinfogp.cnb.csic.es/tools/breakingc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eneontology.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5131</Words>
  <Characters>29247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2023-07-17T11:03:00Z</dcterms:created>
  <dcterms:modified xsi:type="dcterms:W3CDTF">2023-07-27T18:05:00Z</dcterms:modified>
</cp:coreProperties>
</file>