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6131" w14:textId="130E8D63" w:rsidR="002B2FA9" w:rsidRDefault="002B2FA9" w:rsidP="002B2FA9">
      <w:pPr>
        <w:pStyle w:val="Default"/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 Legends</w:t>
      </w:r>
    </w:p>
    <w:p w14:paraId="1083423D" w14:textId="238E5C23" w:rsidR="002B2FA9" w:rsidRPr="00243800" w:rsidRDefault="002B2FA9" w:rsidP="002B2FA9">
      <w:pPr>
        <w:pStyle w:val="Default"/>
        <w:spacing w:line="480" w:lineRule="auto"/>
        <w:rPr>
          <w:rFonts w:ascii="Times New Roman" w:hAnsi="Times New Roman" w:cs="Times New Roman"/>
        </w:rPr>
      </w:pPr>
      <w:r w:rsidRPr="008053DD">
        <w:rPr>
          <w:rFonts w:ascii="Times New Roman" w:hAnsi="Times New Roman" w:cs="Times New Roman"/>
          <w:b/>
          <w:bCs/>
        </w:rPr>
        <w:t>Supplementary Figure 1: CDDD11-8 inhibits TNBC cell line proliferation, inducing G2/M arrest</w:t>
      </w:r>
      <w:r w:rsidRPr="008053DD">
        <w:rPr>
          <w:rFonts w:ascii="Times New Roman" w:hAnsi="Times New Roman" w:cs="Times New Roman"/>
          <w:b/>
        </w:rPr>
        <w:t>.</w:t>
      </w:r>
      <w:r w:rsidRPr="008053DD">
        <w:rPr>
          <w:rFonts w:ascii="Times New Roman" w:hAnsi="Times New Roman" w:cs="Times New Roman"/>
          <w:b/>
          <w:bCs/>
        </w:rPr>
        <w:t xml:space="preserve"> (a)</w:t>
      </w:r>
      <w:r w:rsidRPr="008053DD">
        <w:rPr>
          <w:rFonts w:ascii="Times New Roman" w:hAnsi="Times New Roman" w:cs="Times New Roman"/>
          <w:bCs/>
        </w:rPr>
        <w:t xml:space="preserve"> Bar plot showing the endpoint half-maximal inhibitory concentration (IC</w:t>
      </w:r>
      <w:r w:rsidRPr="008053DD">
        <w:rPr>
          <w:rFonts w:ascii="Times New Roman" w:hAnsi="Times New Roman" w:cs="Times New Roman"/>
          <w:bCs/>
          <w:vertAlign w:val="subscript"/>
        </w:rPr>
        <w:t>50</w:t>
      </w:r>
      <w:r w:rsidRPr="008053DD">
        <w:rPr>
          <w:rFonts w:ascii="Times New Roman" w:hAnsi="Times New Roman" w:cs="Times New Roman"/>
          <w:bCs/>
        </w:rPr>
        <w:t>) for CDDD11-8 across four TNBC cell line models. Data reflects the mean ± S.E.M. of three independent experiments per cell line, each containing five technical replicates per condition, performed as described in Figure 1. IC</w:t>
      </w:r>
      <w:r w:rsidRPr="008053DD">
        <w:rPr>
          <w:rFonts w:ascii="Times New Roman" w:hAnsi="Times New Roman" w:cs="Times New Roman"/>
          <w:bCs/>
          <w:vertAlign w:val="subscript"/>
        </w:rPr>
        <w:t>50</w:t>
      </w:r>
      <w:r w:rsidRPr="008053DD">
        <w:rPr>
          <w:rFonts w:ascii="Times New Roman" w:hAnsi="Times New Roman" w:cs="Times New Roman"/>
          <w:bCs/>
        </w:rPr>
        <w:t xml:space="preserve"> values were determined for each independent experiment using a</w:t>
      </w:r>
      <w:r w:rsidRPr="008053DD">
        <w:rPr>
          <w:rFonts w:ascii="Times New Roman" w:hAnsi="Times New Roman" w:cs="Times New Roman"/>
          <w:b/>
          <w:bCs/>
        </w:rPr>
        <w:t xml:space="preserve"> </w:t>
      </w:r>
      <w:r w:rsidRPr="008053DD">
        <w:rPr>
          <w:rFonts w:ascii="Times New Roman" w:hAnsi="Times New Roman" w:cs="Times New Roman"/>
        </w:rPr>
        <w:t>four-parameter logistic function and compared using an ordinary one-way ANOVA (</w:t>
      </w:r>
      <w:r w:rsidRPr="008053DD">
        <w:rPr>
          <w:rFonts w:ascii="Times New Roman" w:hAnsi="Times New Roman" w:cs="Times New Roman"/>
          <w:i/>
        </w:rPr>
        <w:t>F</w:t>
      </w:r>
      <w:r w:rsidRPr="008053DD">
        <w:rPr>
          <w:rFonts w:ascii="Times New Roman" w:hAnsi="Times New Roman" w:cs="Times New Roman"/>
        </w:rPr>
        <w:t xml:space="preserve"> = 42.55, d.f. = 3, </w:t>
      </w:r>
      <w:r w:rsidRPr="008053DD">
        <w:rPr>
          <w:rFonts w:ascii="Times New Roman" w:hAnsi="Times New Roman" w:cs="Times New Roman"/>
          <w:i/>
        </w:rPr>
        <w:t>p</w:t>
      </w:r>
      <w:r w:rsidRPr="008053DD">
        <w:rPr>
          <w:rFonts w:ascii="Times New Roman" w:hAnsi="Times New Roman" w:cs="Times New Roman"/>
        </w:rPr>
        <w:t xml:space="preserve"> &lt; 0.0001). </w:t>
      </w:r>
      <w:r w:rsidRPr="008053DD">
        <w:rPr>
          <w:rFonts w:ascii="Times New Roman" w:hAnsi="Times New Roman" w:cs="Times New Roman"/>
          <w:bCs/>
        </w:rPr>
        <w:t xml:space="preserve">Significant differences (defined as </w:t>
      </w:r>
      <w:r w:rsidRPr="008053DD">
        <w:rPr>
          <w:rFonts w:ascii="Times New Roman" w:hAnsi="Times New Roman" w:cs="Times New Roman"/>
          <w:bCs/>
          <w:i/>
          <w:iCs/>
        </w:rPr>
        <w:t>p</w:t>
      </w:r>
      <w:r w:rsidRPr="008053DD">
        <w:rPr>
          <w:rFonts w:ascii="Times New Roman" w:hAnsi="Times New Roman" w:cs="Times New Roman"/>
          <w:bCs/>
        </w:rPr>
        <w:t xml:space="preserve"> &lt; 0.05) between cell line IC</w:t>
      </w:r>
      <w:r w:rsidRPr="008053DD">
        <w:rPr>
          <w:rFonts w:ascii="Times New Roman" w:hAnsi="Times New Roman" w:cs="Times New Roman"/>
          <w:bCs/>
          <w:vertAlign w:val="subscript"/>
        </w:rPr>
        <w:t>50</w:t>
      </w:r>
      <w:r w:rsidRPr="008053DD">
        <w:rPr>
          <w:rFonts w:ascii="Times New Roman" w:hAnsi="Times New Roman" w:cs="Times New Roman"/>
          <w:bCs/>
        </w:rPr>
        <w:t xml:space="preserve"> values are determined using </w:t>
      </w:r>
      <w:r w:rsidRPr="008053DD">
        <w:rPr>
          <w:rFonts w:ascii="Times New Roman" w:hAnsi="Times New Roman" w:cs="Times New Roman"/>
        </w:rPr>
        <w:t>Tukey’s multiple comparisons test. The average IC</w:t>
      </w:r>
      <w:r w:rsidRPr="008053DD">
        <w:rPr>
          <w:rFonts w:ascii="Times New Roman" w:hAnsi="Times New Roman" w:cs="Times New Roman"/>
          <w:vertAlign w:val="subscript"/>
        </w:rPr>
        <w:t>50</w:t>
      </w:r>
      <w:r w:rsidRPr="008053DD">
        <w:rPr>
          <w:rFonts w:ascii="Times New Roman" w:hAnsi="Times New Roman" w:cs="Times New Roman"/>
          <w:bCs/>
        </w:rPr>
        <w:t xml:space="preserve"> value is inset into each graph. </w:t>
      </w:r>
      <w:r w:rsidRPr="008053DD">
        <w:rPr>
          <w:rFonts w:ascii="Times New Roman" w:hAnsi="Times New Roman" w:cs="Times New Roman"/>
          <w:b/>
          <w:bCs/>
        </w:rPr>
        <w:t>(b)</w:t>
      </w:r>
      <w:r w:rsidRPr="008053DD">
        <w:rPr>
          <w:rFonts w:ascii="Times New Roman" w:hAnsi="Times New Roman" w:cs="Times New Roman"/>
          <w:bCs/>
        </w:rPr>
        <w:t xml:space="preserve"> </w:t>
      </w:r>
      <w:r w:rsidRPr="008053DD">
        <w:rPr>
          <w:rFonts w:ascii="Times New Roman" w:hAnsi="Times New Roman" w:cs="Times New Roman"/>
          <w:color w:val="auto"/>
        </w:rPr>
        <w:t>Representative propidium iodide-based FACS histograms depicting the change in cell cycle stage in TNBC cell lines after treatment with CDDD11-8 (300 nM; MDA-MB-453 cells, 600 nM; MDA-MB-468, MDA-MB-231, and MFM-223 cells). Vehicle and CDDD11-8 histograms are overlaid and scaled to the mode. Cell cycle phases are annotated within the left-most histogram, with G2/M phase highlighted in grey. MDA-MB-453, MDA-MB-468 &amp; MFM-223 were treated for 3 d, while MDA-MB-231 cells were treated for 5 d. Asterisks denote a significant difference between treatment and vehicle, as determined using Dunnett’s multiple comparisons test. 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0.05; **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0.01; ***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0.001; ****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0.0001.</w:t>
      </w:r>
      <w:r w:rsidRPr="00D0149D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(</w:t>
      </w:r>
      <w:r w:rsidRPr="007B2176">
        <w:rPr>
          <w:rFonts w:ascii="Times New Roman" w:hAnsi="Times New Roman" w:cs="Times New Roman"/>
          <w:b/>
          <w:bCs/>
          <w:color w:val="auto"/>
        </w:rPr>
        <w:t>c)</w:t>
      </w:r>
      <w:r w:rsidRPr="007B2176">
        <w:rPr>
          <w:rFonts w:ascii="Times New Roman" w:hAnsi="Times New Roman" w:cs="Times New Roman"/>
          <w:color w:val="auto"/>
        </w:rPr>
        <w:t xml:space="preserve"> DepMap data for CDK9 gene deletion (CRISPR) and suppression (RNAi) in TNBC cell lines. </w:t>
      </w:r>
      <w:r w:rsidRPr="00243800">
        <w:rPr>
          <w:rFonts w:ascii="Times New Roman" w:hAnsi="Times New Roman" w:cs="Times New Roman"/>
          <w:bdr w:val="none" w:sz="0" w:space="0" w:color="auto" w:frame="1"/>
          <w:shd w:val="clear" w:color="auto" w:fill="FFFFFF"/>
          <w:vertAlign w:val="superscript"/>
        </w:rPr>
        <w:t>1</w:t>
      </w:r>
      <w:r w:rsidRPr="00243800">
        <w:rPr>
          <w:rFonts w:ascii="Times New Roman" w:hAnsi="Times New Roman" w:cs="Times New Roman" w:hint="eastAsia"/>
          <w:bdr w:val="none" w:sz="0" w:space="0" w:color="auto" w:frame="1"/>
          <w:shd w:val="clear" w:color="auto" w:fill="FFFFFF"/>
          <w:vertAlign w:val="superscript"/>
        </w:rPr>
        <w:t> </w:t>
      </w:r>
      <w:r w:rsidRPr="0024380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CRISPR and RNAi gene scores are ranked by Z-score with 0.0 being no effect on cell viability. A score of -0.5 or higher indicates depletion whereas a score of -1.0 or higher indicates dependency (i.e., kills cells).</w:t>
      </w:r>
    </w:p>
    <w:p w14:paraId="1690CAD2" w14:textId="77777777" w:rsidR="002B2FA9" w:rsidRPr="008053DD" w:rsidRDefault="002B2FA9" w:rsidP="002B2FA9">
      <w:pPr>
        <w:pStyle w:val="Default"/>
        <w:spacing w:line="480" w:lineRule="auto"/>
      </w:pPr>
    </w:p>
    <w:p w14:paraId="4BC197A8" w14:textId="77777777" w:rsidR="002B2FA9" w:rsidRPr="008053DD" w:rsidRDefault="002B2FA9" w:rsidP="002B2FA9">
      <w:pPr>
        <w:pStyle w:val="Default"/>
        <w:spacing w:line="480" w:lineRule="auto"/>
        <w:rPr>
          <w:rFonts w:ascii="Times New Roman" w:hAnsi="Times New Roman" w:cs="Times New Roman"/>
          <w:bCs/>
          <w:color w:val="auto"/>
        </w:rPr>
      </w:pPr>
      <w:r w:rsidRPr="008053DD">
        <w:rPr>
          <w:rFonts w:ascii="Times New Roman" w:hAnsi="Times New Roman" w:cs="Times New Roman"/>
          <w:b/>
          <w:bCs/>
          <w:color w:val="auto"/>
        </w:rPr>
        <w:t>Supplementary Figure 2: CDDD11-8-mediated changes in RNA Polymerase II chromatin enrichment.</w:t>
      </w:r>
      <w:r w:rsidRPr="008053DD">
        <w:rPr>
          <w:rFonts w:ascii="Times New Roman" w:hAnsi="Times New Roman" w:cs="Times New Roman"/>
          <w:bCs/>
          <w:color w:val="auto"/>
        </w:rPr>
        <w:t xml:space="preserve"> </w:t>
      </w:r>
      <w:r w:rsidRPr="008053DD">
        <w:rPr>
          <w:rFonts w:ascii="Times New Roman" w:hAnsi="Times New Roman" w:cs="Times New Roman"/>
          <w:b/>
          <w:bCs/>
          <w:color w:val="auto"/>
        </w:rPr>
        <w:t>(a)</w:t>
      </w:r>
      <w:r w:rsidRPr="008053DD">
        <w:rPr>
          <w:rFonts w:ascii="Times New Roman" w:hAnsi="Times New Roman" w:cs="Times New Roman"/>
          <w:bCs/>
          <w:color w:val="auto"/>
        </w:rPr>
        <w:t xml:space="preserve"> Dot plots demonstrating the genome-wide correlation between two replicate RNA Polymerase II (Pol II) ChIP-seq experiments conducted on independent </w:t>
      </w:r>
      <w:r w:rsidRPr="008053DD">
        <w:rPr>
          <w:rFonts w:ascii="Times New Roman" w:hAnsi="Times New Roman" w:cs="Times New Roman"/>
          <w:bCs/>
          <w:color w:val="auto"/>
        </w:rPr>
        <w:lastRenderedPageBreak/>
        <w:t>passages of MDA-MB-453 cells after 4 h treatment with vehicle or CDDD11-8 (600 nM). Data is associated with Figure 3. Spearman correlation coefficients are inset within each graph and demonstrate high correlation (</w:t>
      </w:r>
      <w:r w:rsidRPr="008053DD">
        <w:rPr>
          <w:rFonts w:ascii="Times New Roman" w:hAnsi="Times New Roman" w:cs="Times New Roman"/>
          <w:bCs/>
          <w:i/>
          <w:color w:val="auto"/>
        </w:rPr>
        <w:t>R</w:t>
      </w:r>
      <w:r w:rsidRPr="008053DD">
        <w:rPr>
          <w:rFonts w:ascii="Times New Roman" w:hAnsi="Times New Roman" w:cs="Times New Roman"/>
          <w:bCs/>
          <w:color w:val="auto"/>
        </w:rPr>
        <w:t xml:space="preserve"> &gt; 0.93) between replicates within a given condition. </w:t>
      </w:r>
      <w:r w:rsidRPr="008053DD">
        <w:rPr>
          <w:rFonts w:ascii="Times New Roman" w:hAnsi="Times New Roman" w:cs="Times New Roman"/>
          <w:b/>
          <w:bCs/>
          <w:color w:val="auto"/>
        </w:rPr>
        <w:t>(b)</w:t>
      </w:r>
      <w:r w:rsidRPr="008053DD">
        <w:rPr>
          <w:rFonts w:ascii="Times New Roman" w:hAnsi="Times New Roman" w:cs="Times New Roman"/>
          <w:bCs/>
          <w:color w:val="auto"/>
        </w:rPr>
        <w:t xml:space="preserve"> Input-normalized read density plots (top panels) and heatmaps (bottom panels) for data in </w:t>
      </w:r>
      <w:r w:rsidRPr="008053DD">
        <w:rPr>
          <w:rFonts w:ascii="Times New Roman" w:hAnsi="Times New Roman" w:cs="Times New Roman"/>
          <w:b/>
          <w:bCs/>
          <w:color w:val="auto"/>
        </w:rPr>
        <w:t>(a)</w:t>
      </w:r>
      <w:r w:rsidRPr="008053DD">
        <w:rPr>
          <w:rFonts w:ascii="Times New Roman" w:hAnsi="Times New Roman" w:cs="Times New Roman"/>
          <w:bCs/>
          <w:color w:val="auto"/>
        </w:rPr>
        <w:t xml:space="preserve"> showing a global increase in Pol II ChIP-seq enrichment within promoter regions across the genome. Pol II data is presented as the average log-transformed enrichment over the input control, and corresponds to data from two replicates, representing independent passages of cells. TSS; transcription start site, TES; transcription end site. </w:t>
      </w:r>
      <w:r w:rsidRPr="008053DD">
        <w:rPr>
          <w:rFonts w:ascii="Times New Roman" w:hAnsi="Times New Roman" w:cs="Times New Roman"/>
          <w:b/>
          <w:bCs/>
          <w:color w:val="auto"/>
        </w:rPr>
        <w:t>(c)</w:t>
      </w:r>
      <w:r w:rsidRPr="008053DD">
        <w:rPr>
          <w:rFonts w:ascii="Times New Roman" w:hAnsi="Times New Roman" w:cs="Times New Roman"/>
          <w:bCs/>
          <w:color w:val="auto"/>
        </w:rPr>
        <w:t xml:space="preserve"> Volcano plot for differentially enriched Pol II promoters described in Figure 3b, showing a significant increase in Pol II enrichment at promoters after treatment with CDDD11-8. Each data point represents an individual promoter and coloured according to differential enrichment status (blue; FDR &gt; 0.05, red; FDR &lt; 0.05). Selected promoters are annotated to their corresponding gene. </w:t>
      </w:r>
      <w:r w:rsidRPr="008053DD">
        <w:rPr>
          <w:rFonts w:ascii="Times New Roman" w:hAnsi="Times New Roman" w:cs="Times New Roman"/>
          <w:b/>
          <w:bCs/>
          <w:color w:val="auto"/>
        </w:rPr>
        <w:t>(d)</w:t>
      </w:r>
      <w:r w:rsidRPr="008053DD">
        <w:rPr>
          <w:rFonts w:ascii="Times New Roman" w:hAnsi="Times New Roman" w:cs="Times New Roman"/>
          <w:bCs/>
          <w:color w:val="auto"/>
        </w:rPr>
        <w:t xml:space="preserve"> Word clouds associated with Figure 3d, depicting promoters across the top three over-represented HALLMARK gene sets which increase in Pol II enrichment after CDDD11-8 treatment. Parentheses indicate the number of differentially enriched promoters found within each gene set. The font size for each promoter is arranged in order of decreasing FDR. </w:t>
      </w:r>
    </w:p>
    <w:p w14:paraId="5CE3D8CD" w14:textId="77777777" w:rsidR="002B2FA9" w:rsidRPr="008053DD" w:rsidRDefault="002B2FA9" w:rsidP="002B2FA9">
      <w:pPr>
        <w:rPr>
          <w:rFonts w:ascii="Times New Roman" w:hAnsi="Times New Roman" w:cs="Times New Roman"/>
          <w:b/>
          <w:sz w:val="24"/>
          <w:szCs w:val="24"/>
        </w:rPr>
      </w:pPr>
    </w:p>
    <w:p w14:paraId="2C012955" w14:textId="77777777" w:rsidR="002B2FA9" w:rsidRDefault="002B2FA9" w:rsidP="002B2F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53DD">
        <w:rPr>
          <w:rFonts w:ascii="Times New Roman" w:hAnsi="Times New Roman" w:cs="Times New Roman"/>
          <w:b/>
          <w:sz w:val="24"/>
          <w:szCs w:val="24"/>
        </w:rPr>
        <w:t>Supplementary Figure 3: Mammary intraductal xenograft studies. (a)</w:t>
      </w:r>
      <w:r w:rsidRPr="008053DD">
        <w:rPr>
          <w:rFonts w:ascii="Times New Roman" w:hAnsi="Times New Roman" w:cs="Times New Roman"/>
          <w:sz w:val="24"/>
          <w:szCs w:val="24"/>
        </w:rPr>
        <w:t xml:space="preserve"> Representative images showing negative controls for MCL-1 immunohistochemistry in MDA-MB-453 xenograft tumours presented in Figure 4. </w:t>
      </w:r>
      <w:r w:rsidRPr="008053D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053DD">
        <w:rPr>
          <w:rFonts w:ascii="Times New Roman" w:hAnsi="Times New Roman" w:cs="Times New Roman"/>
          <w:sz w:val="24"/>
          <w:szCs w:val="24"/>
        </w:rPr>
        <w:t xml:space="preserve"> Left panel: Tumour growth curves assessed using </w:t>
      </w:r>
      <w:r w:rsidRPr="008053DD">
        <w:rPr>
          <w:rFonts w:ascii="Times New Roman" w:hAnsi="Times New Roman" w:cs="Times New Roman"/>
          <w:i/>
          <w:sz w:val="24"/>
          <w:szCs w:val="24"/>
        </w:rPr>
        <w:t>in vivo</w:t>
      </w:r>
      <w:r w:rsidRPr="008053DD">
        <w:rPr>
          <w:rFonts w:ascii="Times New Roman" w:hAnsi="Times New Roman" w:cs="Times New Roman"/>
          <w:sz w:val="24"/>
          <w:szCs w:val="24"/>
        </w:rPr>
        <w:t xml:space="preserve"> bioluminescence of MDA-MB-468 cells expressing luciferase. Data was analysed using a two-way repeated measures mixed-effects ANOVA (Interaction: </w:t>
      </w:r>
      <w:r w:rsidRPr="008053DD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Pr="008053DD">
        <w:rPr>
          <w:rFonts w:ascii="Times New Roman" w:hAnsi="Times New Roman" w:cs="Times New Roman"/>
          <w:sz w:val="24"/>
          <w:szCs w:val="24"/>
        </w:rPr>
        <w:t xml:space="preserve">= 3.052, d.f. = 4, </w:t>
      </w:r>
      <w:r w:rsidRPr="008053DD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053DD">
        <w:rPr>
          <w:rFonts w:ascii="Times New Roman" w:hAnsi="Times New Roman" w:cs="Times New Roman"/>
          <w:sz w:val="24"/>
          <w:szCs w:val="24"/>
        </w:rPr>
        <w:t>= 0.0228)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7FB">
        <w:rPr>
          <w:rFonts w:ascii="Times New Roman" w:hAnsi="Times New Roman" w:cs="Times New Roman"/>
          <w:sz w:val="24"/>
          <w:szCs w:val="24"/>
        </w:rPr>
        <w:t xml:space="preserve">and least squares regression </w:t>
      </w:r>
      <w:r w:rsidRPr="00D67D57">
        <w:rPr>
          <w:rFonts w:ascii="Times New Roman" w:hAnsi="Times New Roman" w:cs="Times New Roman"/>
          <w:sz w:val="24"/>
          <w:szCs w:val="24"/>
        </w:rPr>
        <w:t>(Vehicle: R</w:t>
      </w:r>
      <w:r w:rsidRPr="00D67D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7D57">
        <w:rPr>
          <w:rFonts w:ascii="Times New Roman" w:hAnsi="Times New Roman" w:cs="Times New Roman"/>
          <w:sz w:val="24"/>
          <w:szCs w:val="24"/>
        </w:rPr>
        <w:t xml:space="preserve"> = 0.</w:t>
      </w:r>
      <w:r w:rsidRPr="00243800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243800">
        <w:rPr>
          <w:rStyle w:val="cf01"/>
          <w:rFonts w:ascii="Times New Roman" w:hAnsi="Times New Roman" w:cs="Times New Roman"/>
          <w:sz w:val="24"/>
          <w:szCs w:val="24"/>
        </w:rPr>
        <w:t>5252</w:t>
      </w:r>
      <w:r w:rsidRPr="00D67D57">
        <w:rPr>
          <w:rFonts w:ascii="Times New Roman" w:hAnsi="Times New Roman" w:cs="Times New Roman"/>
          <w:sz w:val="24"/>
          <w:szCs w:val="24"/>
        </w:rPr>
        <w:t xml:space="preserve">, </w:t>
      </w:r>
      <w:r w:rsidRPr="00D67D5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67D57">
        <w:rPr>
          <w:rFonts w:ascii="Times New Roman" w:hAnsi="Times New Roman" w:cs="Times New Roman"/>
          <w:sz w:val="24"/>
          <w:szCs w:val="24"/>
        </w:rPr>
        <w:t xml:space="preserve"> = 0.</w:t>
      </w:r>
      <w:r w:rsidRPr="00243800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243800">
        <w:rPr>
          <w:rStyle w:val="cf01"/>
          <w:rFonts w:ascii="Times New Roman" w:hAnsi="Times New Roman" w:cs="Times New Roman"/>
          <w:sz w:val="24"/>
          <w:szCs w:val="24"/>
        </w:rPr>
        <w:t>05490</w:t>
      </w:r>
      <w:r w:rsidRPr="00D67D57">
        <w:rPr>
          <w:rFonts w:ascii="Times New Roman" w:hAnsi="Times New Roman" w:cs="Times New Roman"/>
          <w:sz w:val="24"/>
          <w:szCs w:val="24"/>
        </w:rPr>
        <w:t>; CDDD11-8: R</w:t>
      </w:r>
      <w:r w:rsidRPr="00D67D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7D57">
        <w:rPr>
          <w:rFonts w:ascii="Times New Roman" w:hAnsi="Times New Roman" w:cs="Times New Roman"/>
          <w:sz w:val="24"/>
          <w:szCs w:val="24"/>
        </w:rPr>
        <w:t xml:space="preserve"> = 0.</w:t>
      </w:r>
      <w:r w:rsidRPr="00243800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243800">
        <w:rPr>
          <w:rStyle w:val="cf01"/>
          <w:rFonts w:ascii="Times New Roman" w:hAnsi="Times New Roman" w:cs="Times New Roman"/>
          <w:sz w:val="24"/>
          <w:szCs w:val="24"/>
        </w:rPr>
        <w:t>3495</w:t>
      </w:r>
      <w:r w:rsidRPr="00D67D57">
        <w:rPr>
          <w:rFonts w:ascii="Times New Roman" w:hAnsi="Times New Roman" w:cs="Times New Roman"/>
          <w:sz w:val="24"/>
          <w:szCs w:val="24"/>
        </w:rPr>
        <w:t xml:space="preserve">, </w:t>
      </w:r>
      <w:r w:rsidRPr="00D67D5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67D57">
        <w:rPr>
          <w:rFonts w:ascii="Times New Roman" w:hAnsi="Times New Roman" w:cs="Times New Roman"/>
          <w:sz w:val="24"/>
          <w:szCs w:val="24"/>
        </w:rPr>
        <w:t xml:space="preserve"> = </w:t>
      </w:r>
      <w:r w:rsidRPr="00243800">
        <w:rPr>
          <w:rStyle w:val="cf01"/>
          <w:rFonts w:ascii="Times New Roman" w:hAnsi="Times New Roman" w:cs="Times New Roman"/>
          <w:sz w:val="24"/>
          <w:szCs w:val="24"/>
        </w:rPr>
        <w:t>0.04971</w:t>
      </w:r>
      <w:r w:rsidRPr="00D67D57">
        <w:rPr>
          <w:rFonts w:ascii="Times New Roman" w:hAnsi="Times New Roman" w:cs="Times New Roman"/>
          <w:sz w:val="24"/>
          <w:szCs w:val="24"/>
        </w:rPr>
        <w:t>). R</w:t>
      </w:r>
      <w:r w:rsidRPr="008053DD">
        <w:rPr>
          <w:rFonts w:ascii="Times New Roman" w:hAnsi="Times New Roman" w:cs="Times New Roman"/>
          <w:sz w:val="24"/>
          <w:szCs w:val="24"/>
        </w:rPr>
        <w:t xml:space="preserve">ight panel; Representative bioluminescent images </w:t>
      </w:r>
      <w:r w:rsidRPr="008053DD">
        <w:rPr>
          <w:rFonts w:ascii="Times New Roman" w:hAnsi="Times New Roman" w:cs="Times New Roman"/>
          <w:sz w:val="24"/>
          <w:szCs w:val="24"/>
        </w:rPr>
        <w:lastRenderedPageBreak/>
        <w:t>of mice growing bilateral MDA-MB-468 MIND xenograft tumours at endpoint after treatment with vehicle or CDDD11-8. Asterisk indicates a statistically significant difference, *</w:t>
      </w:r>
      <w:r w:rsidRPr="008053DD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8053DD">
        <w:rPr>
          <w:rFonts w:ascii="Times New Roman" w:hAnsi="Times New Roman" w:cs="Times New Roman"/>
          <w:sz w:val="24"/>
          <w:szCs w:val="24"/>
        </w:rPr>
        <w:t xml:space="preserve">&lt; 0.05. </w:t>
      </w:r>
      <w:r w:rsidRPr="008053DD">
        <w:rPr>
          <w:rFonts w:ascii="Times New Roman" w:hAnsi="Times New Roman" w:cs="Times New Roman"/>
          <w:b/>
          <w:sz w:val="24"/>
          <w:szCs w:val="24"/>
        </w:rPr>
        <w:t>(c)</w:t>
      </w:r>
      <w:r w:rsidRPr="008053DD">
        <w:rPr>
          <w:rFonts w:ascii="Times New Roman" w:hAnsi="Times New Roman" w:cs="Times New Roman"/>
          <w:sz w:val="24"/>
          <w:szCs w:val="24"/>
        </w:rPr>
        <w:t xml:space="preserve"> Bodyweight changes of NSG mice (n = 5 per group, injected bilaterally) over 16 d during daily oral gavage treatment with either a vehicle or CDDD11-8 (200 mg/kg/day). Data was analysed using a two-way repeated measures ANOVA (</w:t>
      </w:r>
      <w:r w:rsidRPr="008053DD">
        <w:rPr>
          <w:rFonts w:ascii="Times New Roman" w:hAnsi="Times New Roman" w:cs="Times New Roman"/>
          <w:i/>
          <w:sz w:val="24"/>
          <w:szCs w:val="24"/>
        </w:rPr>
        <w:t>p</w:t>
      </w:r>
      <w:r w:rsidRPr="008053DD">
        <w:rPr>
          <w:rFonts w:ascii="Times New Roman" w:hAnsi="Times New Roman" w:cs="Times New Roman"/>
          <w:sz w:val="24"/>
          <w:szCs w:val="24"/>
        </w:rPr>
        <w:t xml:space="preserve"> = 0.4645). </w:t>
      </w:r>
      <w:r w:rsidRPr="008053DD">
        <w:rPr>
          <w:rFonts w:ascii="Times New Roman" w:hAnsi="Times New Roman" w:cs="Times New Roman"/>
          <w:b/>
          <w:sz w:val="24"/>
          <w:szCs w:val="24"/>
        </w:rPr>
        <w:t xml:space="preserve">(d) </w:t>
      </w:r>
      <w:r w:rsidRPr="008053DD">
        <w:rPr>
          <w:rFonts w:ascii="Times New Roman" w:hAnsi="Times New Roman" w:cs="Times New Roman"/>
          <w:sz w:val="24"/>
          <w:szCs w:val="24"/>
        </w:rPr>
        <w:t>Representative Ki67 staining images of mouse jejunum after 16 days daily treatment with either a vehicle or CDDD11-8. Scale bars = 50 µm.</w:t>
      </w:r>
    </w:p>
    <w:p w14:paraId="724E0CA9" w14:textId="77777777" w:rsidR="00A97DDE" w:rsidRDefault="00A97DDE" w:rsidP="002B2FA9">
      <w:pPr>
        <w:pStyle w:val="Default"/>
        <w:spacing w:line="480" w:lineRule="auto"/>
        <w:rPr>
          <w:rFonts w:ascii="Times New Roman" w:hAnsi="Times New Roman" w:cs="Times New Roman"/>
          <w:b/>
          <w:color w:val="auto"/>
        </w:rPr>
      </w:pPr>
    </w:p>
    <w:p w14:paraId="3ED1F46C" w14:textId="3BA6350D" w:rsidR="002B2FA9" w:rsidRPr="003E74F5" w:rsidRDefault="002B2FA9" w:rsidP="002B2FA9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8053DD">
        <w:rPr>
          <w:rFonts w:ascii="Times New Roman" w:hAnsi="Times New Roman" w:cs="Times New Roman"/>
          <w:b/>
          <w:color w:val="auto"/>
        </w:rPr>
        <w:t xml:space="preserve">Supplementary Figure 4: CDDD11-8 does not inhibit proliferation of </w:t>
      </w:r>
      <w:r w:rsidRPr="008053DD">
        <w:rPr>
          <w:rFonts w:ascii="Times New Roman" w:hAnsi="Times New Roman" w:cs="Times New Roman"/>
          <w:b/>
          <w:i/>
          <w:color w:val="auto"/>
        </w:rPr>
        <w:t>ex vivo</w:t>
      </w:r>
      <w:r w:rsidRPr="008053DD">
        <w:rPr>
          <w:rFonts w:ascii="Times New Roman" w:hAnsi="Times New Roman" w:cs="Times New Roman"/>
          <w:b/>
          <w:color w:val="auto"/>
        </w:rPr>
        <w:t xml:space="preserve"> cultured patient-derived normal breast tissues.</w:t>
      </w:r>
      <w:r w:rsidRPr="008053DD">
        <w:rPr>
          <w:rFonts w:ascii="Times New Roman" w:hAnsi="Times New Roman" w:cs="Times New Roman"/>
          <w:b/>
          <w:bCs/>
          <w:color w:val="auto"/>
        </w:rPr>
        <w:t xml:space="preserve"> (a)</w:t>
      </w:r>
      <w:r w:rsidRPr="008053DD">
        <w:rPr>
          <w:rFonts w:ascii="Times New Roman" w:hAnsi="Times New Roman" w:cs="Times New Roman"/>
          <w:color w:val="auto"/>
        </w:rPr>
        <w:t xml:space="preserve"> Graphical representation of the </w:t>
      </w:r>
      <w:r w:rsidRPr="008053DD">
        <w:rPr>
          <w:rFonts w:ascii="Times New Roman" w:hAnsi="Times New Roman" w:cs="Times New Roman"/>
          <w:i/>
          <w:color w:val="auto"/>
        </w:rPr>
        <w:t>ex vivo</w:t>
      </w:r>
      <w:r w:rsidRPr="008053DD">
        <w:rPr>
          <w:rFonts w:ascii="Times New Roman" w:hAnsi="Times New Roman" w:cs="Times New Roman"/>
          <w:color w:val="auto"/>
        </w:rPr>
        <w:t xml:space="preserve"> culture of normal patient-derived breast tissue explants. </w:t>
      </w:r>
      <w:r w:rsidRPr="008053DD">
        <w:rPr>
          <w:rFonts w:ascii="Times New Roman" w:hAnsi="Times New Roman" w:cs="Times New Roman"/>
          <w:b/>
          <w:bCs/>
          <w:color w:val="auto"/>
        </w:rPr>
        <w:t>(b)</w:t>
      </w:r>
      <w:r w:rsidRPr="008053DD">
        <w:rPr>
          <w:rFonts w:ascii="Times New Roman" w:hAnsi="Times New Roman" w:cs="Times New Roman"/>
          <w:color w:val="auto"/>
        </w:rPr>
        <w:t xml:space="preserve"> Quantification of Ki-67 positivity in normal breast PDEs (n = 4 independent cases) showing that increasing doses of CDDD11-8 do not change Ki-67 positivity after 48 h treatment. For each case, matched Ki67 positivity for each dose of CDDD11-8 was analyzed using a one-way repeated measures ANOVA (</w:t>
      </w:r>
      <w:r w:rsidRPr="008053DD">
        <w:rPr>
          <w:rFonts w:ascii="Times New Roman" w:hAnsi="Times New Roman" w:cs="Times New Roman"/>
          <w:i/>
          <w:color w:val="auto"/>
        </w:rPr>
        <w:t>F</w:t>
      </w:r>
      <w:r w:rsidRPr="008053DD">
        <w:rPr>
          <w:rFonts w:ascii="Times New Roman" w:hAnsi="Times New Roman" w:cs="Times New Roman"/>
          <w:color w:val="auto"/>
        </w:rPr>
        <w:t xml:space="preserve"> = 0.1885, d.f. = 3, </w:t>
      </w:r>
      <w:r w:rsidRPr="008053DD">
        <w:rPr>
          <w:rFonts w:ascii="Times New Roman" w:hAnsi="Times New Roman" w:cs="Times New Roman"/>
          <w:i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= 0.8386). </w:t>
      </w:r>
      <w:r w:rsidRPr="008053DD">
        <w:rPr>
          <w:rFonts w:ascii="Times New Roman" w:hAnsi="Times New Roman" w:cs="Times New Roman"/>
          <w:b/>
          <w:bCs/>
          <w:color w:val="auto"/>
        </w:rPr>
        <w:t>(c)</w:t>
      </w:r>
      <w:r w:rsidRPr="008053DD">
        <w:rPr>
          <w:rFonts w:ascii="Times New Roman" w:hAnsi="Times New Roman" w:cs="Times New Roman"/>
          <w:color w:val="auto"/>
        </w:rPr>
        <w:t xml:space="preserve"> Representative H&amp;E staining (upper panel) and Ki-67 immunohistochemistry (lower panel) in normal breast tissue PDEs after 48 h treatment with either vehicle or 2.7 µM CDDD11-8. Scale bars = 50 μm.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(d)</w:t>
      </w:r>
      <w:r>
        <w:rPr>
          <w:rFonts w:ascii="Times New Roman" w:hAnsi="Times New Roman" w:cs="Times New Roman"/>
          <w:color w:val="auto"/>
        </w:rPr>
        <w:t xml:space="preserve"> Reduction mammoplasty </w:t>
      </w:r>
      <w:r w:rsidR="00A97DDE">
        <w:rPr>
          <w:rFonts w:ascii="Times New Roman" w:hAnsi="Times New Roman" w:cs="Times New Roman"/>
          <w:color w:val="auto"/>
        </w:rPr>
        <w:t xml:space="preserve">breast epithelial cell </w:t>
      </w:r>
      <w:r>
        <w:rPr>
          <w:rFonts w:ascii="Times New Roman" w:hAnsi="Times New Roman" w:cs="Times New Roman"/>
          <w:color w:val="auto"/>
        </w:rPr>
        <w:t xml:space="preserve">organoid viability as measured by CellTitre Glo 3D after 10 days treatment with increasing doses of CDDD11-8. </w:t>
      </w:r>
      <w:r w:rsidRPr="008053DD">
        <w:rPr>
          <w:rFonts w:ascii="Times New Roman" w:hAnsi="Times New Roman" w:cs="Times New Roman"/>
          <w:color w:val="auto"/>
        </w:rPr>
        <w:t>Asterisks denote a significant difference between treatment and vehicle, as determined using Dunnett’s multiple comparisons test. **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0.01; ****</w:t>
      </w:r>
      <w:r w:rsidRPr="008053DD">
        <w:rPr>
          <w:rFonts w:ascii="Times New Roman" w:hAnsi="Times New Roman" w:cs="Times New Roman"/>
          <w:i/>
          <w:iCs/>
          <w:color w:val="auto"/>
        </w:rPr>
        <w:t>p</w:t>
      </w:r>
      <w:r w:rsidRPr="008053DD">
        <w:rPr>
          <w:rFonts w:ascii="Times New Roman" w:hAnsi="Times New Roman" w:cs="Times New Roman"/>
          <w:color w:val="auto"/>
        </w:rPr>
        <w:t xml:space="preserve"> &lt; 0.0001.</w:t>
      </w:r>
    </w:p>
    <w:p w14:paraId="78438C65" w14:textId="77777777" w:rsidR="00A97DDE" w:rsidRDefault="00A97DDE" w:rsidP="002B2FA9">
      <w:pPr>
        <w:pStyle w:val="Default"/>
        <w:spacing w:line="480" w:lineRule="auto"/>
        <w:rPr>
          <w:rFonts w:ascii="Times New Roman" w:hAnsi="Times New Roman" w:cs="Times New Roman"/>
          <w:b/>
        </w:rPr>
      </w:pPr>
    </w:p>
    <w:p w14:paraId="2E82D17E" w14:textId="526DFCB8" w:rsidR="002B2FA9" w:rsidRDefault="002B2FA9" w:rsidP="00A97DDE">
      <w:pPr>
        <w:pStyle w:val="Default"/>
        <w:spacing w:line="480" w:lineRule="auto"/>
      </w:pPr>
      <w:r w:rsidRPr="008053DD">
        <w:rPr>
          <w:rFonts w:ascii="Times New Roman" w:hAnsi="Times New Roman" w:cs="Times New Roman"/>
          <w:b/>
        </w:rPr>
        <w:t xml:space="preserve">Supplementary Figure 5: Histology of MgA1, a TNBC arising from a region of microglandular adenosis. </w:t>
      </w:r>
      <w:r w:rsidRPr="008053DD">
        <w:rPr>
          <w:rFonts w:ascii="Times New Roman" w:hAnsi="Times New Roman" w:cs="Times New Roman"/>
          <w:b/>
          <w:bCs/>
        </w:rPr>
        <w:t>(a)</w:t>
      </w:r>
      <w:r w:rsidRPr="008053DD">
        <w:rPr>
          <w:rFonts w:ascii="Times New Roman" w:hAnsi="Times New Roman" w:cs="Times New Roman"/>
        </w:rPr>
        <w:t xml:space="preserve"> Immunohistochemical staining results in the patient and after </w:t>
      </w:r>
      <w:r w:rsidRPr="008053DD">
        <w:rPr>
          <w:rFonts w:ascii="Times New Roman" w:hAnsi="Times New Roman" w:cs="Times New Roman"/>
        </w:rPr>
        <w:lastRenderedPageBreak/>
        <w:t>establishment of a patient-derived xenograft (PDX). The sample in the patient was surrounded by microglandular adenosis. Scale bars = 100 µm.</w:t>
      </w:r>
      <w:r w:rsidRPr="008053DD">
        <w:rPr>
          <w:rFonts w:ascii="Times New Roman" w:hAnsi="Times New Roman" w:cs="Times New Roman"/>
        </w:rPr>
        <w:br w:type="page"/>
      </w:r>
    </w:p>
    <w:sectPr w:rsidR="002B2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A9"/>
    <w:rsid w:val="002B2FA9"/>
    <w:rsid w:val="00A9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CD83"/>
  <w15:chartTrackingRefBased/>
  <w15:docId w15:val="{9DF90FD5-6C57-4ED2-BE23-2AA8EAD2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FA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2B2F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DefaultChar">
    <w:name w:val="Default Char"/>
    <w:basedOn w:val="DefaultParagraphFont"/>
    <w:link w:val="Default"/>
    <w:rsid w:val="002B2FA9"/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B2FA9"/>
    <w:rPr>
      <w:b/>
      <w:bCs/>
    </w:rPr>
  </w:style>
  <w:style w:type="character" w:customStyle="1" w:styleId="cf01">
    <w:name w:val="cf01"/>
    <w:basedOn w:val="DefaultParagraphFont"/>
    <w:rsid w:val="002B2FA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Hickey</dc:creator>
  <cp:keywords/>
  <dc:description/>
  <cp:lastModifiedBy>Theresa Hickey</cp:lastModifiedBy>
  <cp:revision>2</cp:revision>
  <dcterms:created xsi:type="dcterms:W3CDTF">2023-11-03T00:05:00Z</dcterms:created>
  <dcterms:modified xsi:type="dcterms:W3CDTF">2023-11-03T00:12:00Z</dcterms:modified>
</cp:coreProperties>
</file>