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F45F7" w:rsidRDefault="00AF45F7" w:rsidP="00AF45F7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  <w:lang w:val="en-US"/>
        </w:rPr>
      </w:pPr>
      <w:r w:rsidRPr="00C729D4">
        <w:rPr>
          <w:rFonts w:ascii="Arial" w:hAnsi="Arial" w:cs="Arial"/>
          <w:b/>
          <w:bCs/>
          <w:lang w:val="en-US"/>
        </w:rPr>
        <w:t>Supplementa</w:t>
      </w:r>
      <w:r>
        <w:rPr>
          <w:rFonts w:ascii="Arial" w:hAnsi="Arial" w:cs="Arial"/>
          <w:b/>
          <w:bCs/>
          <w:lang w:val="en-US"/>
        </w:rPr>
        <w:t>ry</w:t>
      </w:r>
      <w:r w:rsidRPr="00C729D4">
        <w:rPr>
          <w:rFonts w:ascii="Arial" w:hAnsi="Arial" w:cs="Arial"/>
          <w:b/>
          <w:bCs/>
          <w:lang w:val="en-US"/>
        </w:rPr>
        <w:t xml:space="preserve"> figure 1. ER</w:t>
      </w:r>
      <w:r w:rsidRPr="00C729D4">
        <w:rPr>
          <w:rFonts w:ascii="Arial" w:hAnsi="Arial" w:cs="Arial"/>
          <w:lang w:val="en-US"/>
        </w:rPr>
        <w:t>-α</w:t>
      </w:r>
      <w:r w:rsidRPr="00C729D4">
        <w:rPr>
          <w:rFonts w:ascii="Arial" w:hAnsi="Arial" w:cs="Arial"/>
          <w:b/>
          <w:bCs/>
          <w:lang w:val="en-US"/>
        </w:rPr>
        <w:t xml:space="preserve"> ac</w:t>
      </w:r>
      <w:r w:rsidRPr="00C729D4">
        <w:rPr>
          <w:rFonts w:ascii="Arial" w:eastAsia="Calibri" w:hAnsi="Arial" w:cs="Arial"/>
          <w:b/>
          <w:bCs/>
          <w:lang w:val="en-US"/>
        </w:rPr>
        <w:t>ti</w:t>
      </w:r>
      <w:r w:rsidRPr="00C729D4">
        <w:rPr>
          <w:rFonts w:ascii="Arial" w:hAnsi="Arial" w:cs="Arial"/>
          <w:b/>
          <w:bCs/>
          <w:lang w:val="en-US"/>
        </w:rPr>
        <w:t xml:space="preserve">vity is reduced using two other CAF cell lines. </w:t>
      </w:r>
      <w:r w:rsidRPr="00C729D4">
        <w:rPr>
          <w:rFonts w:ascii="Arial" w:hAnsi="Arial" w:cs="Arial"/>
          <w:lang w:val="en-US"/>
        </w:rPr>
        <w:t>MCF7 ER-α-reporter cells were directly co-cultured with two isolations of primary human breast CAF cell lines (</w:t>
      </w:r>
      <w:r>
        <w:rPr>
          <w:rFonts w:ascii="Arial" w:hAnsi="Arial" w:cs="Arial"/>
          <w:lang w:val="en-US"/>
        </w:rPr>
        <w:t>CAF-</w:t>
      </w:r>
      <w:r w:rsidRPr="00C729D4">
        <w:rPr>
          <w:rFonts w:ascii="Arial" w:hAnsi="Arial" w:cs="Arial"/>
          <w:lang w:val="en-US"/>
        </w:rPr>
        <w:t xml:space="preserve">A and </w:t>
      </w:r>
      <w:r>
        <w:rPr>
          <w:rFonts w:ascii="Arial" w:hAnsi="Arial" w:cs="Arial"/>
          <w:lang w:val="en-US"/>
        </w:rPr>
        <w:t>CAF-</w:t>
      </w:r>
      <w:r w:rsidRPr="00C729D4">
        <w:rPr>
          <w:rFonts w:ascii="Arial" w:hAnsi="Arial" w:cs="Arial"/>
          <w:lang w:val="en-US"/>
        </w:rPr>
        <w:t>B) that were seeded on collagen</w:t>
      </w:r>
      <w:r>
        <w:rPr>
          <w:rFonts w:ascii="Arial" w:hAnsi="Arial" w:cs="Arial"/>
          <w:lang w:val="en-US"/>
        </w:rPr>
        <w:t>-</w:t>
      </w:r>
      <w:r w:rsidRPr="00C729D4">
        <w:rPr>
          <w:rFonts w:ascii="Arial" w:hAnsi="Arial" w:cs="Arial"/>
          <w:lang w:val="en-US"/>
        </w:rPr>
        <w:t>coated wells</w:t>
      </w:r>
      <w:r>
        <w:rPr>
          <w:rFonts w:ascii="Arial" w:hAnsi="Arial" w:cs="Arial"/>
          <w:lang w:val="en-US"/>
        </w:rPr>
        <w:t xml:space="preserve"> and assessed for luciferase activity (A)</w:t>
      </w:r>
      <w:r w:rsidRPr="00C729D4">
        <w:rPr>
          <w:rFonts w:ascii="Arial" w:hAnsi="Arial" w:cs="Arial"/>
          <w:lang w:val="en-US"/>
        </w:rPr>
        <w:t>. Mo = monoculture. Unpaired ordinary one-away ANOVA, Fisher’s LSD multiple comparisons test: ****P&lt;0.0001.</w:t>
      </w:r>
      <w:r>
        <w:rPr>
          <w:rFonts w:ascii="Arial" w:hAnsi="Arial" w:cs="Arial"/>
          <w:lang w:val="en-US"/>
        </w:rPr>
        <w:t xml:space="preserve"> Determination of ER-</w:t>
      </w:r>
      <w:r>
        <w:rPr>
          <w:rFonts w:ascii="Arial" w:hAnsi="Arial" w:cs="Arial"/>
          <w:lang w:val="en-US"/>
        </w:rPr>
        <w:sym w:font="Symbol" w:char="F061"/>
      </w:r>
      <w:r>
        <w:rPr>
          <w:rFonts w:ascii="Arial" w:hAnsi="Arial" w:cs="Arial"/>
          <w:lang w:val="en-US"/>
        </w:rPr>
        <w:t xml:space="preserve"> protein expression by Western blot of cell lysates from MCF7 mono-cultures, co-cultures with CAF2 cells, or CAF2 cells alone (B). Signal intensity was quantified and normalized against the reference GAPDH (C).</w:t>
      </w:r>
    </w:p>
    <w:p w:rsidR="00AF45F7" w:rsidRDefault="00AF45F7" w:rsidP="00AF45F7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  <w:lang w:val="en-US"/>
        </w:rPr>
      </w:pPr>
    </w:p>
    <w:p w:rsidR="00E201EF" w:rsidRDefault="00E201EF">
      <w:pPr>
        <w:spacing w:after="0" w:line="240" w:lineRule="auto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br w:type="page"/>
      </w:r>
    </w:p>
    <w:p w:rsidR="00C668F3" w:rsidRPr="00C729D4" w:rsidRDefault="00C668F3" w:rsidP="00C668F3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lastRenderedPageBreak/>
        <w:t>Supplementary</w:t>
      </w:r>
      <w:r w:rsidRPr="00C729D4">
        <w:rPr>
          <w:rFonts w:ascii="Arial" w:hAnsi="Arial" w:cs="Arial"/>
          <w:b/>
          <w:bCs/>
          <w:lang w:val="en-US"/>
        </w:rPr>
        <w:t xml:space="preserve"> figure 2. CAFs do not affect HER2 expression level in BT474 cells. </w:t>
      </w:r>
      <w:r w:rsidRPr="00C729D4">
        <w:rPr>
          <w:rFonts w:ascii="Arial" w:hAnsi="Arial" w:cs="Arial"/>
          <w:lang w:val="en-US"/>
        </w:rPr>
        <w:t>The</w:t>
      </w:r>
      <w:r w:rsidRPr="00C729D4">
        <w:rPr>
          <w:rFonts w:ascii="Arial" w:hAnsi="Arial" w:cs="Arial"/>
          <w:b/>
          <w:bCs/>
          <w:lang w:val="en-US"/>
        </w:rPr>
        <w:t xml:space="preserve"> </w:t>
      </w:r>
      <w:r w:rsidRPr="00C729D4">
        <w:rPr>
          <w:rFonts w:ascii="Arial" w:hAnsi="Arial" w:cs="Arial"/>
          <w:lang w:val="en-US"/>
        </w:rPr>
        <w:t>estrogen induced reduction of HER2 in BT474 clone 5 cancer cells is maintained in CAF2 cocultures and not affected by secreted factors. CTL = control; CM = conditioned media. Unpaired ordinary one-away ANOVA, Fisher’s LSD multiple comparisons test: *P&lt;0.05, **P&lt;0.01, ***P&lt;0.001. Error bars: SEM.</w:t>
      </w:r>
    </w:p>
    <w:p w:rsidR="00AF45F7" w:rsidRDefault="00AF45F7" w:rsidP="00AF45F7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  <w:lang w:val="en-US"/>
        </w:rPr>
      </w:pPr>
    </w:p>
    <w:p w:rsidR="00E201EF" w:rsidRDefault="00E201EF">
      <w:pPr>
        <w:spacing w:after="0" w:line="240" w:lineRule="auto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br w:type="page"/>
      </w:r>
    </w:p>
    <w:p w:rsidR="00C668F3" w:rsidRDefault="00C668F3" w:rsidP="00C668F3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lastRenderedPageBreak/>
        <w:t>Supplementary</w:t>
      </w:r>
      <w:r w:rsidRPr="00C729D4">
        <w:rPr>
          <w:rFonts w:ascii="Arial" w:hAnsi="Arial" w:cs="Arial"/>
          <w:b/>
          <w:bCs/>
          <w:lang w:val="en-US"/>
        </w:rPr>
        <w:t xml:space="preserve"> figure 3. RNA seq of MCF7 cells cocultured with CAFs.</w:t>
      </w:r>
      <w:r w:rsidRPr="00C729D4">
        <w:rPr>
          <w:rFonts w:ascii="Arial" w:hAnsi="Arial" w:cs="Arial"/>
          <w:lang w:val="en-US"/>
        </w:rPr>
        <w:t xml:space="preserve"> Schematic representation of the RNA-seq experiment at both timepoints of estrogen stimulation (A). Scatter plot showing gene expression regulation by either CAF2, E</w:t>
      </w:r>
      <w:r>
        <w:rPr>
          <w:rFonts w:ascii="Arial" w:hAnsi="Arial" w:cs="Arial"/>
          <w:lang w:val="en-US"/>
        </w:rPr>
        <w:t>2</w:t>
      </w:r>
      <w:r w:rsidRPr="00C729D4">
        <w:rPr>
          <w:rFonts w:ascii="Arial" w:hAnsi="Arial" w:cs="Arial"/>
          <w:lang w:val="en-US"/>
        </w:rPr>
        <w:t xml:space="preserve"> or both</w:t>
      </w:r>
      <w:r w:rsidR="00137EB8">
        <w:rPr>
          <w:rFonts w:ascii="Arial" w:hAnsi="Arial" w:cs="Arial"/>
          <w:lang w:val="en-US"/>
        </w:rPr>
        <w:t xml:space="preserve"> at 24h </w:t>
      </w:r>
      <w:r w:rsidRPr="00C729D4">
        <w:rPr>
          <w:rFonts w:ascii="Arial" w:hAnsi="Arial" w:cs="Arial"/>
          <w:lang w:val="en-US"/>
        </w:rPr>
        <w:t xml:space="preserve">(B). </w:t>
      </w:r>
      <w:r w:rsidR="00137EB8" w:rsidRPr="00C729D4">
        <w:rPr>
          <w:rFonts w:ascii="Arial" w:hAnsi="Arial" w:cs="Arial"/>
          <w:lang w:val="en-US"/>
        </w:rPr>
        <w:t>Scatter plot showing gene expression regulation by either CAF2, E</w:t>
      </w:r>
      <w:r w:rsidR="00137EB8">
        <w:rPr>
          <w:rFonts w:ascii="Arial" w:hAnsi="Arial" w:cs="Arial"/>
          <w:lang w:val="en-US"/>
        </w:rPr>
        <w:t>2</w:t>
      </w:r>
      <w:r w:rsidR="00137EB8" w:rsidRPr="00C729D4">
        <w:rPr>
          <w:rFonts w:ascii="Arial" w:hAnsi="Arial" w:cs="Arial"/>
          <w:lang w:val="en-US"/>
        </w:rPr>
        <w:t xml:space="preserve"> or both</w:t>
      </w:r>
      <w:r w:rsidR="00137EB8">
        <w:rPr>
          <w:rFonts w:ascii="Arial" w:hAnsi="Arial" w:cs="Arial"/>
          <w:lang w:val="en-US"/>
        </w:rPr>
        <w:t xml:space="preserve"> at </w:t>
      </w:r>
      <w:r w:rsidR="00137EB8">
        <w:rPr>
          <w:rFonts w:ascii="Arial" w:hAnsi="Arial" w:cs="Arial"/>
          <w:lang w:val="en-US"/>
        </w:rPr>
        <w:t>6</w:t>
      </w:r>
      <w:r w:rsidR="00137EB8">
        <w:rPr>
          <w:rFonts w:ascii="Arial" w:hAnsi="Arial" w:cs="Arial"/>
          <w:lang w:val="en-US"/>
        </w:rPr>
        <w:t>h</w:t>
      </w:r>
      <w:r w:rsidRPr="00C729D4">
        <w:rPr>
          <w:rFonts w:ascii="Arial" w:hAnsi="Arial" w:cs="Arial"/>
          <w:lang w:val="en-US"/>
        </w:rPr>
        <w:t xml:space="preserve"> (C).</w:t>
      </w:r>
    </w:p>
    <w:p w:rsidR="00C668F3" w:rsidRDefault="00C668F3" w:rsidP="00C668F3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  <w:lang w:val="en-US"/>
        </w:rPr>
      </w:pPr>
    </w:p>
    <w:p w:rsidR="00E201EF" w:rsidRDefault="00E201EF">
      <w:pPr>
        <w:spacing w:after="0" w:line="240" w:lineRule="auto"/>
        <w:rPr>
          <w:rFonts w:ascii="Arial" w:eastAsiaTheme="minorEastAsia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br w:type="page"/>
      </w:r>
    </w:p>
    <w:p w:rsidR="00C668F3" w:rsidRPr="00C729D4" w:rsidRDefault="00C668F3" w:rsidP="00C668F3">
      <w:pPr>
        <w:pStyle w:val="NoSpacing"/>
        <w:spacing w:line="480" w:lineRule="auto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lastRenderedPageBreak/>
        <w:t>Supplementary</w:t>
      </w:r>
      <w:r w:rsidRPr="00C729D4">
        <w:rPr>
          <w:rFonts w:ascii="Arial" w:hAnsi="Arial" w:cs="Arial"/>
          <w:b/>
          <w:bCs/>
          <w:lang w:val="en-US"/>
        </w:rPr>
        <w:t xml:space="preserve"> figure 4. Drug screen of MCF7 cells cocultured with CAFs.</w:t>
      </w:r>
      <w:r w:rsidRPr="00C729D4">
        <w:rPr>
          <w:rFonts w:ascii="Arial" w:hAnsi="Arial" w:cs="Arial"/>
          <w:lang w:val="en-US"/>
        </w:rPr>
        <w:t xml:space="preserve"> Schematic representation of the drug screen experiment showing incubation times with CAF2, drugs and estrogen before analysis. </w:t>
      </w:r>
    </w:p>
    <w:p w:rsidR="00C668F3" w:rsidRDefault="00C668F3" w:rsidP="00C668F3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  <w:lang w:val="en-US"/>
        </w:rPr>
      </w:pPr>
    </w:p>
    <w:p w:rsidR="00E201EF" w:rsidRDefault="00E201EF">
      <w:pPr>
        <w:spacing w:after="0" w:line="240" w:lineRule="auto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br w:type="page"/>
      </w:r>
    </w:p>
    <w:p w:rsidR="00C668F3" w:rsidRDefault="00C668F3" w:rsidP="00C668F3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lastRenderedPageBreak/>
        <w:t xml:space="preserve">Supplementary figure 5. The myofibroblast phenotype is dynamically regulated by malignant cells. </w:t>
      </w:r>
      <w:r>
        <w:rPr>
          <w:rFonts w:ascii="Arial" w:hAnsi="Arial" w:cs="Arial"/>
          <w:lang w:val="en-US"/>
        </w:rPr>
        <w:t xml:space="preserve"> Immunostaining of CAF2 cells for </w:t>
      </w:r>
      <w:r>
        <w:rPr>
          <w:rFonts w:ascii="Arial" w:hAnsi="Arial" w:cs="Arial"/>
          <w:lang w:val="en-US"/>
        </w:rPr>
        <w:sym w:font="Symbol" w:char="F061"/>
      </w:r>
      <w:r>
        <w:rPr>
          <w:rFonts w:ascii="Arial" w:hAnsi="Arial" w:cs="Arial"/>
          <w:lang w:val="en-US"/>
        </w:rPr>
        <w:t xml:space="preserve">-smooth muscle actin (red) as a surrogate marker for myofibroblasts. The specificity of the signal is demonstrated by omission of the primary antibody (A). Whereas co-culturing with MCF7 cells </w:t>
      </w:r>
      <w:r w:rsidR="006C5FA9">
        <w:rPr>
          <w:rFonts w:ascii="Arial" w:hAnsi="Arial" w:cs="Arial"/>
          <w:lang w:val="en-US"/>
        </w:rPr>
        <w:t>induces the myofibroblast phenotype in CAF2 cells (B-C), inhibition of TGF-</w:t>
      </w:r>
      <w:r w:rsidR="006C5FA9">
        <w:rPr>
          <w:rFonts w:ascii="Arial" w:hAnsi="Arial" w:cs="Arial"/>
          <w:lang w:val="en-US"/>
        </w:rPr>
        <w:sym w:font="Symbol" w:char="F062"/>
      </w:r>
      <w:r w:rsidR="006C5FA9">
        <w:rPr>
          <w:rFonts w:ascii="Arial" w:hAnsi="Arial" w:cs="Arial"/>
          <w:lang w:val="en-US"/>
        </w:rPr>
        <w:t xml:space="preserve"> or JAK with the inhibitors SB-431542 (D-E) or </w:t>
      </w:r>
      <w:proofErr w:type="spellStart"/>
      <w:r w:rsidR="006C5FA9">
        <w:rPr>
          <w:rFonts w:ascii="Arial" w:hAnsi="Arial" w:cs="Arial"/>
          <w:lang w:val="en-US"/>
        </w:rPr>
        <w:t>Pyridone</w:t>
      </w:r>
      <w:proofErr w:type="spellEnd"/>
      <w:r w:rsidR="006C5FA9">
        <w:rPr>
          <w:rFonts w:ascii="Arial" w:hAnsi="Arial" w:cs="Arial"/>
          <w:lang w:val="en-US"/>
        </w:rPr>
        <w:t xml:space="preserve"> 6 (F-G), respectively, reduces expression of </w:t>
      </w:r>
      <w:r w:rsidR="006C5FA9">
        <w:rPr>
          <w:rFonts w:ascii="Arial" w:hAnsi="Arial" w:cs="Arial"/>
          <w:lang w:val="en-US"/>
        </w:rPr>
        <w:sym w:font="Symbol" w:char="F061"/>
      </w:r>
      <w:r w:rsidR="006C5FA9">
        <w:rPr>
          <w:rFonts w:ascii="Arial" w:hAnsi="Arial" w:cs="Arial"/>
          <w:lang w:val="en-US"/>
        </w:rPr>
        <w:t>-smooth muscle actin (H).</w:t>
      </w:r>
    </w:p>
    <w:p w:rsidR="00D83B59" w:rsidRDefault="00D83B59" w:rsidP="00C668F3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  <w:lang w:val="en-US"/>
        </w:rPr>
      </w:pPr>
    </w:p>
    <w:p w:rsidR="00E201EF" w:rsidRDefault="00E201EF">
      <w:pPr>
        <w:spacing w:after="0" w:line="240" w:lineRule="auto"/>
        <w:rPr>
          <w:rFonts w:ascii="Arial" w:eastAsiaTheme="minorEastAsia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br w:type="page"/>
      </w:r>
    </w:p>
    <w:p w:rsidR="00D83B59" w:rsidRDefault="00D83B59" w:rsidP="00D83B59">
      <w:pPr>
        <w:pStyle w:val="NoSpacing"/>
        <w:spacing w:line="48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lastRenderedPageBreak/>
        <w:t>Supplementary</w:t>
      </w:r>
      <w:r w:rsidRPr="00C729D4">
        <w:rPr>
          <w:rFonts w:ascii="Arial" w:hAnsi="Arial" w:cs="Arial"/>
          <w:b/>
          <w:bCs/>
          <w:lang w:val="en-US"/>
        </w:rPr>
        <w:t xml:space="preserve"> figure </w:t>
      </w:r>
      <w:r>
        <w:rPr>
          <w:rFonts w:ascii="Arial" w:hAnsi="Arial" w:cs="Arial"/>
          <w:b/>
          <w:bCs/>
          <w:lang w:val="en-US"/>
        </w:rPr>
        <w:t>6</w:t>
      </w:r>
      <w:r w:rsidRPr="00C729D4">
        <w:rPr>
          <w:rFonts w:ascii="Arial" w:hAnsi="Arial" w:cs="Arial"/>
          <w:b/>
          <w:bCs/>
          <w:lang w:val="en-US"/>
        </w:rPr>
        <w:t xml:space="preserve">. </w:t>
      </w:r>
      <w:r>
        <w:rPr>
          <w:rFonts w:ascii="Arial" w:hAnsi="Arial" w:cs="Arial"/>
          <w:b/>
          <w:bCs/>
          <w:lang w:val="en-US"/>
        </w:rPr>
        <w:t>TGF-</w:t>
      </w:r>
      <w:r>
        <w:rPr>
          <w:rFonts w:ascii="Arial" w:hAnsi="Arial" w:cs="Arial"/>
          <w:b/>
          <w:bCs/>
          <w:lang w:val="en-US"/>
        </w:rPr>
        <w:sym w:font="Symbol" w:char="F062"/>
      </w:r>
      <w:r>
        <w:rPr>
          <w:rFonts w:ascii="Arial" w:hAnsi="Arial" w:cs="Arial"/>
          <w:b/>
          <w:bCs/>
          <w:lang w:val="en-US"/>
        </w:rPr>
        <w:t xml:space="preserve"> or JAK inhibition causes differential effects in ER-</w:t>
      </w:r>
      <w:r>
        <w:rPr>
          <w:rFonts w:ascii="Arial" w:hAnsi="Arial" w:cs="Arial"/>
          <w:b/>
          <w:bCs/>
          <w:lang w:val="en-US"/>
        </w:rPr>
        <w:sym w:font="Symbol" w:char="F061"/>
      </w:r>
      <w:r>
        <w:rPr>
          <w:rFonts w:ascii="Arial" w:hAnsi="Arial" w:cs="Arial"/>
          <w:b/>
          <w:bCs/>
          <w:vertAlign w:val="superscript"/>
          <w:lang w:val="en-US"/>
        </w:rPr>
        <w:t>+</w:t>
      </w:r>
      <w:r>
        <w:rPr>
          <w:rFonts w:ascii="Arial" w:hAnsi="Arial" w:cs="Arial"/>
          <w:b/>
          <w:bCs/>
          <w:lang w:val="en-US"/>
        </w:rPr>
        <w:t xml:space="preserve"> breast cancer cell lines.</w:t>
      </w:r>
      <w:r w:rsidRPr="00C729D4">
        <w:rPr>
          <w:rFonts w:ascii="Arial" w:hAnsi="Arial" w:cs="Arial"/>
          <w:lang w:val="en-US"/>
        </w:rPr>
        <w:t xml:space="preserve"> The effect of TGF-β type I receptor inhibit</w:t>
      </w:r>
      <w:r>
        <w:rPr>
          <w:rFonts w:ascii="Arial" w:hAnsi="Arial" w:cs="Arial"/>
          <w:lang w:val="en-US"/>
        </w:rPr>
        <w:t xml:space="preserve">ion and JAK inhibition on </w:t>
      </w:r>
      <w:r w:rsidR="00703AAA">
        <w:rPr>
          <w:rFonts w:ascii="Arial" w:hAnsi="Arial" w:cs="Arial"/>
          <w:lang w:val="en-US"/>
        </w:rPr>
        <w:t>T47D (A-B) or BT474</w:t>
      </w:r>
      <w:r>
        <w:rPr>
          <w:rFonts w:ascii="Arial" w:hAnsi="Arial" w:cs="Arial"/>
          <w:lang w:val="en-US"/>
        </w:rPr>
        <w:t xml:space="preserve"> </w:t>
      </w:r>
      <w:r w:rsidR="00703AAA">
        <w:rPr>
          <w:rFonts w:ascii="Arial" w:hAnsi="Arial" w:cs="Arial"/>
          <w:lang w:val="en-US"/>
        </w:rPr>
        <w:t>(</w:t>
      </w:r>
      <w:r w:rsidR="00137EB8">
        <w:rPr>
          <w:rFonts w:ascii="Arial" w:hAnsi="Arial" w:cs="Arial"/>
          <w:lang w:val="en-US"/>
        </w:rPr>
        <w:t>C</w:t>
      </w:r>
      <w:r w:rsidR="00703AAA">
        <w:rPr>
          <w:rFonts w:ascii="Arial" w:hAnsi="Arial" w:cs="Arial"/>
          <w:lang w:val="en-US"/>
        </w:rPr>
        <w:t xml:space="preserve">-D) </w:t>
      </w:r>
      <w:r>
        <w:rPr>
          <w:rFonts w:ascii="Arial" w:hAnsi="Arial" w:cs="Arial"/>
          <w:lang w:val="en-US"/>
        </w:rPr>
        <w:t xml:space="preserve">ERE-activity </w:t>
      </w:r>
      <w:r w:rsidR="00703AAA">
        <w:rPr>
          <w:rFonts w:ascii="Arial" w:hAnsi="Arial" w:cs="Arial"/>
          <w:lang w:val="en-US"/>
        </w:rPr>
        <w:t xml:space="preserve">in mono-cultures or in co-cultures with CAF2 cells </w:t>
      </w:r>
      <w:r>
        <w:rPr>
          <w:rFonts w:ascii="Arial" w:hAnsi="Arial" w:cs="Arial"/>
          <w:lang w:val="en-US"/>
        </w:rPr>
        <w:t>was validated through the use of</w:t>
      </w:r>
      <w:r w:rsidRPr="00C729D4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>the TGF-</w:t>
      </w:r>
      <w:r>
        <w:rPr>
          <w:rFonts w:ascii="Arial" w:hAnsi="Arial" w:cs="Arial"/>
          <w:lang w:val="en-US"/>
        </w:rPr>
        <w:sym w:font="Symbol" w:char="F062"/>
      </w:r>
      <w:r>
        <w:rPr>
          <w:rFonts w:ascii="Arial" w:hAnsi="Arial" w:cs="Arial"/>
          <w:lang w:val="en-US"/>
        </w:rPr>
        <w:t xml:space="preserve"> type I receptor (</w:t>
      </w:r>
      <w:r w:rsidRPr="00C729D4">
        <w:rPr>
          <w:rFonts w:ascii="Arial" w:hAnsi="Arial" w:cs="Arial"/>
          <w:lang w:val="en-US"/>
        </w:rPr>
        <w:t>SB-431542</w:t>
      </w:r>
      <w:r>
        <w:rPr>
          <w:rFonts w:ascii="Arial" w:hAnsi="Arial" w:cs="Arial"/>
          <w:lang w:val="en-US"/>
        </w:rPr>
        <w:t xml:space="preserve">; </w:t>
      </w:r>
      <w:r w:rsidRPr="00C729D4">
        <w:rPr>
          <w:rFonts w:ascii="Arial" w:hAnsi="Arial" w:cs="Arial"/>
          <w:lang w:val="en-US"/>
        </w:rPr>
        <w:t>TGF-β</w:t>
      </w:r>
      <w:proofErr w:type="spellStart"/>
      <w:r w:rsidRPr="00C729D4">
        <w:rPr>
          <w:rFonts w:ascii="Arial" w:hAnsi="Arial" w:cs="Arial"/>
          <w:lang w:val="en-US"/>
        </w:rPr>
        <w:t>i</w:t>
      </w:r>
      <w:proofErr w:type="spellEnd"/>
      <w:r w:rsidRPr="00C729D4">
        <w:rPr>
          <w:rFonts w:ascii="Arial" w:hAnsi="Arial" w:cs="Arial"/>
          <w:lang w:val="en-US"/>
        </w:rPr>
        <w:t xml:space="preserve">, 5 µM) or </w:t>
      </w:r>
      <w:r w:rsidR="00137EB8">
        <w:rPr>
          <w:rFonts w:ascii="Arial" w:hAnsi="Arial" w:cs="Arial"/>
          <w:lang w:val="en-US"/>
        </w:rPr>
        <w:t xml:space="preserve">the </w:t>
      </w:r>
      <w:r w:rsidRPr="00C729D4">
        <w:rPr>
          <w:rFonts w:ascii="Arial" w:hAnsi="Arial" w:cs="Arial"/>
          <w:lang w:val="en-US"/>
        </w:rPr>
        <w:t xml:space="preserve">pan-JAK inhibitor </w:t>
      </w:r>
      <w:proofErr w:type="spellStart"/>
      <w:r>
        <w:rPr>
          <w:rFonts w:ascii="Arial" w:hAnsi="Arial" w:cs="Arial"/>
          <w:lang w:val="en-US"/>
        </w:rPr>
        <w:t>P</w:t>
      </w:r>
      <w:r w:rsidRPr="00C729D4">
        <w:rPr>
          <w:rFonts w:ascii="Arial" w:hAnsi="Arial" w:cs="Arial"/>
          <w:lang w:val="en-US"/>
        </w:rPr>
        <w:t>yridone</w:t>
      </w:r>
      <w:proofErr w:type="spellEnd"/>
      <w:r w:rsidRPr="00C729D4">
        <w:rPr>
          <w:rFonts w:ascii="Arial" w:hAnsi="Arial" w:cs="Arial"/>
          <w:lang w:val="en-US"/>
        </w:rPr>
        <w:t xml:space="preserve"> 6 (</w:t>
      </w:r>
      <w:proofErr w:type="spellStart"/>
      <w:r w:rsidRPr="00C729D4">
        <w:rPr>
          <w:rFonts w:ascii="Arial" w:hAnsi="Arial" w:cs="Arial"/>
          <w:lang w:val="en-US"/>
        </w:rPr>
        <w:t>JAKi</w:t>
      </w:r>
      <w:proofErr w:type="spellEnd"/>
      <w:r w:rsidRPr="00C729D4">
        <w:rPr>
          <w:rFonts w:ascii="Arial" w:hAnsi="Arial" w:cs="Arial"/>
          <w:lang w:val="en-US"/>
        </w:rPr>
        <w:t>, 75nM).</w:t>
      </w:r>
    </w:p>
    <w:p w:rsidR="00B50DEA" w:rsidRDefault="00B50DEA" w:rsidP="00D83B59">
      <w:pPr>
        <w:pStyle w:val="NoSpacing"/>
        <w:spacing w:line="480" w:lineRule="auto"/>
        <w:rPr>
          <w:rFonts w:ascii="Arial" w:hAnsi="Arial" w:cs="Arial"/>
          <w:lang w:val="en-US"/>
        </w:rPr>
      </w:pPr>
    </w:p>
    <w:p w:rsidR="00E201EF" w:rsidRDefault="00E201EF">
      <w:pPr>
        <w:spacing w:after="0" w:line="240" w:lineRule="auto"/>
        <w:rPr>
          <w:rFonts w:ascii="Arial" w:eastAsiaTheme="minorEastAsia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br w:type="page"/>
      </w:r>
    </w:p>
    <w:p w:rsidR="00AF45F7" w:rsidRPr="00B11790" w:rsidRDefault="00B50DEA" w:rsidP="00B11790">
      <w:pPr>
        <w:pStyle w:val="NoSpacing"/>
        <w:spacing w:line="48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lastRenderedPageBreak/>
        <w:t>Supplementary</w:t>
      </w:r>
      <w:r w:rsidRPr="00C729D4">
        <w:rPr>
          <w:rFonts w:ascii="Arial" w:hAnsi="Arial" w:cs="Arial"/>
          <w:b/>
          <w:bCs/>
          <w:lang w:val="en-US"/>
        </w:rPr>
        <w:t xml:space="preserve"> figure </w:t>
      </w:r>
      <w:r>
        <w:rPr>
          <w:rFonts w:ascii="Arial" w:hAnsi="Arial" w:cs="Arial"/>
          <w:b/>
          <w:bCs/>
          <w:lang w:val="en-US"/>
        </w:rPr>
        <w:t>7</w:t>
      </w:r>
      <w:r w:rsidRPr="00C729D4">
        <w:rPr>
          <w:rFonts w:ascii="Arial" w:hAnsi="Arial" w:cs="Arial"/>
          <w:b/>
          <w:bCs/>
          <w:lang w:val="en-US"/>
        </w:rPr>
        <w:t xml:space="preserve">. </w:t>
      </w:r>
      <w:r>
        <w:rPr>
          <w:rFonts w:ascii="Arial" w:hAnsi="Arial" w:cs="Arial"/>
          <w:b/>
          <w:bCs/>
          <w:lang w:val="en-US"/>
        </w:rPr>
        <w:t>TGF-</w:t>
      </w:r>
      <w:r>
        <w:rPr>
          <w:rFonts w:ascii="Arial" w:hAnsi="Arial" w:cs="Arial"/>
          <w:b/>
          <w:bCs/>
          <w:lang w:val="en-US"/>
        </w:rPr>
        <w:sym w:font="Symbol" w:char="F062"/>
      </w:r>
      <w:r>
        <w:rPr>
          <w:rFonts w:ascii="Arial" w:hAnsi="Arial" w:cs="Arial"/>
          <w:b/>
          <w:bCs/>
          <w:lang w:val="en-US"/>
        </w:rPr>
        <w:t xml:space="preserve"> pathway activity is associated with poor response to endocrine therapy. </w:t>
      </w:r>
      <w:r>
        <w:rPr>
          <w:rFonts w:ascii="Arial" w:hAnsi="Arial" w:cs="Arial"/>
          <w:lang w:val="en-US"/>
        </w:rPr>
        <w:t>Kaplan-Meier analysis of progression-free interval of luminal breast cancer patients from the TCGA cohort dichotomized for the 25% of patients with the highest TGF-</w:t>
      </w:r>
      <w:r>
        <w:rPr>
          <w:rFonts w:ascii="Arial" w:hAnsi="Arial" w:cs="Arial"/>
          <w:lang w:val="en-US"/>
        </w:rPr>
        <w:sym w:font="Symbol" w:char="F062"/>
      </w:r>
      <w:r>
        <w:rPr>
          <w:rFonts w:ascii="Arial" w:hAnsi="Arial" w:cs="Arial"/>
          <w:lang w:val="en-US"/>
        </w:rPr>
        <w:t xml:space="preserve"> (A) or JAK (B) pathway activity scores </w:t>
      </w:r>
      <w:r>
        <w:rPr>
          <w:rFonts w:ascii="Arial" w:hAnsi="Arial" w:cs="Arial"/>
          <w:i/>
          <w:iCs/>
          <w:lang w:val="en-US"/>
        </w:rPr>
        <w:t xml:space="preserve">vs </w:t>
      </w:r>
      <w:r>
        <w:rPr>
          <w:rFonts w:ascii="Arial" w:hAnsi="Arial" w:cs="Arial"/>
          <w:lang w:val="en-US"/>
        </w:rPr>
        <w:t>the 25% of patients with the lowest score.</w:t>
      </w:r>
      <w:r w:rsidR="00B67710">
        <w:rPr>
          <w:rFonts w:ascii="Arial" w:hAnsi="Arial" w:cs="Arial"/>
          <w:lang w:val="en-US"/>
        </w:rPr>
        <w:t xml:space="preserve"> </w:t>
      </w:r>
    </w:p>
    <w:sectPr w:rsidR="00AF45F7" w:rsidRPr="00B1179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C1F5B" w:rsidRDefault="00AC1F5B" w:rsidP="00E201EF">
      <w:pPr>
        <w:spacing w:after="0" w:line="240" w:lineRule="auto"/>
      </w:pPr>
      <w:r>
        <w:separator/>
      </w:r>
    </w:p>
  </w:endnote>
  <w:endnote w:type="continuationSeparator" w:id="0">
    <w:p w:rsidR="00AC1F5B" w:rsidRDefault="00AC1F5B" w:rsidP="00E201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201EF" w:rsidRDefault="00E201E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201EF" w:rsidRDefault="00E201E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201EF" w:rsidRDefault="00E201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C1F5B" w:rsidRDefault="00AC1F5B" w:rsidP="00E201EF">
      <w:pPr>
        <w:spacing w:after="0" w:line="240" w:lineRule="auto"/>
      </w:pPr>
      <w:r>
        <w:separator/>
      </w:r>
    </w:p>
  </w:footnote>
  <w:footnote w:type="continuationSeparator" w:id="0">
    <w:p w:rsidR="00AC1F5B" w:rsidRDefault="00AC1F5B" w:rsidP="00E201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201EF" w:rsidRDefault="00E201E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201EF" w:rsidRDefault="00E201E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201EF" w:rsidRDefault="00E201E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F82"/>
    <w:rsid w:val="000376DA"/>
    <w:rsid w:val="000409A2"/>
    <w:rsid w:val="00070037"/>
    <w:rsid w:val="0009135A"/>
    <w:rsid w:val="000F1990"/>
    <w:rsid w:val="001039D1"/>
    <w:rsid w:val="00110B1C"/>
    <w:rsid w:val="001128BA"/>
    <w:rsid w:val="00133FA6"/>
    <w:rsid w:val="00137EB8"/>
    <w:rsid w:val="00140F69"/>
    <w:rsid w:val="0015140A"/>
    <w:rsid w:val="001920D5"/>
    <w:rsid w:val="00195FAF"/>
    <w:rsid w:val="001C680F"/>
    <w:rsid w:val="001E631E"/>
    <w:rsid w:val="001E79CD"/>
    <w:rsid w:val="00203FED"/>
    <w:rsid w:val="00230A93"/>
    <w:rsid w:val="00270933"/>
    <w:rsid w:val="00292DA1"/>
    <w:rsid w:val="002B25F2"/>
    <w:rsid w:val="002B5D4B"/>
    <w:rsid w:val="002F0B08"/>
    <w:rsid w:val="00332B37"/>
    <w:rsid w:val="00381A14"/>
    <w:rsid w:val="003B325B"/>
    <w:rsid w:val="003D686F"/>
    <w:rsid w:val="00417B95"/>
    <w:rsid w:val="004337D4"/>
    <w:rsid w:val="00492BAD"/>
    <w:rsid w:val="004B70B8"/>
    <w:rsid w:val="004D6548"/>
    <w:rsid w:val="004F3FE7"/>
    <w:rsid w:val="0050324E"/>
    <w:rsid w:val="00511E09"/>
    <w:rsid w:val="00565E60"/>
    <w:rsid w:val="00643F1B"/>
    <w:rsid w:val="006525C6"/>
    <w:rsid w:val="006C5FA9"/>
    <w:rsid w:val="006F7E2B"/>
    <w:rsid w:val="00703AAA"/>
    <w:rsid w:val="007A620E"/>
    <w:rsid w:val="007B7276"/>
    <w:rsid w:val="007D5826"/>
    <w:rsid w:val="007F15B6"/>
    <w:rsid w:val="008068CD"/>
    <w:rsid w:val="00841686"/>
    <w:rsid w:val="008B4C0D"/>
    <w:rsid w:val="008E44B9"/>
    <w:rsid w:val="00900F82"/>
    <w:rsid w:val="00914C62"/>
    <w:rsid w:val="009408CE"/>
    <w:rsid w:val="0096699E"/>
    <w:rsid w:val="00970964"/>
    <w:rsid w:val="009B36EF"/>
    <w:rsid w:val="009E2FDF"/>
    <w:rsid w:val="009E5C0D"/>
    <w:rsid w:val="00A05441"/>
    <w:rsid w:val="00A561A5"/>
    <w:rsid w:val="00AA4DF4"/>
    <w:rsid w:val="00AC1F5B"/>
    <w:rsid w:val="00AF45F7"/>
    <w:rsid w:val="00B11790"/>
    <w:rsid w:val="00B4715B"/>
    <w:rsid w:val="00B50DEA"/>
    <w:rsid w:val="00B67710"/>
    <w:rsid w:val="00B825C1"/>
    <w:rsid w:val="00B8762D"/>
    <w:rsid w:val="00BA1ED1"/>
    <w:rsid w:val="00BB5FA0"/>
    <w:rsid w:val="00BD0EBD"/>
    <w:rsid w:val="00BD61B8"/>
    <w:rsid w:val="00C11AC0"/>
    <w:rsid w:val="00C20FF4"/>
    <w:rsid w:val="00C30DC4"/>
    <w:rsid w:val="00C34006"/>
    <w:rsid w:val="00C40294"/>
    <w:rsid w:val="00C668F3"/>
    <w:rsid w:val="00CA2D98"/>
    <w:rsid w:val="00CB0AF0"/>
    <w:rsid w:val="00CB7986"/>
    <w:rsid w:val="00CC1D9E"/>
    <w:rsid w:val="00D2215C"/>
    <w:rsid w:val="00D52BCB"/>
    <w:rsid w:val="00D83B59"/>
    <w:rsid w:val="00D95324"/>
    <w:rsid w:val="00DA4774"/>
    <w:rsid w:val="00DB41C8"/>
    <w:rsid w:val="00DC2DFD"/>
    <w:rsid w:val="00E201EF"/>
    <w:rsid w:val="00EC4152"/>
    <w:rsid w:val="00F113CB"/>
    <w:rsid w:val="00F15EE2"/>
    <w:rsid w:val="00F20904"/>
    <w:rsid w:val="00F21D8B"/>
    <w:rsid w:val="00F36574"/>
    <w:rsid w:val="00F50BD2"/>
    <w:rsid w:val="00F74726"/>
    <w:rsid w:val="00FA5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66AC8B8"/>
  <w15:chartTrackingRefBased/>
  <w15:docId w15:val="{8ED90EBA-FA13-D64B-8772-BAE4B740E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0F82"/>
    <w:pPr>
      <w:spacing w:after="160" w:line="259" w:lineRule="auto"/>
    </w:pPr>
    <w:rPr>
      <w:kern w:val="0"/>
      <w:sz w:val="22"/>
      <w:szCs w:val="22"/>
      <w:lang w:val="sv-SE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00F82"/>
    <w:pPr>
      <w:jc w:val="both"/>
    </w:pPr>
    <w:rPr>
      <w:rFonts w:eastAsiaTheme="minorEastAsia"/>
      <w:kern w:val="0"/>
      <w:sz w:val="22"/>
      <w:szCs w:val="22"/>
      <w:lang w:val="sv-SE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E201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01EF"/>
    <w:rPr>
      <w:kern w:val="0"/>
      <w:sz w:val="22"/>
      <w:szCs w:val="22"/>
      <w:lang w:val="sv-SE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E201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01EF"/>
    <w:rPr>
      <w:kern w:val="0"/>
      <w:sz w:val="22"/>
      <w:szCs w:val="22"/>
      <w:lang w:val="sv-S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032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426</Words>
  <Characters>2433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Kristian Pietras</dc:creator>
  <cp:keywords/>
  <dc:description/>
  <cp:lastModifiedBy>Kristian Pietras</cp:lastModifiedBy>
  <cp:revision>3</cp:revision>
  <dcterms:created xsi:type="dcterms:W3CDTF">2024-02-05T20:01:00Z</dcterms:created>
  <dcterms:modified xsi:type="dcterms:W3CDTF">2024-02-19T21:46:00Z</dcterms:modified>
</cp:coreProperties>
</file>