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3E6C0" w14:textId="0595F168" w:rsidR="00966192" w:rsidRPr="00966192" w:rsidRDefault="00966192" w:rsidP="00966192">
      <w:pPr>
        <w:shd w:val="clear" w:color="auto" w:fill="FFFFFF"/>
        <w:spacing w:afterLines="50" w:after="120" w:line="480" w:lineRule="auto"/>
        <w:rPr>
          <w:rFonts w:ascii="Arial" w:eastAsia="TimesNewRomanPSMT" w:hAnsi="Arial" w:cs="Arial"/>
          <w:b/>
          <w:szCs w:val="24"/>
        </w:rPr>
      </w:pPr>
      <w:r w:rsidRPr="00966192">
        <w:rPr>
          <w:rFonts w:ascii="Arial" w:eastAsia="TimesNewRomanPSMT" w:hAnsi="Arial" w:cs="Arial"/>
          <w:b/>
          <w:szCs w:val="24"/>
        </w:rPr>
        <w:t>Supplementary Experimental Procedures</w:t>
      </w:r>
    </w:p>
    <w:p w14:paraId="69D84EEC" w14:textId="77777777" w:rsidR="00C265A8" w:rsidRPr="004B664F" w:rsidRDefault="00C265A8" w:rsidP="00C265A8">
      <w:pPr>
        <w:widowControl w:val="0"/>
        <w:spacing w:line="480" w:lineRule="auto"/>
        <w:jc w:val="both"/>
        <w:rPr>
          <w:b/>
          <w:bCs/>
        </w:rPr>
      </w:pPr>
      <w:r w:rsidRPr="004B664F">
        <w:rPr>
          <w:b/>
          <w:bCs/>
        </w:rPr>
        <w:t>Immunoblot analysis</w:t>
      </w:r>
    </w:p>
    <w:p w14:paraId="57F97EDB" w14:textId="35C72D8B" w:rsidR="00C265A8" w:rsidRPr="00C265A8" w:rsidRDefault="00C265A8" w:rsidP="00C265A8">
      <w:pPr>
        <w:widowControl w:val="0"/>
        <w:spacing w:afterLines="50" w:after="120" w:line="480" w:lineRule="auto"/>
        <w:jc w:val="both"/>
      </w:pPr>
      <w:r w:rsidRPr="00C265A8">
        <w:t>Immunoblot analysis was conducted as previously described by us</w:t>
      </w:r>
      <w:r>
        <w:t xml:space="preserve"> </w:t>
      </w:r>
      <w:r>
        <w:fldChar w:fldCharType="begin">
          <w:fldData xml:space="preserve">PEVuZE5vdGU+PENpdGU+PEF1dGhvcj5TdTwvQXV0aG9yPjxZZWFyPjIwMjI8L1llYXI+PFJlY051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</w:fldData>
        </w:fldChar>
      </w:r>
      <w:r>
        <w:instrText xml:space="preserve"> ADDIN EN.CITE </w:instrText>
      </w:r>
      <w:r>
        <w:fldChar w:fldCharType="begin">
          <w:fldData xml:space="preserve">PEVuZE5vdGU+PENpdGU+PEF1dGhvcj5TdTwvQXV0aG9yPjxZZWFyPjIwMjI8L1llYXI+PFJlY051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</w:fldData>
        </w:fldChar>
      </w:r>
      <w:r>
        <w:instrText xml:space="preserve"> ADDIN EN.CITE.DATA </w:instrText>
      </w:r>
      <w:r>
        <w:fldChar w:fldCharType="end"/>
      </w:r>
      <w:r>
        <w:fldChar w:fldCharType="separate"/>
      </w:r>
      <w:r>
        <w:rPr>
          <w:noProof/>
        </w:rPr>
        <w:t>[</w:t>
      </w:r>
      <w:hyperlink w:anchor="_ENREF_1" w:tooltip="Su, 2022 #36" w:history="1">
        <w:r>
          <w:rPr>
            <w:noProof/>
          </w:rPr>
          <w:t>1</w:t>
        </w:r>
      </w:hyperlink>
      <w:r>
        <w:rPr>
          <w:noProof/>
        </w:rPr>
        <w:t>]</w:t>
      </w:r>
      <w:r>
        <w:fldChar w:fldCharType="end"/>
      </w:r>
      <w:r>
        <w:t xml:space="preserve">. </w:t>
      </w:r>
      <w:r w:rsidRPr="00C265A8">
        <w:t>Briefly, cells were collected and lysed in ice-cold RIPA buffer (Thermo Fisher Scientific, 89900) supplemented with protease inhibitor cocktail (</w:t>
      </w:r>
      <w:proofErr w:type="spellStart"/>
      <w:r w:rsidRPr="00C265A8">
        <w:t>Sangon</w:t>
      </w:r>
      <w:proofErr w:type="spellEnd"/>
      <w:r w:rsidRPr="00C265A8">
        <w:t xml:space="preserve"> Biotech, C600387) and phosphatase inhibitor cocktail (</w:t>
      </w:r>
      <w:proofErr w:type="spellStart"/>
      <w:r w:rsidRPr="00C265A8">
        <w:t>Sangon</w:t>
      </w:r>
      <w:proofErr w:type="spellEnd"/>
      <w:r w:rsidRPr="00C265A8">
        <w:t xml:space="preserve"> Biotech, C500017). Lysates were cleared by centrifugation at 1</w:t>
      </w:r>
      <w:r w:rsidRPr="00C265A8">
        <w:rPr>
          <w:rFonts w:hint="eastAsia"/>
          <w:lang w:eastAsia="zh-CN"/>
        </w:rPr>
        <w:t>4</w:t>
      </w:r>
      <w:r w:rsidRPr="00C265A8">
        <w:t>,000 g for 1</w:t>
      </w:r>
      <w:r w:rsidRPr="00C265A8">
        <w:rPr>
          <w:rFonts w:hint="eastAsia"/>
          <w:lang w:eastAsia="zh-CN"/>
        </w:rPr>
        <w:t>5</w:t>
      </w:r>
      <w:r w:rsidRPr="00C265A8">
        <w:t xml:space="preserve"> min </w:t>
      </w:r>
      <w:r w:rsidRPr="00C265A8">
        <w:rPr>
          <w:rFonts w:hint="eastAsia"/>
          <w:lang w:eastAsia="zh-CN"/>
        </w:rPr>
        <w:t>at</w:t>
      </w:r>
      <w:r w:rsidRPr="00C265A8">
        <w:t xml:space="preserve"> </w:t>
      </w:r>
      <w:r w:rsidRPr="00C265A8">
        <w:rPr>
          <w:rFonts w:hint="eastAsia"/>
          <w:lang w:eastAsia="zh-CN"/>
        </w:rPr>
        <w:t>4</w:t>
      </w:r>
      <w:r w:rsidRPr="00C265A8">
        <w:t>°C and total protein was quantitated using BCA Protein Quantification Kit (</w:t>
      </w:r>
      <w:proofErr w:type="spellStart"/>
      <w:r w:rsidRPr="00C265A8">
        <w:t>Yeasen</w:t>
      </w:r>
      <w:proofErr w:type="spellEnd"/>
      <w:r w:rsidRPr="00C265A8">
        <w:t xml:space="preserve"> Biotechnology, 20201ES76). Equal amounts of whole cell lysates were subjected to SDS-PAGE gel electrophoresis and transferred onto nitrocellulose membrane (Merck, HATF00010) followed by immunoblot with indicated antibodies. Eventually, proteins were detected by ECL chemiluminescence kit (</w:t>
      </w:r>
      <w:proofErr w:type="spellStart"/>
      <w:r w:rsidRPr="00C265A8">
        <w:t>Fdbio</w:t>
      </w:r>
      <w:proofErr w:type="spellEnd"/>
      <w:r w:rsidRPr="00C265A8">
        <w:t xml:space="preserve"> science, FD8020). Each immunoblotting experiment was performed in at least three independent biological repeats.</w:t>
      </w:r>
    </w:p>
    <w:p w14:paraId="3E9A80DB" w14:textId="2A463CB8" w:rsidR="00E164C2" w:rsidRPr="004B664F" w:rsidRDefault="00E164C2" w:rsidP="00E164C2">
      <w:pPr>
        <w:widowControl w:val="0"/>
        <w:spacing w:line="480" w:lineRule="auto"/>
        <w:jc w:val="both"/>
        <w:rPr>
          <w:b/>
          <w:bCs/>
        </w:rPr>
      </w:pPr>
      <w:r w:rsidRPr="004B664F">
        <w:rPr>
          <w:b/>
          <w:bCs/>
        </w:rPr>
        <w:t>Immunofluorescence staining</w:t>
      </w:r>
    </w:p>
    <w:p w14:paraId="484E2F4B" w14:textId="77777777" w:rsidR="00E164C2" w:rsidRPr="00E164C2" w:rsidRDefault="00E164C2" w:rsidP="00E164C2">
      <w:pPr>
        <w:widowControl w:val="0"/>
        <w:spacing w:afterLines="50" w:after="120" w:line="480" w:lineRule="auto"/>
        <w:jc w:val="both"/>
      </w:pPr>
      <w:r w:rsidRPr="00E164C2">
        <w:t>Cells were seeded on coverslips in a 24-well culture plate. Twenty-four hours later, cells were washed with PBS buffer, fixed with 4% paraformaldehyde for 30 min, permeabilized with 0.2% Triton X-100, and then blocked with 5% BSA for 1 h. Subsequently, cells were incubated with rabbit anti-P4HA2 (</w:t>
      </w:r>
      <w:proofErr w:type="spellStart"/>
      <w:r w:rsidRPr="00E164C2">
        <w:t>Proteintech</w:t>
      </w:r>
      <w:proofErr w:type="spellEnd"/>
      <w:r w:rsidRPr="00E164C2">
        <w:t>, 13759-1-AP) and mouse anti-mTOR (Santa Cruz, sc-51764) antibodies (1:500 dilution for both) at 4°C overnight. The following day, cells were washed with PBST buffer and incubated with FITC-conjugated anti-rabbit secondary antibody (</w:t>
      </w:r>
      <w:proofErr w:type="spellStart"/>
      <w:r w:rsidRPr="00E164C2">
        <w:t>Beyotime</w:t>
      </w:r>
      <w:proofErr w:type="spellEnd"/>
      <w:r w:rsidRPr="00E164C2">
        <w:t>, A0562) and Cy3-conjugated anti-mouse secondary antibody (</w:t>
      </w:r>
      <w:proofErr w:type="spellStart"/>
      <w:r w:rsidRPr="00E164C2">
        <w:t>Beyotime</w:t>
      </w:r>
      <w:proofErr w:type="spellEnd"/>
      <w:r w:rsidRPr="00E164C2">
        <w:t>, A5021) for 2 h in dark. Nuclei were counterstained with 4’,6-diamidino-2-phenylindole (DAPI).</w:t>
      </w:r>
      <w:bookmarkStart w:id="0" w:name="_Hlk126792266"/>
      <w:r w:rsidRPr="00E164C2">
        <w:t xml:space="preserve"> Finally,</w:t>
      </w:r>
      <w:bookmarkEnd w:id="0"/>
      <w:r w:rsidRPr="00E164C2">
        <w:t xml:space="preserve"> protein localization was observed and photographed using a confocal laser scanning microscope (Leica SP8), and images were digitally merged for co-localization examination. Immunofluorescence staining was conducted in at least two independent biological repeats.</w:t>
      </w:r>
    </w:p>
    <w:p w14:paraId="259D783A" w14:textId="3CBB8611" w:rsidR="00E164C2" w:rsidRPr="004B664F" w:rsidRDefault="00E164C2" w:rsidP="00E164C2">
      <w:pPr>
        <w:widowControl w:val="0"/>
        <w:spacing w:line="480" w:lineRule="auto"/>
        <w:jc w:val="both"/>
        <w:rPr>
          <w:b/>
          <w:bCs/>
        </w:rPr>
      </w:pPr>
      <w:r w:rsidRPr="004B664F">
        <w:rPr>
          <w:b/>
          <w:bCs/>
        </w:rPr>
        <w:t>Colony formation and CCK8 assays</w:t>
      </w:r>
    </w:p>
    <w:p w14:paraId="251A1247" w14:textId="77777777" w:rsidR="00E164C2" w:rsidRPr="00E164C2" w:rsidRDefault="00E164C2" w:rsidP="00E164C2">
      <w:pPr>
        <w:widowControl w:val="0"/>
        <w:spacing w:line="480" w:lineRule="auto"/>
        <w:jc w:val="both"/>
      </w:pPr>
      <w:r w:rsidRPr="00E164C2">
        <w:t>Cells were seeded into 6-well plates (1.5×10</w:t>
      </w:r>
      <w:r w:rsidRPr="00E164C2">
        <w:rPr>
          <w:vertAlign w:val="superscript"/>
        </w:rPr>
        <w:t>3</w:t>
      </w:r>
      <w:r w:rsidRPr="00E164C2">
        <w:t xml:space="preserve"> cells/well) and left for 8-10 days until formation of visible </w:t>
      </w:r>
      <w:r w:rsidRPr="00E164C2">
        <w:lastRenderedPageBreak/>
        <w:t xml:space="preserve">colonies. Colonies were washed with PBS buffer, fixed with methanol for 30 min, and then stained with 0.1% crystal violet in 20% ethanol overnight. After staining, the plates were washed and air-dried. Eventually, the colony numbers were counted. Five independent experiments were performed for </w:t>
      </w:r>
      <w:r w:rsidRPr="00E164C2">
        <w:rPr>
          <w:rFonts w:hint="eastAsia"/>
          <w:lang w:eastAsia="zh-CN"/>
        </w:rPr>
        <w:t>c</w:t>
      </w:r>
      <w:r w:rsidRPr="00E164C2">
        <w:t xml:space="preserve">olony formation analysis. </w:t>
      </w:r>
    </w:p>
    <w:p w14:paraId="743BF306" w14:textId="27544843" w:rsidR="00E164C2" w:rsidRDefault="00E164C2" w:rsidP="00C34152">
      <w:pPr>
        <w:widowControl w:val="0"/>
        <w:spacing w:afterLines="50" w:after="120" w:line="480" w:lineRule="auto"/>
        <w:jc w:val="both"/>
      </w:pPr>
      <w:r w:rsidRPr="00E164C2">
        <w:t>F</w:t>
      </w:r>
      <w:r w:rsidRPr="00E164C2">
        <w:rPr>
          <w:rFonts w:hint="eastAsia"/>
          <w:lang w:eastAsia="zh-CN"/>
        </w:rPr>
        <w:t>or</w:t>
      </w:r>
      <w:r w:rsidRPr="00E164C2">
        <w:t xml:space="preserve"> Cell Counting Kit-8 (</w:t>
      </w:r>
      <w:bookmarkStart w:id="1" w:name="_Hlk128505876"/>
      <w:r w:rsidRPr="00E164C2">
        <w:t>CCK8</w:t>
      </w:r>
      <w:bookmarkEnd w:id="1"/>
      <w:r w:rsidRPr="00E164C2">
        <w:t>) assay</w:t>
      </w:r>
      <w:r w:rsidRPr="00E164C2">
        <w:rPr>
          <w:lang w:eastAsia="zh-CN"/>
        </w:rPr>
        <w:t>,</w:t>
      </w:r>
      <w:r w:rsidRPr="00E164C2">
        <w:t xml:space="preserve"> </w:t>
      </w:r>
      <w:r w:rsidRPr="00E164C2">
        <w:rPr>
          <w:rFonts w:hint="eastAsia"/>
          <w:lang w:eastAsia="zh-CN"/>
        </w:rPr>
        <w:t>c</w:t>
      </w:r>
      <w:r w:rsidRPr="00E164C2">
        <w:t>ells (2.0×10</w:t>
      </w:r>
      <w:r w:rsidRPr="00E164C2">
        <w:rPr>
          <w:vertAlign w:val="superscript"/>
        </w:rPr>
        <w:t>3</w:t>
      </w:r>
      <w:r w:rsidRPr="00E164C2">
        <w:t>) were cultured in 96-well plates for 1 day, 2 days, 3 days and 4 days, respectively. Then, CCK8 solution (</w:t>
      </w:r>
      <w:proofErr w:type="spellStart"/>
      <w:r w:rsidRPr="00E164C2">
        <w:t>Beyotime</w:t>
      </w:r>
      <w:proofErr w:type="spellEnd"/>
      <w:r w:rsidRPr="00E164C2">
        <w:t>, C0038) was added into each well in dark. Optical density (OD) values were determined by measuring the absorbance at 450 nm and 630 nm.</w:t>
      </w:r>
    </w:p>
    <w:p w14:paraId="7A15EBA5" w14:textId="6D938F28" w:rsidR="00C34152" w:rsidRPr="00C34152" w:rsidRDefault="00C34152" w:rsidP="00C34152">
      <w:pPr>
        <w:widowControl w:val="0"/>
        <w:spacing w:line="480" w:lineRule="auto"/>
        <w:jc w:val="both"/>
        <w:rPr>
          <w:b/>
          <w:bCs/>
        </w:rPr>
      </w:pPr>
      <w:r w:rsidRPr="00C34152">
        <w:rPr>
          <w:b/>
          <w:bCs/>
        </w:rPr>
        <w:t>I</w:t>
      </w:r>
      <w:r w:rsidRPr="00C34152">
        <w:rPr>
          <w:b/>
          <w:bCs/>
        </w:rPr>
        <w:t xml:space="preserve">mmunohistochemistry (IHC) staining </w:t>
      </w:r>
    </w:p>
    <w:p w14:paraId="6765091B" w14:textId="282CC830" w:rsidR="00C34152" w:rsidRDefault="00C34152" w:rsidP="00C34152">
      <w:pPr>
        <w:widowControl w:val="0"/>
        <w:spacing w:afterLines="50" w:after="120" w:line="480" w:lineRule="auto"/>
        <w:jc w:val="both"/>
      </w:pPr>
      <w:r>
        <w:t>The xenografted tumors were fixed in 4% formalin at room temperature for 48 h and embedded in paraffin</w:t>
      </w:r>
      <w:r>
        <w:t xml:space="preserve">, and </w:t>
      </w:r>
      <w:r>
        <w:t>the paraffin blocks were cut into 4-mm sections and deparaffinized. Routine IHC staining for Ki-67 (Cell Signaling Technology, #9449) was performed on the slides, then visualized by DAB Horseradish Peroxidase Color Development Kit (</w:t>
      </w:r>
      <w:proofErr w:type="spellStart"/>
      <w:r>
        <w:t>Beyotime</w:t>
      </w:r>
      <w:proofErr w:type="spellEnd"/>
      <w:r>
        <w:t xml:space="preserve">, P0202). Apoptotic cells were identified by terminal </w:t>
      </w:r>
      <w:proofErr w:type="spellStart"/>
      <w:r>
        <w:t>deoxyribonucleotidyl</w:t>
      </w:r>
      <w:proofErr w:type="spellEnd"/>
      <w:r>
        <w:t xml:space="preserve"> transferase-mediated </w:t>
      </w:r>
      <w:proofErr w:type="spellStart"/>
      <w:r>
        <w:t>dUTP</w:t>
      </w:r>
      <w:proofErr w:type="spellEnd"/>
      <w:r>
        <w:t xml:space="preserve"> nick end labeling (TUNEL) staining according to the manufacturer's instructions (</w:t>
      </w:r>
      <w:proofErr w:type="spellStart"/>
      <w:r>
        <w:t>Beyotime</w:t>
      </w:r>
      <w:proofErr w:type="spellEnd"/>
      <w:r>
        <w:t>, C1086).</w:t>
      </w:r>
      <w:bookmarkStart w:id="2" w:name="_GoBack"/>
      <w:bookmarkEnd w:id="2"/>
    </w:p>
    <w:p w14:paraId="1D683CE5" w14:textId="5E3349F7" w:rsidR="00C265A8" w:rsidRDefault="0051697A" w:rsidP="00AD6D8E">
      <w:pPr>
        <w:spacing w:line="480" w:lineRule="auto"/>
        <w:rPr>
          <w:rFonts w:ascii="Arial" w:hAnsi="Arial" w:cs="Arial"/>
          <w:b/>
          <w:bCs/>
          <w:lang w:eastAsia="zh-CN"/>
        </w:rPr>
      </w:pPr>
      <w:r>
        <w:rPr>
          <w:rFonts w:ascii="Arial" w:hAnsi="Arial" w:cs="Arial" w:hint="eastAsia"/>
          <w:b/>
          <w:bCs/>
          <w:lang w:eastAsia="zh-CN"/>
        </w:rPr>
        <w:t>R</w:t>
      </w:r>
      <w:r>
        <w:rPr>
          <w:rFonts w:ascii="Arial" w:hAnsi="Arial" w:cs="Arial"/>
          <w:b/>
          <w:bCs/>
          <w:lang w:eastAsia="zh-CN"/>
        </w:rPr>
        <w:t>eference</w:t>
      </w:r>
    </w:p>
    <w:p w14:paraId="086778AF" w14:textId="77777777" w:rsidR="00C265A8" w:rsidRPr="00C265A8" w:rsidRDefault="00C265A8" w:rsidP="00C265A8">
      <w:pPr>
        <w:ind w:left="426" w:hanging="426"/>
        <w:jc w:val="both"/>
        <w:rPr>
          <w:noProof/>
        </w:rPr>
      </w:pPr>
      <w:r>
        <w:rPr>
          <w:rFonts w:ascii="Arial" w:hAnsi="Arial" w:cs="Arial"/>
          <w:b/>
          <w:bCs/>
        </w:rPr>
        <w:fldChar w:fldCharType="begin"/>
      </w:r>
      <w:r>
        <w:rPr>
          <w:rFonts w:ascii="Arial" w:hAnsi="Arial" w:cs="Arial"/>
          <w:b/>
          <w:bCs/>
        </w:rPr>
        <w:instrText xml:space="preserve"> ADDIN EN.REFLIST </w:instrText>
      </w:r>
      <w:r>
        <w:rPr>
          <w:rFonts w:ascii="Arial" w:hAnsi="Arial" w:cs="Arial"/>
          <w:b/>
          <w:bCs/>
        </w:rPr>
        <w:fldChar w:fldCharType="separate"/>
      </w:r>
      <w:bookmarkStart w:id="3" w:name="_ENREF_1"/>
      <w:r w:rsidRPr="00C265A8">
        <w:rPr>
          <w:noProof/>
        </w:rPr>
        <w:t>1</w:t>
      </w:r>
      <w:r w:rsidRPr="00C265A8">
        <w:rPr>
          <w:noProof/>
        </w:rPr>
        <w:tab/>
        <w:t>Su Z, Sun Z, Wang Z, Wang S, Wang Y, Jin E</w:t>
      </w:r>
      <w:r w:rsidRPr="00C265A8">
        <w:rPr>
          <w:i/>
          <w:noProof/>
        </w:rPr>
        <w:t xml:space="preserve"> et al</w:t>
      </w:r>
      <w:r w:rsidRPr="00C265A8">
        <w:rPr>
          <w:noProof/>
        </w:rPr>
        <w:t>. TIF1gamma inhibits lung adenocarcinoma EMT and metastasis by interacting with the TAF15/TBP complex. Cell Rep 2022; 41: 111513.</w:t>
      </w:r>
    </w:p>
    <w:bookmarkEnd w:id="3"/>
    <w:p w14:paraId="430842F9" w14:textId="77777777" w:rsidR="00C265A8" w:rsidRPr="00C265A8" w:rsidRDefault="00C265A8" w:rsidP="00C265A8">
      <w:pPr>
        <w:rPr>
          <w:noProof/>
        </w:rPr>
      </w:pPr>
    </w:p>
    <w:p w14:paraId="6ADD1B97" w14:textId="048D7D30" w:rsidR="00C265A8" w:rsidRDefault="00C265A8" w:rsidP="00C265A8">
      <w:pPr>
        <w:rPr>
          <w:rFonts w:ascii="Arial" w:hAnsi="Arial" w:cs="Arial"/>
          <w:b/>
          <w:bCs/>
          <w:noProof/>
        </w:rPr>
      </w:pPr>
    </w:p>
    <w:p w14:paraId="36894449" w14:textId="24E7C77F" w:rsidR="00AD6D8E" w:rsidRPr="00930912" w:rsidRDefault="00C265A8" w:rsidP="00AD6D8E">
      <w:pPr>
        <w:spacing w:line="48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end"/>
      </w:r>
    </w:p>
    <w:sectPr w:rsidR="00AD6D8E" w:rsidRPr="00930912" w:rsidSect="00B43D90">
      <w:headerReference w:type="default" r:id="rId8"/>
      <w:pgSz w:w="12240" w:h="15840" w:code="1"/>
      <w:pgMar w:top="1247" w:right="1077" w:bottom="1247" w:left="107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D0D1F1" w14:textId="77777777" w:rsidR="00AC6F5E" w:rsidRDefault="00AC6F5E">
      <w:r>
        <w:separator/>
      </w:r>
    </w:p>
  </w:endnote>
  <w:endnote w:type="continuationSeparator" w:id="0">
    <w:p w14:paraId="2A59EDC1" w14:textId="77777777" w:rsidR="00AC6F5E" w:rsidRDefault="00AC6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80E0000" w:usb2="00000010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C00DC5" w14:textId="77777777" w:rsidR="00AC6F5E" w:rsidRDefault="00AC6F5E">
      <w:r>
        <w:separator/>
      </w:r>
    </w:p>
  </w:footnote>
  <w:footnote w:type="continuationSeparator" w:id="0">
    <w:p w14:paraId="05043638" w14:textId="77777777" w:rsidR="00AC6F5E" w:rsidRDefault="00AC6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oNotTrackMoves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Oncogene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d5z0wastupv2x3e505jprap102wzwtptwxzp&quot;&gt;My EndNote Library&lt;record-ids&gt;&lt;item&gt;36&lt;/item&gt;&lt;/record-ids&gt;&lt;/item&gt;&lt;/Libraries&gt;"/>
  </w:docVars>
  <w:rsids>
    <w:rsidRoot w:val="002C030F"/>
    <w:rsid w:val="00015F74"/>
    <w:rsid w:val="00031282"/>
    <w:rsid w:val="0004710F"/>
    <w:rsid w:val="000476F5"/>
    <w:rsid w:val="00054136"/>
    <w:rsid w:val="000637F7"/>
    <w:rsid w:val="00065EBD"/>
    <w:rsid w:val="00083B44"/>
    <w:rsid w:val="000850DC"/>
    <w:rsid w:val="00091CA1"/>
    <w:rsid w:val="00097635"/>
    <w:rsid w:val="000B054E"/>
    <w:rsid w:val="000C2771"/>
    <w:rsid w:val="000C5A43"/>
    <w:rsid w:val="000D0AC0"/>
    <w:rsid w:val="000D46F4"/>
    <w:rsid w:val="000D6984"/>
    <w:rsid w:val="000F0601"/>
    <w:rsid w:val="000F0DCE"/>
    <w:rsid w:val="000F6BE3"/>
    <w:rsid w:val="00112C5B"/>
    <w:rsid w:val="00114193"/>
    <w:rsid w:val="00115A38"/>
    <w:rsid w:val="0011687B"/>
    <w:rsid w:val="00116BFA"/>
    <w:rsid w:val="00124F82"/>
    <w:rsid w:val="00145AFC"/>
    <w:rsid w:val="00160746"/>
    <w:rsid w:val="0016337A"/>
    <w:rsid w:val="00164269"/>
    <w:rsid w:val="0016563A"/>
    <w:rsid w:val="001A1BDE"/>
    <w:rsid w:val="001A4C54"/>
    <w:rsid w:val="001A76BE"/>
    <w:rsid w:val="001B06DB"/>
    <w:rsid w:val="001B1157"/>
    <w:rsid w:val="001D5725"/>
    <w:rsid w:val="001D69F2"/>
    <w:rsid w:val="001E28F5"/>
    <w:rsid w:val="001F058E"/>
    <w:rsid w:val="001F0876"/>
    <w:rsid w:val="001F167C"/>
    <w:rsid w:val="001F5E91"/>
    <w:rsid w:val="002077B9"/>
    <w:rsid w:val="002409EC"/>
    <w:rsid w:val="00243238"/>
    <w:rsid w:val="00262D72"/>
    <w:rsid w:val="0026547D"/>
    <w:rsid w:val="00294FBB"/>
    <w:rsid w:val="002A4513"/>
    <w:rsid w:val="002B5804"/>
    <w:rsid w:val="002B7BE0"/>
    <w:rsid w:val="002C030F"/>
    <w:rsid w:val="002D65B9"/>
    <w:rsid w:val="003227A1"/>
    <w:rsid w:val="00331D75"/>
    <w:rsid w:val="00344887"/>
    <w:rsid w:val="00355362"/>
    <w:rsid w:val="00363E44"/>
    <w:rsid w:val="0038098A"/>
    <w:rsid w:val="0039110C"/>
    <w:rsid w:val="00392EC2"/>
    <w:rsid w:val="00395E86"/>
    <w:rsid w:val="003A2FD8"/>
    <w:rsid w:val="003B40E6"/>
    <w:rsid w:val="003D1134"/>
    <w:rsid w:val="003E558C"/>
    <w:rsid w:val="003E74FB"/>
    <w:rsid w:val="003F6E14"/>
    <w:rsid w:val="00402F48"/>
    <w:rsid w:val="00403D2C"/>
    <w:rsid w:val="0040524D"/>
    <w:rsid w:val="00405336"/>
    <w:rsid w:val="00426192"/>
    <w:rsid w:val="004418EA"/>
    <w:rsid w:val="00450C5B"/>
    <w:rsid w:val="004571D5"/>
    <w:rsid w:val="00461D81"/>
    <w:rsid w:val="004625CE"/>
    <w:rsid w:val="0046356B"/>
    <w:rsid w:val="00463BA7"/>
    <w:rsid w:val="00477182"/>
    <w:rsid w:val="004779CB"/>
    <w:rsid w:val="00482AB5"/>
    <w:rsid w:val="00482EFF"/>
    <w:rsid w:val="00491E47"/>
    <w:rsid w:val="00492D34"/>
    <w:rsid w:val="0049424C"/>
    <w:rsid w:val="00494656"/>
    <w:rsid w:val="004B664F"/>
    <w:rsid w:val="004C5DE6"/>
    <w:rsid w:val="004D32A2"/>
    <w:rsid w:val="004D7246"/>
    <w:rsid w:val="004E42D8"/>
    <w:rsid w:val="004E7BA2"/>
    <w:rsid w:val="004F22DC"/>
    <w:rsid w:val="004F546B"/>
    <w:rsid w:val="004F7EDF"/>
    <w:rsid w:val="005001AC"/>
    <w:rsid w:val="00511153"/>
    <w:rsid w:val="0051697A"/>
    <w:rsid w:val="00525289"/>
    <w:rsid w:val="00527D71"/>
    <w:rsid w:val="00530C57"/>
    <w:rsid w:val="005520A8"/>
    <w:rsid w:val="005607DD"/>
    <w:rsid w:val="0058319B"/>
    <w:rsid w:val="005902AD"/>
    <w:rsid w:val="005A36EF"/>
    <w:rsid w:val="005A558C"/>
    <w:rsid w:val="005B17CA"/>
    <w:rsid w:val="005C1377"/>
    <w:rsid w:val="005D2139"/>
    <w:rsid w:val="005D3140"/>
    <w:rsid w:val="005E28F8"/>
    <w:rsid w:val="005E43AA"/>
    <w:rsid w:val="005E6513"/>
    <w:rsid w:val="006049C1"/>
    <w:rsid w:val="00615B67"/>
    <w:rsid w:val="00630499"/>
    <w:rsid w:val="006357F6"/>
    <w:rsid w:val="00642E70"/>
    <w:rsid w:val="00651114"/>
    <w:rsid w:val="00664560"/>
    <w:rsid w:val="006664BC"/>
    <w:rsid w:val="00670299"/>
    <w:rsid w:val="0067303E"/>
    <w:rsid w:val="00691985"/>
    <w:rsid w:val="006A1B64"/>
    <w:rsid w:val="006A4AE1"/>
    <w:rsid w:val="006B024D"/>
    <w:rsid w:val="006B268C"/>
    <w:rsid w:val="006B2F2F"/>
    <w:rsid w:val="006F0AB5"/>
    <w:rsid w:val="007108F5"/>
    <w:rsid w:val="00713E5B"/>
    <w:rsid w:val="00723680"/>
    <w:rsid w:val="007402FC"/>
    <w:rsid w:val="007411A1"/>
    <w:rsid w:val="007809DE"/>
    <w:rsid w:val="00784E98"/>
    <w:rsid w:val="00793072"/>
    <w:rsid w:val="00797EFB"/>
    <w:rsid w:val="007C5D5C"/>
    <w:rsid w:val="007C5F1F"/>
    <w:rsid w:val="007C64CA"/>
    <w:rsid w:val="007D5F22"/>
    <w:rsid w:val="007E4850"/>
    <w:rsid w:val="007F1864"/>
    <w:rsid w:val="007F33C1"/>
    <w:rsid w:val="008046FB"/>
    <w:rsid w:val="0080774E"/>
    <w:rsid w:val="00807D35"/>
    <w:rsid w:val="008218C4"/>
    <w:rsid w:val="0083457E"/>
    <w:rsid w:val="008368D1"/>
    <w:rsid w:val="00842779"/>
    <w:rsid w:val="0084277B"/>
    <w:rsid w:val="0086306E"/>
    <w:rsid w:val="008657A3"/>
    <w:rsid w:val="00867A98"/>
    <w:rsid w:val="00870867"/>
    <w:rsid w:val="00873A4A"/>
    <w:rsid w:val="008778F1"/>
    <w:rsid w:val="00885C9B"/>
    <w:rsid w:val="008C707B"/>
    <w:rsid w:val="008D0D35"/>
    <w:rsid w:val="008D5D2A"/>
    <w:rsid w:val="008F5990"/>
    <w:rsid w:val="008F79CF"/>
    <w:rsid w:val="00914B63"/>
    <w:rsid w:val="00916B0F"/>
    <w:rsid w:val="00920BFB"/>
    <w:rsid w:val="0092651C"/>
    <w:rsid w:val="009354F3"/>
    <w:rsid w:val="00942C7F"/>
    <w:rsid w:val="009447DC"/>
    <w:rsid w:val="009508F6"/>
    <w:rsid w:val="00960060"/>
    <w:rsid w:val="00961BA5"/>
    <w:rsid w:val="00963523"/>
    <w:rsid w:val="00966192"/>
    <w:rsid w:val="009743A9"/>
    <w:rsid w:val="00986B6A"/>
    <w:rsid w:val="009A5287"/>
    <w:rsid w:val="009B1DAA"/>
    <w:rsid w:val="009B2AC5"/>
    <w:rsid w:val="009B7984"/>
    <w:rsid w:val="009F30EA"/>
    <w:rsid w:val="009F4BED"/>
    <w:rsid w:val="009F7D93"/>
    <w:rsid w:val="00A10DFB"/>
    <w:rsid w:val="00A3403B"/>
    <w:rsid w:val="00A374D1"/>
    <w:rsid w:val="00A51A12"/>
    <w:rsid w:val="00A557D7"/>
    <w:rsid w:val="00A627D4"/>
    <w:rsid w:val="00A66116"/>
    <w:rsid w:val="00A67AED"/>
    <w:rsid w:val="00A74DA2"/>
    <w:rsid w:val="00A77E45"/>
    <w:rsid w:val="00AA37A5"/>
    <w:rsid w:val="00AB399E"/>
    <w:rsid w:val="00AB699C"/>
    <w:rsid w:val="00AC59D0"/>
    <w:rsid w:val="00AC6F5E"/>
    <w:rsid w:val="00AD16B1"/>
    <w:rsid w:val="00AD499C"/>
    <w:rsid w:val="00AD6D8E"/>
    <w:rsid w:val="00AF4F3B"/>
    <w:rsid w:val="00B0071D"/>
    <w:rsid w:val="00B02731"/>
    <w:rsid w:val="00B05A6B"/>
    <w:rsid w:val="00B20272"/>
    <w:rsid w:val="00B257F5"/>
    <w:rsid w:val="00B27BA9"/>
    <w:rsid w:val="00B3186E"/>
    <w:rsid w:val="00B36869"/>
    <w:rsid w:val="00B41C6B"/>
    <w:rsid w:val="00B43B31"/>
    <w:rsid w:val="00B43D90"/>
    <w:rsid w:val="00B47CFA"/>
    <w:rsid w:val="00B57F00"/>
    <w:rsid w:val="00B74847"/>
    <w:rsid w:val="00B77B2A"/>
    <w:rsid w:val="00B8231F"/>
    <w:rsid w:val="00B82481"/>
    <w:rsid w:val="00B82C22"/>
    <w:rsid w:val="00B93DBA"/>
    <w:rsid w:val="00B9440A"/>
    <w:rsid w:val="00BB10FF"/>
    <w:rsid w:val="00BB2D2A"/>
    <w:rsid w:val="00BC1687"/>
    <w:rsid w:val="00BC3E04"/>
    <w:rsid w:val="00BD39FF"/>
    <w:rsid w:val="00BD3CE1"/>
    <w:rsid w:val="00BD58CF"/>
    <w:rsid w:val="00BD717F"/>
    <w:rsid w:val="00BF0C92"/>
    <w:rsid w:val="00BF16F3"/>
    <w:rsid w:val="00C04CC1"/>
    <w:rsid w:val="00C22EC2"/>
    <w:rsid w:val="00C265A8"/>
    <w:rsid w:val="00C33171"/>
    <w:rsid w:val="00C34152"/>
    <w:rsid w:val="00C4096C"/>
    <w:rsid w:val="00C50C6D"/>
    <w:rsid w:val="00C52003"/>
    <w:rsid w:val="00C56A4F"/>
    <w:rsid w:val="00C600D9"/>
    <w:rsid w:val="00C600EF"/>
    <w:rsid w:val="00C63E81"/>
    <w:rsid w:val="00C92B22"/>
    <w:rsid w:val="00C92D20"/>
    <w:rsid w:val="00CC1384"/>
    <w:rsid w:val="00CC79FA"/>
    <w:rsid w:val="00CD3720"/>
    <w:rsid w:val="00CF1848"/>
    <w:rsid w:val="00CF5C2F"/>
    <w:rsid w:val="00D039FD"/>
    <w:rsid w:val="00D04BCF"/>
    <w:rsid w:val="00D143D9"/>
    <w:rsid w:val="00D1544C"/>
    <w:rsid w:val="00D32950"/>
    <w:rsid w:val="00D441F5"/>
    <w:rsid w:val="00D5511B"/>
    <w:rsid w:val="00D766F1"/>
    <w:rsid w:val="00D90433"/>
    <w:rsid w:val="00DA7151"/>
    <w:rsid w:val="00DB0675"/>
    <w:rsid w:val="00DD3D15"/>
    <w:rsid w:val="00DD46D9"/>
    <w:rsid w:val="00E04DF0"/>
    <w:rsid w:val="00E059FB"/>
    <w:rsid w:val="00E1421B"/>
    <w:rsid w:val="00E146A7"/>
    <w:rsid w:val="00E164C2"/>
    <w:rsid w:val="00E257C8"/>
    <w:rsid w:val="00E36443"/>
    <w:rsid w:val="00E41512"/>
    <w:rsid w:val="00E4519A"/>
    <w:rsid w:val="00E55BAA"/>
    <w:rsid w:val="00E853D5"/>
    <w:rsid w:val="00E85F0C"/>
    <w:rsid w:val="00E962CC"/>
    <w:rsid w:val="00E97215"/>
    <w:rsid w:val="00E9773B"/>
    <w:rsid w:val="00EA0955"/>
    <w:rsid w:val="00EA659B"/>
    <w:rsid w:val="00EA6F42"/>
    <w:rsid w:val="00EC13A3"/>
    <w:rsid w:val="00EC3167"/>
    <w:rsid w:val="00EC6E9D"/>
    <w:rsid w:val="00EC759D"/>
    <w:rsid w:val="00EC7C85"/>
    <w:rsid w:val="00EF1892"/>
    <w:rsid w:val="00EF3DE4"/>
    <w:rsid w:val="00F10E06"/>
    <w:rsid w:val="00F125EE"/>
    <w:rsid w:val="00F12E98"/>
    <w:rsid w:val="00F22029"/>
    <w:rsid w:val="00F4427B"/>
    <w:rsid w:val="00F5093D"/>
    <w:rsid w:val="00F515FB"/>
    <w:rsid w:val="00F630EA"/>
    <w:rsid w:val="00F67A30"/>
    <w:rsid w:val="00F7007E"/>
    <w:rsid w:val="00F73193"/>
    <w:rsid w:val="00F74F95"/>
    <w:rsid w:val="00F80705"/>
    <w:rsid w:val="00F84BD9"/>
    <w:rsid w:val="00F93BDF"/>
    <w:rsid w:val="00FA1481"/>
    <w:rsid w:val="00FA3752"/>
    <w:rsid w:val="00FC5FD0"/>
    <w:rsid w:val="00FC7508"/>
    <w:rsid w:val="00FE61C9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标题 1 字符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正文文本 字符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正文文本 3 字符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文本首行缩进 字符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文本首行缩进 2 字符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正文文本缩进 3 字符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批注文字 字符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批注主题 字符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link w:val="aff8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semiHidden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semiHidden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semiHidden/>
    <w:qFormat/>
    <w:rsid w:val="00405336"/>
    <w:rPr>
      <w:i/>
      <w:iCs/>
      <w:color w:val="000000"/>
    </w:rPr>
  </w:style>
  <w:style w:type="character" w:customStyle="1" w:styleId="afff9">
    <w:name w:val="引用 字符"/>
    <w:link w:val="afff8"/>
    <w:uiPriority w:val="29"/>
    <w:semiHidden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link w:val="afffe"/>
    <w:semiHidden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link w:val="affff2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a1"/>
    <w:next w:val="a1"/>
    <w:autoRedefine/>
    <w:semiHidden/>
    <w:rsid w:val="00405336"/>
  </w:style>
  <w:style w:type="paragraph" w:styleId="TOC2">
    <w:name w:val="toc 2"/>
    <w:basedOn w:val="a1"/>
    <w:next w:val="a1"/>
    <w:autoRedefine/>
    <w:semiHidden/>
    <w:rsid w:val="00405336"/>
    <w:pPr>
      <w:ind w:left="240"/>
    </w:pPr>
  </w:style>
  <w:style w:type="paragraph" w:styleId="TOC3">
    <w:name w:val="toc 3"/>
    <w:basedOn w:val="a1"/>
    <w:next w:val="a1"/>
    <w:autoRedefine/>
    <w:semiHidden/>
    <w:rsid w:val="00405336"/>
    <w:pPr>
      <w:ind w:left="480"/>
    </w:pPr>
  </w:style>
  <w:style w:type="paragraph" w:styleId="TOC4">
    <w:name w:val="toc 4"/>
    <w:basedOn w:val="a1"/>
    <w:next w:val="a1"/>
    <w:autoRedefine/>
    <w:semiHidden/>
    <w:rsid w:val="00405336"/>
    <w:pPr>
      <w:ind w:left="720"/>
    </w:pPr>
  </w:style>
  <w:style w:type="paragraph" w:styleId="TOC5">
    <w:name w:val="toc 5"/>
    <w:basedOn w:val="a1"/>
    <w:next w:val="a1"/>
    <w:autoRedefine/>
    <w:semiHidden/>
    <w:rsid w:val="00405336"/>
    <w:pPr>
      <w:ind w:left="960"/>
    </w:pPr>
  </w:style>
  <w:style w:type="paragraph" w:styleId="TOC6">
    <w:name w:val="toc 6"/>
    <w:basedOn w:val="a1"/>
    <w:next w:val="a1"/>
    <w:autoRedefine/>
    <w:semiHidden/>
    <w:rsid w:val="00405336"/>
    <w:pPr>
      <w:ind w:left="1200"/>
    </w:pPr>
  </w:style>
  <w:style w:type="paragraph" w:styleId="TOC7">
    <w:name w:val="toc 7"/>
    <w:basedOn w:val="a1"/>
    <w:next w:val="a1"/>
    <w:autoRedefine/>
    <w:semiHidden/>
    <w:rsid w:val="00405336"/>
    <w:pPr>
      <w:ind w:left="1440"/>
    </w:pPr>
  </w:style>
  <w:style w:type="paragraph" w:styleId="TOC8">
    <w:name w:val="toc 8"/>
    <w:basedOn w:val="a1"/>
    <w:next w:val="a1"/>
    <w:autoRedefine/>
    <w:semiHidden/>
    <w:rsid w:val="00405336"/>
    <w:pPr>
      <w:ind w:left="1680"/>
    </w:pPr>
  </w:style>
  <w:style w:type="paragraph" w:styleId="TOC9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semiHidden/>
    <w:rsid w:val="007402FC"/>
    <w:rPr>
      <w:color w:val="0000FF"/>
      <w:u w:val="single"/>
    </w:rPr>
  </w:style>
  <w:style w:type="character" w:styleId="affff6">
    <w:name w:val="FollowedHyperlink"/>
    <w:semiHidden/>
    <w:unhideWhenUsed/>
    <w:rsid w:val="00793072"/>
    <w:rPr>
      <w:color w:val="800080"/>
      <w:u w:val="single"/>
    </w:rPr>
  </w:style>
  <w:style w:type="character" w:styleId="affff7">
    <w:name w:val="annotation reference"/>
    <w:semiHidden/>
    <w:unhideWhenUsed/>
    <w:rsid w:val="00793072"/>
    <w:rPr>
      <w:sz w:val="16"/>
      <w:szCs w:val="16"/>
    </w:rPr>
  </w:style>
  <w:style w:type="character" w:styleId="affff8">
    <w:name w:val="Unresolved Mention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paragraph" w:styleId="affff9">
    <w:name w:val="Revision"/>
    <w:hidden/>
    <w:uiPriority w:val="99"/>
    <w:semiHidden/>
    <w:rsid w:val="003227A1"/>
    <w:rPr>
      <w:sz w:val="24"/>
    </w:rPr>
  </w:style>
  <w:style w:type="paragraph" w:customStyle="1" w:styleId="Referencesandnotes">
    <w:name w:val="References and notes"/>
    <w:basedOn w:val="a1"/>
    <w:rsid w:val="000D0AC0"/>
    <w:pPr>
      <w:spacing w:before="120"/>
      <w:ind w:left="720" w:hanging="720"/>
    </w:pPr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70C6A-75EC-4826-8309-1289C78F7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/>
  <LinksUpToDate>false</LinksUpToDate>
  <CharactersWithSpaces>3576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H-T Zhang</dc:creator>
  <cp:keywords/>
  <cp:lastModifiedBy>Admin</cp:lastModifiedBy>
  <cp:revision>53</cp:revision>
  <cp:lastPrinted>2018-01-11T19:53:00Z</cp:lastPrinted>
  <dcterms:created xsi:type="dcterms:W3CDTF">2023-06-17T07:26:00Z</dcterms:created>
  <dcterms:modified xsi:type="dcterms:W3CDTF">2024-03-15T01:44:00Z</dcterms:modified>
</cp:coreProperties>
</file>