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8236CD" w14:textId="77777777" w:rsidR="00291A94" w:rsidRDefault="00291A94" w:rsidP="00291A94">
      <w:pPr>
        <w:pStyle w:val="Heading2"/>
        <w:rPr>
          <w:szCs w:val="24"/>
        </w:rPr>
      </w:pPr>
      <w:bookmarkStart w:id="0" w:name="_Hlk168086839"/>
      <w:r w:rsidRPr="006C7FCE">
        <w:rPr>
          <w:szCs w:val="24"/>
        </w:rPr>
        <w:t>SUPPLEMENTARY DATA</w:t>
      </w:r>
    </w:p>
    <w:p w14:paraId="37A19EA5" w14:textId="77777777" w:rsidR="00A80D56" w:rsidRPr="00A80D56" w:rsidRDefault="00A80D56" w:rsidP="00A80D56">
      <w:pPr>
        <w:spacing w:line="240" w:lineRule="auto"/>
        <w:rPr>
          <w:lang w:val="en-AU"/>
        </w:rPr>
      </w:pPr>
    </w:p>
    <w:p w14:paraId="6A7D32C8" w14:textId="3D545C5F" w:rsidR="00291A94" w:rsidRPr="006C7FCE" w:rsidRDefault="00291A94" w:rsidP="007701C9">
      <w:r w:rsidRPr="006C7FCE">
        <w:rPr>
          <w:b/>
        </w:rPr>
        <w:t xml:space="preserve">Supplementary Figure 1: </w:t>
      </w:r>
      <w:proofErr w:type="spellStart"/>
      <w:r w:rsidRPr="006C7FCE">
        <w:rPr>
          <w:b/>
        </w:rPr>
        <w:t>EphA</w:t>
      </w:r>
      <w:proofErr w:type="spellEnd"/>
      <w:r w:rsidRPr="006C7FCE">
        <w:rPr>
          <w:b/>
        </w:rPr>
        <w:t xml:space="preserve"> expression in prostate cancer cell lines. </w:t>
      </w:r>
      <w:proofErr w:type="gramStart"/>
      <w:r w:rsidRPr="006C7FCE">
        <w:rPr>
          <w:b/>
          <w:bCs/>
        </w:rPr>
        <w:t>A</w:t>
      </w:r>
      <w:proofErr w:type="gramEnd"/>
      <w:r w:rsidRPr="006C7FCE">
        <w:t xml:space="preserve"> Expression levels of </w:t>
      </w:r>
      <w:proofErr w:type="spellStart"/>
      <w:r w:rsidRPr="006C7FCE">
        <w:t>EphA</w:t>
      </w:r>
      <w:proofErr w:type="spellEnd"/>
      <w:r w:rsidRPr="006C7FCE">
        <w:t xml:space="preserve"> receptor tyrosine kinases and ephrin-A (</w:t>
      </w:r>
      <w:proofErr w:type="spellStart"/>
      <w:r w:rsidRPr="006C7FCE">
        <w:t>efnA</w:t>
      </w:r>
      <w:proofErr w:type="spellEnd"/>
      <w:r w:rsidRPr="006C7FCE">
        <w:t>) ligands in prostate cancer cell lines relative to the house-keeping gene β-actin were determined by quantitative real-time PCR (QPCR). PC-3 cells, its metastatic derivatives PC-3M and PC-3MM2</w:t>
      </w:r>
      <w:r w:rsidR="00FA6486">
        <w:t>,</w:t>
      </w:r>
      <w:r w:rsidRPr="006C7FCE">
        <w:t xml:space="preserve"> and DU145 prostate cancer cells express high levels of EphA2 but show little to no expression of any of the other </w:t>
      </w:r>
      <w:proofErr w:type="spellStart"/>
      <w:r w:rsidRPr="006C7FCE">
        <w:t>EphA</w:t>
      </w:r>
      <w:proofErr w:type="spellEnd"/>
      <w:r w:rsidRPr="006C7FCE">
        <w:t xml:space="preserve"> receptors and ephrin-A ligands. </w:t>
      </w:r>
      <w:r w:rsidRPr="006C7FCE">
        <w:rPr>
          <w:b/>
        </w:rPr>
        <w:t xml:space="preserve">B </w:t>
      </w:r>
      <w:r w:rsidRPr="006C7FCE">
        <w:t xml:space="preserve">EphA2 and EphA3 expression was confirmed by western blot analysis. </w:t>
      </w:r>
      <w:r w:rsidRPr="006C7FCE">
        <w:rPr>
          <w:rFonts w:cs="Calibri"/>
        </w:rPr>
        <w:t>β</w:t>
      </w:r>
      <w:r w:rsidRPr="006C7FCE">
        <w:t xml:space="preserve">-actin is the loading control. </w:t>
      </w:r>
      <w:r w:rsidRPr="006C7FCE">
        <w:rPr>
          <w:b/>
          <w:bCs/>
        </w:rPr>
        <w:t>C</w:t>
      </w:r>
      <w:r w:rsidRPr="006C7FCE">
        <w:t xml:space="preserve"> Immunofluorescence staining of EphA2 (green) in PC-3 cells shows expression of the receptor on the cell surface. Nuclei were labelled with DAPI (blue). Scale bar represent</w:t>
      </w:r>
      <w:r>
        <w:t>s</w:t>
      </w:r>
      <w:r w:rsidRPr="006C7FCE">
        <w:t xml:space="preserve"> 20 µm. </w:t>
      </w:r>
      <w:r w:rsidRPr="006C7FCE">
        <w:rPr>
          <w:b/>
        </w:rPr>
        <w:t xml:space="preserve">D </w:t>
      </w:r>
      <w:r w:rsidRPr="006C7FCE">
        <w:rPr>
          <w:rFonts w:cs="Calibri"/>
          <w:bCs/>
        </w:rPr>
        <w:t>Western blot showing</w:t>
      </w:r>
      <w:r w:rsidRPr="006C7FCE">
        <w:rPr>
          <w:rFonts w:cs="Calibri"/>
          <w:b/>
        </w:rPr>
        <w:t xml:space="preserve"> </w:t>
      </w:r>
      <w:r w:rsidRPr="006C7FCE">
        <w:rPr>
          <w:rFonts w:cs="Calibri"/>
          <w:bCs/>
        </w:rPr>
        <w:t xml:space="preserve">EphA2 receptor phosphorylation and inhibition of AKT, MEK/ERK and FAK/SRC signaling after stimulation with 1 µg/ml clustered ephrin-A1-Fc (efnA1-Fc) in PC-3 prostate cancer cells. </w:t>
      </w:r>
      <w:r w:rsidR="001F3105">
        <w:rPr>
          <w:rFonts w:cs="Calibri"/>
          <w:bCs/>
        </w:rPr>
        <w:t>Data represents the e</w:t>
      </w:r>
      <w:r w:rsidRPr="006C7FCE">
        <w:rPr>
          <w:rFonts w:cs="Calibri"/>
          <w:bCs/>
        </w:rPr>
        <w:t xml:space="preserve">xtended time course of data shown in Figure 1A. EphA2 receptor degradation became apparent after 3 hours of efnA1-Fc stimulation. At the same time phosphorylated EphA2 receptor levels also decreased, while inhibited downstream pathways continued to return to baseline levels. β-actin was used as the housekeeping loading control in conjunction with total protein controls of tested phospho-proteins.  </w:t>
      </w:r>
    </w:p>
    <w:p w14:paraId="60121A77" w14:textId="77777777" w:rsidR="00291A94" w:rsidRPr="006C7FCE" w:rsidRDefault="00291A94" w:rsidP="007701C9">
      <w:pPr>
        <w:rPr>
          <w:rFonts w:cstheme="majorHAnsi"/>
          <w:sz w:val="20"/>
        </w:rPr>
      </w:pPr>
    </w:p>
    <w:p w14:paraId="318E3214" w14:textId="7AC47390" w:rsidR="00291A94" w:rsidRPr="006C7FCE" w:rsidRDefault="00291A94" w:rsidP="007701C9">
      <w:pPr>
        <w:rPr>
          <w:bCs/>
        </w:rPr>
      </w:pPr>
      <w:r w:rsidRPr="006C7FCE">
        <w:rPr>
          <w:b/>
        </w:rPr>
        <w:t xml:space="preserve">Supplementary Figure 2: Characterization of EphA2-specific monoclonal antibodies 1F7 and 4B3 </w:t>
      </w:r>
      <w:r w:rsidRPr="006C7FCE">
        <w:rPr>
          <w:b/>
          <w:i/>
        </w:rPr>
        <w:t>in vitro</w:t>
      </w:r>
      <w:r w:rsidRPr="006C7FCE">
        <w:rPr>
          <w:b/>
        </w:rPr>
        <w:t xml:space="preserve"> and </w:t>
      </w:r>
      <w:r w:rsidRPr="006C7FCE">
        <w:rPr>
          <w:b/>
          <w:i/>
        </w:rPr>
        <w:t>in vivo.</w:t>
      </w:r>
      <w:r w:rsidRPr="006C7FCE">
        <w:t xml:space="preserve"> </w:t>
      </w:r>
      <w:r w:rsidRPr="006C7FCE">
        <w:rPr>
          <w:b/>
        </w:rPr>
        <w:t>A</w:t>
      </w:r>
      <w:r w:rsidRPr="006C7FCE">
        <w:t xml:space="preserve"> Binding kinetics of EphA2-specific </w:t>
      </w:r>
      <w:proofErr w:type="spellStart"/>
      <w:r w:rsidRPr="006C7FCE">
        <w:t>mAbs</w:t>
      </w:r>
      <w:proofErr w:type="spellEnd"/>
      <w:r w:rsidRPr="006C7FCE">
        <w:t xml:space="preserve"> to EphA2 using Bio-Layer Interferometry technology. The EphA2-specific </w:t>
      </w:r>
      <w:proofErr w:type="spellStart"/>
      <w:r w:rsidRPr="006C7FCE">
        <w:t>mAbs</w:t>
      </w:r>
      <w:proofErr w:type="spellEnd"/>
      <w:r w:rsidRPr="006C7FCE">
        <w:t xml:space="preserve"> 1F7</w:t>
      </w:r>
      <w:r w:rsidR="00602039">
        <w:t xml:space="preserve"> and </w:t>
      </w:r>
      <w:r w:rsidRPr="006C7FCE">
        <w:t>4B3</w:t>
      </w:r>
      <w:r w:rsidR="00602039">
        <w:t>,</w:t>
      </w:r>
      <w:r w:rsidRPr="006C7FCE">
        <w:t xml:space="preserve"> and recombinant ephrin-A1-Fc (efnA1) were sequentially bound to EphA2-Fc-loaded biosensors as indicated and binding curves acquired using the Forte Bio </w:t>
      </w:r>
      <w:proofErr w:type="spellStart"/>
      <w:r w:rsidRPr="006C7FCE">
        <w:t>OctetRed</w:t>
      </w:r>
      <w:proofErr w:type="spellEnd"/>
      <w:r w:rsidRPr="006C7FCE">
        <w:t xml:space="preserve"> system. </w:t>
      </w:r>
      <w:r w:rsidRPr="006C7FCE">
        <w:rPr>
          <w:b/>
        </w:rPr>
        <w:t>B</w:t>
      </w:r>
      <w:r w:rsidRPr="006C7FCE">
        <w:t xml:space="preserve"> Flow cytometry analysis of PC-3 cells. </w:t>
      </w:r>
      <w:r w:rsidR="0084474F" w:rsidRPr="006C7FCE">
        <w:rPr>
          <w:bCs/>
          <w:color w:val="000000" w:themeColor="text1"/>
        </w:rPr>
        <w:t xml:space="preserve">EphA3-Fc, </w:t>
      </w:r>
      <w:r w:rsidR="0084474F" w:rsidRPr="006C7FCE">
        <w:rPr>
          <w:color w:val="000000" w:themeColor="text1"/>
        </w:rPr>
        <w:t xml:space="preserve">which binds promiscuously to all five ephrin-A ligands, was used to </w:t>
      </w:r>
      <w:r w:rsidR="0084474F" w:rsidRPr="006C7FCE">
        <w:rPr>
          <w:color w:val="000000" w:themeColor="text1"/>
        </w:rPr>
        <w:lastRenderedPageBreak/>
        <w:t xml:space="preserve">measure overall </w:t>
      </w:r>
      <w:proofErr w:type="spellStart"/>
      <w:r w:rsidR="0084474F" w:rsidRPr="006C7FCE">
        <w:rPr>
          <w:color w:val="000000" w:themeColor="text1"/>
        </w:rPr>
        <w:t>efnA</w:t>
      </w:r>
      <w:proofErr w:type="spellEnd"/>
      <w:r w:rsidR="0084474F" w:rsidRPr="006C7FCE">
        <w:rPr>
          <w:color w:val="000000" w:themeColor="text1"/>
        </w:rPr>
        <w:t xml:space="preserve"> expression. 1F7 and 4B3 </w:t>
      </w:r>
      <w:proofErr w:type="spellStart"/>
      <w:r w:rsidR="0084474F" w:rsidRPr="006C7FCE">
        <w:rPr>
          <w:color w:val="000000" w:themeColor="text1"/>
        </w:rPr>
        <w:t>mAbs</w:t>
      </w:r>
      <w:proofErr w:type="spellEnd"/>
      <w:r w:rsidR="0084474F" w:rsidRPr="006C7FCE">
        <w:rPr>
          <w:color w:val="000000" w:themeColor="text1"/>
        </w:rPr>
        <w:t xml:space="preserve"> were used to label EphA2.</w:t>
      </w:r>
      <w:r w:rsidR="0084474F">
        <w:rPr>
          <w:color w:val="000000" w:themeColor="text1"/>
        </w:rPr>
        <w:t xml:space="preserve"> </w:t>
      </w:r>
      <w:r w:rsidRPr="006C7FCE">
        <w:t xml:space="preserve">Our in-house anti-EphA2 </w:t>
      </w:r>
      <w:proofErr w:type="spellStart"/>
      <w:r w:rsidRPr="006C7FCE">
        <w:t>mAbs</w:t>
      </w:r>
      <w:proofErr w:type="spellEnd"/>
      <w:r w:rsidRPr="006C7FCE">
        <w:t xml:space="preserve"> 1F7 and 4B3 strongly labelled EphA2 on human PC-3 cells. Unstained and isotype-labelled cells are the negative controls. </w:t>
      </w:r>
      <w:r w:rsidRPr="006C7FCE">
        <w:rPr>
          <w:b/>
        </w:rPr>
        <w:t>C</w:t>
      </w:r>
      <w:r w:rsidRPr="006C7FCE">
        <w:rPr>
          <w:rFonts w:cs="Calibri"/>
        </w:rPr>
        <w:t xml:space="preserve"> Two biological replicate western blot results of </w:t>
      </w:r>
      <w:proofErr w:type="spellStart"/>
      <w:r w:rsidRPr="006C7FCE">
        <w:rPr>
          <w:rFonts w:cs="Calibri"/>
        </w:rPr>
        <w:t>EphA</w:t>
      </w:r>
      <w:proofErr w:type="spellEnd"/>
      <w:r w:rsidRPr="006C7FCE">
        <w:rPr>
          <w:rFonts w:cs="Calibri"/>
        </w:rPr>
        <w:t xml:space="preserve"> receptor activation and AKT inhibition after a 20-minute stimulation with ephrin-A1-Fc (efnA1-Fc), clustered ephrin-A1-Fc (cl-efnA1-Fc), 1F7 and 4B3 alone and in combination. Replicate 1 is identical with Figure 2A; replicate 2 confirms these data. Bar charts shows the mean (n = 2) and individual data points of quantified western blotting results for phospho-</w:t>
      </w:r>
      <w:proofErr w:type="spellStart"/>
      <w:r w:rsidRPr="006C7FCE">
        <w:rPr>
          <w:rFonts w:cs="Calibri"/>
        </w:rPr>
        <w:t>EphA</w:t>
      </w:r>
      <w:proofErr w:type="spellEnd"/>
      <w:r w:rsidRPr="006C7FCE">
        <w:rPr>
          <w:rFonts w:cs="Calibri"/>
        </w:rPr>
        <w:t xml:space="preserve"> and phospho-AKT protein levels. </w:t>
      </w:r>
      <w:r w:rsidRPr="006C7FCE">
        <w:t xml:space="preserve"> </w:t>
      </w:r>
      <w:r w:rsidRPr="006C7FCE">
        <w:rPr>
          <w:b/>
          <w:bCs/>
        </w:rPr>
        <w:t>D</w:t>
      </w:r>
      <w:r w:rsidRPr="006C7FCE">
        <w:rPr>
          <w:bCs/>
        </w:rPr>
        <w:t xml:space="preserve"> Complete bioluminescence imaging data for the survival experiment shown in Fig. 2E. PC-3-luciferase cells were engrafted orthotopically into the prostate of NRG mice. Starting from day 10, mice received thrice weekly intraperitoneal injections of 1F7 </w:t>
      </w:r>
      <w:proofErr w:type="spellStart"/>
      <w:r w:rsidRPr="006C7FCE">
        <w:rPr>
          <w:bCs/>
        </w:rPr>
        <w:t>mAbs</w:t>
      </w:r>
      <w:proofErr w:type="spellEnd"/>
      <w:r w:rsidRPr="006C7FCE">
        <w:rPr>
          <w:bCs/>
        </w:rPr>
        <w:t xml:space="preserve">, 4B3 </w:t>
      </w:r>
      <w:proofErr w:type="spellStart"/>
      <w:r w:rsidRPr="006C7FCE">
        <w:rPr>
          <w:bCs/>
        </w:rPr>
        <w:t>mAbs</w:t>
      </w:r>
      <w:proofErr w:type="spellEnd"/>
      <w:r w:rsidRPr="006C7FCE">
        <w:rPr>
          <w:bCs/>
        </w:rPr>
        <w:t xml:space="preserve">, or PBS vehicle control. </w:t>
      </w:r>
      <w:r w:rsidRPr="006C7FCE">
        <w:t xml:space="preserve"> </w:t>
      </w:r>
      <w:r w:rsidRPr="006C7FCE">
        <w:rPr>
          <w:b/>
        </w:rPr>
        <w:t>E</w:t>
      </w:r>
      <w:r w:rsidRPr="006C7FCE">
        <w:t xml:space="preserve"> Larger field of view of the H&amp;E-stained lung sections shown in Figure 2</w:t>
      </w:r>
      <w:r>
        <w:t>H</w:t>
      </w:r>
      <w:r w:rsidRPr="006C7FCE">
        <w:t xml:space="preserve"> comparing metastatic spread from the orthotopic tumor to the lung at 7 weeks after engraftment between treatment groups. </w:t>
      </w:r>
      <w:r w:rsidRPr="006C7FCE">
        <w:rPr>
          <w:bCs/>
        </w:rPr>
        <w:t>Tumor nodules are outlined in blue.</w:t>
      </w:r>
    </w:p>
    <w:p w14:paraId="372403DB" w14:textId="77777777" w:rsidR="00291A94" w:rsidRPr="006C7FCE" w:rsidRDefault="00291A94" w:rsidP="007701C9">
      <w:pPr>
        <w:rPr>
          <w:bCs/>
        </w:rPr>
      </w:pPr>
    </w:p>
    <w:p w14:paraId="7BB4B32F" w14:textId="2788F617" w:rsidR="00291A94" w:rsidRPr="006C7FCE" w:rsidRDefault="00291A94" w:rsidP="007701C9">
      <w:pPr>
        <w:rPr>
          <w:bCs/>
        </w:rPr>
      </w:pPr>
      <w:r w:rsidRPr="006C7FCE">
        <w:rPr>
          <w:b/>
        </w:rPr>
        <w:t xml:space="preserve">Supplementary Figure 3: </w:t>
      </w:r>
      <w:r w:rsidRPr="006C7FCE">
        <w:rPr>
          <w:b/>
          <w:iCs/>
        </w:rPr>
        <w:t>Effect of</w:t>
      </w:r>
      <w:r w:rsidRPr="006C7FCE">
        <w:rPr>
          <w:b/>
        </w:rPr>
        <w:t xml:space="preserve"> EphA2-specific </w:t>
      </w:r>
      <w:proofErr w:type="spellStart"/>
      <w:r w:rsidRPr="006C7FCE">
        <w:rPr>
          <w:b/>
        </w:rPr>
        <w:t>mAbs</w:t>
      </w:r>
      <w:proofErr w:type="spellEnd"/>
      <w:r w:rsidRPr="006C7FCE">
        <w:rPr>
          <w:b/>
        </w:rPr>
        <w:t xml:space="preserve"> 1F7 and 4B3 on prostate cancer metastasis </w:t>
      </w:r>
      <w:r w:rsidRPr="006C7FCE">
        <w:rPr>
          <w:b/>
          <w:i/>
        </w:rPr>
        <w:t xml:space="preserve">in vivo </w:t>
      </w:r>
      <w:r w:rsidRPr="006C7FCE">
        <w:rPr>
          <w:b/>
        </w:rPr>
        <w:t xml:space="preserve">and on endothelial cells </w:t>
      </w:r>
      <w:r w:rsidRPr="006C7FCE">
        <w:rPr>
          <w:b/>
          <w:i/>
        </w:rPr>
        <w:t>in vitro</w:t>
      </w:r>
      <w:r w:rsidRPr="006C7FCE">
        <w:rPr>
          <w:b/>
        </w:rPr>
        <w:t>.</w:t>
      </w:r>
      <w:r w:rsidRPr="006C7FCE">
        <w:t xml:space="preserve"> </w:t>
      </w:r>
      <w:r w:rsidRPr="006C7FCE">
        <w:rPr>
          <w:b/>
        </w:rPr>
        <w:t xml:space="preserve">A </w:t>
      </w:r>
      <w:r w:rsidRPr="006C7FCE">
        <w:rPr>
          <w:bCs/>
        </w:rPr>
        <w:t>Complete imaging data and quantification for the experiment shown in Figure 3</w:t>
      </w:r>
      <w:r>
        <w:rPr>
          <w:bCs/>
        </w:rPr>
        <w:t>B</w:t>
      </w:r>
      <w:r w:rsidRPr="006C7FCE">
        <w:rPr>
          <w:bCs/>
        </w:rPr>
        <w:t xml:space="preserve">. PC-3-luciferase cells were injected into the lateral tail vein. PBS, control IgG, 1F7 and 4B3 anti-EphA2 </w:t>
      </w:r>
      <w:proofErr w:type="spellStart"/>
      <w:r w:rsidRPr="006C7FCE">
        <w:rPr>
          <w:bCs/>
        </w:rPr>
        <w:t>mAbs</w:t>
      </w:r>
      <w:proofErr w:type="spellEnd"/>
      <w:r w:rsidRPr="006C7FCE">
        <w:rPr>
          <w:bCs/>
        </w:rPr>
        <w:t xml:space="preserve"> (8 mg/kg) were administered 2 days and 4 h before and two days after tumor cell injection and was then continued thrice weekly until endpoint. Tumor burden was monitored using intravital bioluminescence imaging of luciferase activity from PC-3-luciferase metastases throughout the body starting from five weeks (</w:t>
      </w:r>
      <w:proofErr w:type="spellStart"/>
      <w:r w:rsidRPr="006C7FCE">
        <w:rPr>
          <w:bCs/>
        </w:rPr>
        <w:t>wks</w:t>
      </w:r>
      <w:proofErr w:type="spellEnd"/>
      <w:r w:rsidRPr="006C7FCE">
        <w:rPr>
          <w:bCs/>
        </w:rPr>
        <w:t xml:space="preserve">) after tumor cell injection. Quantification of bioluminescence total flux (pixel/s) is shown as individual plots for weeks 5 to 8. Geometric mean </w:t>
      </w:r>
      <w:r w:rsidRPr="006C7FCE">
        <w:rPr>
          <w:rFonts w:cs="Calibri"/>
          <w:bCs/>
        </w:rPr>
        <w:t>±</w:t>
      </w:r>
      <w:r w:rsidRPr="006C7FCE">
        <w:rPr>
          <w:bCs/>
        </w:rPr>
        <w:t xml:space="preserve"> geometric SD (n = 7/8 </w:t>
      </w:r>
      <w:r w:rsidR="008344E5" w:rsidRPr="006C7FCE">
        <w:rPr>
          <w:bCs/>
          <w:color w:val="000000" w:themeColor="text1"/>
        </w:rPr>
        <w:t xml:space="preserve">mice per group at the start of imaging (week 5); sample sizes </w:t>
      </w:r>
      <w:r w:rsidR="008344E5" w:rsidRPr="006C7FCE">
        <w:rPr>
          <w:bCs/>
          <w:color w:val="000000" w:themeColor="text1"/>
        </w:rPr>
        <w:lastRenderedPageBreak/>
        <w:t>decrease over time due to mice reaching endpoint</w:t>
      </w:r>
      <w:r w:rsidR="008344E5">
        <w:rPr>
          <w:bCs/>
          <w:color w:val="000000" w:themeColor="text1"/>
        </w:rPr>
        <w:t>)</w:t>
      </w:r>
      <w:r w:rsidRPr="006C7FCE">
        <w:rPr>
          <w:bCs/>
          <w:color w:val="000000" w:themeColor="text1"/>
        </w:rPr>
        <w:t xml:space="preserve">. Individual data points representing individual mice. </w:t>
      </w:r>
      <w:r w:rsidRPr="006C7FCE">
        <w:rPr>
          <w:rFonts w:cs="Calibri"/>
          <w:color w:val="000000" w:themeColor="text1"/>
        </w:rPr>
        <w:t xml:space="preserve">*p-value&lt;0.05, **p-value&lt;0.01, ***p-value&lt;0.001 (One-way ANOVA with post-hoc </w:t>
      </w:r>
      <w:r w:rsidRPr="006C7FCE">
        <w:rPr>
          <w:rFonts w:cs="Calibri"/>
          <w:color w:val="000000" w:themeColor="text1"/>
          <w:shd w:val="clear" w:color="auto" w:fill="FFFFFF"/>
        </w:rPr>
        <w:t>Tukey’s test for multiple pairwise comparisons).</w:t>
      </w:r>
      <w:r w:rsidRPr="006C7FCE">
        <w:rPr>
          <w:bCs/>
          <w:color w:val="000000" w:themeColor="text1"/>
        </w:rPr>
        <w:t xml:space="preserve"> </w:t>
      </w:r>
      <w:r w:rsidRPr="006C7FCE">
        <w:rPr>
          <w:b/>
          <w:bCs/>
          <w:color w:val="000000" w:themeColor="text1"/>
        </w:rPr>
        <w:t>B</w:t>
      </w:r>
      <w:r w:rsidRPr="006C7FCE">
        <w:rPr>
          <w:bCs/>
          <w:color w:val="000000" w:themeColor="text1"/>
        </w:rPr>
        <w:t xml:space="preserve"> Complete imaging data and quantification for the survival experiment shown in Fig. 3D.</w:t>
      </w:r>
      <w:r w:rsidRPr="006C7FCE">
        <w:rPr>
          <w:color w:val="000000" w:themeColor="text1"/>
        </w:rPr>
        <w:t xml:space="preserve"> NRG </w:t>
      </w:r>
      <w:r w:rsidRPr="006C7FCE">
        <w:t xml:space="preserve">mice received a total of three doses of 1F7 </w:t>
      </w:r>
      <w:proofErr w:type="spellStart"/>
      <w:r w:rsidRPr="006C7FCE">
        <w:t>mAbs</w:t>
      </w:r>
      <w:proofErr w:type="spellEnd"/>
      <w:r w:rsidRPr="006C7FCE">
        <w:t xml:space="preserve">, 4B3 </w:t>
      </w:r>
      <w:proofErr w:type="spellStart"/>
      <w:r w:rsidRPr="006C7FCE">
        <w:t>mAbs</w:t>
      </w:r>
      <w:proofErr w:type="spellEnd"/>
      <w:r w:rsidRPr="006C7FCE">
        <w:t xml:space="preserve">, IgG isotype </w:t>
      </w:r>
      <w:proofErr w:type="spellStart"/>
      <w:r w:rsidRPr="006C7FCE">
        <w:t>mAbs</w:t>
      </w:r>
      <w:proofErr w:type="spellEnd"/>
      <w:r w:rsidRPr="006C7FCE">
        <w:t xml:space="preserve"> (8 mg/kg) or PBS vehicle control at 2 days and 4 h prior to and 2 days after tail vein injection with PC-3-luciferase cells. </w:t>
      </w:r>
      <w:r w:rsidRPr="006C7FCE">
        <w:rPr>
          <w:bCs/>
        </w:rPr>
        <w:t>Intravital bioluminescence imaging data of luciferase activity in metastases throughout the body were imaged starting from 5 weeks (</w:t>
      </w:r>
      <w:proofErr w:type="spellStart"/>
      <w:r w:rsidRPr="006C7FCE">
        <w:rPr>
          <w:bCs/>
        </w:rPr>
        <w:t>wks</w:t>
      </w:r>
      <w:proofErr w:type="spellEnd"/>
      <w:r w:rsidRPr="006C7FCE">
        <w:rPr>
          <w:bCs/>
        </w:rPr>
        <w:t xml:space="preserve">) after tumor cell injection. Mice shaded grey and marked with # were excluded due to reaching endpoint without detectable tumor burden early in the experiment and hence not meeting inclusion criteria. An additional 3 mice were excluded prior to commencement of imaging early in experiment as assessment of detectable </w:t>
      </w:r>
      <w:proofErr w:type="spellStart"/>
      <w:r w:rsidRPr="006C7FCE">
        <w:rPr>
          <w:bCs/>
        </w:rPr>
        <w:t>tumour</w:t>
      </w:r>
      <w:proofErr w:type="spellEnd"/>
      <w:r w:rsidRPr="006C7FCE">
        <w:rPr>
          <w:bCs/>
        </w:rPr>
        <w:t xml:space="preserve"> burden on imaging as an inclusion criteria was not possible. Quantification of bioluminescence total flux (pixel/s) is shown as individual scatter plots for weeks 5 to 11. Geometric mean </w:t>
      </w:r>
      <w:r w:rsidRPr="006C7FCE">
        <w:rPr>
          <w:rFonts w:cs="Calibri"/>
          <w:bCs/>
        </w:rPr>
        <w:t>±</w:t>
      </w:r>
      <w:r w:rsidRPr="006C7FCE">
        <w:rPr>
          <w:bCs/>
        </w:rPr>
        <w:t xml:space="preserve"> geometric SD </w:t>
      </w:r>
      <w:r w:rsidRPr="006C7FCE">
        <w:rPr>
          <w:bCs/>
          <w:color w:val="000000" w:themeColor="text1"/>
        </w:rPr>
        <w:t xml:space="preserve">(n = 7/8/9 mice per group at the start of imaging (week 5); sample sizes decrease over time due to mice reaching endpoint). Individual data points representing individual mice. </w:t>
      </w:r>
      <w:r w:rsidRPr="006C7FCE">
        <w:rPr>
          <w:rFonts w:cs="Calibri"/>
          <w:color w:val="000000" w:themeColor="text1"/>
        </w:rPr>
        <w:t xml:space="preserve">*p-value&lt;0.05, **p-value&lt;0.01, ***p-value&lt;0.001 (One-way ANOVA with post-hoc </w:t>
      </w:r>
      <w:r w:rsidRPr="006C7FCE">
        <w:rPr>
          <w:rFonts w:cs="Calibri"/>
          <w:color w:val="000000" w:themeColor="text1"/>
          <w:shd w:val="clear" w:color="auto" w:fill="FFFFFF"/>
        </w:rPr>
        <w:t>Tukey’s test for multiple pairwise comparisons).</w:t>
      </w:r>
      <w:r w:rsidRPr="006C7FCE">
        <w:rPr>
          <w:bCs/>
          <w:color w:val="000000" w:themeColor="text1"/>
        </w:rPr>
        <w:t xml:space="preserve"> </w:t>
      </w:r>
      <w:r w:rsidRPr="006C7FCE">
        <w:rPr>
          <w:b/>
          <w:color w:val="000000" w:themeColor="text1"/>
        </w:rPr>
        <w:t>C</w:t>
      </w:r>
      <w:r w:rsidRPr="006C7FCE">
        <w:rPr>
          <w:color w:val="000000" w:themeColor="text1"/>
        </w:rPr>
        <w:t xml:space="preserve"> </w:t>
      </w:r>
      <w:r w:rsidRPr="006C7FCE">
        <w:rPr>
          <w:bCs/>
          <w:color w:val="000000" w:themeColor="text1"/>
        </w:rPr>
        <w:t xml:space="preserve">Flow cytometry analysis of </w:t>
      </w:r>
      <w:r w:rsidRPr="006C7FCE">
        <w:rPr>
          <w:color w:val="000000" w:themeColor="text1"/>
        </w:rPr>
        <w:t>ephrin-A (</w:t>
      </w:r>
      <w:proofErr w:type="spellStart"/>
      <w:r w:rsidRPr="006C7FCE">
        <w:rPr>
          <w:color w:val="000000" w:themeColor="text1"/>
        </w:rPr>
        <w:t>efnA</w:t>
      </w:r>
      <w:proofErr w:type="spellEnd"/>
      <w:r w:rsidRPr="006C7FCE">
        <w:rPr>
          <w:color w:val="000000" w:themeColor="text1"/>
        </w:rPr>
        <w:t>) and EphA2 expression in</w:t>
      </w:r>
      <w:r w:rsidRPr="006C7FCE">
        <w:rPr>
          <w:bCs/>
          <w:color w:val="000000" w:themeColor="text1"/>
        </w:rPr>
        <w:t xml:space="preserve"> HUVEC human endothelial primary cells and the 2H-11 mouse endothelial cell line. EphA3-Fc, </w:t>
      </w:r>
      <w:r w:rsidRPr="006C7FCE">
        <w:rPr>
          <w:color w:val="000000" w:themeColor="text1"/>
        </w:rPr>
        <w:t xml:space="preserve">which binds promiscuously to all five ephrin-A ligands, was used to measure overall </w:t>
      </w:r>
      <w:proofErr w:type="spellStart"/>
      <w:r w:rsidRPr="006C7FCE">
        <w:rPr>
          <w:color w:val="000000" w:themeColor="text1"/>
        </w:rPr>
        <w:t>efnA</w:t>
      </w:r>
      <w:proofErr w:type="spellEnd"/>
      <w:r w:rsidRPr="006C7FCE">
        <w:rPr>
          <w:color w:val="000000" w:themeColor="text1"/>
        </w:rPr>
        <w:t xml:space="preserve"> expression. 1F7 and 4B3 </w:t>
      </w:r>
      <w:proofErr w:type="spellStart"/>
      <w:r w:rsidRPr="006C7FCE">
        <w:rPr>
          <w:color w:val="000000" w:themeColor="text1"/>
        </w:rPr>
        <w:t>mAbs</w:t>
      </w:r>
      <w:proofErr w:type="spellEnd"/>
      <w:r w:rsidRPr="006C7FCE">
        <w:rPr>
          <w:color w:val="000000" w:themeColor="text1"/>
        </w:rPr>
        <w:t xml:space="preserve"> were used to label EphA2. 1F7 effectively labelled EphA2 in cells of human and mouse origin; 4B3 selectively bound to human EphA2 and showed little to </w:t>
      </w:r>
      <w:r w:rsidRPr="006C7FCE">
        <w:t xml:space="preserve">no cross-reactivity with mouse EphA2 on 2H-11 endothelial cells. </w:t>
      </w:r>
      <w:r w:rsidRPr="006C7FCE">
        <w:rPr>
          <w:b/>
        </w:rPr>
        <w:t>D</w:t>
      </w:r>
      <w:r w:rsidRPr="006C7FCE">
        <w:t xml:space="preserve"> Western blot analysis with quantification of EphA2 receptor activation and AKT inhibition in 2H-11 cells after a 20-minute stimulation with ephrin-A1-Fc (efnA1-Fc), clustered ephrin-A1-Fc </w:t>
      </w:r>
      <w:r w:rsidRPr="006C7FCE">
        <w:rPr>
          <w:rFonts w:cs="Calibri"/>
        </w:rPr>
        <w:t>(cl-efnA1-Fc)</w:t>
      </w:r>
      <w:r w:rsidRPr="006C7FCE">
        <w:t xml:space="preserve">, 1F7 and 4B3 alone and in combination as indicated. 1F7 blocks EphA2 </w:t>
      </w:r>
      <w:r w:rsidRPr="006C7FCE">
        <w:lastRenderedPageBreak/>
        <w:t xml:space="preserve">receptor activation by ephrin-A1-Fc. β-actin is the loading control. Two biological replicate experiments are shown. </w:t>
      </w:r>
      <w:r w:rsidRPr="006C7FCE">
        <w:rPr>
          <w:rFonts w:cs="Calibri"/>
        </w:rPr>
        <w:t>Bar charts show mean (n = 2) and individual data points of quantified western blotting results for phospho-</w:t>
      </w:r>
      <w:proofErr w:type="spellStart"/>
      <w:r w:rsidRPr="006C7FCE">
        <w:rPr>
          <w:rFonts w:cs="Calibri"/>
        </w:rPr>
        <w:t>EphA</w:t>
      </w:r>
      <w:proofErr w:type="spellEnd"/>
      <w:r w:rsidRPr="006C7FCE">
        <w:rPr>
          <w:rFonts w:cs="Calibri"/>
        </w:rPr>
        <w:t xml:space="preserve"> and phospho-AKT protein levels. </w:t>
      </w:r>
      <w:r w:rsidRPr="006C7FCE">
        <w:t xml:space="preserve"> </w:t>
      </w:r>
    </w:p>
    <w:p w14:paraId="5E4B0EFA" w14:textId="77777777" w:rsidR="00291A94" w:rsidRPr="006C7FCE" w:rsidRDefault="00291A94" w:rsidP="007701C9"/>
    <w:p w14:paraId="008A853C" w14:textId="77777777" w:rsidR="00291A94" w:rsidRPr="006C7FCE" w:rsidRDefault="00291A94" w:rsidP="007701C9">
      <w:pPr>
        <w:rPr>
          <w:b/>
        </w:rPr>
      </w:pPr>
      <w:r w:rsidRPr="006C7FCE">
        <w:rPr>
          <w:b/>
        </w:rPr>
        <w:t xml:space="preserve">Supplementary Figure 4: Summary of </w:t>
      </w:r>
      <w:proofErr w:type="spellStart"/>
      <w:r w:rsidRPr="006C7FCE">
        <w:rPr>
          <w:b/>
        </w:rPr>
        <w:t>phosphoproteomic</w:t>
      </w:r>
      <w:proofErr w:type="spellEnd"/>
      <w:r w:rsidRPr="006C7FCE">
        <w:rPr>
          <w:b/>
        </w:rPr>
        <w:t xml:space="preserve"> analysis of EphA2 signaling in PC-3 prostate cancer cells. A </w:t>
      </w:r>
      <w:r w:rsidRPr="006C7FCE">
        <w:t xml:space="preserve">Summary of </w:t>
      </w:r>
      <w:proofErr w:type="spellStart"/>
      <w:r w:rsidRPr="006C7FCE">
        <w:t>phosphoproteome</w:t>
      </w:r>
      <w:proofErr w:type="spellEnd"/>
      <w:r w:rsidRPr="006C7FCE">
        <w:t xml:space="preserve"> coverage, </w:t>
      </w:r>
      <w:proofErr w:type="spellStart"/>
      <w:r w:rsidRPr="006C7FCE">
        <w:t>phosphosites</w:t>
      </w:r>
      <w:proofErr w:type="spellEnd"/>
      <w:r w:rsidRPr="006C7FCE">
        <w:t xml:space="preserve"> distribution and </w:t>
      </w:r>
      <w:proofErr w:type="spellStart"/>
      <w:r w:rsidRPr="006C7FCE">
        <w:t>phosphosite</w:t>
      </w:r>
      <w:proofErr w:type="spellEnd"/>
      <w:r w:rsidRPr="006C7FCE">
        <w:t xml:space="preserve"> multiplicity of detected </w:t>
      </w:r>
      <w:proofErr w:type="spellStart"/>
      <w:r w:rsidRPr="006C7FCE">
        <w:t>phosphopeptides</w:t>
      </w:r>
      <w:proofErr w:type="spellEnd"/>
      <w:r w:rsidRPr="006C7FCE">
        <w:t xml:space="preserve">. </w:t>
      </w:r>
      <w:r w:rsidRPr="006C7FCE">
        <w:rPr>
          <w:b/>
        </w:rPr>
        <w:t>B</w:t>
      </w:r>
      <w:r w:rsidRPr="006C7FCE">
        <w:t xml:space="preserve"> </w:t>
      </w:r>
      <w:proofErr w:type="spellStart"/>
      <w:r w:rsidRPr="006C7FCE">
        <w:t>MaxQuant</w:t>
      </w:r>
      <w:proofErr w:type="spellEnd"/>
      <w:r w:rsidRPr="006C7FCE">
        <w:t xml:space="preserve"> normalized log2-transformed </w:t>
      </w:r>
      <w:proofErr w:type="spellStart"/>
      <w:r w:rsidRPr="006C7FCE">
        <w:t>heavy:light</w:t>
      </w:r>
      <w:proofErr w:type="spellEnd"/>
      <w:r w:rsidRPr="006C7FCE">
        <w:t xml:space="preserve"> (H:L) SILAC ratios of efnA1-activated:Fc-control (forward experiment; replicates 1 &amp; 3) and Fc-control:efnA1-activated (reverse experiment; replicates 2 &amp; 4) were plotted against summed log2-transformed intensities of </w:t>
      </w:r>
      <w:proofErr w:type="spellStart"/>
      <w:r w:rsidRPr="006C7FCE">
        <w:t>phosphosites</w:t>
      </w:r>
      <w:proofErr w:type="spellEnd"/>
      <w:r w:rsidRPr="006C7FCE">
        <w:t xml:space="preserve"> detected with a localization probability ≥ 0.75. Significantly-regulated </w:t>
      </w:r>
      <w:proofErr w:type="spellStart"/>
      <w:r w:rsidRPr="006C7FCE">
        <w:t>phosphopeptides</w:t>
      </w:r>
      <w:proofErr w:type="spellEnd"/>
      <w:r w:rsidRPr="006C7FCE">
        <w:t xml:space="preserve"> with a Benjamini-Hochberg-corrected p-value of &lt;0.05 and a q-value of &lt;0.01 are highlighted in black compared to the grey color of </w:t>
      </w:r>
      <w:proofErr w:type="spellStart"/>
      <w:r w:rsidRPr="006C7FCE">
        <w:t>phosphopeptides</w:t>
      </w:r>
      <w:proofErr w:type="spellEnd"/>
      <w:r w:rsidRPr="006C7FCE">
        <w:t xml:space="preserve"> that were not significantly different between Fc control- and efnA1-Fc-treated samples. </w:t>
      </w:r>
      <w:r w:rsidRPr="006C7FCE">
        <w:rPr>
          <w:b/>
        </w:rPr>
        <w:t>C</w:t>
      </w:r>
      <w:r w:rsidRPr="006C7FCE">
        <w:t xml:space="preserve"> Heat map showing the log2-transformed SILAC ratios of efnA1-Fc:Fc-control of all 113 EphA2-regulated </w:t>
      </w:r>
      <w:proofErr w:type="spellStart"/>
      <w:r w:rsidRPr="006C7FCE">
        <w:t>phosphopeptides</w:t>
      </w:r>
      <w:proofErr w:type="spellEnd"/>
      <w:r w:rsidRPr="006C7FCE">
        <w:t xml:space="preserve"> that were significantly regulated in at least three of the four biological replicates. Each column represents one of the four replicates. Grey squares indicates where a particular </w:t>
      </w:r>
      <w:proofErr w:type="spellStart"/>
      <w:r w:rsidRPr="006C7FCE">
        <w:t>phosphopeptide</w:t>
      </w:r>
      <w:proofErr w:type="spellEnd"/>
      <w:r w:rsidRPr="006C7FCE">
        <w:t xml:space="preserve"> was not detected.</w:t>
      </w:r>
    </w:p>
    <w:p w14:paraId="5D25FE4D" w14:textId="77777777" w:rsidR="00291A94" w:rsidRPr="006C7FCE" w:rsidRDefault="00291A94" w:rsidP="007701C9">
      <w:pPr>
        <w:rPr>
          <w:b/>
        </w:rPr>
      </w:pPr>
    </w:p>
    <w:p w14:paraId="1599AFF6" w14:textId="77777777" w:rsidR="00291A94" w:rsidRPr="006C7FCE" w:rsidRDefault="00291A94" w:rsidP="007701C9">
      <w:pPr>
        <w:rPr>
          <w:rFonts w:cstheme="majorHAnsi"/>
          <w:b/>
        </w:rPr>
      </w:pPr>
      <w:r w:rsidRPr="006C7FCE">
        <w:rPr>
          <w:rFonts w:cstheme="majorHAnsi"/>
          <w:b/>
        </w:rPr>
        <w:t xml:space="preserve">Supplementary Figure 5: Pathway and motif enrichment analyses and kinase-substrate relationship analysis of regulated </w:t>
      </w:r>
      <w:proofErr w:type="spellStart"/>
      <w:r w:rsidRPr="006C7FCE">
        <w:rPr>
          <w:rFonts w:cstheme="majorHAnsi"/>
          <w:b/>
        </w:rPr>
        <w:t>phosphosites</w:t>
      </w:r>
      <w:proofErr w:type="spellEnd"/>
      <w:r w:rsidRPr="006C7FCE">
        <w:rPr>
          <w:rFonts w:cstheme="majorHAnsi"/>
          <w:b/>
        </w:rPr>
        <w:t xml:space="preserve"> and proteins. A </w:t>
      </w:r>
      <w:r w:rsidRPr="006C7FCE">
        <w:rPr>
          <w:rFonts w:cstheme="majorHAnsi"/>
        </w:rPr>
        <w:t xml:space="preserve">Enrichment analysis of KEGG and </w:t>
      </w:r>
      <w:proofErr w:type="spellStart"/>
      <w:r w:rsidRPr="006C7FCE">
        <w:rPr>
          <w:rFonts w:cstheme="majorHAnsi"/>
        </w:rPr>
        <w:t>Reactome</w:t>
      </w:r>
      <w:proofErr w:type="spellEnd"/>
      <w:r w:rsidRPr="006C7FCE">
        <w:rPr>
          <w:rFonts w:cstheme="majorHAnsi"/>
        </w:rPr>
        <w:t xml:space="preserve"> Pathway associations of regulated proteins. </w:t>
      </w:r>
      <w:r w:rsidRPr="006C7FCE">
        <w:rPr>
          <w:rFonts w:cs="Calibri"/>
        </w:rPr>
        <w:t xml:space="preserve">The </w:t>
      </w:r>
      <w:proofErr w:type="spellStart"/>
      <w:r w:rsidRPr="006C7FCE">
        <w:rPr>
          <w:rFonts w:cs="Calibri"/>
        </w:rPr>
        <w:t>ClueGo</w:t>
      </w:r>
      <w:proofErr w:type="spellEnd"/>
      <w:r w:rsidRPr="006C7FCE">
        <w:rPr>
          <w:rFonts w:cs="Calibri"/>
        </w:rPr>
        <w:t xml:space="preserve"> app for </w:t>
      </w:r>
      <w:proofErr w:type="spellStart"/>
      <w:r w:rsidRPr="006C7FCE">
        <w:rPr>
          <w:rFonts w:cs="Calibri"/>
        </w:rPr>
        <w:t>Cytoscape</w:t>
      </w:r>
      <w:proofErr w:type="spellEnd"/>
      <w:r w:rsidRPr="006C7FCE">
        <w:rPr>
          <w:rFonts w:cs="Calibri"/>
        </w:rPr>
        <w:t xml:space="preserve"> was used to calculate enrichment of terms associated with EphA2-regulated proteins compared to our own background dataset and to cluster related and redundant terms. </w:t>
      </w:r>
      <w:r w:rsidRPr="006C7FCE">
        <w:t>Enrichment was evaluated using one-sided hypergeometric testing. FDR was controlled using the Benjamini-Hochberg correction for multiple hypothesis testing.</w:t>
      </w:r>
      <w:r w:rsidRPr="006C7FCE">
        <w:rPr>
          <w:rFonts w:cs="Calibri"/>
        </w:rPr>
        <w:t xml:space="preserve"> Node size reflects the number of </w:t>
      </w:r>
      <w:r w:rsidRPr="006C7FCE">
        <w:rPr>
          <w:rFonts w:cs="Calibri"/>
        </w:rPr>
        <w:lastRenderedPageBreak/>
        <w:t xml:space="preserve">regulated phosphoproteins linked to a particular term; node color indicates the </w:t>
      </w:r>
      <w:r w:rsidRPr="006C7FCE">
        <w:t>Benjamini-Hochberg corrected</w:t>
      </w:r>
      <w:r w:rsidRPr="006C7FCE">
        <w:rPr>
          <w:rFonts w:cs="Calibri"/>
        </w:rPr>
        <w:t xml:space="preserve"> p-value as a measure of significance as indicated.</w:t>
      </w:r>
      <w:r>
        <w:rPr>
          <w:rFonts w:cs="Calibri"/>
        </w:rPr>
        <w:t xml:space="preserve"> </w:t>
      </w:r>
      <w:r w:rsidRPr="006C7FCE">
        <w:rPr>
          <w:rFonts w:cstheme="majorHAnsi"/>
          <w:b/>
          <w:bCs/>
        </w:rPr>
        <w:t>B</w:t>
      </w:r>
      <w:r w:rsidRPr="006C7FCE">
        <w:rPr>
          <w:rFonts w:cstheme="majorHAnsi"/>
        </w:rPr>
        <w:t xml:space="preserve"> Complete list of enriched motifs identified using the</w:t>
      </w:r>
      <w:r w:rsidRPr="006C7FCE">
        <w:rPr>
          <w:rFonts w:cstheme="majorHAnsi"/>
          <w:b/>
        </w:rPr>
        <w:t xml:space="preserve"> </w:t>
      </w:r>
      <w:r w:rsidRPr="006C7FCE">
        <w:rPr>
          <w:rFonts w:cstheme="majorHAnsi"/>
        </w:rPr>
        <w:t xml:space="preserve">Motifs Analysis Tool from </w:t>
      </w:r>
      <w:proofErr w:type="spellStart"/>
      <w:r w:rsidRPr="006C7FCE">
        <w:rPr>
          <w:rFonts w:cstheme="majorHAnsi"/>
        </w:rPr>
        <w:t>PhosphoSitePlus</w:t>
      </w:r>
      <w:proofErr w:type="spellEnd"/>
      <w:r w:rsidRPr="006C7FCE">
        <w:rPr>
          <w:rFonts w:cstheme="majorHAnsi"/>
        </w:rPr>
        <w:t xml:space="preserve">. </w:t>
      </w:r>
      <w:r w:rsidRPr="006C7FCE">
        <w:rPr>
          <w:rFonts w:cs="Calibri"/>
        </w:rPr>
        <w:t xml:space="preserve">Enriched motifs were identified using the Motifs Analysis Tool from </w:t>
      </w:r>
      <w:proofErr w:type="spellStart"/>
      <w:r w:rsidRPr="006C7FCE">
        <w:rPr>
          <w:rFonts w:cs="Calibri"/>
        </w:rPr>
        <w:t>PhosphoSitePlus</w:t>
      </w:r>
      <w:proofErr w:type="spellEnd"/>
      <w:r w:rsidRPr="006C7FCE">
        <w:rPr>
          <w:rFonts w:cs="Calibri"/>
        </w:rPr>
        <w:t xml:space="preserve">. 13-mer </w:t>
      </w:r>
      <w:proofErr w:type="spellStart"/>
      <w:r w:rsidRPr="006C7FCE">
        <w:rPr>
          <w:rFonts w:cs="Calibri"/>
        </w:rPr>
        <w:t>phosphosite</w:t>
      </w:r>
      <w:proofErr w:type="spellEnd"/>
      <w:r w:rsidRPr="006C7FCE">
        <w:rPr>
          <w:rFonts w:cs="Calibri"/>
        </w:rPr>
        <w:t xml:space="preserve">-centered peptide sequences of regulated </w:t>
      </w:r>
      <w:proofErr w:type="spellStart"/>
      <w:r w:rsidRPr="006C7FCE">
        <w:rPr>
          <w:rFonts w:cs="Calibri"/>
        </w:rPr>
        <w:t>phosphosites</w:t>
      </w:r>
      <w:proofErr w:type="spellEnd"/>
      <w:r w:rsidRPr="006C7FCE">
        <w:rPr>
          <w:rFonts w:cs="Calibri"/>
        </w:rPr>
        <w:t xml:space="preserve"> were analyzed using the Motif-All algorithm (significance threshold of 1e</w:t>
      </w:r>
      <w:r w:rsidRPr="006C7FCE">
        <w:rPr>
          <w:rFonts w:cs="Calibri"/>
          <w:vertAlign w:val="superscript"/>
        </w:rPr>
        <w:t>-05</w:t>
      </w:r>
      <w:r w:rsidRPr="006C7FCE">
        <w:rPr>
          <w:rFonts w:cs="Calibri"/>
        </w:rPr>
        <w:t>, support threshold of 0.05). A minimum motif occurrence threshold of five was manually applied to significantly overrepresented motifs.</w:t>
      </w:r>
      <w:r w:rsidRPr="006C7FCE">
        <w:rPr>
          <w:rFonts w:cstheme="majorHAnsi"/>
        </w:rPr>
        <w:t xml:space="preserve"> </w:t>
      </w:r>
      <w:r w:rsidRPr="006C7FCE">
        <w:rPr>
          <w:rFonts w:cstheme="majorHAnsi"/>
          <w:b/>
        </w:rPr>
        <w:t xml:space="preserve">C </w:t>
      </w:r>
      <w:r w:rsidRPr="006C7FCE">
        <w:rPr>
          <w:rFonts w:cstheme="majorHAnsi"/>
        </w:rPr>
        <w:t xml:space="preserve">Complete kinase-substrate relationship analysis. </w:t>
      </w:r>
      <w:proofErr w:type="spellStart"/>
      <w:r w:rsidRPr="006C7FCE">
        <w:rPr>
          <w:rFonts w:cstheme="majorHAnsi"/>
        </w:rPr>
        <w:t>PhosphoSitePlus</w:t>
      </w:r>
      <w:proofErr w:type="spellEnd"/>
      <w:r w:rsidRPr="006C7FCE">
        <w:rPr>
          <w:rFonts w:cstheme="majorHAnsi"/>
        </w:rPr>
        <w:t xml:space="preserve">, HRPD, </w:t>
      </w:r>
      <w:proofErr w:type="spellStart"/>
      <w:r w:rsidRPr="006C7FCE">
        <w:rPr>
          <w:rFonts w:cstheme="majorHAnsi"/>
        </w:rPr>
        <w:t>Uniprot</w:t>
      </w:r>
      <w:proofErr w:type="spellEnd"/>
      <w:r w:rsidRPr="006C7FCE">
        <w:rPr>
          <w:rFonts w:cstheme="majorHAnsi"/>
        </w:rPr>
        <w:t xml:space="preserve"> and </w:t>
      </w:r>
      <w:proofErr w:type="spellStart"/>
      <w:r w:rsidRPr="006C7FCE">
        <w:rPr>
          <w:rFonts w:cstheme="majorHAnsi"/>
        </w:rPr>
        <w:t>NetworKIN</w:t>
      </w:r>
      <w:proofErr w:type="spellEnd"/>
      <w:r w:rsidRPr="006C7FCE">
        <w:rPr>
          <w:rFonts w:cstheme="majorHAnsi"/>
        </w:rPr>
        <w:t xml:space="preserve"> databases were queried for known and predicted upstream kinases of regulated phosphorylation sites. Resulting kinase-substrate relationships are shown as black edges for known connections and as blue edges for connections predicted by the </w:t>
      </w:r>
      <w:proofErr w:type="spellStart"/>
      <w:r w:rsidRPr="006C7FCE">
        <w:rPr>
          <w:rFonts w:cstheme="majorHAnsi"/>
        </w:rPr>
        <w:t>NetworKIN</w:t>
      </w:r>
      <w:proofErr w:type="spellEnd"/>
      <w:r w:rsidRPr="006C7FCE">
        <w:rPr>
          <w:rFonts w:cstheme="majorHAnsi"/>
        </w:rPr>
        <w:t xml:space="preserve"> database. Kinases are organized according to kinase families. Phosphorylation sites with an RXXS/T* or S/T*P motif are indicated by red and blue outlines around </w:t>
      </w:r>
      <w:proofErr w:type="spellStart"/>
      <w:r w:rsidRPr="006C7FCE">
        <w:rPr>
          <w:rFonts w:cstheme="majorHAnsi"/>
        </w:rPr>
        <w:t>phosphosite</w:t>
      </w:r>
      <w:proofErr w:type="spellEnd"/>
      <w:r w:rsidRPr="006C7FCE">
        <w:rPr>
          <w:rFonts w:cstheme="majorHAnsi"/>
        </w:rPr>
        <w:t xml:space="preserve"> nodes, respectively. Kinase node sizes reflect the number of regulated </w:t>
      </w:r>
      <w:proofErr w:type="spellStart"/>
      <w:r w:rsidRPr="006C7FCE">
        <w:rPr>
          <w:rFonts w:cstheme="majorHAnsi"/>
        </w:rPr>
        <w:t>phosphosites</w:t>
      </w:r>
      <w:proofErr w:type="spellEnd"/>
      <w:r w:rsidRPr="006C7FCE">
        <w:rPr>
          <w:rFonts w:cstheme="majorHAnsi"/>
        </w:rPr>
        <w:t xml:space="preserve"> connected to a particular kinase. </w:t>
      </w:r>
    </w:p>
    <w:p w14:paraId="44002318" w14:textId="77777777" w:rsidR="00291A94" w:rsidRPr="006C7FCE" w:rsidRDefault="00291A94" w:rsidP="007701C9"/>
    <w:p w14:paraId="544F286F" w14:textId="4356B5AC" w:rsidR="00291A94" w:rsidRPr="006C7FCE" w:rsidRDefault="00291A94" w:rsidP="007701C9">
      <w:r w:rsidRPr="006C7FCE">
        <w:rPr>
          <w:b/>
        </w:rPr>
        <w:t>Supplementary Figure 6: Proteome Profiler Human Phospho-Kinase Array layout and analysis. A</w:t>
      </w:r>
      <w:r w:rsidRPr="006C7FCE">
        <w:t xml:space="preserve"> Layout of the Proteome Profiler Phospho-Kinase Array used in this study.</w:t>
      </w:r>
      <w:r w:rsidRPr="006C7FCE">
        <w:rPr>
          <w:b/>
          <w:bCs/>
        </w:rPr>
        <w:t xml:space="preserve"> B</w:t>
      </w:r>
      <w:r w:rsidRPr="006C7FCE">
        <w:t xml:space="preserve"> Bar graph </w:t>
      </w:r>
      <w:r w:rsidR="007566CF">
        <w:t xml:space="preserve">showing </w:t>
      </w:r>
      <w:r w:rsidRPr="006C7FCE">
        <w:t>the complete quantification of the Proteome Profiler array</w:t>
      </w:r>
      <w:r w:rsidR="007566CF">
        <w:t xml:space="preserve"> shown in Fig. 6a</w:t>
      </w:r>
      <w:r w:rsidRPr="006C7FCE">
        <w:t>. Data is represented as log2-fold change (efnA1-Fc:Fc control). Mean ± SE</w:t>
      </w:r>
      <w:r>
        <w:t xml:space="preserve"> (</w:t>
      </w:r>
      <w:r w:rsidRPr="006C7FCE">
        <w:t>n = 4 biological replicates</w:t>
      </w:r>
      <w:r>
        <w:t>)</w:t>
      </w:r>
      <w:r w:rsidRPr="006C7FCE">
        <w:t>.</w:t>
      </w:r>
    </w:p>
    <w:p w14:paraId="7BCF068F" w14:textId="77777777" w:rsidR="00291A94" w:rsidRPr="006C7FCE" w:rsidRDefault="00291A94" w:rsidP="007701C9">
      <w:pPr>
        <w:rPr>
          <w:b/>
        </w:rPr>
      </w:pPr>
    </w:p>
    <w:p w14:paraId="503B8CCA" w14:textId="77777777" w:rsidR="00291A94" w:rsidRPr="006C7FCE" w:rsidRDefault="00291A94" w:rsidP="007701C9">
      <w:r w:rsidRPr="006C7FCE">
        <w:rPr>
          <w:b/>
        </w:rPr>
        <w:t xml:space="preserve">Supplementary Figure 7: Validation of </w:t>
      </w:r>
      <w:proofErr w:type="spellStart"/>
      <w:r w:rsidRPr="006C7FCE">
        <w:rPr>
          <w:b/>
        </w:rPr>
        <w:t>phosphoproteomics</w:t>
      </w:r>
      <w:proofErr w:type="spellEnd"/>
      <w:r w:rsidRPr="006C7FCE">
        <w:rPr>
          <w:b/>
        </w:rPr>
        <w:t xml:space="preserve"> findings. </w:t>
      </w:r>
      <w:r w:rsidRPr="006C7FCE">
        <w:rPr>
          <w:rFonts w:cs="Calibri"/>
          <w:b/>
        </w:rPr>
        <w:t>A</w:t>
      </w:r>
      <w:r w:rsidRPr="006C7FCE">
        <w:rPr>
          <w:rFonts w:cs="Calibri"/>
        </w:rPr>
        <w:t xml:space="preserve"> Western blot analysis of the effect of transient Grb10 siRNA knockdown on Akt and Erk pathway inhibition in response to EphA2 activation. Cell lines were incubated with clustered human IgG (Fc control, </w:t>
      </w:r>
      <w:r w:rsidRPr="006C7FCE">
        <w:rPr>
          <w:rFonts w:cs="Calibri"/>
        </w:rPr>
        <w:lastRenderedPageBreak/>
        <w:t>Fc) or clustered ephrin-A1-Fc (efnA1-Fc) for 20 min. β-actin is the loading control.  Bar chart shows relative phosphorylated protein levels of phospho-</w:t>
      </w:r>
      <w:proofErr w:type="spellStart"/>
      <w:r w:rsidRPr="006C7FCE">
        <w:rPr>
          <w:rFonts w:cs="Calibri"/>
        </w:rPr>
        <w:t>EphA</w:t>
      </w:r>
      <w:proofErr w:type="spellEnd"/>
      <w:r w:rsidRPr="006C7FCE">
        <w:rPr>
          <w:rFonts w:cs="Calibri"/>
        </w:rPr>
        <w:t xml:space="preserve">, phospho-Erk and phospho-AKT. </w:t>
      </w:r>
      <w:r>
        <w:rPr>
          <w:rFonts w:cs="Calibri"/>
        </w:rPr>
        <w:t>M</w:t>
      </w:r>
      <w:r w:rsidRPr="006C7FCE">
        <w:rPr>
          <w:rFonts w:cs="Calibri"/>
        </w:rPr>
        <w:t xml:space="preserve">ean ± SE (n = </w:t>
      </w:r>
      <w:r>
        <w:rPr>
          <w:rFonts w:cs="Calibri"/>
        </w:rPr>
        <w:t>2</w:t>
      </w:r>
      <w:r w:rsidRPr="006C7FCE">
        <w:rPr>
          <w:rFonts w:cs="Calibri"/>
        </w:rPr>
        <w:t xml:space="preserve"> biological replicates). Grb10 </w:t>
      </w:r>
      <w:r>
        <w:rPr>
          <w:rFonts w:cs="Calibri"/>
        </w:rPr>
        <w:t>k</w:t>
      </w:r>
      <w:r w:rsidRPr="006C7FCE">
        <w:rPr>
          <w:rFonts w:cs="Calibri"/>
        </w:rPr>
        <w:t xml:space="preserve">nockdown was confirmed by western blot. Grb10 siRNA knockdown had no effect on EphA2-mediated inhibition of Erk1/2 and Akt pathway inhibition in response to ephrin-A1 stimulation. </w:t>
      </w:r>
      <w:r w:rsidRPr="006C7FCE">
        <w:rPr>
          <w:rFonts w:cs="Calibri"/>
          <w:b/>
          <w:bCs/>
        </w:rPr>
        <w:t>B</w:t>
      </w:r>
      <w:r w:rsidRPr="006C7FCE">
        <w:rPr>
          <w:b/>
        </w:rPr>
        <w:t xml:space="preserve"> </w:t>
      </w:r>
      <w:r w:rsidRPr="006C7FCE">
        <w:rPr>
          <w:rFonts w:cs="Calibri"/>
        </w:rPr>
        <w:t xml:space="preserve">Confocal fluorescence images of </w:t>
      </w:r>
      <w:r>
        <w:rPr>
          <w:rFonts w:cs="Calibri"/>
        </w:rPr>
        <w:t xml:space="preserve">Duolink </w:t>
      </w:r>
      <w:r w:rsidRPr="006C7FCE">
        <w:rPr>
          <w:rFonts w:cs="Calibri"/>
        </w:rPr>
        <w:t>proximity ligation assay assessing the interaction of EphA2 and afadin in PC-3 cells. Cells were incubated with anti-afadin and anti-EphA2 (1F7) antibodies followed by secondary antibodies conjugated to PLA PLUS and MINUS oligonucleotide probes. A ligation reaction and rolling cycle amplification can occur only if the two target proteins are within &lt;40 nm of each other. Binding of complementary fluorescent-labelled oligonucleotides to the reaction products then allows visualization of the protein interaction. An increase in fluorescent spots indicative of protein-protein interaction/</w:t>
      </w:r>
      <w:proofErr w:type="gramStart"/>
      <w:r w:rsidRPr="006C7FCE">
        <w:rPr>
          <w:rFonts w:cs="Calibri"/>
        </w:rPr>
        <w:t>close proximity</w:t>
      </w:r>
      <w:proofErr w:type="gramEnd"/>
      <w:r w:rsidRPr="006C7FCE">
        <w:rPr>
          <w:rFonts w:cs="Calibri"/>
        </w:rPr>
        <w:t xml:space="preserve"> was observed in cells treated with 1 ug/ml clustered ephrin-A1-Fc for 5 min compared to untreated cells. No antibody and single antibody labelling reactions are negative technical PLA controls. </w:t>
      </w:r>
    </w:p>
    <w:bookmarkEnd w:id="0"/>
    <w:p w14:paraId="17951081" w14:textId="77777777" w:rsidR="00291A94" w:rsidRPr="006C7FCE" w:rsidRDefault="00291A94" w:rsidP="007701C9">
      <w:pPr>
        <w:rPr>
          <w:b/>
        </w:rPr>
      </w:pPr>
    </w:p>
    <w:p w14:paraId="4CA6E6A6" w14:textId="4DFB54D4" w:rsidR="00291A94" w:rsidRPr="006C7FCE" w:rsidRDefault="00291A94" w:rsidP="007701C9">
      <w:pPr>
        <w:rPr>
          <w:bCs/>
          <w:color w:val="000000" w:themeColor="text1"/>
        </w:rPr>
      </w:pPr>
      <w:r w:rsidRPr="006C7FCE">
        <w:rPr>
          <w:b/>
        </w:rPr>
        <w:t xml:space="preserve">Supplementary Video 1: </w:t>
      </w:r>
      <w:r w:rsidRPr="006C7FCE">
        <w:t xml:space="preserve">Time-lapse brightfield video microscopy to complement still images shown in Figure 1G and H of PC-3 cells invasion into Matrigel containing either 1 µg/ml clustered Fc control or ephrin-A1-Fc (efnA1-Fc). Images were captured every 10 min for 36 h and are </w:t>
      </w:r>
      <w:r w:rsidRPr="006C7FCE">
        <w:rPr>
          <w:color w:val="000000" w:themeColor="text1"/>
        </w:rPr>
        <w:t xml:space="preserve">played back at a frame rate of 18 frames per second. Initial cell-to-Matrigel boundaries are indicated by a black line. Time stamp represents </w:t>
      </w:r>
      <w:proofErr w:type="spellStart"/>
      <w:proofErr w:type="gramStart"/>
      <w:r w:rsidRPr="006C7FCE">
        <w:rPr>
          <w:color w:val="000000" w:themeColor="text1"/>
        </w:rPr>
        <w:t>hh:mm</w:t>
      </w:r>
      <w:proofErr w:type="spellEnd"/>
      <w:r w:rsidRPr="006C7FCE">
        <w:rPr>
          <w:color w:val="000000" w:themeColor="text1"/>
        </w:rPr>
        <w:t>.</w:t>
      </w:r>
      <w:proofErr w:type="gramEnd"/>
    </w:p>
    <w:p w14:paraId="39EB5A94" w14:textId="77777777" w:rsidR="00291A94" w:rsidRPr="006C7FCE" w:rsidRDefault="00291A94" w:rsidP="007701C9">
      <w:pPr>
        <w:jc w:val="left"/>
        <w:rPr>
          <w:rFonts w:cstheme="majorHAnsi"/>
          <w:b/>
          <w:color w:val="000000" w:themeColor="text1"/>
        </w:rPr>
      </w:pPr>
    </w:p>
    <w:p w14:paraId="14FEA54D" w14:textId="34F7A11E" w:rsidR="00291A94" w:rsidRPr="006C7FCE" w:rsidRDefault="00291A94" w:rsidP="007701C9">
      <w:pPr>
        <w:rPr>
          <w:rFonts w:cstheme="majorHAnsi"/>
          <w:color w:val="000000" w:themeColor="text1"/>
        </w:rPr>
      </w:pPr>
      <w:r w:rsidRPr="006C7FCE">
        <w:rPr>
          <w:rFonts w:cstheme="majorHAnsi"/>
          <w:b/>
          <w:color w:val="000000" w:themeColor="text1"/>
        </w:rPr>
        <w:t xml:space="preserve">Supplementary Table 1: List of significantly EphA2-regulated phosphoproteins, </w:t>
      </w:r>
      <w:proofErr w:type="spellStart"/>
      <w:r w:rsidRPr="006C7FCE">
        <w:rPr>
          <w:rFonts w:cstheme="majorHAnsi"/>
          <w:b/>
          <w:color w:val="000000" w:themeColor="text1"/>
        </w:rPr>
        <w:t>phosphopeptides</w:t>
      </w:r>
      <w:proofErr w:type="spellEnd"/>
      <w:r w:rsidRPr="006C7FCE">
        <w:rPr>
          <w:rFonts w:cstheme="majorHAnsi"/>
          <w:b/>
          <w:color w:val="000000" w:themeColor="text1"/>
        </w:rPr>
        <w:t xml:space="preserve"> and </w:t>
      </w:r>
      <w:proofErr w:type="spellStart"/>
      <w:r w:rsidRPr="006C7FCE">
        <w:rPr>
          <w:rFonts w:cstheme="majorHAnsi"/>
          <w:b/>
          <w:color w:val="000000" w:themeColor="text1"/>
        </w:rPr>
        <w:t>phosphosites</w:t>
      </w:r>
      <w:proofErr w:type="spellEnd"/>
      <w:r w:rsidRPr="006C7FCE">
        <w:rPr>
          <w:rFonts w:cstheme="majorHAnsi"/>
          <w:b/>
          <w:color w:val="000000" w:themeColor="text1"/>
        </w:rPr>
        <w:t xml:space="preserve"> in PC-3 prostate cancer cells. </w:t>
      </w:r>
      <w:r w:rsidRPr="006C7FCE">
        <w:rPr>
          <w:rFonts w:cstheme="majorHAnsi"/>
          <w:color w:val="000000" w:themeColor="text1"/>
        </w:rPr>
        <w:t xml:space="preserve">Significantly regulated phosphoproteins are listed alphabetically according to HGNC symbols. Up- and down-regulation of </w:t>
      </w:r>
      <w:proofErr w:type="spellStart"/>
      <w:r w:rsidRPr="006C7FCE">
        <w:rPr>
          <w:rFonts w:cstheme="majorHAnsi"/>
          <w:color w:val="000000" w:themeColor="text1"/>
        </w:rPr>
        <w:t>phosphopeptide</w:t>
      </w:r>
      <w:proofErr w:type="spellEnd"/>
      <w:r w:rsidR="00B24913">
        <w:rPr>
          <w:rFonts w:cstheme="majorHAnsi"/>
          <w:color w:val="000000" w:themeColor="text1"/>
        </w:rPr>
        <w:t xml:space="preserve"> </w:t>
      </w:r>
      <w:r w:rsidRPr="006C7FCE">
        <w:rPr>
          <w:rFonts w:cstheme="majorHAnsi"/>
          <w:color w:val="000000" w:themeColor="text1"/>
        </w:rPr>
        <w:t>abundance</w:t>
      </w:r>
      <w:r w:rsidR="00B24913">
        <w:rPr>
          <w:rFonts w:cstheme="majorHAnsi"/>
          <w:color w:val="000000" w:themeColor="text1"/>
        </w:rPr>
        <w:t>s</w:t>
      </w:r>
      <w:r w:rsidRPr="006C7FCE">
        <w:rPr>
          <w:rFonts w:cstheme="majorHAnsi"/>
          <w:color w:val="000000" w:themeColor="text1"/>
        </w:rPr>
        <w:t xml:space="preserve"> in response to activation of the EphA2 receptor are </w:t>
      </w:r>
      <w:r w:rsidRPr="006C7FCE">
        <w:rPr>
          <w:rFonts w:cstheme="majorHAnsi"/>
          <w:color w:val="000000" w:themeColor="text1"/>
        </w:rPr>
        <w:lastRenderedPageBreak/>
        <w:t>indicated with red upward and green downward pointing arrows, respectively. Posttranslational modifications are demarked by the following symbols after the modified residue: *phosphorylation (</w:t>
      </w:r>
      <w:proofErr w:type="spellStart"/>
      <w:r w:rsidRPr="006C7FCE">
        <w:rPr>
          <w:rFonts w:cstheme="majorHAnsi"/>
          <w:color w:val="000000" w:themeColor="text1"/>
        </w:rPr>
        <w:t>ph</w:t>
      </w:r>
      <w:proofErr w:type="spellEnd"/>
      <w:r w:rsidRPr="006C7FCE">
        <w:rPr>
          <w:rFonts w:cstheme="majorHAnsi"/>
          <w:color w:val="000000" w:themeColor="text1"/>
        </w:rPr>
        <w:t>), ^acetylation (ac), #oxidation (ox), @deamidation (de).</w:t>
      </w:r>
    </w:p>
    <w:p w14:paraId="08184408" w14:textId="77777777" w:rsidR="00291A94" w:rsidRPr="006C7FCE" w:rsidRDefault="00291A94" w:rsidP="007701C9">
      <w:pPr>
        <w:rPr>
          <w:rFonts w:cstheme="majorHAnsi"/>
          <w:color w:val="000000" w:themeColor="text1"/>
        </w:rPr>
      </w:pPr>
    </w:p>
    <w:p w14:paraId="25F69E35" w14:textId="77777777" w:rsidR="00291A94" w:rsidRPr="006C7FCE" w:rsidRDefault="00291A94" w:rsidP="007701C9">
      <w:pPr>
        <w:rPr>
          <w:rFonts w:cstheme="majorHAnsi"/>
          <w:b/>
          <w:color w:val="000000" w:themeColor="text1"/>
        </w:rPr>
      </w:pPr>
      <w:r w:rsidRPr="006C7FCE">
        <w:rPr>
          <w:rFonts w:cstheme="majorHAnsi"/>
          <w:b/>
          <w:color w:val="000000" w:themeColor="text1"/>
        </w:rPr>
        <w:t>Supplementary Table 2: Protein classification of EphA2-regulated phosphoproteins.</w:t>
      </w:r>
    </w:p>
    <w:p w14:paraId="01200CAF" w14:textId="77777777" w:rsidR="00291A94" w:rsidRPr="006C7FCE" w:rsidRDefault="00291A94" w:rsidP="007701C9">
      <w:pPr>
        <w:rPr>
          <w:rFonts w:cstheme="majorHAnsi"/>
          <w:color w:val="000000" w:themeColor="text1"/>
        </w:rPr>
      </w:pPr>
    </w:p>
    <w:p w14:paraId="4593363E" w14:textId="77777777" w:rsidR="00291A94" w:rsidRPr="006C7FCE" w:rsidRDefault="00291A94" w:rsidP="007701C9">
      <w:pPr>
        <w:rPr>
          <w:rFonts w:cstheme="majorHAnsi"/>
          <w:b/>
          <w:color w:val="000000" w:themeColor="text1"/>
        </w:rPr>
      </w:pPr>
      <w:r w:rsidRPr="006C7FCE">
        <w:rPr>
          <w:rFonts w:cstheme="majorHAnsi"/>
          <w:b/>
          <w:color w:val="000000" w:themeColor="text1"/>
        </w:rPr>
        <w:t xml:space="preserve">Supplementary Table 3: </w:t>
      </w:r>
      <w:r w:rsidRPr="006C7FCE">
        <w:rPr>
          <w:rFonts w:cstheme="majorHAnsi"/>
          <w:b/>
          <w:bCs/>
          <w:color w:val="000000" w:themeColor="text1"/>
        </w:rPr>
        <w:t xml:space="preserve">GO enrichment analysis of Cellular Compartment terms associated with the EphA2-regulated proteins. </w:t>
      </w:r>
    </w:p>
    <w:p w14:paraId="3B94C9DB" w14:textId="77777777" w:rsidR="00291A94" w:rsidRPr="006C7FCE" w:rsidRDefault="00291A94" w:rsidP="007701C9">
      <w:pPr>
        <w:rPr>
          <w:rFonts w:cstheme="majorHAnsi"/>
          <w:color w:val="000000" w:themeColor="text1"/>
        </w:rPr>
      </w:pPr>
    </w:p>
    <w:p w14:paraId="5610B9FD" w14:textId="77777777" w:rsidR="00291A94" w:rsidRPr="006C7FCE" w:rsidRDefault="00291A94" w:rsidP="007701C9">
      <w:pPr>
        <w:rPr>
          <w:rFonts w:cstheme="majorHAnsi"/>
          <w:color w:val="000000" w:themeColor="text1"/>
        </w:rPr>
      </w:pPr>
      <w:r w:rsidRPr="006C7FCE">
        <w:rPr>
          <w:rFonts w:cstheme="majorHAnsi"/>
          <w:b/>
          <w:color w:val="000000" w:themeColor="text1"/>
        </w:rPr>
        <w:t xml:space="preserve">Supplementary Table 4: </w:t>
      </w:r>
      <w:r w:rsidRPr="006C7FCE">
        <w:rPr>
          <w:rFonts w:cstheme="majorHAnsi"/>
          <w:b/>
          <w:bCs/>
          <w:color w:val="000000" w:themeColor="text1"/>
        </w:rPr>
        <w:t>GO enrichment analysis of Biological Process and Molecular Function terms associated with the EphA2-regulated proteins.</w:t>
      </w:r>
      <w:r w:rsidRPr="006C7FCE">
        <w:rPr>
          <w:rFonts w:cstheme="majorHAnsi"/>
          <w:color w:val="000000" w:themeColor="text1"/>
        </w:rPr>
        <w:t xml:space="preserve"> </w:t>
      </w:r>
    </w:p>
    <w:p w14:paraId="5ABBFA2C" w14:textId="77777777" w:rsidR="00291A94" w:rsidRPr="006C7FCE" w:rsidRDefault="00291A94" w:rsidP="007701C9">
      <w:pPr>
        <w:rPr>
          <w:rFonts w:cstheme="majorHAnsi"/>
          <w:color w:val="000000" w:themeColor="text1"/>
        </w:rPr>
      </w:pPr>
    </w:p>
    <w:p w14:paraId="6C5D2C37" w14:textId="5711FBB9" w:rsidR="0002555F" w:rsidRPr="002275BF" w:rsidRDefault="00291A94" w:rsidP="007701C9">
      <w:pPr>
        <w:rPr>
          <w:rFonts w:cstheme="majorHAnsi"/>
          <w:color w:val="000000" w:themeColor="text1"/>
        </w:rPr>
      </w:pPr>
      <w:r w:rsidRPr="006C7FCE">
        <w:rPr>
          <w:rFonts w:cstheme="majorHAnsi"/>
          <w:b/>
          <w:color w:val="000000" w:themeColor="text1"/>
        </w:rPr>
        <w:t>Supplementary Table 5:</w:t>
      </w:r>
      <w:r w:rsidRPr="006C7FCE">
        <w:rPr>
          <w:rFonts w:cstheme="majorHAnsi"/>
          <w:color w:val="000000" w:themeColor="text1"/>
        </w:rPr>
        <w:t xml:space="preserve"> </w:t>
      </w:r>
      <w:r w:rsidRPr="006C7FCE">
        <w:rPr>
          <w:rFonts w:cstheme="majorHAnsi"/>
          <w:b/>
          <w:bCs/>
          <w:color w:val="000000" w:themeColor="text1"/>
        </w:rPr>
        <w:t xml:space="preserve">Enrichment analysis of KEGG and </w:t>
      </w:r>
      <w:proofErr w:type="spellStart"/>
      <w:r w:rsidRPr="006C7FCE">
        <w:rPr>
          <w:rFonts w:cstheme="majorHAnsi"/>
          <w:b/>
          <w:bCs/>
          <w:color w:val="000000" w:themeColor="text1"/>
        </w:rPr>
        <w:t>Reactome</w:t>
      </w:r>
      <w:proofErr w:type="spellEnd"/>
      <w:r w:rsidRPr="006C7FCE">
        <w:rPr>
          <w:rFonts w:cstheme="majorHAnsi"/>
          <w:b/>
          <w:bCs/>
          <w:color w:val="000000" w:themeColor="text1"/>
        </w:rPr>
        <w:t xml:space="preserve"> Pathway associations of regulated proteins.</w:t>
      </w:r>
      <w:r w:rsidRPr="006C7FCE">
        <w:rPr>
          <w:rFonts w:cstheme="majorHAnsi"/>
          <w:color w:val="000000" w:themeColor="text1"/>
        </w:rPr>
        <w:t xml:space="preserve"> </w:t>
      </w:r>
    </w:p>
    <w:sectPr w:rsidR="0002555F" w:rsidRPr="002275BF" w:rsidSect="005654D6">
      <w:footerReference w:type="even" r:id="rId6"/>
      <w:footerReference w:type="default" r:id="rId7"/>
      <w:footerReference w:type="first" r:id="rId8"/>
      <w:pgSz w:w="11900" w:h="16840" w:code="9"/>
      <w:pgMar w:top="1134" w:right="1418" w:bottom="1134" w:left="1418"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64A81" w14:textId="77777777" w:rsidR="004F44D7" w:rsidRDefault="004F44D7">
      <w:pPr>
        <w:spacing w:line="240" w:lineRule="auto"/>
      </w:pPr>
      <w:r>
        <w:separator/>
      </w:r>
    </w:p>
  </w:endnote>
  <w:endnote w:type="continuationSeparator" w:id="0">
    <w:p w14:paraId="068574AC" w14:textId="77777777" w:rsidR="004F44D7" w:rsidRDefault="004F44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8AAB1" w14:textId="77777777" w:rsidR="00995048" w:rsidRPr="006C7FCE" w:rsidRDefault="00000000">
    <w:pPr>
      <w:pStyle w:val="Footer"/>
    </w:pPr>
    <w:r w:rsidRPr="006C7FCE">
      <w:rPr>
        <w:noProof/>
      </w:rPr>
      <mc:AlternateContent>
        <mc:Choice Requires="wps">
          <w:drawing>
            <wp:anchor distT="0" distB="0" distL="0" distR="0" simplePos="0" relativeHeight="251660288" behindDoc="0" locked="0" layoutInCell="1" allowOverlap="1" wp14:anchorId="5E9DA7FF" wp14:editId="6142D39A">
              <wp:simplePos x="635" y="635"/>
              <wp:positionH relativeFrom="page">
                <wp:align>center</wp:align>
              </wp:positionH>
              <wp:positionV relativeFrom="page">
                <wp:align>bottom</wp:align>
              </wp:positionV>
              <wp:extent cx="1715135" cy="482600"/>
              <wp:effectExtent l="0" t="0" r="18415" b="0"/>
              <wp:wrapNone/>
              <wp:docPr id="1760318629"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5135" cy="482600"/>
                      </a:xfrm>
                      <a:prstGeom prst="rect">
                        <a:avLst/>
                      </a:prstGeom>
                      <a:noFill/>
                      <a:ln>
                        <a:noFill/>
                      </a:ln>
                    </wps:spPr>
                    <wps:txbx>
                      <w:txbxContent>
                        <w:p w14:paraId="3B190B34" w14:textId="77777777" w:rsidR="00995048" w:rsidRPr="006C7FCE" w:rsidRDefault="00000000" w:rsidP="00322ECC">
                          <w:pPr>
                            <w:rPr>
                              <w:rFonts w:ascii="Arial" w:eastAsia="Arial" w:hAnsi="Arial" w:cs="Arial"/>
                              <w:color w:val="FF0000"/>
                              <w:sz w:val="20"/>
                              <w:szCs w:val="20"/>
                            </w:rPr>
                          </w:pPr>
                          <w:r w:rsidRPr="006C7FCE">
                            <w:rPr>
                              <w:rFonts w:ascii="Arial" w:eastAsia="Arial" w:hAnsi="Arial" w:cs="Arial"/>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9DA7FF" id="_x0000_t202" coordsize="21600,21600" o:spt="202" path="m,l,21600r21600,l21600,xe">
              <v:stroke joinstyle="miter"/>
              <v:path gradientshapeok="t" o:connecttype="rect"/>
            </v:shapetype>
            <v:shape id="Text Box 2" o:spid="_x0000_s1026" type="#_x0000_t202" alt="SECURITY LABEL: OFFICIAL" style="position:absolute;left:0;text-align:left;margin-left:0;margin-top:0;width:135.05pt;height:3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" filled="f" stroked="f">
              <v:textbox style="mso-fit-shape-to-text:t" inset="0,0,0,15pt">
                <w:txbxContent>
                  <w:p w14:paraId="3B190B34" w14:textId="77777777" w:rsidR="00995048" w:rsidRPr="006C7FCE" w:rsidRDefault="00000000" w:rsidP="00322ECC">
                    <w:pPr>
                      <w:rPr>
                        <w:rFonts w:ascii="Arial" w:eastAsia="Arial" w:hAnsi="Arial" w:cs="Arial"/>
                        <w:color w:val="FF0000"/>
                        <w:sz w:val="20"/>
                        <w:szCs w:val="20"/>
                      </w:rPr>
                    </w:pPr>
                    <w:r w:rsidRPr="006C7FCE">
                      <w:rPr>
                        <w:rFonts w:ascii="Arial" w:eastAsia="Arial" w:hAnsi="Arial" w:cs="Arial"/>
                        <w:color w:val="FF0000"/>
                        <w:sz w:val="2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8F79C" w14:textId="77777777" w:rsidR="00995048" w:rsidRPr="006C7FCE" w:rsidRDefault="00000000">
    <w:pPr>
      <w:pStyle w:val="Footer"/>
      <w:jc w:val="center"/>
    </w:pPr>
    <w:sdt>
      <w:sdtPr>
        <w:id w:val="738142696"/>
        <w:docPartObj>
          <w:docPartGallery w:val="Page Numbers (Bottom of Page)"/>
          <w:docPartUnique/>
        </w:docPartObj>
      </w:sdtPr>
      <w:sdtContent>
        <w:sdt>
          <w:sdtPr>
            <w:id w:val="1728636285"/>
            <w:docPartObj>
              <w:docPartGallery w:val="Page Numbers (Top of Page)"/>
              <w:docPartUnique/>
            </w:docPartObj>
          </w:sdtPr>
          <w:sdtContent>
            <w:r w:rsidRPr="006C7FCE">
              <w:rPr>
                <w:sz w:val="18"/>
                <w:szCs w:val="18"/>
              </w:rPr>
              <w:t xml:space="preserve">Page </w:t>
            </w:r>
            <w:r w:rsidRPr="006C7FCE">
              <w:rPr>
                <w:b/>
                <w:bCs/>
                <w:sz w:val="18"/>
                <w:szCs w:val="18"/>
              </w:rPr>
              <w:fldChar w:fldCharType="begin"/>
            </w:r>
            <w:r w:rsidRPr="006C7FCE">
              <w:rPr>
                <w:b/>
                <w:bCs/>
                <w:sz w:val="18"/>
                <w:szCs w:val="18"/>
              </w:rPr>
              <w:instrText xml:space="preserve"> PAGE </w:instrText>
            </w:r>
            <w:r w:rsidRPr="006C7FCE">
              <w:rPr>
                <w:b/>
                <w:bCs/>
                <w:sz w:val="18"/>
                <w:szCs w:val="18"/>
              </w:rPr>
              <w:fldChar w:fldCharType="separate"/>
            </w:r>
            <w:r w:rsidRPr="006C7FCE">
              <w:rPr>
                <w:b/>
                <w:bCs/>
                <w:sz w:val="18"/>
                <w:szCs w:val="18"/>
              </w:rPr>
              <w:t>50</w:t>
            </w:r>
            <w:r w:rsidRPr="006C7FCE">
              <w:rPr>
                <w:b/>
                <w:bCs/>
                <w:sz w:val="18"/>
                <w:szCs w:val="18"/>
              </w:rPr>
              <w:fldChar w:fldCharType="end"/>
            </w:r>
            <w:r w:rsidRPr="006C7FCE">
              <w:rPr>
                <w:sz w:val="18"/>
                <w:szCs w:val="18"/>
              </w:rPr>
              <w:t xml:space="preserve"> of </w:t>
            </w:r>
            <w:r w:rsidRPr="006C7FCE">
              <w:rPr>
                <w:b/>
                <w:bCs/>
                <w:sz w:val="18"/>
                <w:szCs w:val="18"/>
              </w:rPr>
              <w:fldChar w:fldCharType="begin"/>
            </w:r>
            <w:r w:rsidRPr="006C7FCE">
              <w:rPr>
                <w:b/>
                <w:bCs/>
                <w:sz w:val="18"/>
                <w:szCs w:val="18"/>
              </w:rPr>
              <w:instrText xml:space="preserve"> NUMPAGES  </w:instrText>
            </w:r>
            <w:r w:rsidRPr="006C7FCE">
              <w:rPr>
                <w:b/>
                <w:bCs/>
                <w:sz w:val="18"/>
                <w:szCs w:val="18"/>
              </w:rPr>
              <w:fldChar w:fldCharType="separate"/>
            </w:r>
            <w:r w:rsidRPr="006C7FCE">
              <w:rPr>
                <w:b/>
                <w:bCs/>
                <w:sz w:val="18"/>
                <w:szCs w:val="18"/>
              </w:rPr>
              <w:t>50</w:t>
            </w:r>
            <w:r w:rsidRPr="006C7FCE">
              <w:rPr>
                <w:b/>
                <w:bCs/>
                <w:sz w:val="18"/>
                <w:szCs w:val="18"/>
              </w:rPr>
              <w:fldChar w:fldCharType="end"/>
            </w:r>
          </w:sdtContent>
        </w:sdt>
      </w:sdtContent>
    </w:sdt>
  </w:p>
  <w:p w14:paraId="5BAFEC71" w14:textId="77777777" w:rsidR="00995048" w:rsidRPr="006C7FCE" w:rsidRDefault="009950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2FAF5" w14:textId="77777777" w:rsidR="00995048" w:rsidRPr="006C7FCE" w:rsidRDefault="00000000">
    <w:pPr>
      <w:pStyle w:val="Footer"/>
    </w:pPr>
    <w:r w:rsidRPr="006C7FCE">
      <w:rPr>
        <w:noProof/>
      </w:rPr>
      <mc:AlternateContent>
        <mc:Choice Requires="wps">
          <w:drawing>
            <wp:anchor distT="0" distB="0" distL="0" distR="0" simplePos="0" relativeHeight="251659264" behindDoc="0" locked="0" layoutInCell="1" allowOverlap="1" wp14:anchorId="5BBC9F59" wp14:editId="6E3A0274">
              <wp:simplePos x="635" y="635"/>
              <wp:positionH relativeFrom="page">
                <wp:align>center</wp:align>
              </wp:positionH>
              <wp:positionV relativeFrom="page">
                <wp:align>bottom</wp:align>
              </wp:positionV>
              <wp:extent cx="1715135" cy="482600"/>
              <wp:effectExtent l="0" t="0" r="18415" b="0"/>
              <wp:wrapNone/>
              <wp:docPr id="844043638" name="Text Box 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5135" cy="482600"/>
                      </a:xfrm>
                      <a:prstGeom prst="rect">
                        <a:avLst/>
                      </a:prstGeom>
                      <a:noFill/>
                      <a:ln>
                        <a:noFill/>
                      </a:ln>
                    </wps:spPr>
                    <wps:txbx>
                      <w:txbxContent>
                        <w:p w14:paraId="1A2535FB" w14:textId="77777777" w:rsidR="00995048" w:rsidRPr="006C7FCE" w:rsidRDefault="00000000" w:rsidP="00322ECC">
                          <w:pPr>
                            <w:rPr>
                              <w:rFonts w:ascii="Arial" w:eastAsia="Arial" w:hAnsi="Arial" w:cs="Arial"/>
                              <w:color w:val="FF0000"/>
                              <w:sz w:val="20"/>
                              <w:szCs w:val="20"/>
                            </w:rPr>
                          </w:pPr>
                          <w:r w:rsidRPr="006C7FCE">
                            <w:rPr>
                              <w:rFonts w:ascii="Arial" w:eastAsia="Arial" w:hAnsi="Arial" w:cs="Arial"/>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BC9F59" id="_x0000_t202" coordsize="21600,21600" o:spt="202" path="m,l,21600r21600,l21600,xe">
              <v:stroke joinstyle="miter"/>
              <v:path gradientshapeok="t" o:connecttype="rect"/>
            </v:shapetype>
            <v:shape id="Text Box 1" o:spid="_x0000_s1027" type="#_x0000_t202" alt="SECURITY LABEL: OFFICIAL" style="position:absolute;left:0;text-align:left;margin-left:0;margin-top:0;width:135.05pt;height:38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" filled="f" stroked="f">
              <v:textbox style="mso-fit-shape-to-text:t" inset="0,0,0,15pt">
                <w:txbxContent>
                  <w:p w14:paraId="1A2535FB" w14:textId="77777777" w:rsidR="00995048" w:rsidRPr="006C7FCE" w:rsidRDefault="00000000" w:rsidP="00322ECC">
                    <w:pPr>
                      <w:rPr>
                        <w:rFonts w:ascii="Arial" w:eastAsia="Arial" w:hAnsi="Arial" w:cs="Arial"/>
                        <w:color w:val="FF0000"/>
                        <w:sz w:val="20"/>
                        <w:szCs w:val="20"/>
                      </w:rPr>
                    </w:pPr>
                    <w:r w:rsidRPr="006C7FCE">
                      <w:rPr>
                        <w:rFonts w:ascii="Arial" w:eastAsia="Arial" w:hAnsi="Arial" w:cs="Arial"/>
                        <w:color w:val="FF0000"/>
                        <w:sz w:val="2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BD3D68" w14:textId="77777777" w:rsidR="004F44D7" w:rsidRDefault="004F44D7">
      <w:pPr>
        <w:spacing w:line="240" w:lineRule="auto"/>
      </w:pPr>
      <w:r>
        <w:separator/>
      </w:r>
    </w:p>
  </w:footnote>
  <w:footnote w:type="continuationSeparator" w:id="0">
    <w:p w14:paraId="61744A3C" w14:textId="77777777" w:rsidR="004F44D7" w:rsidRDefault="004F44D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A94"/>
    <w:rsid w:val="0002555F"/>
    <w:rsid w:val="001406CD"/>
    <w:rsid w:val="001827F3"/>
    <w:rsid w:val="001F3105"/>
    <w:rsid w:val="002275BF"/>
    <w:rsid w:val="00232CF7"/>
    <w:rsid w:val="002450BE"/>
    <w:rsid w:val="00291A94"/>
    <w:rsid w:val="002B255F"/>
    <w:rsid w:val="002B5C45"/>
    <w:rsid w:val="00402133"/>
    <w:rsid w:val="0041033B"/>
    <w:rsid w:val="0043019F"/>
    <w:rsid w:val="00441E53"/>
    <w:rsid w:val="004C7A7A"/>
    <w:rsid w:val="004F44D7"/>
    <w:rsid w:val="005654D6"/>
    <w:rsid w:val="005B6F23"/>
    <w:rsid w:val="005B7145"/>
    <w:rsid w:val="00602039"/>
    <w:rsid w:val="006E5DE4"/>
    <w:rsid w:val="007566CF"/>
    <w:rsid w:val="007701C9"/>
    <w:rsid w:val="008344E5"/>
    <w:rsid w:val="0084474F"/>
    <w:rsid w:val="00995048"/>
    <w:rsid w:val="00A80D56"/>
    <w:rsid w:val="00B24913"/>
    <w:rsid w:val="00CA2480"/>
    <w:rsid w:val="00DF484C"/>
    <w:rsid w:val="00FA6486"/>
    <w:rsid w:val="00FD57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CBAF"/>
  <w15:chartTrackingRefBased/>
  <w15:docId w15:val="{56EBC049-B526-4B5B-B6D2-0BBFFCF7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A94"/>
    <w:pPr>
      <w:spacing w:after="0" w:line="480" w:lineRule="auto"/>
      <w:jc w:val="both"/>
    </w:pPr>
    <w:rPr>
      <w:rFonts w:ascii="Calibri" w:eastAsiaTheme="minorEastAsia" w:hAnsi="Calibri"/>
      <w:kern w:val="0"/>
      <w:sz w:val="24"/>
      <w:szCs w:val="24"/>
      <w:lang w:val="en-US"/>
      <w14:ligatures w14:val="none"/>
    </w:rPr>
  </w:style>
  <w:style w:type="paragraph" w:styleId="Heading1">
    <w:name w:val="heading 1"/>
    <w:basedOn w:val="Normal"/>
    <w:next w:val="Normal"/>
    <w:link w:val="Heading1Char"/>
    <w:uiPriority w:val="9"/>
    <w:qFormat/>
    <w:rsid w:val="00291A94"/>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val="en-AU"/>
      <w14:ligatures w14:val="standardContextual"/>
    </w:rPr>
  </w:style>
  <w:style w:type="paragraph" w:styleId="Heading2">
    <w:name w:val="heading 2"/>
    <w:basedOn w:val="Normal"/>
    <w:next w:val="Normal"/>
    <w:link w:val="Heading2Char"/>
    <w:uiPriority w:val="9"/>
    <w:unhideWhenUsed/>
    <w:qFormat/>
    <w:rsid w:val="00291A94"/>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val="en-AU"/>
      <w14:ligatures w14:val="standardContextual"/>
    </w:rPr>
  </w:style>
  <w:style w:type="paragraph" w:styleId="Heading3">
    <w:name w:val="heading 3"/>
    <w:basedOn w:val="Normal"/>
    <w:next w:val="Normal"/>
    <w:link w:val="Heading3Char"/>
    <w:uiPriority w:val="9"/>
    <w:semiHidden/>
    <w:unhideWhenUsed/>
    <w:qFormat/>
    <w:rsid w:val="00291A94"/>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val="en-AU"/>
      <w14:ligatures w14:val="standardContextual"/>
    </w:rPr>
  </w:style>
  <w:style w:type="paragraph" w:styleId="Heading4">
    <w:name w:val="heading 4"/>
    <w:basedOn w:val="Normal"/>
    <w:next w:val="Normal"/>
    <w:link w:val="Heading4Char"/>
    <w:uiPriority w:val="9"/>
    <w:semiHidden/>
    <w:unhideWhenUsed/>
    <w:qFormat/>
    <w:rsid w:val="00291A94"/>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val="en-AU"/>
      <w14:ligatures w14:val="standardContextual"/>
    </w:rPr>
  </w:style>
  <w:style w:type="paragraph" w:styleId="Heading5">
    <w:name w:val="heading 5"/>
    <w:basedOn w:val="Normal"/>
    <w:next w:val="Normal"/>
    <w:link w:val="Heading5Char"/>
    <w:uiPriority w:val="9"/>
    <w:semiHidden/>
    <w:unhideWhenUsed/>
    <w:qFormat/>
    <w:rsid w:val="00291A94"/>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val="en-AU"/>
      <w14:ligatures w14:val="standardContextual"/>
    </w:rPr>
  </w:style>
  <w:style w:type="paragraph" w:styleId="Heading6">
    <w:name w:val="heading 6"/>
    <w:basedOn w:val="Normal"/>
    <w:next w:val="Normal"/>
    <w:link w:val="Heading6Char"/>
    <w:uiPriority w:val="9"/>
    <w:semiHidden/>
    <w:unhideWhenUsed/>
    <w:qFormat/>
    <w:rsid w:val="00291A94"/>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val="en-AU"/>
      <w14:ligatures w14:val="standardContextual"/>
    </w:rPr>
  </w:style>
  <w:style w:type="paragraph" w:styleId="Heading7">
    <w:name w:val="heading 7"/>
    <w:basedOn w:val="Normal"/>
    <w:next w:val="Normal"/>
    <w:link w:val="Heading7Char"/>
    <w:uiPriority w:val="9"/>
    <w:semiHidden/>
    <w:unhideWhenUsed/>
    <w:qFormat/>
    <w:rsid w:val="00291A94"/>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val="en-AU"/>
      <w14:ligatures w14:val="standardContextual"/>
    </w:rPr>
  </w:style>
  <w:style w:type="paragraph" w:styleId="Heading8">
    <w:name w:val="heading 8"/>
    <w:basedOn w:val="Normal"/>
    <w:next w:val="Normal"/>
    <w:link w:val="Heading8Char"/>
    <w:uiPriority w:val="9"/>
    <w:semiHidden/>
    <w:unhideWhenUsed/>
    <w:qFormat/>
    <w:rsid w:val="00291A94"/>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val="en-AU"/>
      <w14:ligatures w14:val="standardContextual"/>
    </w:rPr>
  </w:style>
  <w:style w:type="paragraph" w:styleId="Heading9">
    <w:name w:val="heading 9"/>
    <w:basedOn w:val="Normal"/>
    <w:next w:val="Normal"/>
    <w:link w:val="Heading9Char"/>
    <w:uiPriority w:val="9"/>
    <w:semiHidden/>
    <w:unhideWhenUsed/>
    <w:qFormat/>
    <w:rsid w:val="00291A94"/>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val="en-AU"/>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A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1A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A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A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A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A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A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A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A94"/>
    <w:rPr>
      <w:rFonts w:eastAsiaTheme="majorEastAsia" w:cstheme="majorBidi"/>
      <w:color w:val="272727" w:themeColor="text1" w:themeTint="D8"/>
    </w:rPr>
  </w:style>
  <w:style w:type="paragraph" w:styleId="Title">
    <w:name w:val="Title"/>
    <w:basedOn w:val="Normal"/>
    <w:next w:val="Normal"/>
    <w:link w:val="TitleChar"/>
    <w:uiPriority w:val="10"/>
    <w:qFormat/>
    <w:rsid w:val="00291A94"/>
    <w:pPr>
      <w:spacing w:after="80" w:line="240" w:lineRule="auto"/>
      <w:contextualSpacing/>
      <w:jc w:val="left"/>
    </w:pPr>
    <w:rPr>
      <w:rFonts w:asciiTheme="majorHAnsi" w:eastAsiaTheme="majorEastAsia" w:hAnsiTheme="majorHAnsi" w:cstheme="majorBidi"/>
      <w:spacing w:val="-10"/>
      <w:kern w:val="28"/>
      <w:sz w:val="56"/>
      <w:szCs w:val="56"/>
      <w:lang w:val="en-AU"/>
      <w14:ligatures w14:val="standardContextual"/>
    </w:rPr>
  </w:style>
  <w:style w:type="character" w:customStyle="1" w:styleId="TitleChar">
    <w:name w:val="Title Char"/>
    <w:basedOn w:val="DefaultParagraphFont"/>
    <w:link w:val="Title"/>
    <w:uiPriority w:val="10"/>
    <w:rsid w:val="00291A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A94"/>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SubtitleChar">
    <w:name w:val="Subtitle Char"/>
    <w:basedOn w:val="DefaultParagraphFont"/>
    <w:link w:val="Subtitle"/>
    <w:uiPriority w:val="11"/>
    <w:rsid w:val="00291A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A94"/>
    <w:pPr>
      <w:spacing w:before="160" w:after="160" w:line="259" w:lineRule="auto"/>
      <w:jc w:val="center"/>
    </w:pPr>
    <w:rPr>
      <w:rFonts w:asciiTheme="minorHAnsi" w:eastAsiaTheme="minorHAnsi" w:hAnsiTheme="minorHAnsi"/>
      <w:i/>
      <w:iCs/>
      <w:color w:val="404040" w:themeColor="text1" w:themeTint="BF"/>
      <w:kern w:val="2"/>
      <w:sz w:val="22"/>
      <w:szCs w:val="22"/>
      <w:lang w:val="en-AU"/>
      <w14:ligatures w14:val="standardContextual"/>
    </w:rPr>
  </w:style>
  <w:style w:type="character" w:customStyle="1" w:styleId="QuoteChar">
    <w:name w:val="Quote Char"/>
    <w:basedOn w:val="DefaultParagraphFont"/>
    <w:link w:val="Quote"/>
    <w:uiPriority w:val="29"/>
    <w:rsid w:val="00291A94"/>
    <w:rPr>
      <w:i/>
      <w:iCs/>
      <w:color w:val="404040" w:themeColor="text1" w:themeTint="BF"/>
    </w:rPr>
  </w:style>
  <w:style w:type="paragraph" w:styleId="ListParagraph">
    <w:name w:val="List Paragraph"/>
    <w:basedOn w:val="Normal"/>
    <w:uiPriority w:val="34"/>
    <w:qFormat/>
    <w:rsid w:val="00291A94"/>
    <w:pPr>
      <w:spacing w:after="160" w:line="259" w:lineRule="auto"/>
      <w:ind w:left="720"/>
      <w:contextualSpacing/>
      <w:jc w:val="left"/>
    </w:pPr>
    <w:rPr>
      <w:rFonts w:asciiTheme="minorHAnsi" w:eastAsiaTheme="minorHAnsi" w:hAnsiTheme="minorHAnsi"/>
      <w:kern w:val="2"/>
      <w:sz w:val="22"/>
      <w:szCs w:val="22"/>
      <w:lang w:val="en-AU"/>
      <w14:ligatures w14:val="standardContextual"/>
    </w:rPr>
  </w:style>
  <w:style w:type="character" w:styleId="IntenseEmphasis">
    <w:name w:val="Intense Emphasis"/>
    <w:basedOn w:val="DefaultParagraphFont"/>
    <w:uiPriority w:val="21"/>
    <w:qFormat/>
    <w:rsid w:val="00291A94"/>
    <w:rPr>
      <w:i/>
      <w:iCs/>
      <w:color w:val="0F4761" w:themeColor="accent1" w:themeShade="BF"/>
    </w:rPr>
  </w:style>
  <w:style w:type="paragraph" w:styleId="IntenseQuote">
    <w:name w:val="Intense Quote"/>
    <w:basedOn w:val="Normal"/>
    <w:next w:val="Normal"/>
    <w:link w:val="IntenseQuoteChar"/>
    <w:uiPriority w:val="30"/>
    <w:qFormat/>
    <w:rsid w:val="00291A9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i/>
      <w:iCs/>
      <w:color w:val="0F4761" w:themeColor="accent1" w:themeShade="BF"/>
      <w:kern w:val="2"/>
      <w:sz w:val="22"/>
      <w:szCs w:val="22"/>
      <w:lang w:val="en-AU"/>
      <w14:ligatures w14:val="standardContextual"/>
    </w:rPr>
  </w:style>
  <w:style w:type="character" w:customStyle="1" w:styleId="IntenseQuoteChar">
    <w:name w:val="Intense Quote Char"/>
    <w:basedOn w:val="DefaultParagraphFont"/>
    <w:link w:val="IntenseQuote"/>
    <w:uiPriority w:val="30"/>
    <w:rsid w:val="00291A94"/>
    <w:rPr>
      <w:i/>
      <w:iCs/>
      <w:color w:val="0F4761" w:themeColor="accent1" w:themeShade="BF"/>
    </w:rPr>
  </w:style>
  <w:style w:type="character" w:styleId="IntenseReference">
    <w:name w:val="Intense Reference"/>
    <w:basedOn w:val="DefaultParagraphFont"/>
    <w:uiPriority w:val="32"/>
    <w:qFormat/>
    <w:rsid w:val="00291A94"/>
    <w:rPr>
      <w:b/>
      <w:bCs/>
      <w:smallCaps/>
      <w:color w:val="0F4761" w:themeColor="accent1" w:themeShade="BF"/>
      <w:spacing w:val="5"/>
    </w:rPr>
  </w:style>
  <w:style w:type="paragraph" w:styleId="Footer">
    <w:name w:val="footer"/>
    <w:basedOn w:val="Normal"/>
    <w:link w:val="FooterChar"/>
    <w:uiPriority w:val="99"/>
    <w:unhideWhenUsed/>
    <w:rsid w:val="00291A94"/>
    <w:pPr>
      <w:tabs>
        <w:tab w:val="center" w:pos="4320"/>
        <w:tab w:val="right" w:pos="8640"/>
      </w:tabs>
    </w:pPr>
  </w:style>
  <w:style w:type="character" w:customStyle="1" w:styleId="FooterChar">
    <w:name w:val="Footer Char"/>
    <w:basedOn w:val="DefaultParagraphFont"/>
    <w:link w:val="Footer"/>
    <w:uiPriority w:val="99"/>
    <w:rsid w:val="00291A94"/>
    <w:rPr>
      <w:rFonts w:ascii="Calibri" w:eastAsiaTheme="minorEastAsia" w:hAnsi="Calibri"/>
      <w:kern w:val="0"/>
      <w:sz w:val="24"/>
      <w:szCs w:val="24"/>
      <w:lang w:val="en-US"/>
      <w14:ligatures w14:val="none"/>
    </w:rPr>
  </w:style>
  <w:style w:type="paragraph" w:styleId="NormalWeb">
    <w:name w:val="Normal (Web)"/>
    <w:basedOn w:val="Normal"/>
    <w:uiPriority w:val="99"/>
    <w:unhideWhenUsed/>
    <w:rsid w:val="00291A94"/>
    <w:pPr>
      <w:spacing w:before="100" w:beforeAutospacing="1" w:after="100" w:afterAutospacing="1"/>
    </w:pPr>
    <w:rPr>
      <w:rFonts w:ascii="Times New Roman" w:eastAsia="Times New Roman" w:hAnsi="Times New Roman" w:cs="Times New Roman"/>
      <w:lang w:val="en-AU" w:eastAsia="en-AU"/>
    </w:rPr>
  </w:style>
  <w:style w:type="character" w:styleId="LineNumber">
    <w:name w:val="line number"/>
    <w:basedOn w:val="DefaultParagraphFont"/>
    <w:uiPriority w:val="99"/>
    <w:semiHidden/>
    <w:unhideWhenUsed/>
    <w:rsid w:val="00291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1939</Words>
  <Characters>11057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 Eberhart</dc:creator>
  <cp:keywords/>
  <dc:description/>
  <cp:lastModifiedBy>Carolin Eberhart - 2</cp:lastModifiedBy>
  <cp:revision>2</cp:revision>
  <dcterms:created xsi:type="dcterms:W3CDTF">2024-10-04T00:59:00Z</dcterms:created>
  <dcterms:modified xsi:type="dcterms:W3CDTF">2024-10-04T00:59:00Z</dcterms:modified>
</cp:coreProperties>
</file>