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19CFE3" w14:textId="77777777" w:rsidR="00C02329" w:rsidRDefault="00C02329" w:rsidP="00C02329">
      <w:pPr>
        <w:spacing w:line="240" w:lineRule="auto"/>
        <w:rPr>
          <w:rFonts w:ascii="Arial" w:hAnsi="Arial" w:cs="Arial"/>
          <w:sz w:val="24"/>
          <w:szCs w:val="24"/>
        </w:rPr>
      </w:pPr>
      <w:r w:rsidRPr="00C8639D">
        <w:rPr>
          <w:rFonts w:ascii="Arial" w:hAnsi="Arial" w:cs="Arial"/>
          <w:sz w:val="24"/>
          <w:szCs w:val="24"/>
        </w:rPr>
        <w:t>SUPPLEMENTARY FIGURE LEGENDS:</w:t>
      </w:r>
    </w:p>
    <w:p w14:paraId="59E2EF92" w14:textId="77777777" w:rsidR="00C02329" w:rsidRPr="00C8639D" w:rsidRDefault="00C02329" w:rsidP="00C02329">
      <w:pPr>
        <w:spacing w:line="240" w:lineRule="auto"/>
        <w:rPr>
          <w:rFonts w:ascii="Arial" w:hAnsi="Arial" w:cs="Arial"/>
          <w:sz w:val="24"/>
          <w:szCs w:val="24"/>
        </w:rPr>
      </w:pPr>
    </w:p>
    <w:p w14:paraId="3048FAC0" w14:textId="7AE796BE" w:rsidR="00C02329" w:rsidRPr="00C8639D" w:rsidRDefault="00C02329" w:rsidP="00C02329">
      <w:pPr>
        <w:spacing w:line="240" w:lineRule="auto"/>
        <w:rPr>
          <w:rFonts w:ascii="Arial" w:hAnsi="Arial" w:cs="Arial"/>
          <w:color w:val="232323"/>
          <w:sz w:val="24"/>
          <w:szCs w:val="24"/>
        </w:rPr>
      </w:pPr>
      <w:r w:rsidRPr="00C8639D">
        <w:rPr>
          <w:rFonts w:ascii="Arial" w:hAnsi="Arial" w:cs="Arial"/>
          <w:b/>
          <w:bCs/>
          <w:color w:val="232323"/>
          <w:sz w:val="24"/>
          <w:szCs w:val="24"/>
        </w:rPr>
        <w:t xml:space="preserve">Supplementary Figure 1. Obesity increased mouse body weight and mammary gland weight in </w:t>
      </w:r>
      <w:r>
        <w:rPr>
          <w:rFonts w:ascii="Arial" w:hAnsi="Arial" w:cs="Arial"/>
          <w:b/>
          <w:bCs/>
          <w:color w:val="232323"/>
          <w:sz w:val="24"/>
          <w:szCs w:val="24"/>
        </w:rPr>
        <w:t>non-tumor-bearing</w:t>
      </w:r>
      <w:r w:rsidRPr="00C8639D">
        <w:rPr>
          <w:rFonts w:ascii="Arial" w:hAnsi="Arial" w:cs="Arial"/>
          <w:b/>
          <w:bCs/>
          <w:color w:val="232323"/>
          <w:sz w:val="24"/>
          <w:szCs w:val="24"/>
        </w:rPr>
        <w:t xml:space="preserve"> mice. A. </w:t>
      </w:r>
      <w:r w:rsidRPr="00C8639D">
        <w:rPr>
          <w:rFonts w:ascii="Arial" w:hAnsi="Arial" w:cs="Arial"/>
          <w:color w:val="232323"/>
          <w:sz w:val="24"/>
          <w:szCs w:val="24"/>
        </w:rPr>
        <w:t xml:space="preserve">Body weight of mice in grams (g) at the early timepoint of 9 weeks (N = 6 mice/group). </w:t>
      </w:r>
      <w:r w:rsidRPr="00C8639D">
        <w:rPr>
          <w:rFonts w:ascii="Arial" w:hAnsi="Arial" w:cs="Arial"/>
          <w:b/>
          <w:bCs/>
          <w:color w:val="232323"/>
          <w:sz w:val="24"/>
          <w:szCs w:val="24"/>
        </w:rPr>
        <w:t xml:space="preserve">B. </w:t>
      </w:r>
      <w:r w:rsidRPr="00C8639D">
        <w:rPr>
          <w:rFonts w:ascii="Arial" w:hAnsi="Arial" w:cs="Arial"/>
          <w:color w:val="232323"/>
          <w:sz w:val="24"/>
          <w:szCs w:val="24"/>
        </w:rPr>
        <w:t xml:space="preserve">Body weight at the late timepoint of 12-15 weeks (N = 6 mice/group).  </w:t>
      </w:r>
      <w:r w:rsidRPr="00C8639D">
        <w:rPr>
          <w:rFonts w:ascii="Arial" w:hAnsi="Arial" w:cs="Arial"/>
          <w:b/>
          <w:bCs/>
          <w:color w:val="232323"/>
          <w:sz w:val="24"/>
          <w:szCs w:val="24"/>
        </w:rPr>
        <w:t xml:space="preserve"> C. </w:t>
      </w:r>
      <w:r w:rsidRPr="00C8639D">
        <w:rPr>
          <w:rFonts w:ascii="Arial" w:hAnsi="Arial" w:cs="Arial"/>
          <w:color w:val="232323"/>
          <w:sz w:val="24"/>
          <w:szCs w:val="24"/>
        </w:rPr>
        <w:t xml:space="preserve">Mammary gland weight in grams (g) at the early timepoint (N = 6 mice/group). </w:t>
      </w:r>
      <w:r w:rsidRPr="00C8639D">
        <w:rPr>
          <w:rFonts w:ascii="Arial" w:hAnsi="Arial" w:cs="Arial"/>
          <w:b/>
          <w:bCs/>
          <w:color w:val="232323"/>
          <w:sz w:val="24"/>
          <w:szCs w:val="24"/>
        </w:rPr>
        <w:t xml:space="preserve"> D. </w:t>
      </w:r>
      <w:r w:rsidRPr="00C8639D">
        <w:rPr>
          <w:rFonts w:ascii="Arial" w:hAnsi="Arial" w:cs="Arial"/>
          <w:color w:val="232323"/>
          <w:sz w:val="24"/>
          <w:szCs w:val="24"/>
        </w:rPr>
        <w:t>Mammary gland weight from mice at the late timepoint (N = 6-8 mice/group). HFD increased body weight and mammary gland weight in WT and HD mice compared to LFD-fed mice of either genotype.</w:t>
      </w:r>
    </w:p>
    <w:p w14:paraId="7AC875EE" w14:textId="0C060E0E" w:rsidR="00C02329" w:rsidRDefault="00C02329" w:rsidP="00C02329">
      <w:pPr>
        <w:spacing w:line="240" w:lineRule="auto"/>
        <w:rPr>
          <w:rFonts w:ascii="Arial" w:hAnsi="Arial" w:cs="Arial"/>
          <w:color w:val="232323"/>
          <w:sz w:val="24"/>
          <w:szCs w:val="24"/>
        </w:rPr>
      </w:pPr>
      <w:r w:rsidRPr="00C8639D">
        <w:rPr>
          <w:rFonts w:ascii="Arial" w:hAnsi="Arial" w:cs="Arial"/>
          <w:b/>
          <w:bCs/>
          <w:color w:val="232323"/>
          <w:sz w:val="24"/>
          <w:szCs w:val="24"/>
        </w:rPr>
        <w:t>Supplementary Figure 2. Characteristics of breast cancer risk factors in the MMTV-</w:t>
      </w:r>
      <w:proofErr w:type="spellStart"/>
      <w:r w:rsidRPr="00C8639D">
        <w:rPr>
          <w:rFonts w:ascii="Arial" w:hAnsi="Arial" w:cs="Arial"/>
          <w:b/>
          <w:bCs/>
          <w:color w:val="232323"/>
          <w:sz w:val="24"/>
          <w:szCs w:val="24"/>
        </w:rPr>
        <w:t>PyMT</w:t>
      </w:r>
      <w:proofErr w:type="spellEnd"/>
      <w:r w:rsidRPr="00C8639D">
        <w:rPr>
          <w:rFonts w:ascii="Arial" w:hAnsi="Arial" w:cs="Arial"/>
          <w:b/>
          <w:bCs/>
          <w:color w:val="232323"/>
          <w:sz w:val="24"/>
          <w:szCs w:val="24"/>
        </w:rPr>
        <w:t xml:space="preserve"> mouse model. </w:t>
      </w:r>
      <w:r w:rsidRPr="00C8639D">
        <w:rPr>
          <w:rFonts w:ascii="Arial" w:hAnsi="Arial" w:cs="Arial"/>
          <w:color w:val="232323"/>
          <w:sz w:val="24"/>
          <w:szCs w:val="24"/>
        </w:rPr>
        <w:t xml:space="preserve"> </w:t>
      </w:r>
      <w:r w:rsidRPr="00C8639D">
        <w:rPr>
          <w:rFonts w:ascii="Arial" w:hAnsi="Arial" w:cs="Arial"/>
          <w:b/>
          <w:bCs/>
          <w:color w:val="232323"/>
          <w:sz w:val="24"/>
          <w:szCs w:val="24"/>
        </w:rPr>
        <w:t>A.</w:t>
      </w:r>
      <w:r w:rsidRPr="00C8639D">
        <w:rPr>
          <w:rFonts w:ascii="Arial" w:hAnsi="Arial" w:cs="Arial"/>
          <w:color w:val="232323"/>
          <w:sz w:val="24"/>
          <w:szCs w:val="24"/>
        </w:rPr>
        <w:t xml:space="preserve">  Body weight of </w:t>
      </w:r>
      <w:proofErr w:type="spellStart"/>
      <w:r w:rsidRPr="00C8639D">
        <w:rPr>
          <w:rFonts w:ascii="Arial" w:hAnsi="Arial" w:cs="Arial"/>
          <w:color w:val="232323"/>
          <w:sz w:val="24"/>
          <w:szCs w:val="24"/>
        </w:rPr>
        <w:t>PyMT</w:t>
      </w:r>
      <w:proofErr w:type="spellEnd"/>
      <w:r w:rsidRPr="00C8639D">
        <w:rPr>
          <w:rFonts w:ascii="Arial" w:hAnsi="Arial" w:cs="Arial"/>
          <w:color w:val="232323"/>
          <w:sz w:val="24"/>
          <w:szCs w:val="24"/>
        </w:rPr>
        <w:t xml:space="preserve">+ mice in grams (g) at 9-week timepoint (n= 5-10 mice/group). </w:t>
      </w:r>
      <w:r w:rsidRPr="00C8639D">
        <w:rPr>
          <w:rFonts w:ascii="Arial" w:hAnsi="Arial" w:cs="Arial"/>
          <w:b/>
          <w:bCs/>
          <w:color w:val="232323"/>
          <w:sz w:val="24"/>
          <w:szCs w:val="24"/>
        </w:rPr>
        <w:t xml:space="preserve">B. </w:t>
      </w:r>
      <w:r w:rsidRPr="00C8639D">
        <w:rPr>
          <w:rFonts w:ascii="Arial" w:hAnsi="Arial" w:cs="Arial"/>
          <w:color w:val="232323"/>
          <w:sz w:val="24"/>
          <w:szCs w:val="24"/>
        </w:rPr>
        <w:t>Comparison of</w:t>
      </w:r>
      <w:r w:rsidRPr="00C8639D">
        <w:rPr>
          <w:rFonts w:ascii="Arial" w:hAnsi="Arial" w:cs="Arial"/>
          <w:b/>
          <w:bCs/>
          <w:color w:val="232323"/>
          <w:sz w:val="24"/>
          <w:szCs w:val="24"/>
        </w:rPr>
        <w:t xml:space="preserve"> </w:t>
      </w:r>
      <w:r w:rsidRPr="00C8639D">
        <w:rPr>
          <w:rFonts w:ascii="Arial" w:hAnsi="Arial" w:cs="Arial"/>
          <w:color w:val="232323"/>
          <w:sz w:val="24"/>
          <w:szCs w:val="24"/>
        </w:rPr>
        <w:t xml:space="preserve">final body weights of </w:t>
      </w:r>
      <w:proofErr w:type="spellStart"/>
      <w:r w:rsidRPr="00C8639D">
        <w:rPr>
          <w:rFonts w:ascii="Arial" w:hAnsi="Arial" w:cs="Arial"/>
          <w:color w:val="232323"/>
          <w:sz w:val="24"/>
          <w:szCs w:val="24"/>
        </w:rPr>
        <w:t>PyMT</w:t>
      </w:r>
      <w:proofErr w:type="spellEnd"/>
      <w:r w:rsidRPr="00C8639D">
        <w:rPr>
          <w:rFonts w:ascii="Arial" w:hAnsi="Arial" w:cs="Arial"/>
          <w:color w:val="232323"/>
          <w:sz w:val="24"/>
          <w:szCs w:val="24"/>
        </w:rPr>
        <w:t xml:space="preserve">- and </w:t>
      </w:r>
      <w:proofErr w:type="spellStart"/>
      <w:r w:rsidRPr="00C8639D">
        <w:rPr>
          <w:rFonts w:ascii="Arial" w:hAnsi="Arial" w:cs="Arial"/>
          <w:color w:val="232323"/>
          <w:sz w:val="24"/>
          <w:szCs w:val="24"/>
        </w:rPr>
        <w:t>PyMT</w:t>
      </w:r>
      <w:proofErr w:type="spellEnd"/>
      <w:r w:rsidRPr="00C8639D">
        <w:rPr>
          <w:rFonts w:ascii="Arial" w:hAnsi="Arial" w:cs="Arial"/>
          <w:color w:val="232323"/>
          <w:sz w:val="24"/>
          <w:szCs w:val="24"/>
        </w:rPr>
        <w:t>+ mice at 9-week timepoint (n= 6-10 mice/group) or at the 15-week timepoint (n= 6-8 mice/group). The MMTV-</w:t>
      </w:r>
      <w:proofErr w:type="spellStart"/>
      <w:r w:rsidRPr="00C8639D">
        <w:rPr>
          <w:rFonts w:ascii="Arial" w:hAnsi="Arial" w:cs="Arial"/>
          <w:color w:val="232323"/>
          <w:sz w:val="24"/>
          <w:szCs w:val="24"/>
        </w:rPr>
        <w:t>PyMT</w:t>
      </w:r>
      <w:proofErr w:type="spellEnd"/>
      <w:r w:rsidRPr="00C8639D">
        <w:rPr>
          <w:rFonts w:ascii="Arial" w:hAnsi="Arial" w:cs="Arial"/>
          <w:color w:val="232323"/>
          <w:sz w:val="24"/>
          <w:szCs w:val="24"/>
        </w:rPr>
        <w:t xml:space="preserve"> transgene did not significantly alter body weight in any of the groups. </w:t>
      </w:r>
      <w:r w:rsidRPr="00C8639D">
        <w:rPr>
          <w:rFonts w:ascii="Arial" w:hAnsi="Arial" w:cs="Arial"/>
          <w:b/>
          <w:bCs/>
          <w:color w:val="232323"/>
          <w:sz w:val="24"/>
          <w:szCs w:val="24"/>
        </w:rPr>
        <w:t xml:space="preserve">C. </w:t>
      </w:r>
      <w:r w:rsidRPr="00C8639D">
        <w:rPr>
          <w:rFonts w:ascii="Arial" w:hAnsi="Arial" w:cs="Arial"/>
          <w:color w:val="232323"/>
          <w:sz w:val="24"/>
          <w:szCs w:val="24"/>
        </w:rPr>
        <w:t xml:space="preserve">Quantification of the percentage of hyperplasia and MIN per mammary gland (MG) for each risk factor cohort revealed no change in tumor initiation. Representative H&amp;E images of a hyperplasia or a MIN. Magnification bar: 50 µm  </w:t>
      </w:r>
      <w:r w:rsidRPr="00C8639D">
        <w:rPr>
          <w:rFonts w:ascii="Arial" w:hAnsi="Arial" w:cs="Arial"/>
          <w:b/>
          <w:bCs/>
          <w:color w:val="232323"/>
          <w:sz w:val="24"/>
          <w:szCs w:val="24"/>
        </w:rPr>
        <w:t xml:space="preserve">D. </w:t>
      </w:r>
      <w:r w:rsidRPr="00C8639D">
        <w:rPr>
          <w:rFonts w:ascii="Arial" w:hAnsi="Arial" w:cs="Arial"/>
          <w:color w:val="232323"/>
          <w:sz w:val="24"/>
          <w:szCs w:val="24"/>
        </w:rPr>
        <w:t xml:space="preserve">Representative images of early timepoint mammary glands stained for F4/80 </w:t>
      </w:r>
      <w:r>
        <w:rPr>
          <w:rFonts w:ascii="Arial" w:hAnsi="Arial" w:cs="Arial"/>
          <w:color w:val="232323"/>
          <w:sz w:val="24"/>
          <w:szCs w:val="24"/>
        </w:rPr>
        <w:t>surrounding</w:t>
      </w:r>
      <w:r w:rsidRPr="00C8639D">
        <w:rPr>
          <w:rFonts w:ascii="Arial" w:hAnsi="Arial" w:cs="Arial"/>
          <w:color w:val="232323"/>
          <w:sz w:val="24"/>
          <w:szCs w:val="24"/>
        </w:rPr>
        <w:t xml:space="preserve"> MIN. No significant differences in the number of F4/80+ cells </w:t>
      </w:r>
      <w:r w:rsidRPr="00C8639D">
        <w:rPr>
          <w:rFonts w:ascii="Arial" w:hAnsi="Arial" w:cs="Arial"/>
          <w:color w:val="232323"/>
          <w:sz w:val="24"/>
          <w:szCs w:val="24"/>
        </w:rPr>
        <w:t>located</w:t>
      </w:r>
      <w:r w:rsidRPr="00C8639D">
        <w:rPr>
          <w:rFonts w:ascii="Arial" w:hAnsi="Arial" w:cs="Arial"/>
          <w:color w:val="232323"/>
          <w:sz w:val="24"/>
          <w:szCs w:val="24"/>
        </w:rPr>
        <w:t xml:space="preserve"> near MIN were identified. Magnification bar: 50 µm. </w:t>
      </w:r>
      <w:r w:rsidRPr="00C8639D">
        <w:rPr>
          <w:rFonts w:ascii="Arial" w:hAnsi="Arial" w:cs="Arial"/>
          <w:b/>
          <w:bCs/>
          <w:color w:val="232323"/>
          <w:sz w:val="24"/>
          <w:szCs w:val="24"/>
        </w:rPr>
        <w:t xml:space="preserve"> E. </w:t>
      </w:r>
      <w:r w:rsidRPr="00C8639D">
        <w:rPr>
          <w:rFonts w:ascii="Arial" w:hAnsi="Arial" w:cs="Arial"/>
          <w:color w:val="232323"/>
          <w:sz w:val="24"/>
          <w:szCs w:val="24"/>
        </w:rPr>
        <w:t>Representative images of late timepoint tumors stained for F4/80+ cells.  F4/80+ cells in the tumor nest are not altered by either breast cancer risk factor. Magnification bar: 25 µm.</w:t>
      </w:r>
    </w:p>
    <w:p w14:paraId="77613806" w14:textId="77777777" w:rsidR="00C02329" w:rsidRDefault="00C02329" w:rsidP="00C02329">
      <w:pPr>
        <w:pStyle w:val="NormalWeb"/>
        <w:rPr>
          <w:rFonts w:ascii="Arial" w:hAnsi="Arial" w:cs="Arial"/>
        </w:rPr>
      </w:pPr>
      <w:r>
        <w:rPr>
          <w:rFonts w:ascii="Arial" w:hAnsi="Arial" w:cs="Arial"/>
          <w:b/>
          <w:bCs/>
          <w:color w:val="232323"/>
        </w:rPr>
        <w:t xml:space="preserve">Supplementary Figure 3. Percentage of non-metastatic and metastatic hormone receptor-positive (Luminal A) cases.  </w:t>
      </w:r>
      <w:r w:rsidRPr="00302FF3">
        <w:rPr>
          <w:rFonts w:ascii="Arial" w:hAnsi="Arial" w:cs="Arial"/>
          <w:color w:val="232323"/>
        </w:rPr>
        <w:t xml:space="preserve">Selecting hormone </w:t>
      </w:r>
      <w:r>
        <w:rPr>
          <w:rFonts w:ascii="Arial" w:hAnsi="Arial" w:cs="Arial"/>
          <w:color w:val="232323"/>
        </w:rPr>
        <w:t>receptor-positive</w:t>
      </w:r>
      <w:r w:rsidRPr="00302FF3">
        <w:rPr>
          <w:rFonts w:ascii="Arial" w:hAnsi="Arial" w:cs="Arial"/>
          <w:color w:val="232323"/>
        </w:rPr>
        <w:t xml:space="preserve"> cases (ER+ and/or PR+ cases)</w:t>
      </w:r>
      <w:r>
        <w:rPr>
          <w:rFonts w:ascii="Arial" w:hAnsi="Arial" w:cs="Arial"/>
          <w:color w:val="232323"/>
        </w:rPr>
        <w:t>,</w:t>
      </w:r>
      <w:r w:rsidRPr="00302FF3">
        <w:rPr>
          <w:rFonts w:ascii="Arial" w:hAnsi="Arial" w:cs="Arial"/>
          <w:color w:val="232323"/>
        </w:rPr>
        <w:t xml:space="preserve"> the p</w:t>
      </w:r>
      <w:r w:rsidRPr="00302FF3">
        <w:rPr>
          <w:rFonts w:ascii="Arial" w:hAnsi="Arial" w:cs="Arial"/>
        </w:rPr>
        <w:t>er</w:t>
      </w:r>
      <w:r>
        <w:rPr>
          <w:rFonts w:ascii="Arial" w:hAnsi="Arial" w:cs="Arial"/>
        </w:rPr>
        <w:t>centage of non-metastatic (shaded bars) and metastatic (solid bars) cases is presented for each risk factor cohort. The dual risk factor group has the highest percentage of cases that progressed to metastasis (47%), which the lean/LD (no risk factor group) has the highest percentage of non-metastatic cases (87%).</w:t>
      </w:r>
    </w:p>
    <w:p w14:paraId="67AF3517" w14:textId="68236FC2" w:rsidR="00C02329" w:rsidRPr="00F00C03" w:rsidRDefault="00C02329" w:rsidP="00C02329">
      <w:pPr>
        <w:pStyle w:val="NormalWeb"/>
        <w:rPr>
          <w:rFonts w:ascii="Arial" w:hAnsi="Arial" w:cs="Arial"/>
          <w:color w:val="232323"/>
        </w:rPr>
      </w:pPr>
      <w:r w:rsidRPr="003B7DC6">
        <w:rPr>
          <w:rFonts w:ascii="Arial" w:hAnsi="Arial" w:cs="Arial"/>
          <w:b/>
          <w:bCs/>
        </w:rPr>
        <w:t xml:space="preserve">Supplementary Figure </w:t>
      </w:r>
      <w:r>
        <w:rPr>
          <w:rFonts w:ascii="Arial" w:hAnsi="Arial" w:cs="Arial"/>
          <w:b/>
          <w:bCs/>
        </w:rPr>
        <w:t>4</w:t>
      </w:r>
      <w:r w:rsidRPr="003B7DC6">
        <w:rPr>
          <w:rFonts w:ascii="Arial" w:hAnsi="Arial" w:cs="Arial"/>
          <w:b/>
          <w:bCs/>
        </w:rPr>
        <w:t xml:space="preserve">. </w:t>
      </w:r>
      <w:r>
        <w:rPr>
          <w:rFonts w:ascii="Arial" w:hAnsi="Arial" w:cs="Arial"/>
          <w:b/>
          <w:bCs/>
        </w:rPr>
        <w:t xml:space="preserve">Immune exclusion is </w:t>
      </w:r>
      <w:r>
        <w:rPr>
          <w:rFonts w:ascii="Arial" w:hAnsi="Arial" w:cs="Arial"/>
          <w:b/>
          <w:bCs/>
        </w:rPr>
        <w:t>absent from all</w:t>
      </w:r>
      <w:r>
        <w:rPr>
          <w:rFonts w:ascii="Arial" w:hAnsi="Arial" w:cs="Arial"/>
          <w:b/>
          <w:bCs/>
        </w:rPr>
        <w:t xml:space="preserve"> risk factor group</w:t>
      </w:r>
      <w:r>
        <w:rPr>
          <w:rFonts w:ascii="Arial" w:hAnsi="Arial" w:cs="Arial"/>
          <w:b/>
          <w:bCs/>
        </w:rPr>
        <w:t>s</w:t>
      </w:r>
      <w:r>
        <w:rPr>
          <w:rFonts w:ascii="Arial" w:hAnsi="Arial" w:cs="Arial"/>
          <w:b/>
          <w:bCs/>
        </w:rPr>
        <w:t xml:space="preserve"> in </w:t>
      </w:r>
      <w:r>
        <w:rPr>
          <w:rFonts w:ascii="Arial" w:hAnsi="Arial" w:cs="Arial"/>
          <w:b/>
          <w:bCs/>
        </w:rPr>
        <w:t xml:space="preserve">the </w:t>
      </w:r>
      <w:r>
        <w:rPr>
          <w:rFonts w:ascii="Arial" w:hAnsi="Arial" w:cs="Arial"/>
          <w:b/>
          <w:bCs/>
        </w:rPr>
        <w:t xml:space="preserve">non-metastatic cases. </w:t>
      </w:r>
      <w:r w:rsidRPr="00F00C03">
        <w:rPr>
          <w:rFonts w:ascii="Arial" w:hAnsi="Arial" w:cs="Arial"/>
        </w:rPr>
        <w:t xml:space="preserve">Spatial profiles of non-metastatic cases reveal no change in localization of </w:t>
      </w:r>
      <w:r w:rsidRPr="00F00C03">
        <w:rPr>
          <w:rFonts w:ascii="Arial" w:hAnsi="Arial" w:cs="Arial"/>
          <w:b/>
          <w:bCs/>
        </w:rPr>
        <w:t>(A)</w:t>
      </w:r>
      <w:r w:rsidRPr="00F00C03">
        <w:rPr>
          <w:rFonts w:ascii="Arial" w:hAnsi="Arial" w:cs="Arial"/>
        </w:rPr>
        <w:t xml:space="preserve"> CD68+ macrophages, </w:t>
      </w:r>
      <w:r w:rsidRPr="00F00C03">
        <w:rPr>
          <w:rFonts w:ascii="Arial" w:hAnsi="Arial" w:cs="Arial"/>
          <w:b/>
          <w:bCs/>
        </w:rPr>
        <w:t>(B)</w:t>
      </w:r>
      <w:r w:rsidRPr="00F00C03">
        <w:rPr>
          <w:rFonts w:ascii="Arial" w:hAnsi="Arial" w:cs="Arial"/>
        </w:rPr>
        <w:t xml:space="preserve"> CD8+ T-cells, or </w:t>
      </w:r>
      <w:r w:rsidRPr="00F00C03">
        <w:rPr>
          <w:rFonts w:ascii="Arial" w:hAnsi="Arial" w:cs="Arial"/>
          <w:b/>
          <w:bCs/>
        </w:rPr>
        <w:t>(D)</w:t>
      </w:r>
      <w:r w:rsidRPr="00F00C03">
        <w:rPr>
          <w:rFonts w:ascii="Arial" w:hAnsi="Arial" w:cs="Arial"/>
        </w:rPr>
        <w:t xml:space="preserve"> CD163+ macrophages in the stroma vs tumor nest.  </w:t>
      </w:r>
      <w:r w:rsidRPr="00F00C03">
        <w:rPr>
          <w:rFonts w:ascii="Arial" w:hAnsi="Arial" w:cs="Arial"/>
          <w:b/>
          <w:bCs/>
        </w:rPr>
        <w:t>C.</w:t>
      </w:r>
      <w:r>
        <w:rPr>
          <w:rFonts w:ascii="Arial" w:hAnsi="Arial" w:cs="Arial"/>
        </w:rPr>
        <w:t xml:space="preserve"> </w:t>
      </w:r>
      <w:r w:rsidRPr="00F00C03">
        <w:rPr>
          <w:rFonts w:ascii="Arial" w:hAnsi="Arial" w:cs="Arial"/>
        </w:rPr>
        <w:t>Quantification of CD163+ macrophages in metastatic cases shows a non-significant trend toward immune exclusion.</w:t>
      </w:r>
    </w:p>
    <w:p w14:paraId="5AEB6B21" w14:textId="77777777" w:rsidR="00B94E45" w:rsidRDefault="00B94E45"/>
    <w:sectPr w:rsidR="00B94E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329"/>
    <w:rsid w:val="00214268"/>
    <w:rsid w:val="00452005"/>
    <w:rsid w:val="005F7C07"/>
    <w:rsid w:val="00AF7F2C"/>
    <w:rsid w:val="00B94E45"/>
    <w:rsid w:val="00C02329"/>
    <w:rsid w:val="00C70405"/>
    <w:rsid w:val="00D620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946DD"/>
  <w15:chartTrackingRefBased/>
  <w15:docId w15:val="{A8AF9688-EDAC-459C-AA1A-574BC2BFB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2329"/>
    <w:pPr>
      <w:spacing w:line="259" w:lineRule="auto"/>
    </w:pPr>
    <w:rPr>
      <w:sz w:val="22"/>
      <w:szCs w:val="22"/>
    </w:rPr>
  </w:style>
  <w:style w:type="paragraph" w:styleId="Heading1">
    <w:name w:val="heading 1"/>
    <w:basedOn w:val="Normal"/>
    <w:next w:val="Normal"/>
    <w:link w:val="Heading1Char"/>
    <w:uiPriority w:val="9"/>
    <w:qFormat/>
    <w:rsid w:val="00C02329"/>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02329"/>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02329"/>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02329"/>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C02329"/>
    <w:pPr>
      <w:keepNext/>
      <w:keepLines/>
      <w:spacing w:before="80" w:after="40" w:line="278" w:lineRule="auto"/>
      <w:outlineLvl w:val="4"/>
    </w:pPr>
    <w:rPr>
      <w:rFonts w:eastAsiaTheme="majorEastAsia"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C02329"/>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C02329"/>
    <w:pPr>
      <w:keepNext/>
      <w:keepLines/>
      <w:spacing w:before="40" w:after="0" w:line="278" w:lineRule="auto"/>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C02329"/>
    <w:pPr>
      <w:keepNext/>
      <w:keepLines/>
      <w:spacing w:after="0" w:line="278" w:lineRule="auto"/>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C02329"/>
    <w:pPr>
      <w:keepNext/>
      <w:keepLines/>
      <w:spacing w:after="0" w:line="278" w:lineRule="auto"/>
      <w:outlineLvl w:val="8"/>
    </w:pPr>
    <w:rPr>
      <w:rFonts w:eastAsiaTheme="majorEastAsia"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232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0232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0232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0232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0232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023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23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23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2329"/>
    <w:rPr>
      <w:rFonts w:eastAsiaTheme="majorEastAsia" w:cstheme="majorBidi"/>
      <w:color w:val="272727" w:themeColor="text1" w:themeTint="D8"/>
    </w:rPr>
  </w:style>
  <w:style w:type="paragraph" w:styleId="Title">
    <w:name w:val="Title"/>
    <w:basedOn w:val="Normal"/>
    <w:next w:val="Normal"/>
    <w:link w:val="TitleChar"/>
    <w:uiPriority w:val="10"/>
    <w:qFormat/>
    <w:rsid w:val="00C023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23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2329"/>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023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2329"/>
    <w:pPr>
      <w:spacing w:before="160" w:line="278" w:lineRule="auto"/>
      <w:jc w:val="center"/>
    </w:pPr>
    <w:rPr>
      <w:i/>
      <w:iCs/>
      <w:color w:val="404040" w:themeColor="text1" w:themeTint="BF"/>
      <w:sz w:val="24"/>
      <w:szCs w:val="24"/>
    </w:rPr>
  </w:style>
  <w:style w:type="character" w:customStyle="1" w:styleId="QuoteChar">
    <w:name w:val="Quote Char"/>
    <w:basedOn w:val="DefaultParagraphFont"/>
    <w:link w:val="Quote"/>
    <w:uiPriority w:val="29"/>
    <w:rsid w:val="00C02329"/>
    <w:rPr>
      <w:i/>
      <w:iCs/>
      <w:color w:val="404040" w:themeColor="text1" w:themeTint="BF"/>
    </w:rPr>
  </w:style>
  <w:style w:type="paragraph" w:styleId="ListParagraph">
    <w:name w:val="List Paragraph"/>
    <w:basedOn w:val="Normal"/>
    <w:uiPriority w:val="34"/>
    <w:qFormat/>
    <w:rsid w:val="00C02329"/>
    <w:pPr>
      <w:spacing w:line="278" w:lineRule="auto"/>
      <w:ind w:left="720"/>
      <w:contextualSpacing/>
    </w:pPr>
    <w:rPr>
      <w:sz w:val="24"/>
      <w:szCs w:val="24"/>
    </w:rPr>
  </w:style>
  <w:style w:type="character" w:styleId="IntenseEmphasis">
    <w:name w:val="Intense Emphasis"/>
    <w:basedOn w:val="DefaultParagraphFont"/>
    <w:uiPriority w:val="21"/>
    <w:qFormat/>
    <w:rsid w:val="00C02329"/>
    <w:rPr>
      <w:i/>
      <w:iCs/>
      <w:color w:val="0F4761" w:themeColor="accent1" w:themeShade="BF"/>
    </w:rPr>
  </w:style>
  <w:style w:type="paragraph" w:styleId="IntenseQuote">
    <w:name w:val="Intense Quote"/>
    <w:basedOn w:val="Normal"/>
    <w:next w:val="Normal"/>
    <w:link w:val="IntenseQuoteChar"/>
    <w:uiPriority w:val="30"/>
    <w:qFormat/>
    <w:rsid w:val="00C02329"/>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IntenseQuoteChar">
    <w:name w:val="Intense Quote Char"/>
    <w:basedOn w:val="DefaultParagraphFont"/>
    <w:link w:val="IntenseQuote"/>
    <w:uiPriority w:val="30"/>
    <w:rsid w:val="00C02329"/>
    <w:rPr>
      <w:i/>
      <w:iCs/>
      <w:color w:val="0F4761" w:themeColor="accent1" w:themeShade="BF"/>
    </w:rPr>
  </w:style>
  <w:style w:type="character" w:styleId="IntenseReference">
    <w:name w:val="Intense Reference"/>
    <w:basedOn w:val="DefaultParagraphFont"/>
    <w:uiPriority w:val="32"/>
    <w:qFormat/>
    <w:rsid w:val="00C02329"/>
    <w:rPr>
      <w:b/>
      <w:bCs/>
      <w:smallCaps/>
      <w:color w:val="0F4761" w:themeColor="accent1" w:themeShade="BF"/>
      <w:spacing w:val="5"/>
    </w:rPr>
  </w:style>
  <w:style w:type="paragraph" w:styleId="NormalWeb">
    <w:name w:val="Normal (Web)"/>
    <w:basedOn w:val="Normal"/>
    <w:uiPriority w:val="99"/>
    <w:unhideWhenUsed/>
    <w:rsid w:val="00C0232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396</Words>
  <Characters>2134</Characters>
  <Application>Microsoft Office Word</Application>
  <DocSecurity>0</DocSecurity>
  <Lines>34</Lines>
  <Paragraphs>5</Paragraphs>
  <ScaleCrop>false</ScaleCrop>
  <Company/>
  <LinksUpToDate>false</LinksUpToDate>
  <CharactersWithSpaces>2525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Marie Ponik</dc:creator>
  <cp:keywords/>
  <dc:description/>
  <cp:lastModifiedBy>Suzanne Marie Ponik</cp:lastModifiedBy>
  <cp:revision>1</cp:revision>
  <dcterms:created xsi:type="dcterms:W3CDTF">2026-02-10T18:41:00Z</dcterms:created>
  <dcterms:modified xsi:type="dcterms:W3CDTF">2026-02-10T18:43:00Z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1fd61e55-5c5e-4c23-8f20-ae2c3dfed98a</vt:lpwstr>
  </property>
</Properties>
</file>