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41728" w14:textId="53AAAF86" w:rsidR="00E11515" w:rsidRDefault="0023170F" w:rsidP="00E26953">
      <w:pPr>
        <w:rPr>
          <w:rFonts w:ascii="Arial" w:hAnsi="Arial" w:cs="Arial"/>
          <w:b/>
          <w:bCs/>
          <w:color w:val="000000"/>
          <w:sz w:val="22"/>
          <w:szCs w:val="22"/>
          <w:shd w:val="clear" w:color="auto" w:fill="FFFFFF"/>
        </w:rPr>
      </w:pPr>
      <w:r w:rsidRPr="0023170F">
        <w:rPr>
          <w:rFonts w:ascii="Arial" w:hAnsi="Arial" w:cs="Arial"/>
          <w:b/>
          <w:bCs/>
          <w:color w:val="000000"/>
          <w:sz w:val="22"/>
          <w:szCs w:val="22"/>
          <w:shd w:val="clear" w:color="auto" w:fill="FFFFFF"/>
        </w:rPr>
        <w:t>SUPPLEMENTAL</w:t>
      </w:r>
      <w:r>
        <w:rPr>
          <w:rFonts w:ascii="Arial" w:hAnsi="Arial" w:cs="Arial"/>
          <w:color w:val="000000"/>
          <w:sz w:val="22"/>
          <w:szCs w:val="22"/>
          <w:shd w:val="clear" w:color="auto" w:fill="FFFFFF"/>
        </w:rPr>
        <w:t xml:space="preserve"> </w:t>
      </w:r>
      <w:r w:rsidR="00E11515" w:rsidRPr="00E11515">
        <w:rPr>
          <w:rFonts w:ascii="Arial" w:hAnsi="Arial" w:cs="Arial"/>
          <w:b/>
          <w:bCs/>
          <w:color w:val="000000"/>
          <w:sz w:val="22"/>
          <w:szCs w:val="22"/>
          <w:shd w:val="clear" w:color="auto" w:fill="FFFFFF"/>
        </w:rPr>
        <w:t>FIGURE LEGENDS</w:t>
      </w:r>
    </w:p>
    <w:p w14:paraId="20D1A24A" w14:textId="77777777" w:rsidR="00627705" w:rsidRDefault="00627705" w:rsidP="00E26953">
      <w:pPr>
        <w:rPr>
          <w:rFonts w:ascii="Arial" w:hAnsi="Arial" w:cs="Arial"/>
          <w:b/>
          <w:bCs/>
          <w:color w:val="000000"/>
          <w:sz w:val="22"/>
          <w:szCs w:val="22"/>
          <w:shd w:val="clear" w:color="auto" w:fill="FFFFFF"/>
        </w:rPr>
      </w:pPr>
    </w:p>
    <w:p w14:paraId="0A74DDBF" w14:textId="4E9ACF65" w:rsidR="00FD0469" w:rsidRPr="001F0F39" w:rsidRDefault="0023170F" w:rsidP="00FD0469">
      <w:pPr>
        <w:rPr>
          <w:rFonts w:ascii="Arial" w:hAnsi="Arial" w:cs="Arial"/>
          <w:color w:val="000000"/>
          <w:sz w:val="22"/>
          <w:szCs w:val="22"/>
          <w:shd w:val="clear" w:color="auto" w:fill="FFFFFF"/>
        </w:rPr>
      </w:pPr>
      <w:r>
        <w:rPr>
          <w:rFonts w:ascii="Arial" w:hAnsi="Arial" w:cs="Arial"/>
          <w:b/>
          <w:bCs/>
          <w:color w:val="000000"/>
          <w:sz w:val="22"/>
          <w:szCs w:val="22"/>
          <w:shd w:val="clear" w:color="auto" w:fill="FFFFFF"/>
        </w:rPr>
        <w:t xml:space="preserve">Supplemental Figure 1. </w:t>
      </w:r>
      <w:r w:rsidR="00BF6B15" w:rsidRPr="00BF6B15">
        <w:rPr>
          <w:rFonts w:ascii="Arial" w:hAnsi="Arial" w:cs="Arial"/>
          <w:color w:val="000000"/>
          <w:sz w:val="22"/>
          <w:szCs w:val="22"/>
          <w:shd w:val="clear" w:color="auto" w:fill="FFFFFF"/>
        </w:rPr>
        <w:t>(A) Representative fluorescence images of EW8 cells expressing eGFP-H2B in metaphase (yellow arrow) and anaphase (white arrow). (</w:t>
      </w:r>
      <w:r w:rsidR="00FD0469">
        <w:rPr>
          <w:rFonts w:ascii="Arial" w:hAnsi="Arial" w:cs="Arial"/>
          <w:color w:val="000000"/>
          <w:sz w:val="22"/>
          <w:szCs w:val="22"/>
          <w:shd w:val="clear" w:color="auto" w:fill="FFFFFF"/>
        </w:rPr>
        <w:t>B</w:t>
      </w:r>
      <w:r w:rsidR="00BF6B15" w:rsidRPr="00BF6B15">
        <w:rPr>
          <w:rFonts w:ascii="Arial" w:hAnsi="Arial" w:cs="Arial"/>
          <w:color w:val="000000"/>
          <w:sz w:val="22"/>
          <w:szCs w:val="22"/>
          <w:shd w:val="clear" w:color="auto" w:fill="FFFFFF"/>
        </w:rPr>
        <w:t xml:space="preserve">) EW8 cells </w:t>
      </w:r>
      <w:r w:rsidR="00E01401">
        <w:rPr>
          <w:rFonts w:ascii="Arial" w:hAnsi="Arial" w:cs="Arial"/>
          <w:color w:val="000000"/>
          <w:sz w:val="22"/>
          <w:szCs w:val="22"/>
          <w:shd w:val="clear" w:color="auto" w:fill="FFFFFF"/>
        </w:rPr>
        <w:t xml:space="preserve">expressing </w:t>
      </w:r>
      <w:r w:rsidR="00E01401" w:rsidRPr="00BF6B15">
        <w:rPr>
          <w:rFonts w:ascii="Arial" w:hAnsi="Arial" w:cs="Arial"/>
          <w:color w:val="000000"/>
          <w:sz w:val="22"/>
          <w:szCs w:val="22"/>
          <w:shd w:val="clear" w:color="auto" w:fill="FFFFFF"/>
        </w:rPr>
        <w:t xml:space="preserve">eGFP-H2B </w:t>
      </w:r>
      <w:r w:rsidR="00BF6B15" w:rsidRPr="00BF6B15">
        <w:rPr>
          <w:rFonts w:ascii="Arial" w:hAnsi="Arial" w:cs="Arial"/>
          <w:color w:val="000000"/>
          <w:sz w:val="22"/>
          <w:szCs w:val="22"/>
          <w:shd w:val="clear" w:color="auto" w:fill="FFFFFF"/>
        </w:rPr>
        <w:t>were treated with DMSO, thymidine (</w:t>
      </w:r>
      <w:r w:rsidR="00BF6B15">
        <w:rPr>
          <w:rFonts w:ascii="Arial" w:hAnsi="Arial" w:cs="Arial"/>
          <w:color w:val="000000"/>
          <w:sz w:val="22"/>
          <w:szCs w:val="22"/>
          <w:shd w:val="clear" w:color="auto" w:fill="FFFFFF"/>
        </w:rPr>
        <w:t xml:space="preserve">2 mM, </w:t>
      </w:r>
      <w:r w:rsidR="00BF6B15" w:rsidRPr="00BF6B15">
        <w:rPr>
          <w:rFonts w:ascii="Arial" w:hAnsi="Arial" w:cs="Arial"/>
          <w:color w:val="000000"/>
          <w:sz w:val="22"/>
          <w:szCs w:val="22"/>
          <w:shd w:val="clear" w:color="auto" w:fill="FFFFFF"/>
        </w:rPr>
        <w:t>hours</w:t>
      </w:r>
      <w:r w:rsidR="00BF6B15">
        <w:rPr>
          <w:rFonts w:ascii="Arial" w:hAnsi="Arial" w:cs="Arial"/>
          <w:color w:val="000000"/>
          <w:sz w:val="22"/>
          <w:szCs w:val="22"/>
          <w:shd w:val="clear" w:color="auto" w:fill="FFFFFF"/>
        </w:rPr>
        <w:t xml:space="preserve"> 0-22</w:t>
      </w:r>
      <w:r w:rsidR="00BF6B15" w:rsidRPr="00BF6B15">
        <w:rPr>
          <w:rFonts w:ascii="Arial" w:hAnsi="Arial" w:cs="Arial"/>
          <w:color w:val="000000"/>
          <w:sz w:val="22"/>
          <w:szCs w:val="22"/>
          <w:shd w:val="clear" w:color="auto" w:fill="FFFFFF"/>
        </w:rPr>
        <w:t xml:space="preserve">), </w:t>
      </w:r>
      <w:r w:rsidR="00BF6B15">
        <w:rPr>
          <w:rFonts w:ascii="Arial" w:hAnsi="Arial" w:cs="Arial"/>
          <w:color w:val="000000"/>
          <w:sz w:val="22"/>
          <w:szCs w:val="22"/>
          <w:shd w:val="clear" w:color="auto" w:fill="FFFFFF"/>
        </w:rPr>
        <w:t xml:space="preserve">or </w:t>
      </w:r>
      <w:r w:rsidR="00BF6B15" w:rsidRPr="00BF6B15">
        <w:rPr>
          <w:rFonts w:ascii="Arial" w:hAnsi="Arial" w:cs="Arial"/>
          <w:color w:val="000000"/>
          <w:sz w:val="22"/>
          <w:szCs w:val="22"/>
          <w:shd w:val="clear" w:color="auto" w:fill="FFFFFF"/>
        </w:rPr>
        <w:t xml:space="preserve">thymidine </w:t>
      </w:r>
      <w:r w:rsidR="00BF6B15">
        <w:rPr>
          <w:rFonts w:ascii="Arial" w:hAnsi="Arial" w:cs="Arial"/>
          <w:color w:val="000000"/>
          <w:sz w:val="22"/>
          <w:szCs w:val="22"/>
          <w:shd w:val="clear" w:color="auto" w:fill="FFFFFF"/>
        </w:rPr>
        <w:t xml:space="preserve">(2 mM, </w:t>
      </w:r>
      <w:r w:rsidR="00BF6B15" w:rsidRPr="00BF6B15">
        <w:rPr>
          <w:rFonts w:ascii="Arial" w:hAnsi="Arial" w:cs="Arial"/>
          <w:color w:val="000000"/>
          <w:sz w:val="22"/>
          <w:szCs w:val="22"/>
          <w:shd w:val="clear" w:color="auto" w:fill="FFFFFF"/>
        </w:rPr>
        <w:t>hours</w:t>
      </w:r>
      <w:r w:rsidR="00BF6B15">
        <w:rPr>
          <w:rFonts w:ascii="Arial" w:hAnsi="Arial" w:cs="Arial"/>
          <w:color w:val="000000"/>
          <w:sz w:val="22"/>
          <w:szCs w:val="22"/>
          <w:shd w:val="clear" w:color="auto" w:fill="FFFFFF"/>
        </w:rPr>
        <w:t xml:space="preserve"> 0-22</w:t>
      </w:r>
      <w:r w:rsidR="00BF6B15" w:rsidRPr="00BF6B15">
        <w:rPr>
          <w:rFonts w:ascii="Arial" w:hAnsi="Arial" w:cs="Arial"/>
          <w:color w:val="000000"/>
          <w:sz w:val="22"/>
          <w:szCs w:val="22"/>
          <w:shd w:val="clear" w:color="auto" w:fill="FFFFFF"/>
        </w:rPr>
        <w:t xml:space="preserve">) with prexasertib (100 nM, </w:t>
      </w:r>
      <w:r w:rsidR="00BF6B15">
        <w:rPr>
          <w:rFonts w:ascii="Arial" w:hAnsi="Arial" w:cs="Arial"/>
          <w:color w:val="000000"/>
          <w:sz w:val="22"/>
          <w:szCs w:val="22"/>
          <w:shd w:val="clear" w:color="auto" w:fill="FFFFFF"/>
        </w:rPr>
        <w:t xml:space="preserve">hours </w:t>
      </w:r>
      <w:r w:rsidR="00BF6B15" w:rsidRPr="00BF6B15">
        <w:rPr>
          <w:rFonts w:ascii="Arial" w:hAnsi="Arial" w:cs="Arial"/>
          <w:color w:val="000000"/>
          <w:sz w:val="22"/>
          <w:szCs w:val="22"/>
          <w:shd w:val="clear" w:color="auto" w:fill="FFFFFF"/>
        </w:rPr>
        <w:t>18–22</w:t>
      </w:r>
      <w:r w:rsidR="00BF6B15">
        <w:rPr>
          <w:rFonts w:ascii="Arial" w:hAnsi="Arial" w:cs="Arial"/>
          <w:color w:val="000000"/>
          <w:sz w:val="22"/>
          <w:szCs w:val="22"/>
          <w:shd w:val="clear" w:color="auto" w:fill="FFFFFF"/>
        </w:rPr>
        <w:t>)</w:t>
      </w:r>
      <w:r w:rsidR="00BF6B15" w:rsidRPr="00BF6B15">
        <w:rPr>
          <w:rFonts w:ascii="Arial" w:hAnsi="Arial" w:cs="Arial"/>
          <w:color w:val="000000"/>
          <w:sz w:val="22"/>
          <w:szCs w:val="22"/>
          <w:shd w:val="clear" w:color="auto" w:fill="FFFFFF"/>
        </w:rPr>
        <w:t xml:space="preserve"> and </w:t>
      </w:r>
      <w:r w:rsidR="00BF6B15">
        <w:rPr>
          <w:rFonts w:ascii="Arial" w:hAnsi="Arial" w:cs="Arial"/>
          <w:color w:val="000000"/>
          <w:sz w:val="22"/>
          <w:szCs w:val="22"/>
          <w:shd w:val="clear" w:color="auto" w:fill="FFFFFF"/>
        </w:rPr>
        <w:t xml:space="preserve">then </w:t>
      </w:r>
      <w:r w:rsidR="00BF6B15" w:rsidRPr="00BF6B15">
        <w:rPr>
          <w:rFonts w:ascii="Arial" w:hAnsi="Arial" w:cs="Arial"/>
          <w:color w:val="000000"/>
          <w:sz w:val="22"/>
          <w:szCs w:val="22"/>
          <w:shd w:val="clear" w:color="auto" w:fill="FFFFFF"/>
        </w:rPr>
        <w:t>metaphase and anaphase cells were manually counted</w:t>
      </w:r>
      <w:r w:rsidR="00D54882">
        <w:rPr>
          <w:rFonts w:ascii="Arial" w:hAnsi="Arial" w:cs="Arial"/>
          <w:color w:val="000000"/>
          <w:sz w:val="22"/>
          <w:szCs w:val="22"/>
          <w:shd w:val="clear" w:color="auto" w:fill="FFFFFF"/>
        </w:rPr>
        <w:t xml:space="preserve">. n=3 replicates </w:t>
      </w:r>
      <w:r w:rsidR="00F60554">
        <w:rPr>
          <w:rFonts w:ascii="Arial" w:hAnsi="Arial" w:cs="Arial"/>
          <w:color w:val="000000"/>
          <w:sz w:val="22"/>
          <w:szCs w:val="22"/>
          <w:shd w:val="clear" w:color="auto" w:fill="FFFFFF"/>
        </w:rPr>
        <w:t xml:space="preserve">per condition </w:t>
      </w:r>
      <w:r w:rsidR="00D54882">
        <w:rPr>
          <w:rFonts w:ascii="Arial" w:hAnsi="Arial" w:cs="Arial"/>
          <w:color w:val="000000"/>
          <w:sz w:val="22"/>
          <w:szCs w:val="22"/>
          <w:shd w:val="clear" w:color="auto" w:fill="FFFFFF"/>
        </w:rPr>
        <w:t>with</w:t>
      </w:r>
      <w:r w:rsidR="00BF6B15" w:rsidRPr="00BF6B15">
        <w:rPr>
          <w:rFonts w:ascii="Arial" w:hAnsi="Arial" w:cs="Arial"/>
          <w:color w:val="000000"/>
          <w:sz w:val="22"/>
          <w:szCs w:val="22"/>
          <w:shd w:val="clear" w:color="auto" w:fill="FFFFFF"/>
        </w:rPr>
        <w:t xml:space="preserve"> </w:t>
      </w:r>
      <w:r w:rsidR="00D54882">
        <w:rPr>
          <w:rFonts w:ascii="Arial" w:hAnsi="Arial" w:cs="Arial"/>
          <w:color w:val="000000"/>
          <w:sz w:val="22"/>
          <w:szCs w:val="22"/>
          <w:shd w:val="clear" w:color="auto" w:fill="FFFFFF"/>
        </w:rPr>
        <w:t xml:space="preserve">a </w:t>
      </w:r>
      <w:r w:rsidR="00BF6B15" w:rsidRPr="00BF6B15">
        <w:rPr>
          <w:rFonts w:ascii="Arial" w:hAnsi="Arial" w:cs="Arial"/>
          <w:color w:val="000000"/>
          <w:sz w:val="22"/>
          <w:szCs w:val="22"/>
          <w:shd w:val="clear" w:color="auto" w:fill="FFFFFF"/>
        </w:rPr>
        <w:t xml:space="preserve">minimum </w:t>
      </w:r>
      <w:r w:rsidR="00D54882">
        <w:rPr>
          <w:rFonts w:ascii="Arial" w:hAnsi="Arial" w:cs="Arial"/>
          <w:color w:val="000000"/>
          <w:sz w:val="22"/>
          <w:szCs w:val="22"/>
          <w:shd w:val="clear" w:color="auto" w:fill="FFFFFF"/>
        </w:rPr>
        <w:t xml:space="preserve">of </w:t>
      </w:r>
      <w:r w:rsidR="00BF6B15">
        <w:rPr>
          <w:rFonts w:ascii="Arial" w:hAnsi="Arial" w:cs="Arial"/>
          <w:color w:val="000000"/>
          <w:sz w:val="22"/>
          <w:szCs w:val="22"/>
          <w:shd w:val="clear" w:color="auto" w:fill="FFFFFF"/>
        </w:rPr>
        <w:t>2</w:t>
      </w:r>
      <w:r w:rsidR="00BF6B15" w:rsidRPr="00BF6B15">
        <w:rPr>
          <w:rFonts w:ascii="Arial" w:hAnsi="Arial" w:cs="Arial"/>
          <w:color w:val="000000"/>
          <w:sz w:val="22"/>
          <w:szCs w:val="22"/>
          <w:shd w:val="clear" w:color="auto" w:fill="FFFFFF"/>
        </w:rPr>
        <w:t>00 cells per replicate.</w:t>
      </w:r>
      <w:r w:rsidR="00BF6B15">
        <w:rPr>
          <w:rFonts w:ascii="Arial" w:hAnsi="Arial" w:cs="Arial"/>
          <w:color w:val="000000"/>
          <w:sz w:val="22"/>
          <w:szCs w:val="22"/>
          <w:shd w:val="clear" w:color="auto" w:fill="FFFFFF"/>
        </w:rPr>
        <w:t xml:space="preserve"> </w:t>
      </w:r>
      <w:r w:rsidR="00FD0469" w:rsidRPr="00E26953">
        <w:rPr>
          <w:rFonts w:ascii="Arial" w:hAnsi="Arial" w:cs="Arial"/>
          <w:color w:val="000000"/>
          <w:sz w:val="22"/>
          <w:szCs w:val="22"/>
          <w:shd w:val="clear" w:color="auto" w:fill="FFFFFF"/>
        </w:rPr>
        <w:t>Multiple comparisons</w:t>
      </w:r>
      <w:r w:rsidR="00FD0469">
        <w:rPr>
          <w:rFonts w:ascii="Arial" w:hAnsi="Arial" w:cs="Arial"/>
          <w:color w:val="000000"/>
          <w:sz w:val="22"/>
          <w:szCs w:val="22"/>
          <w:shd w:val="clear" w:color="auto" w:fill="FFFFFF"/>
        </w:rPr>
        <w:t xml:space="preserve"> </w:t>
      </w:r>
      <w:r w:rsidR="00FD0469" w:rsidRPr="00E26953">
        <w:rPr>
          <w:rFonts w:ascii="Arial" w:hAnsi="Arial" w:cs="Arial"/>
          <w:color w:val="000000"/>
          <w:sz w:val="22"/>
          <w:szCs w:val="22"/>
          <w:shd w:val="clear" w:color="auto" w:fill="FFFFFF"/>
        </w:rPr>
        <w:t>were analyzed by 1-way ANOVA with Tukey’s post hoc multiple comparisons test.</w:t>
      </w:r>
      <w:r w:rsidR="00FD0469" w:rsidRPr="00E26953">
        <w:rPr>
          <w:rFonts w:ascii="Arial" w:hAnsi="Arial" w:cs="Arial"/>
          <w:color w:val="000000"/>
          <w:sz w:val="22"/>
          <w:szCs w:val="22"/>
          <w:shd w:val="clear" w:color="auto" w:fill="FFFFFF"/>
          <w:lang w:val="en"/>
        </w:rPr>
        <w:t xml:space="preserve"> </w:t>
      </w:r>
      <w:r w:rsidR="00FD0469" w:rsidRPr="00E26953">
        <w:rPr>
          <w:rFonts w:ascii="Arial" w:hAnsi="Arial" w:cs="Arial"/>
          <w:i/>
          <w:iCs/>
          <w:color w:val="000000"/>
          <w:sz w:val="22"/>
          <w:szCs w:val="22"/>
          <w:shd w:val="clear" w:color="auto" w:fill="FFFFFF"/>
        </w:rPr>
        <w:t>P</w:t>
      </w:r>
      <w:r w:rsidR="00FD0469" w:rsidRPr="00E26953">
        <w:rPr>
          <w:rFonts w:ascii="Arial" w:hAnsi="Arial" w:cs="Arial"/>
          <w:color w:val="000000"/>
          <w:sz w:val="22"/>
          <w:szCs w:val="22"/>
          <w:shd w:val="clear" w:color="auto" w:fill="FFFFFF"/>
        </w:rPr>
        <w:t> values of less than or equal to 0.05 were considered significant.</w:t>
      </w:r>
      <w:r w:rsidR="00FD0469">
        <w:rPr>
          <w:rFonts w:ascii="Arial" w:hAnsi="Arial" w:cs="Arial"/>
          <w:color w:val="000000"/>
          <w:sz w:val="22"/>
          <w:szCs w:val="22"/>
          <w:shd w:val="clear" w:color="auto" w:fill="FFFFFF"/>
        </w:rPr>
        <w:t xml:space="preserve"> </w:t>
      </w:r>
      <w:r w:rsidR="00FD0469" w:rsidRPr="00771B6D">
        <w:rPr>
          <w:rFonts w:ascii="Arial" w:hAnsi="Arial" w:cs="Arial"/>
          <w:bCs/>
          <w:color w:val="000000"/>
          <w:sz w:val="22"/>
          <w:szCs w:val="22"/>
          <w:shd w:val="clear" w:color="auto" w:fill="FFFFFF"/>
        </w:rPr>
        <w:t>***P &lt; 0.001.</w:t>
      </w:r>
      <w:r w:rsidR="00BA4CAA">
        <w:rPr>
          <w:rFonts w:ascii="Arial" w:hAnsi="Arial" w:cs="Arial"/>
          <w:bCs/>
          <w:color w:val="000000"/>
          <w:sz w:val="22"/>
          <w:szCs w:val="22"/>
          <w:shd w:val="clear" w:color="auto" w:fill="FFFFFF"/>
        </w:rPr>
        <w:t xml:space="preserve"> (C) Ewing sarcoma cell lines </w:t>
      </w:r>
      <w:r w:rsidR="00BA4CAA">
        <w:rPr>
          <w:rFonts w:ascii="Arial" w:hAnsi="Arial" w:cs="Arial"/>
          <w:color w:val="000000"/>
          <w:sz w:val="22"/>
          <w:szCs w:val="22"/>
          <w:shd w:val="clear" w:color="auto" w:fill="FFFFFF"/>
        </w:rPr>
        <w:t xml:space="preserve">were treated with </w:t>
      </w:r>
      <w:r w:rsidR="00BA4CAA" w:rsidRPr="00BF6B15">
        <w:rPr>
          <w:rFonts w:ascii="Arial" w:hAnsi="Arial" w:cs="Arial"/>
          <w:color w:val="000000"/>
          <w:sz w:val="22"/>
          <w:szCs w:val="22"/>
          <w:shd w:val="clear" w:color="auto" w:fill="FFFFFF"/>
        </w:rPr>
        <w:t>DMSO, thymidine (</w:t>
      </w:r>
      <w:r w:rsidR="00BA4CAA">
        <w:rPr>
          <w:rFonts w:ascii="Arial" w:hAnsi="Arial" w:cs="Arial"/>
          <w:color w:val="000000"/>
          <w:sz w:val="22"/>
          <w:szCs w:val="22"/>
          <w:shd w:val="clear" w:color="auto" w:fill="FFFFFF"/>
        </w:rPr>
        <w:t xml:space="preserve">2 mM, </w:t>
      </w:r>
      <w:r w:rsidR="00BA4CAA" w:rsidRPr="00BF6B15">
        <w:rPr>
          <w:rFonts w:ascii="Arial" w:hAnsi="Arial" w:cs="Arial"/>
          <w:color w:val="000000"/>
          <w:sz w:val="22"/>
          <w:szCs w:val="22"/>
          <w:shd w:val="clear" w:color="auto" w:fill="FFFFFF"/>
        </w:rPr>
        <w:t>hours</w:t>
      </w:r>
      <w:r w:rsidR="00BA4CAA">
        <w:rPr>
          <w:rFonts w:ascii="Arial" w:hAnsi="Arial" w:cs="Arial"/>
          <w:color w:val="000000"/>
          <w:sz w:val="22"/>
          <w:szCs w:val="22"/>
          <w:shd w:val="clear" w:color="auto" w:fill="FFFFFF"/>
        </w:rPr>
        <w:t xml:space="preserve"> 0-22</w:t>
      </w:r>
      <w:r w:rsidR="00BA4CAA" w:rsidRPr="00BF6B15">
        <w:rPr>
          <w:rFonts w:ascii="Arial" w:hAnsi="Arial" w:cs="Arial"/>
          <w:color w:val="000000"/>
          <w:sz w:val="22"/>
          <w:szCs w:val="22"/>
          <w:shd w:val="clear" w:color="auto" w:fill="FFFFFF"/>
        </w:rPr>
        <w:t xml:space="preserve">), thymidine </w:t>
      </w:r>
      <w:r w:rsidR="00BA4CAA">
        <w:rPr>
          <w:rFonts w:ascii="Arial" w:hAnsi="Arial" w:cs="Arial"/>
          <w:color w:val="000000"/>
          <w:sz w:val="22"/>
          <w:szCs w:val="22"/>
          <w:shd w:val="clear" w:color="auto" w:fill="FFFFFF"/>
        </w:rPr>
        <w:t xml:space="preserve">(2 mM, </w:t>
      </w:r>
      <w:r w:rsidR="00BA4CAA" w:rsidRPr="00BF6B15">
        <w:rPr>
          <w:rFonts w:ascii="Arial" w:hAnsi="Arial" w:cs="Arial"/>
          <w:color w:val="000000"/>
          <w:sz w:val="22"/>
          <w:szCs w:val="22"/>
          <w:shd w:val="clear" w:color="auto" w:fill="FFFFFF"/>
        </w:rPr>
        <w:t>hours</w:t>
      </w:r>
      <w:r w:rsidR="00BA4CAA">
        <w:rPr>
          <w:rFonts w:ascii="Arial" w:hAnsi="Arial" w:cs="Arial"/>
          <w:color w:val="000000"/>
          <w:sz w:val="22"/>
          <w:szCs w:val="22"/>
          <w:shd w:val="clear" w:color="auto" w:fill="FFFFFF"/>
        </w:rPr>
        <w:t xml:space="preserve"> 0-22</w:t>
      </w:r>
      <w:r w:rsidR="00BA4CAA" w:rsidRPr="00BF6B15">
        <w:rPr>
          <w:rFonts w:ascii="Arial" w:hAnsi="Arial" w:cs="Arial"/>
          <w:color w:val="000000"/>
          <w:sz w:val="22"/>
          <w:szCs w:val="22"/>
          <w:shd w:val="clear" w:color="auto" w:fill="FFFFFF"/>
        </w:rPr>
        <w:t xml:space="preserve">) with prexasertib (100 nM, </w:t>
      </w:r>
      <w:r w:rsidR="00BA4CAA">
        <w:rPr>
          <w:rFonts w:ascii="Arial" w:hAnsi="Arial" w:cs="Arial"/>
          <w:color w:val="000000"/>
          <w:sz w:val="22"/>
          <w:szCs w:val="22"/>
          <w:shd w:val="clear" w:color="auto" w:fill="FFFFFF"/>
        </w:rPr>
        <w:t xml:space="preserve">hours </w:t>
      </w:r>
      <w:r w:rsidR="00BA4CAA" w:rsidRPr="00BF6B15">
        <w:rPr>
          <w:rFonts w:ascii="Arial" w:hAnsi="Arial" w:cs="Arial"/>
          <w:color w:val="000000"/>
          <w:sz w:val="22"/>
          <w:szCs w:val="22"/>
          <w:shd w:val="clear" w:color="auto" w:fill="FFFFFF"/>
        </w:rPr>
        <w:t>18–22</w:t>
      </w:r>
      <w:r w:rsidR="00BA4CAA">
        <w:rPr>
          <w:rFonts w:ascii="Arial" w:hAnsi="Arial" w:cs="Arial"/>
          <w:color w:val="000000"/>
          <w:sz w:val="22"/>
          <w:szCs w:val="22"/>
          <w:shd w:val="clear" w:color="auto" w:fill="FFFFFF"/>
        </w:rPr>
        <w:t>), or nocodazole (50 ng/mL, hours 0-22</w:t>
      </w:r>
      <w:r w:rsidR="00A16AFE">
        <w:rPr>
          <w:rFonts w:ascii="Arial" w:hAnsi="Arial" w:cs="Arial"/>
          <w:color w:val="000000"/>
          <w:sz w:val="22"/>
          <w:szCs w:val="22"/>
          <w:shd w:val="clear" w:color="auto" w:fill="FFFFFF"/>
        </w:rPr>
        <w:t xml:space="preserve">). Cell lysates were then collected for immunoblotting. Nocodazole was used as a </w:t>
      </w:r>
      <w:r w:rsidR="00BA4CAA">
        <w:rPr>
          <w:rFonts w:ascii="Arial" w:hAnsi="Arial" w:cs="Arial"/>
          <w:color w:val="000000"/>
          <w:sz w:val="22"/>
          <w:szCs w:val="22"/>
          <w:shd w:val="clear" w:color="auto" w:fill="FFFFFF"/>
        </w:rPr>
        <w:t>positive control to arrest cells in mitosis and increase p-MPM2</w:t>
      </w:r>
      <w:r w:rsidR="00A16AFE">
        <w:rPr>
          <w:rFonts w:ascii="Arial" w:hAnsi="Arial" w:cs="Arial"/>
          <w:color w:val="000000"/>
          <w:sz w:val="22"/>
          <w:szCs w:val="22"/>
          <w:shd w:val="clear" w:color="auto" w:fill="FFFFFF"/>
        </w:rPr>
        <w:t>.</w:t>
      </w:r>
      <w:r w:rsidR="00BA4CAA">
        <w:rPr>
          <w:rFonts w:ascii="Arial" w:hAnsi="Arial" w:cs="Arial"/>
          <w:color w:val="000000"/>
          <w:sz w:val="22"/>
          <w:szCs w:val="22"/>
          <w:shd w:val="clear" w:color="auto" w:fill="FFFFFF"/>
        </w:rPr>
        <w:t xml:space="preserve"> (D) </w:t>
      </w:r>
      <w:r w:rsidR="00BA4CAA">
        <w:rPr>
          <w:rFonts w:ascii="Arial" w:hAnsi="Arial" w:cs="Arial"/>
          <w:bCs/>
          <w:color w:val="000000"/>
          <w:sz w:val="22"/>
          <w:szCs w:val="22"/>
          <w:shd w:val="clear" w:color="auto" w:fill="FFFFFF"/>
        </w:rPr>
        <w:t xml:space="preserve">EW8 cells </w:t>
      </w:r>
      <w:r w:rsidR="00BA4CAA">
        <w:rPr>
          <w:rFonts w:ascii="Arial" w:hAnsi="Arial" w:cs="Arial"/>
          <w:color w:val="000000"/>
          <w:sz w:val="22"/>
          <w:szCs w:val="22"/>
          <w:shd w:val="clear" w:color="auto" w:fill="FFFFFF"/>
        </w:rPr>
        <w:t xml:space="preserve">were treated with </w:t>
      </w:r>
      <w:r w:rsidR="00BA4CAA" w:rsidRPr="00BF6B15">
        <w:rPr>
          <w:rFonts w:ascii="Arial" w:hAnsi="Arial" w:cs="Arial"/>
          <w:color w:val="000000"/>
          <w:sz w:val="22"/>
          <w:szCs w:val="22"/>
          <w:shd w:val="clear" w:color="auto" w:fill="FFFFFF"/>
        </w:rPr>
        <w:t>DMSO, thymidine (</w:t>
      </w:r>
      <w:r w:rsidR="00BA4CAA">
        <w:rPr>
          <w:rFonts w:ascii="Arial" w:hAnsi="Arial" w:cs="Arial"/>
          <w:color w:val="000000"/>
          <w:sz w:val="22"/>
          <w:szCs w:val="22"/>
          <w:shd w:val="clear" w:color="auto" w:fill="FFFFFF"/>
        </w:rPr>
        <w:t xml:space="preserve">2 mM, </w:t>
      </w:r>
      <w:r w:rsidR="00BA4CAA" w:rsidRPr="00BF6B15">
        <w:rPr>
          <w:rFonts w:ascii="Arial" w:hAnsi="Arial" w:cs="Arial"/>
          <w:color w:val="000000"/>
          <w:sz w:val="22"/>
          <w:szCs w:val="22"/>
          <w:shd w:val="clear" w:color="auto" w:fill="FFFFFF"/>
        </w:rPr>
        <w:t>hours</w:t>
      </w:r>
      <w:r w:rsidR="00BA4CAA">
        <w:rPr>
          <w:rFonts w:ascii="Arial" w:hAnsi="Arial" w:cs="Arial"/>
          <w:color w:val="000000"/>
          <w:sz w:val="22"/>
          <w:szCs w:val="22"/>
          <w:shd w:val="clear" w:color="auto" w:fill="FFFFFF"/>
        </w:rPr>
        <w:t xml:space="preserve"> 0-22</w:t>
      </w:r>
      <w:r w:rsidR="00BA4CAA" w:rsidRPr="00BF6B15">
        <w:rPr>
          <w:rFonts w:ascii="Arial" w:hAnsi="Arial" w:cs="Arial"/>
          <w:color w:val="000000"/>
          <w:sz w:val="22"/>
          <w:szCs w:val="22"/>
          <w:shd w:val="clear" w:color="auto" w:fill="FFFFFF"/>
        </w:rPr>
        <w:t xml:space="preserve">), thymidine </w:t>
      </w:r>
      <w:r w:rsidR="00BA4CAA">
        <w:rPr>
          <w:rFonts w:ascii="Arial" w:hAnsi="Arial" w:cs="Arial"/>
          <w:color w:val="000000"/>
          <w:sz w:val="22"/>
          <w:szCs w:val="22"/>
          <w:shd w:val="clear" w:color="auto" w:fill="FFFFFF"/>
        </w:rPr>
        <w:t xml:space="preserve">(2 mM, </w:t>
      </w:r>
      <w:r w:rsidR="00BA4CAA" w:rsidRPr="00BF6B15">
        <w:rPr>
          <w:rFonts w:ascii="Arial" w:hAnsi="Arial" w:cs="Arial"/>
          <w:color w:val="000000"/>
          <w:sz w:val="22"/>
          <w:szCs w:val="22"/>
          <w:shd w:val="clear" w:color="auto" w:fill="FFFFFF"/>
        </w:rPr>
        <w:t>hours</w:t>
      </w:r>
      <w:r w:rsidR="00BA4CAA">
        <w:rPr>
          <w:rFonts w:ascii="Arial" w:hAnsi="Arial" w:cs="Arial"/>
          <w:color w:val="000000"/>
          <w:sz w:val="22"/>
          <w:szCs w:val="22"/>
          <w:shd w:val="clear" w:color="auto" w:fill="FFFFFF"/>
        </w:rPr>
        <w:t xml:space="preserve"> 0-22</w:t>
      </w:r>
      <w:r w:rsidR="00BA4CAA" w:rsidRPr="00BF6B15">
        <w:rPr>
          <w:rFonts w:ascii="Arial" w:hAnsi="Arial" w:cs="Arial"/>
          <w:color w:val="000000"/>
          <w:sz w:val="22"/>
          <w:szCs w:val="22"/>
          <w:shd w:val="clear" w:color="auto" w:fill="FFFFFF"/>
        </w:rPr>
        <w:t xml:space="preserve">) with prexasertib (100 nM, </w:t>
      </w:r>
      <w:r w:rsidR="00BA4CAA">
        <w:rPr>
          <w:rFonts w:ascii="Arial" w:hAnsi="Arial" w:cs="Arial"/>
          <w:color w:val="000000"/>
          <w:sz w:val="22"/>
          <w:szCs w:val="22"/>
          <w:shd w:val="clear" w:color="auto" w:fill="FFFFFF"/>
        </w:rPr>
        <w:t xml:space="preserve">hours </w:t>
      </w:r>
      <w:r w:rsidR="00BA4CAA" w:rsidRPr="00BF6B15">
        <w:rPr>
          <w:rFonts w:ascii="Arial" w:hAnsi="Arial" w:cs="Arial"/>
          <w:color w:val="000000"/>
          <w:sz w:val="22"/>
          <w:szCs w:val="22"/>
          <w:shd w:val="clear" w:color="auto" w:fill="FFFFFF"/>
        </w:rPr>
        <w:t>18–22</w:t>
      </w:r>
      <w:r w:rsidR="00BA4CAA">
        <w:rPr>
          <w:rFonts w:ascii="Arial" w:hAnsi="Arial" w:cs="Arial"/>
          <w:color w:val="000000"/>
          <w:sz w:val="22"/>
          <w:szCs w:val="22"/>
          <w:shd w:val="clear" w:color="auto" w:fill="FFFFFF"/>
        </w:rPr>
        <w:t xml:space="preserve">), </w:t>
      </w:r>
      <w:r w:rsidR="00BA4CAA" w:rsidRPr="00BF6B15">
        <w:rPr>
          <w:rFonts w:ascii="Arial" w:hAnsi="Arial" w:cs="Arial"/>
          <w:color w:val="000000"/>
          <w:sz w:val="22"/>
          <w:szCs w:val="22"/>
          <w:shd w:val="clear" w:color="auto" w:fill="FFFFFF"/>
        </w:rPr>
        <w:t xml:space="preserve">thymidine </w:t>
      </w:r>
      <w:r w:rsidR="00BA4CAA">
        <w:rPr>
          <w:rFonts w:ascii="Arial" w:hAnsi="Arial" w:cs="Arial"/>
          <w:color w:val="000000"/>
          <w:sz w:val="22"/>
          <w:szCs w:val="22"/>
          <w:shd w:val="clear" w:color="auto" w:fill="FFFFFF"/>
        </w:rPr>
        <w:t xml:space="preserve">(2 mM, </w:t>
      </w:r>
      <w:r w:rsidR="00BA4CAA" w:rsidRPr="00BF6B15">
        <w:rPr>
          <w:rFonts w:ascii="Arial" w:hAnsi="Arial" w:cs="Arial"/>
          <w:color w:val="000000"/>
          <w:sz w:val="22"/>
          <w:szCs w:val="22"/>
          <w:shd w:val="clear" w:color="auto" w:fill="FFFFFF"/>
        </w:rPr>
        <w:t>hours</w:t>
      </w:r>
      <w:r w:rsidR="00BA4CAA">
        <w:rPr>
          <w:rFonts w:ascii="Arial" w:hAnsi="Arial" w:cs="Arial"/>
          <w:color w:val="000000"/>
          <w:sz w:val="22"/>
          <w:szCs w:val="22"/>
          <w:shd w:val="clear" w:color="auto" w:fill="FFFFFF"/>
        </w:rPr>
        <w:t xml:space="preserve"> 0-22</w:t>
      </w:r>
      <w:r w:rsidR="00BA4CAA" w:rsidRPr="00BF6B15">
        <w:rPr>
          <w:rFonts w:ascii="Arial" w:hAnsi="Arial" w:cs="Arial"/>
          <w:color w:val="000000"/>
          <w:sz w:val="22"/>
          <w:szCs w:val="22"/>
          <w:shd w:val="clear" w:color="auto" w:fill="FFFFFF"/>
        </w:rPr>
        <w:t xml:space="preserve">) with prexasertib (100 nM, </w:t>
      </w:r>
      <w:r w:rsidR="00BA4CAA">
        <w:rPr>
          <w:rFonts w:ascii="Arial" w:hAnsi="Arial" w:cs="Arial"/>
          <w:color w:val="000000"/>
          <w:sz w:val="22"/>
          <w:szCs w:val="22"/>
          <w:shd w:val="clear" w:color="auto" w:fill="FFFFFF"/>
        </w:rPr>
        <w:t xml:space="preserve">hours </w:t>
      </w:r>
      <w:r w:rsidR="00BA4CAA" w:rsidRPr="00BF6B15">
        <w:rPr>
          <w:rFonts w:ascii="Arial" w:hAnsi="Arial" w:cs="Arial"/>
          <w:color w:val="000000"/>
          <w:sz w:val="22"/>
          <w:szCs w:val="22"/>
          <w:shd w:val="clear" w:color="auto" w:fill="FFFFFF"/>
        </w:rPr>
        <w:t>18–22</w:t>
      </w:r>
      <w:r w:rsidR="00BA4CAA">
        <w:rPr>
          <w:rFonts w:ascii="Arial" w:hAnsi="Arial" w:cs="Arial"/>
          <w:color w:val="000000"/>
          <w:sz w:val="22"/>
          <w:szCs w:val="22"/>
          <w:shd w:val="clear" w:color="auto" w:fill="FFFFFF"/>
        </w:rPr>
        <w:t xml:space="preserve">) and the CDK1 inhibitor RO-3306 (1 </w:t>
      </w:r>
      <w:r w:rsidR="00BA4CAA" w:rsidRPr="00BA4CAA">
        <w:rPr>
          <w:rFonts w:ascii="Symbol" w:hAnsi="Symbol" w:cs="Arial"/>
          <w:color w:val="000000"/>
          <w:sz w:val="20"/>
          <w:szCs w:val="20"/>
          <w:shd w:val="clear" w:color="auto" w:fill="FFFFFF"/>
        </w:rPr>
        <w:t>m</w:t>
      </w:r>
      <w:r w:rsidR="00BA4CAA">
        <w:rPr>
          <w:rFonts w:ascii="Arial" w:hAnsi="Arial" w:cs="Arial"/>
          <w:color w:val="000000"/>
          <w:sz w:val="22"/>
          <w:szCs w:val="22"/>
          <w:shd w:val="clear" w:color="auto" w:fill="FFFFFF"/>
        </w:rPr>
        <w:t xml:space="preserve">M, hours 18-22), or </w:t>
      </w:r>
      <w:r w:rsidR="00BA4CAA" w:rsidRPr="00BF6B15">
        <w:rPr>
          <w:rFonts w:ascii="Arial" w:hAnsi="Arial" w:cs="Arial"/>
          <w:color w:val="000000"/>
          <w:sz w:val="22"/>
          <w:szCs w:val="22"/>
          <w:shd w:val="clear" w:color="auto" w:fill="FFFFFF"/>
        </w:rPr>
        <w:t xml:space="preserve">thymidine </w:t>
      </w:r>
      <w:r w:rsidR="00BA4CAA">
        <w:rPr>
          <w:rFonts w:ascii="Arial" w:hAnsi="Arial" w:cs="Arial"/>
          <w:color w:val="000000"/>
          <w:sz w:val="22"/>
          <w:szCs w:val="22"/>
          <w:shd w:val="clear" w:color="auto" w:fill="FFFFFF"/>
        </w:rPr>
        <w:t xml:space="preserve">(2 mM, </w:t>
      </w:r>
      <w:r w:rsidR="00BA4CAA" w:rsidRPr="00BF6B15">
        <w:rPr>
          <w:rFonts w:ascii="Arial" w:hAnsi="Arial" w:cs="Arial"/>
          <w:color w:val="000000"/>
          <w:sz w:val="22"/>
          <w:szCs w:val="22"/>
          <w:shd w:val="clear" w:color="auto" w:fill="FFFFFF"/>
        </w:rPr>
        <w:t>hours</w:t>
      </w:r>
      <w:r w:rsidR="00BA4CAA">
        <w:rPr>
          <w:rFonts w:ascii="Arial" w:hAnsi="Arial" w:cs="Arial"/>
          <w:color w:val="000000"/>
          <w:sz w:val="22"/>
          <w:szCs w:val="22"/>
          <w:shd w:val="clear" w:color="auto" w:fill="FFFFFF"/>
        </w:rPr>
        <w:t xml:space="preserve"> 0-22</w:t>
      </w:r>
      <w:r w:rsidR="00BA4CAA" w:rsidRPr="00BF6B15">
        <w:rPr>
          <w:rFonts w:ascii="Arial" w:hAnsi="Arial" w:cs="Arial"/>
          <w:color w:val="000000"/>
          <w:sz w:val="22"/>
          <w:szCs w:val="22"/>
          <w:shd w:val="clear" w:color="auto" w:fill="FFFFFF"/>
        </w:rPr>
        <w:t xml:space="preserve">) with prexasertib (100 nM, </w:t>
      </w:r>
      <w:r w:rsidR="00BA4CAA">
        <w:rPr>
          <w:rFonts w:ascii="Arial" w:hAnsi="Arial" w:cs="Arial"/>
          <w:color w:val="000000"/>
          <w:sz w:val="22"/>
          <w:szCs w:val="22"/>
          <w:shd w:val="clear" w:color="auto" w:fill="FFFFFF"/>
        </w:rPr>
        <w:t xml:space="preserve">hours </w:t>
      </w:r>
      <w:r w:rsidR="00BA4CAA" w:rsidRPr="00BF6B15">
        <w:rPr>
          <w:rFonts w:ascii="Arial" w:hAnsi="Arial" w:cs="Arial"/>
          <w:color w:val="000000"/>
          <w:sz w:val="22"/>
          <w:szCs w:val="22"/>
          <w:shd w:val="clear" w:color="auto" w:fill="FFFFFF"/>
        </w:rPr>
        <w:t>18–22</w:t>
      </w:r>
      <w:r w:rsidR="00BA4CAA">
        <w:rPr>
          <w:rFonts w:ascii="Arial" w:hAnsi="Arial" w:cs="Arial"/>
          <w:color w:val="000000"/>
          <w:sz w:val="22"/>
          <w:szCs w:val="22"/>
          <w:shd w:val="clear" w:color="auto" w:fill="FFFFFF"/>
        </w:rPr>
        <w:t>) and nocodazole (50 ng/mL, hours 18-22).</w:t>
      </w:r>
    </w:p>
    <w:p w14:paraId="1D14EC76" w14:textId="77777777" w:rsidR="00BF6B15" w:rsidRDefault="00BF6B15" w:rsidP="00BF6B15">
      <w:pPr>
        <w:rPr>
          <w:rFonts w:ascii="Arial" w:hAnsi="Arial" w:cs="Arial"/>
          <w:color w:val="000000"/>
          <w:sz w:val="22"/>
          <w:szCs w:val="22"/>
          <w:shd w:val="clear" w:color="auto" w:fill="FFFFFF"/>
        </w:rPr>
      </w:pPr>
    </w:p>
    <w:p w14:paraId="1D376D49" w14:textId="5A7B4E88" w:rsidR="0023170F" w:rsidRDefault="00BF6B15" w:rsidP="00E26953">
      <w:pPr>
        <w:rPr>
          <w:rFonts w:ascii="Arial" w:hAnsi="Arial" w:cs="Arial"/>
          <w:bCs/>
          <w:color w:val="000000"/>
          <w:sz w:val="22"/>
          <w:szCs w:val="22"/>
          <w:shd w:val="clear" w:color="auto" w:fill="FFFFFF"/>
        </w:rPr>
      </w:pPr>
      <w:r>
        <w:rPr>
          <w:rFonts w:ascii="Arial" w:hAnsi="Arial" w:cs="Arial"/>
          <w:b/>
          <w:bCs/>
          <w:color w:val="000000"/>
          <w:sz w:val="22"/>
          <w:szCs w:val="22"/>
          <w:shd w:val="clear" w:color="auto" w:fill="FFFFFF"/>
        </w:rPr>
        <w:t xml:space="preserve">Supplemental Figure 2. </w:t>
      </w:r>
      <w:r>
        <w:rPr>
          <w:rFonts w:ascii="Arial" w:hAnsi="Arial" w:cs="Arial"/>
          <w:color w:val="000000"/>
          <w:sz w:val="22"/>
          <w:szCs w:val="22"/>
          <w:shd w:val="clear" w:color="auto" w:fill="FFFFFF"/>
        </w:rPr>
        <w:t xml:space="preserve">EW8 and TC71 cells were treated with </w:t>
      </w:r>
      <w:r w:rsidRPr="00BF6B15">
        <w:rPr>
          <w:rFonts w:ascii="Arial" w:hAnsi="Arial" w:cs="Arial"/>
          <w:color w:val="000000"/>
          <w:sz w:val="22"/>
          <w:szCs w:val="22"/>
          <w:shd w:val="clear" w:color="auto" w:fill="FFFFFF"/>
        </w:rPr>
        <w:t>DMSO, thymidine (</w:t>
      </w:r>
      <w:r>
        <w:rPr>
          <w:rFonts w:ascii="Arial" w:hAnsi="Arial" w:cs="Arial"/>
          <w:color w:val="000000"/>
          <w:sz w:val="22"/>
          <w:szCs w:val="22"/>
          <w:shd w:val="clear" w:color="auto" w:fill="FFFFFF"/>
        </w:rPr>
        <w:t xml:space="preserve">2 mM, </w:t>
      </w:r>
      <w:r w:rsidRPr="00BF6B15">
        <w:rPr>
          <w:rFonts w:ascii="Arial" w:hAnsi="Arial" w:cs="Arial"/>
          <w:color w:val="000000"/>
          <w:sz w:val="22"/>
          <w:szCs w:val="22"/>
          <w:shd w:val="clear" w:color="auto" w:fill="FFFFFF"/>
        </w:rPr>
        <w:t>hours</w:t>
      </w:r>
      <w:r>
        <w:rPr>
          <w:rFonts w:ascii="Arial" w:hAnsi="Arial" w:cs="Arial"/>
          <w:color w:val="000000"/>
          <w:sz w:val="22"/>
          <w:szCs w:val="22"/>
          <w:shd w:val="clear" w:color="auto" w:fill="FFFFFF"/>
        </w:rPr>
        <w:t xml:space="preserve"> 0-22</w:t>
      </w:r>
      <w:r w:rsidRPr="00BF6B15">
        <w:rPr>
          <w:rFonts w:ascii="Arial" w:hAnsi="Arial" w:cs="Arial"/>
          <w:color w:val="000000"/>
          <w:sz w:val="22"/>
          <w:szCs w:val="22"/>
          <w:shd w:val="clear" w:color="auto" w:fill="FFFFFF"/>
        </w:rPr>
        <w:t xml:space="preserve">), thymidine </w:t>
      </w:r>
      <w:r>
        <w:rPr>
          <w:rFonts w:ascii="Arial" w:hAnsi="Arial" w:cs="Arial"/>
          <w:color w:val="000000"/>
          <w:sz w:val="22"/>
          <w:szCs w:val="22"/>
          <w:shd w:val="clear" w:color="auto" w:fill="FFFFFF"/>
        </w:rPr>
        <w:t xml:space="preserve">(2 mM, </w:t>
      </w:r>
      <w:r w:rsidRPr="00BF6B15">
        <w:rPr>
          <w:rFonts w:ascii="Arial" w:hAnsi="Arial" w:cs="Arial"/>
          <w:color w:val="000000"/>
          <w:sz w:val="22"/>
          <w:szCs w:val="22"/>
          <w:shd w:val="clear" w:color="auto" w:fill="FFFFFF"/>
        </w:rPr>
        <w:t>hours</w:t>
      </w:r>
      <w:r>
        <w:rPr>
          <w:rFonts w:ascii="Arial" w:hAnsi="Arial" w:cs="Arial"/>
          <w:color w:val="000000"/>
          <w:sz w:val="22"/>
          <w:szCs w:val="22"/>
          <w:shd w:val="clear" w:color="auto" w:fill="FFFFFF"/>
        </w:rPr>
        <w:t xml:space="preserve"> 0-22</w:t>
      </w:r>
      <w:r w:rsidRPr="00BF6B15">
        <w:rPr>
          <w:rFonts w:ascii="Arial" w:hAnsi="Arial" w:cs="Arial"/>
          <w:color w:val="000000"/>
          <w:sz w:val="22"/>
          <w:szCs w:val="22"/>
          <w:shd w:val="clear" w:color="auto" w:fill="FFFFFF"/>
        </w:rPr>
        <w:t xml:space="preserve">) with prexasertib (100 nM, </w:t>
      </w:r>
      <w:r>
        <w:rPr>
          <w:rFonts w:ascii="Arial" w:hAnsi="Arial" w:cs="Arial"/>
          <w:color w:val="000000"/>
          <w:sz w:val="22"/>
          <w:szCs w:val="22"/>
          <w:shd w:val="clear" w:color="auto" w:fill="FFFFFF"/>
        </w:rPr>
        <w:t xml:space="preserve">hours </w:t>
      </w:r>
      <w:r w:rsidRPr="00BF6B15">
        <w:rPr>
          <w:rFonts w:ascii="Arial" w:hAnsi="Arial" w:cs="Arial"/>
          <w:color w:val="000000"/>
          <w:sz w:val="22"/>
          <w:szCs w:val="22"/>
          <w:shd w:val="clear" w:color="auto" w:fill="FFFFFF"/>
        </w:rPr>
        <w:t>18–22</w:t>
      </w:r>
      <w:r>
        <w:rPr>
          <w:rFonts w:ascii="Arial" w:hAnsi="Arial" w:cs="Arial"/>
          <w:color w:val="000000"/>
          <w:sz w:val="22"/>
          <w:szCs w:val="22"/>
          <w:shd w:val="clear" w:color="auto" w:fill="FFFFFF"/>
        </w:rPr>
        <w:t xml:space="preserve">), or staurosporine (1 </w:t>
      </w:r>
      <w:r w:rsidRPr="00BF6B15">
        <w:rPr>
          <w:rFonts w:ascii="Symbol" w:hAnsi="Symbol" w:cs="Arial"/>
          <w:color w:val="000000"/>
          <w:sz w:val="20"/>
          <w:szCs w:val="20"/>
          <w:shd w:val="clear" w:color="auto" w:fill="FFFFFF"/>
        </w:rPr>
        <w:t>m</w:t>
      </w:r>
      <w:r>
        <w:rPr>
          <w:rFonts w:ascii="Arial" w:hAnsi="Arial" w:cs="Arial"/>
          <w:color w:val="000000"/>
          <w:sz w:val="22"/>
          <w:szCs w:val="22"/>
          <w:shd w:val="clear" w:color="auto" w:fill="FFFFFF"/>
        </w:rPr>
        <w:t xml:space="preserve">M, hours 18-22; positive control for apoptosis) and then mitochondrial membrane potential was measured using </w:t>
      </w:r>
      <w:r w:rsidRPr="00862CFF">
        <w:rPr>
          <w:rFonts w:ascii="Arial" w:hAnsi="Arial" w:cs="Arial"/>
          <w:bCs/>
          <w:color w:val="000000"/>
          <w:sz w:val="22"/>
          <w:szCs w:val="22"/>
          <w:shd w:val="clear" w:color="auto" w:fill="FFFFFF"/>
        </w:rPr>
        <w:t>tetramethylrhodamine</w:t>
      </w:r>
      <w:r>
        <w:rPr>
          <w:rFonts w:ascii="Arial" w:hAnsi="Arial" w:cs="Arial"/>
          <w:bCs/>
          <w:color w:val="000000"/>
          <w:sz w:val="22"/>
          <w:szCs w:val="22"/>
          <w:shd w:val="clear" w:color="auto" w:fill="FFFFFF"/>
        </w:rPr>
        <w:t>.</w:t>
      </w:r>
    </w:p>
    <w:p w14:paraId="7AEAF29A" w14:textId="77777777" w:rsidR="005A3ADB" w:rsidRDefault="005A3ADB" w:rsidP="00E26953">
      <w:pPr>
        <w:rPr>
          <w:rFonts w:ascii="Arial" w:hAnsi="Arial" w:cs="Arial"/>
          <w:bCs/>
          <w:color w:val="000000"/>
          <w:sz w:val="22"/>
          <w:szCs w:val="22"/>
          <w:shd w:val="clear" w:color="auto" w:fill="FFFFFF"/>
        </w:rPr>
      </w:pPr>
    </w:p>
    <w:p w14:paraId="51064E09" w14:textId="7FF970D4" w:rsidR="00B06EDA" w:rsidRPr="001F0F39" w:rsidRDefault="005A3ADB" w:rsidP="00B06EDA">
      <w:pPr>
        <w:rPr>
          <w:rFonts w:ascii="Arial" w:hAnsi="Arial" w:cs="Arial"/>
          <w:color w:val="000000"/>
          <w:sz w:val="22"/>
          <w:szCs w:val="22"/>
          <w:shd w:val="clear" w:color="auto" w:fill="FFFFFF"/>
        </w:rPr>
      </w:pPr>
      <w:r>
        <w:rPr>
          <w:rFonts w:ascii="Arial" w:hAnsi="Arial" w:cs="Arial"/>
          <w:b/>
          <w:bCs/>
          <w:color w:val="000000"/>
          <w:sz w:val="22"/>
          <w:szCs w:val="22"/>
          <w:shd w:val="clear" w:color="auto" w:fill="FFFFFF"/>
        </w:rPr>
        <w:t>Supplemental Figure 3.</w:t>
      </w:r>
      <w:r w:rsidR="00E602FB">
        <w:rPr>
          <w:rFonts w:ascii="Arial" w:hAnsi="Arial" w:cs="Arial"/>
          <w:b/>
          <w:bCs/>
          <w:color w:val="000000"/>
          <w:sz w:val="22"/>
          <w:szCs w:val="22"/>
          <w:shd w:val="clear" w:color="auto" w:fill="FFFFFF"/>
        </w:rPr>
        <w:t xml:space="preserve"> </w:t>
      </w:r>
      <w:r w:rsidR="00E602FB" w:rsidRPr="0003070F">
        <w:rPr>
          <w:rFonts w:ascii="Arial" w:hAnsi="Arial" w:cs="Arial"/>
          <w:bCs/>
          <w:color w:val="000000"/>
          <w:sz w:val="22"/>
          <w:szCs w:val="22"/>
          <w:shd w:val="clear" w:color="auto" w:fill="FFFFFF"/>
        </w:rPr>
        <w:t>EW8 and TC71 cells were treated with thymidine (hours</w:t>
      </w:r>
      <w:r w:rsidR="00E602FB">
        <w:rPr>
          <w:rFonts w:ascii="Arial" w:hAnsi="Arial" w:cs="Arial"/>
          <w:bCs/>
          <w:color w:val="000000"/>
          <w:sz w:val="22"/>
          <w:szCs w:val="22"/>
          <w:shd w:val="clear" w:color="auto" w:fill="FFFFFF"/>
        </w:rPr>
        <w:t xml:space="preserve"> 0-42</w:t>
      </w:r>
      <w:r w:rsidR="00E602FB" w:rsidRPr="0003070F">
        <w:rPr>
          <w:rFonts w:ascii="Arial" w:hAnsi="Arial" w:cs="Arial"/>
          <w:bCs/>
          <w:color w:val="000000"/>
          <w:sz w:val="22"/>
          <w:szCs w:val="22"/>
          <w:shd w:val="clear" w:color="auto" w:fill="FFFFFF"/>
        </w:rPr>
        <w:t>), prexasertib (hours</w:t>
      </w:r>
      <w:r w:rsidR="00E602FB">
        <w:rPr>
          <w:rFonts w:ascii="Arial" w:hAnsi="Arial" w:cs="Arial"/>
          <w:bCs/>
          <w:color w:val="000000"/>
          <w:sz w:val="22"/>
          <w:szCs w:val="22"/>
          <w:shd w:val="clear" w:color="auto" w:fill="FFFFFF"/>
        </w:rPr>
        <w:t xml:space="preserve"> 18-42</w:t>
      </w:r>
      <w:r w:rsidR="00E602FB" w:rsidRPr="0003070F">
        <w:rPr>
          <w:rFonts w:ascii="Arial" w:hAnsi="Arial" w:cs="Arial"/>
          <w:bCs/>
          <w:color w:val="000000"/>
          <w:sz w:val="22"/>
          <w:szCs w:val="22"/>
          <w:shd w:val="clear" w:color="auto" w:fill="FFFFFF"/>
        </w:rPr>
        <w:t>), thymidine (hours 0-42) with prexasertib (hours 18-42), or thymidine and prexasertib with Z-VAD-FMK (hours 18-42).</w:t>
      </w:r>
      <w:r w:rsidR="00E602FB">
        <w:rPr>
          <w:rFonts w:ascii="Arial" w:hAnsi="Arial" w:cs="Arial"/>
          <w:bCs/>
          <w:color w:val="000000"/>
          <w:sz w:val="22"/>
          <w:szCs w:val="22"/>
          <w:shd w:val="clear" w:color="auto" w:fill="FFFFFF"/>
        </w:rPr>
        <w:t xml:space="preserve"> </w:t>
      </w:r>
      <w:r w:rsidR="00E602FB" w:rsidRPr="006859C3">
        <w:rPr>
          <w:rFonts w:ascii="Arial" w:hAnsi="Arial" w:cs="Arial"/>
          <w:color w:val="000000"/>
          <w:sz w:val="22"/>
          <w:szCs w:val="22"/>
          <w:shd w:val="clear" w:color="auto" w:fill="FFFFFF"/>
          <w:lang w:val="en"/>
        </w:rPr>
        <w:t xml:space="preserve">Caspase-3/7 activation was </w:t>
      </w:r>
      <w:r w:rsidR="00E602FB">
        <w:rPr>
          <w:rFonts w:ascii="Arial" w:hAnsi="Arial" w:cs="Arial"/>
          <w:color w:val="000000"/>
          <w:sz w:val="22"/>
          <w:szCs w:val="22"/>
          <w:shd w:val="clear" w:color="auto" w:fill="FFFFFF"/>
          <w:lang w:val="en"/>
        </w:rPr>
        <w:t xml:space="preserve">then </w:t>
      </w:r>
      <w:r w:rsidR="00E602FB" w:rsidRPr="006859C3">
        <w:rPr>
          <w:rFonts w:ascii="Arial" w:hAnsi="Arial" w:cs="Arial"/>
          <w:color w:val="000000"/>
          <w:sz w:val="22"/>
          <w:szCs w:val="22"/>
          <w:shd w:val="clear" w:color="auto" w:fill="FFFFFF"/>
          <w:lang w:val="en"/>
        </w:rPr>
        <w:t>measured using the Casp</w:t>
      </w:r>
      <w:r w:rsidR="00E602FB">
        <w:rPr>
          <w:rFonts w:ascii="Arial" w:hAnsi="Arial" w:cs="Arial"/>
          <w:color w:val="000000"/>
          <w:sz w:val="22"/>
          <w:szCs w:val="22"/>
          <w:shd w:val="clear" w:color="auto" w:fill="FFFFFF"/>
          <w:lang w:val="en"/>
        </w:rPr>
        <w:t>ase</w:t>
      </w:r>
      <w:r w:rsidR="00E602FB" w:rsidRPr="006859C3">
        <w:rPr>
          <w:rFonts w:ascii="Arial" w:hAnsi="Arial" w:cs="Arial"/>
          <w:color w:val="000000"/>
          <w:sz w:val="22"/>
          <w:szCs w:val="22"/>
          <w:shd w:val="clear" w:color="auto" w:fill="FFFFFF"/>
          <w:lang w:val="en"/>
        </w:rPr>
        <w:t>-Glo 3/7 Luminescence assa</w:t>
      </w:r>
      <w:r w:rsidR="00E602FB">
        <w:rPr>
          <w:rFonts w:ascii="Arial" w:hAnsi="Arial" w:cs="Arial"/>
          <w:color w:val="000000"/>
          <w:sz w:val="22"/>
          <w:szCs w:val="22"/>
          <w:shd w:val="clear" w:color="auto" w:fill="FFFFFF"/>
          <w:lang w:val="en"/>
        </w:rPr>
        <w:t xml:space="preserve">y. </w:t>
      </w:r>
      <w:r w:rsidR="00B06EDA">
        <w:rPr>
          <w:rFonts w:ascii="Arial" w:hAnsi="Arial" w:cs="Arial"/>
          <w:color w:val="000000"/>
          <w:sz w:val="22"/>
          <w:szCs w:val="22"/>
          <w:shd w:val="clear" w:color="auto" w:fill="FFFFFF"/>
          <w:lang w:val="en"/>
        </w:rPr>
        <w:t xml:space="preserve">n=4 replicated per condition. </w:t>
      </w:r>
      <w:r w:rsidR="00B06EDA" w:rsidRPr="00E26953">
        <w:rPr>
          <w:rFonts w:ascii="Arial" w:hAnsi="Arial" w:cs="Arial"/>
          <w:color w:val="000000"/>
          <w:sz w:val="22"/>
          <w:szCs w:val="22"/>
          <w:shd w:val="clear" w:color="auto" w:fill="FFFFFF"/>
        </w:rPr>
        <w:t>Multiple comparisons</w:t>
      </w:r>
      <w:r w:rsidR="00B06EDA">
        <w:rPr>
          <w:rFonts w:ascii="Arial" w:hAnsi="Arial" w:cs="Arial"/>
          <w:color w:val="000000"/>
          <w:sz w:val="22"/>
          <w:szCs w:val="22"/>
          <w:shd w:val="clear" w:color="auto" w:fill="FFFFFF"/>
        </w:rPr>
        <w:t xml:space="preserve"> </w:t>
      </w:r>
      <w:r w:rsidR="00B06EDA" w:rsidRPr="00E26953">
        <w:rPr>
          <w:rFonts w:ascii="Arial" w:hAnsi="Arial" w:cs="Arial"/>
          <w:color w:val="000000"/>
          <w:sz w:val="22"/>
          <w:szCs w:val="22"/>
          <w:shd w:val="clear" w:color="auto" w:fill="FFFFFF"/>
        </w:rPr>
        <w:t>were analyzed by 1-way ANOVA with Tukey’s post hoc multiple comparisons test.</w:t>
      </w:r>
      <w:r w:rsidR="00B06EDA" w:rsidRPr="00E26953">
        <w:rPr>
          <w:rFonts w:ascii="Arial" w:hAnsi="Arial" w:cs="Arial"/>
          <w:color w:val="000000"/>
          <w:sz w:val="22"/>
          <w:szCs w:val="22"/>
          <w:shd w:val="clear" w:color="auto" w:fill="FFFFFF"/>
          <w:lang w:val="en"/>
        </w:rPr>
        <w:t xml:space="preserve"> </w:t>
      </w:r>
      <w:r w:rsidR="00B06EDA" w:rsidRPr="00E26953">
        <w:rPr>
          <w:rFonts w:ascii="Arial" w:hAnsi="Arial" w:cs="Arial"/>
          <w:i/>
          <w:iCs/>
          <w:color w:val="000000"/>
          <w:sz w:val="22"/>
          <w:szCs w:val="22"/>
          <w:shd w:val="clear" w:color="auto" w:fill="FFFFFF"/>
        </w:rPr>
        <w:t>P</w:t>
      </w:r>
      <w:r w:rsidR="00B06EDA" w:rsidRPr="00E26953">
        <w:rPr>
          <w:rFonts w:ascii="Arial" w:hAnsi="Arial" w:cs="Arial"/>
          <w:color w:val="000000"/>
          <w:sz w:val="22"/>
          <w:szCs w:val="22"/>
          <w:shd w:val="clear" w:color="auto" w:fill="FFFFFF"/>
        </w:rPr>
        <w:t> values of less than or equal to 0.05 were considered significant.</w:t>
      </w:r>
      <w:r w:rsidR="00B06EDA">
        <w:rPr>
          <w:rFonts w:ascii="Arial" w:hAnsi="Arial" w:cs="Arial"/>
          <w:color w:val="000000"/>
          <w:sz w:val="22"/>
          <w:szCs w:val="22"/>
          <w:shd w:val="clear" w:color="auto" w:fill="FFFFFF"/>
        </w:rPr>
        <w:t xml:space="preserve"> </w:t>
      </w:r>
      <w:r w:rsidR="00B06EDA" w:rsidRPr="00771B6D">
        <w:rPr>
          <w:rFonts w:ascii="Arial" w:hAnsi="Arial" w:cs="Arial"/>
          <w:bCs/>
          <w:color w:val="000000"/>
          <w:sz w:val="22"/>
          <w:szCs w:val="22"/>
          <w:shd w:val="clear" w:color="auto" w:fill="FFFFFF"/>
        </w:rPr>
        <w:t>**</w:t>
      </w:r>
      <w:r w:rsidR="00B06EDA">
        <w:rPr>
          <w:rFonts w:ascii="Arial" w:hAnsi="Arial" w:cs="Arial"/>
          <w:bCs/>
          <w:color w:val="000000"/>
          <w:sz w:val="22"/>
          <w:szCs w:val="22"/>
          <w:shd w:val="clear" w:color="auto" w:fill="FFFFFF"/>
        </w:rPr>
        <w:t>*</w:t>
      </w:r>
      <w:r w:rsidR="00B06EDA" w:rsidRPr="00771B6D">
        <w:rPr>
          <w:rFonts w:ascii="Arial" w:hAnsi="Arial" w:cs="Arial"/>
          <w:bCs/>
          <w:color w:val="000000"/>
          <w:sz w:val="22"/>
          <w:szCs w:val="22"/>
          <w:shd w:val="clear" w:color="auto" w:fill="FFFFFF"/>
        </w:rPr>
        <w:t>*P &lt; 0.</w:t>
      </w:r>
      <w:r w:rsidR="00B06EDA">
        <w:rPr>
          <w:rFonts w:ascii="Arial" w:hAnsi="Arial" w:cs="Arial"/>
          <w:bCs/>
          <w:color w:val="000000"/>
          <w:sz w:val="22"/>
          <w:szCs w:val="22"/>
          <w:shd w:val="clear" w:color="auto" w:fill="FFFFFF"/>
        </w:rPr>
        <w:t>0</w:t>
      </w:r>
      <w:r w:rsidR="00B06EDA" w:rsidRPr="00771B6D">
        <w:rPr>
          <w:rFonts w:ascii="Arial" w:hAnsi="Arial" w:cs="Arial"/>
          <w:bCs/>
          <w:color w:val="000000"/>
          <w:sz w:val="22"/>
          <w:szCs w:val="22"/>
          <w:shd w:val="clear" w:color="auto" w:fill="FFFFFF"/>
        </w:rPr>
        <w:t>001.</w:t>
      </w:r>
    </w:p>
    <w:p w14:paraId="1A7210A5" w14:textId="77777777" w:rsidR="00E602FB" w:rsidRDefault="00E602FB" w:rsidP="00E26953">
      <w:pPr>
        <w:rPr>
          <w:rFonts w:ascii="Arial" w:hAnsi="Arial" w:cs="Arial"/>
          <w:color w:val="000000"/>
          <w:sz w:val="22"/>
          <w:szCs w:val="22"/>
          <w:shd w:val="clear" w:color="auto" w:fill="FFFFFF"/>
          <w:lang w:val="en"/>
        </w:rPr>
      </w:pPr>
    </w:p>
    <w:p w14:paraId="5AFE52C7" w14:textId="7FE4A789" w:rsidR="0023170F" w:rsidRDefault="00E602FB" w:rsidP="00E26953">
      <w:pPr>
        <w:rPr>
          <w:rFonts w:ascii="Arial" w:hAnsi="Arial" w:cs="Arial"/>
          <w:color w:val="000000"/>
          <w:sz w:val="22"/>
          <w:szCs w:val="22"/>
          <w:shd w:val="clear" w:color="auto" w:fill="FFFFFF"/>
        </w:rPr>
      </w:pPr>
      <w:r>
        <w:rPr>
          <w:rFonts w:ascii="Arial" w:hAnsi="Arial" w:cs="Arial"/>
          <w:b/>
          <w:bCs/>
          <w:color w:val="000000"/>
          <w:sz w:val="22"/>
          <w:szCs w:val="22"/>
          <w:shd w:val="clear" w:color="auto" w:fill="FFFFFF"/>
        </w:rPr>
        <w:t xml:space="preserve">Supplemental Figure 4. </w:t>
      </w:r>
      <w:r w:rsidR="00C82405" w:rsidRPr="00C82405">
        <w:rPr>
          <w:rFonts w:ascii="Arial" w:hAnsi="Arial" w:cs="Arial"/>
          <w:color w:val="000000"/>
          <w:sz w:val="22"/>
          <w:szCs w:val="22"/>
          <w:shd w:val="clear" w:color="auto" w:fill="FFFFFF"/>
        </w:rPr>
        <w:t>EW8 and TC71</w:t>
      </w:r>
      <w:r w:rsidR="00C82405">
        <w:rPr>
          <w:rFonts w:ascii="Arial" w:hAnsi="Arial" w:cs="Arial"/>
          <w:b/>
          <w:bCs/>
          <w:color w:val="000000"/>
          <w:sz w:val="22"/>
          <w:szCs w:val="22"/>
          <w:shd w:val="clear" w:color="auto" w:fill="FFFFFF"/>
        </w:rPr>
        <w:t xml:space="preserve"> </w:t>
      </w:r>
      <w:r w:rsidR="00C82405">
        <w:rPr>
          <w:rFonts w:ascii="Arial" w:hAnsi="Arial" w:cs="Arial"/>
          <w:color w:val="000000"/>
          <w:sz w:val="22"/>
          <w:szCs w:val="22"/>
          <w:shd w:val="clear" w:color="auto" w:fill="FFFFFF"/>
        </w:rPr>
        <w:t>c</w:t>
      </w:r>
      <w:r w:rsidR="00C82405" w:rsidRPr="00C82405">
        <w:rPr>
          <w:rFonts w:ascii="Arial" w:hAnsi="Arial" w:cs="Arial"/>
          <w:color w:val="000000"/>
          <w:sz w:val="22"/>
          <w:szCs w:val="22"/>
          <w:shd w:val="clear" w:color="auto" w:fill="FFFFFF"/>
        </w:rPr>
        <w:t xml:space="preserve">ells were synchronized using a double thymidine block, followed by treatment with prexasertib (100 nM) for 4 hours, either alone or in combination with Z-VAD-FMK (10 </w:t>
      </w:r>
      <w:proofErr w:type="spellStart"/>
      <w:r w:rsidR="00C82405" w:rsidRPr="00C82405">
        <w:rPr>
          <w:rFonts w:ascii="Arial" w:hAnsi="Arial" w:cs="Arial"/>
          <w:color w:val="000000"/>
          <w:sz w:val="20"/>
          <w:szCs w:val="20"/>
          <w:shd w:val="clear" w:color="auto" w:fill="FFFFFF"/>
        </w:rPr>
        <w:t>μ</w:t>
      </w:r>
      <w:r w:rsidR="00C82405" w:rsidRPr="00C82405">
        <w:rPr>
          <w:rFonts w:ascii="Arial" w:hAnsi="Arial" w:cs="Arial"/>
          <w:color w:val="000000"/>
          <w:sz w:val="22"/>
          <w:szCs w:val="22"/>
          <w:shd w:val="clear" w:color="auto" w:fill="FFFFFF"/>
        </w:rPr>
        <w:t>M</w:t>
      </w:r>
      <w:proofErr w:type="spellEnd"/>
      <w:r w:rsidR="00C82405" w:rsidRPr="00C82405">
        <w:rPr>
          <w:rFonts w:ascii="Arial" w:hAnsi="Arial" w:cs="Arial"/>
          <w:color w:val="000000"/>
          <w:sz w:val="22"/>
          <w:szCs w:val="22"/>
          <w:shd w:val="clear" w:color="auto" w:fill="FFFFFF"/>
        </w:rPr>
        <w:t>). Cellular lysates were then collected for immunoblot analysis.</w:t>
      </w:r>
    </w:p>
    <w:p w14:paraId="3FE9727C" w14:textId="77777777" w:rsidR="00C82405" w:rsidRDefault="00C82405" w:rsidP="00E26953">
      <w:pPr>
        <w:rPr>
          <w:rFonts w:ascii="Arial" w:hAnsi="Arial" w:cs="Arial"/>
          <w:color w:val="000000"/>
          <w:sz w:val="22"/>
          <w:szCs w:val="22"/>
          <w:shd w:val="clear" w:color="auto" w:fill="FFFFFF"/>
        </w:rPr>
      </w:pPr>
    </w:p>
    <w:p w14:paraId="62554CEC" w14:textId="075B9DED" w:rsidR="00BA4CAA" w:rsidRDefault="00C82405" w:rsidP="00B06EDA">
      <w:pPr>
        <w:rPr>
          <w:rFonts w:ascii="Arial" w:hAnsi="Arial" w:cs="Arial"/>
          <w:bCs/>
          <w:color w:val="000000" w:themeColor="text1"/>
          <w:sz w:val="22"/>
          <w:szCs w:val="22"/>
          <w:shd w:val="clear" w:color="auto" w:fill="FFFFFF"/>
        </w:rPr>
      </w:pPr>
      <w:r w:rsidRPr="00E5195F">
        <w:rPr>
          <w:rFonts w:ascii="Arial" w:hAnsi="Arial" w:cs="Arial"/>
          <w:b/>
          <w:bCs/>
          <w:color w:val="000000" w:themeColor="text1"/>
          <w:sz w:val="22"/>
          <w:szCs w:val="22"/>
          <w:shd w:val="clear" w:color="auto" w:fill="FFFFFF"/>
        </w:rPr>
        <w:t xml:space="preserve">Supplemental Figure 5. </w:t>
      </w:r>
      <w:r w:rsidR="00E5195F" w:rsidRPr="00E5195F">
        <w:rPr>
          <w:rFonts w:ascii="Arial" w:hAnsi="Arial" w:cs="Arial"/>
          <w:color w:val="000000" w:themeColor="text1"/>
          <w:sz w:val="22"/>
          <w:szCs w:val="22"/>
          <w:shd w:val="clear" w:color="auto" w:fill="FFFFFF"/>
        </w:rPr>
        <w:t>(A-B)</w:t>
      </w:r>
      <w:r w:rsidR="00E5195F" w:rsidRPr="00E5195F">
        <w:rPr>
          <w:rFonts w:ascii="Arial" w:hAnsi="Arial" w:cs="Arial"/>
          <w:b/>
          <w:bCs/>
          <w:color w:val="000000" w:themeColor="text1"/>
          <w:sz w:val="22"/>
          <w:szCs w:val="22"/>
          <w:shd w:val="clear" w:color="auto" w:fill="FFFFFF"/>
        </w:rPr>
        <w:t xml:space="preserve"> </w:t>
      </w:r>
      <w:r w:rsidR="007035B9" w:rsidRPr="00E5195F">
        <w:rPr>
          <w:rFonts w:ascii="Arial" w:hAnsi="Arial" w:cs="Arial"/>
          <w:color w:val="000000" w:themeColor="text1"/>
          <w:sz w:val="22"/>
          <w:szCs w:val="22"/>
          <w:shd w:val="clear" w:color="auto" w:fill="FFFFFF"/>
        </w:rPr>
        <w:t>Ewing sarcoma</w:t>
      </w:r>
      <w:r w:rsidR="007035B9" w:rsidRPr="00E5195F">
        <w:rPr>
          <w:rFonts w:ascii="Arial" w:hAnsi="Arial" w:cs="Arial"/>
          <w:bCs/>
          <w:color w:val="000000" w:themeColor="text1"/>
          <w:sz w:val="22"/>
          <w:szCs w:val="22"/>
          <w:shd w:val="clear" w:color="auto" w:fill="FFFFFF"/>
        </w:rPr>
        <w:t xml:space="preserve"> </w:t>
      </w:r>
      <w:r w:rsidR="00E5195F" w:rsidRPr="00E5195F">
        <w:rPr>
          <w:rFonts w:ascii="Arial" w:hAnsi="Arial" w:cs="Arial"/>
          <w:bCs/>
          <w:color w:val="000000" w:themeColor="text1"/>
          <w:sz w:val="22"/>
          <w:szCs w:val="22"/>
          <w:shd w:val="clear" w:color="auto" w:fill="FFFFFF"/>
        </w:rPr>
        <w:t>(A673, SKNEP, and TTC466)</w:t>
      </w:r>
      <w:r w:rsidR="007035B9" w:rsidRPr="00E5195F">
        <w:rPr>
          <w:rFonts w:ascii="Arial" w:hAnsi="Arial" w:cs="Arial"/>
          <w:bCs/>
          <w:color w:val="000000" w:themeColor="text1"/>
          <w:sz w:val="22"/>
          <w:szCs w:val="22"/>
          <w:shd w:val="clear" w:color="auto" w:fill="FFFFFF"/>
        </w:rPr>
        <w:t xml:space="preserve"> </w:t>
      </w:r>
      <w:r w:rsidR="00E5195F" w:rsidRPr="00E5195F">
        <w:rPr>
          <w:rFonts w:ascii="Arial" w:hAnsi="Arial" w:cs="Arial"/>
          <w:bCs/>
          <w:color w:val="000000" w:themeColor="text1"/>
          <w:sz w:val="22"/>
          <w:szCs w:val="22"/>
          <w:shd w:val="clear" w:color="auto" w:fill="FFFFFF"/>
        </w:rPr>
        <w:t xml:space="preserve">and </w:t>
      </w:r>
      <w:r w:rsidR="00890533">
        <w:rPr>
          <w:rFonts w:ascii="Arial" w:hAnsi="Arial" w:cs="Arial"/>
          <w:bCs/>
          <w:color w:val="000000" w:themeColor="text1"/>
          <w:sz w:val="22"/>
          <w:szCs w:val="22"/>
          <w:shd w:val="clear" w:color="auto" w:fill="FFFFFF"/>
        </w:rPr>
        <w:t>non-Ewing</w:t>
      </w:r>
      <w:r w:rsidR="00E5195F" w:rsidRPr="00E5195F">
        <w:rPr>
          <w:rFonts w:ascii="Arial" w:hAnsi="Arial" w:cs="Arial"/>
          <w:bCs/>
          <w:color w:val="000000" w:themeColor="text1"/>
          <w:sz w:val="22"/>
          <w:szCs w:val="22"/>
          <w:shd w:val="clear" w:color="auto" w:fill="FFFFFF"/>
        </w:rPr>
        <w:t xml:space="preserve"> sarcoma (HT1080, RD, and U2OS) cell lines </w:t>
      </w:r>
      <w:r w:rsidR="007035B9" w:rsidRPr="00E5195F">
        <w:rPr>
          <w:rFonts w:ascii="Arial" w:hAnsi="Arial" w:cs="Arial"/>
          <w:bCs/>
          <w:color w:val="000000" w:themeColor="text1"/>
          <w:sz w:val="22"/>
          <w:szCs w:val="22"/>
          <w:shd w:val="clear" w:color="auto" w:fill="FFFFFF"/>
        </w:rPr>
        <w:t xml:space="preserve">were synchronized in S-phase using thymidine treatment for 18 hours. While maintaining thymidine treatment, cells were subsequently treated </w:t>
      </w:r>
      <w:r w:rsidR="002233C7" w:rsidRPr="00E5195F">
        <w:rPr>
          <w:rFonts w:ascii="Arial" w:hAnsi="Arial" w:cs="Arial"/>
          <w:bCs/>
          <w:color w:val="000000" w:themeColor="text1"/>
          <w:sz w:val="22"/>
          <w:szCs w:val="22"/>
          <w:shd w:val="clear" w:color="auto" w:fill="FFFFFF"/>
        </w:rPr>
        <w:t>for 24 hours</w:t>
      </w:r>
      <w:r w:rsidR="007035B9" w:rsidRPr="00E5195F">
        <w:rPr>
          <w:rFonts w:ascii="Arial" w:hAnsi="Arial" w:cs="Arial"/>
          <w:bCs/>
          <w:color w:val="000000" w:themeColor="text1"/>
          <w:sz w:val="22"/>
          <w:szCs w:val="22"/>
          <w:shd w:val="clear" w:color="auto" w:fill="FFFFFF"/>
        </w:rPr>
        <w:t xml:space="preserve"> with DMSO, </w:t>
      </w:r>
      <w:r w:rsidR="00E5195F" w:rsidRPr="00E5195F">
        <w:rPr>
          <w:rFonts w:ascii="Arial" w:hAnsi="Arial" w:cs="Arial"/>
          <w:bCs/>
          <w:color w:val="000000" w:themeColor="text1"/>
          <w:sz w:val="22"/>
          <w:szCs w:val="22"/>
          <w:shd w:val="clear" w:color="auto" w:fill="FFFFFF"/>
        </w:rPr>
        <w:t xml:space="preserve">Z-VAD-FMK (10 </w:t>
      </w:r>
      <w:proofErr w:type="spellStart"/>
      <w:r w:rsidR="00E5195F" w:rsidRPr="00E5195F">
        <w:rPr>
          <w:rFonts w:ascii="Arial" w:hAnsi="Arial" w:cs="Arial"/>
          <w:bCs/>
          <w:color w:val="000000" w:themeColor="text1"/>
          <w:sz w:val="20"/>
          <w:szCs w:val="20"/>
          <w:shd w:val="clear" w:color="auto" w:fill="FFFFFF"/>
        </w:rPr>
        <w:t>μ</w:t>
      </w:r>
      <w:r w:rsidR="00E5195F" w:rsidRPr="00E5195F">
        <w:rPr>
          <w:rFonts w:ascii="Arial" w:hAnsi="Arial" w:cs="Arial"/>
          <w:bCs/>
          <w:color w:val="000000" w:themeColor="text1"/>
          <w:sz w:val="22"/>
          <w:szCs w:val="22"/>
          <w:shd w:val="clear" w:color="auto" w:fill="FFFFFF"/>
        </w:rPr>
        <w:t>M</w:t>
      </w:r>
      <w:proofErr w:type="spellEnd"/>
      <w:r w:rsidR="00E5195F" w:rsidRPr="00E5195F">
        <w:rPr>
          <w:rFonts w:ascii="Arial" w:hAnsi="Arial" w:cs="Arial"/>
          <w:bCs/>
          <w:color w:val="000000" w:themeColor="text1"/>
          <w:sz w:val="22"/>
          <w:szCs w:val="22"/>
          <w:shd w:val="clear" w:color="auto" w:fill="FFFFFF"/>
        </w:rPr>
        <w:t xml:space="preserve">), </w:t>
      </w:r>
      <w:r w:rsidR="007035B9" w:rsidRPr="00E5195F">
        <w:rPr>
          <w:rFonts w:ascii="Arial" w:hAnsi="Arial" w:cs="Arial"/>
          <w:bCs/>
          <w:color w:val="000000" w:themeColor="text1"/>
          <w:sz w:val="22"/>
          <w:szCs w:val="22"/>
          <w:shd w:val="clear" w:color="auto" w:fill="FFFFFF"/>
        </w:rPr>
        <w:t>prexasertib (100 nM),</w:t>
      </w:r>
      <w:r w:rsidR="00E5195F" w:rsidRPr="00E5195F">
        <w:rPr>
          <w:rFonts w:ascii="Arial" w:hAnsi="Arial" w:cs="Arial"/>
          <w:bCs/>
          <w:color w:val="000000" w:themeColor="text1"/>
          <w:sz w:val="22"/>
          <w:szCs w:val="22"/>
          <w:shd w:val="clear" w:color="auto" w:fill="FFFFFF"/>
        </w:rPr>
        <w:t>or</w:t>
      </w:r>
      <w:r w:rsidR="007035B9" w:rsidRPr="00E5195F">
        <w:rPr>
          <w:rFonts w:ascii="Arial" w:hAnsi="Arial" w:cs="Arial"/>
          <w:bCs/>
          <w:color w:val="000000" w:themeColor="text1"/>
          <w:sz w:val="22"/>
          <w:szCs w:val="22"/>
          <w:shd w:val="clear" w:color="auto" w:fill="FFFFFF"/>
        </w:rPr>
        <w:t xml:space="preserve"> prexasertib plus Z-VAD-FMK (10 </w:t>
      </w:r>
      <w:proofErr w:type="spellStart"/>
      <w:r w:rsidR="007035B9" w:rsidRPr="00E5195F">
        <w:rPr>
          <w:rFonts w:ascii="Arial" w:hAnsi="Arial" w:cs="Arial"/>
          <w:bCs/>
          <w:color w:val="000000" w:themeColor="text1"/>
          <w:sz w:val="20"/>
          <w:szCs w:val="20"/>
          <w:shd w:val="clear" w:color="auto" w:fill="FFFFFF"/>
        </w:rPr>
        <w:t>μ</w:t>
      </w:r>
      <w:r w:rsidR="007035B9" w:rsidRPr="00E5195F">
        <w:rPr>
          <w:rFonts w:ascii="Arial" w:hAnsi="Arial" w:cs="Arial"/>
          <w:bCs/>
          <w:color w:val="000000" w:themeColor="text1"/>
          <w:sz w:val="22"/>
          <w:szCs w:val="22"/>
          <w:shd w:val="clear" w:color="auto" w:fill="FFFFFF"/>
        </w:rPr>
        <w:t>M</w:t>
      </w:r>
      <w:proofErr w:type="spellEnd"/>
      <w:r w:rsidR="007035B9" w:rsidRPr="00E5195F">
        <w:rPr>
          <w:rFonts w:ascii="Arial" w:hAnsi="Arial" w:cs="Arial"/>
          <w:bCs/>
          <w:color w:val="000000" w:themeColor="text1"/>
          <w:sz w:val="22"/>
          <w:szCs w:val="22"/>
          <w:shd w:val="clear" w:color="auto" w:fill="FFFFFF"/>
        </w:rPr>
        <w:t xml:space="preserve">). </w:t>
      </w:r>
      <w:r w:rsidR="00890533">
        <w:rPr>
          <w:rFonts w:ascii="Arial" w:hAnsi="Arial" w:cs="Arial"/>
          <w:bCs/>
          <w:color w:val="000000"/>
          <w:sz w:val="22"/>
          <w:szCs w:val="22"/>
          <w:shd w:val="clear" w:color="auto" w:fill="FFFFFF"/>
        </w:rPr>
        <w:t>C</w:t>
      </w:r>
      <w:r w:rsidR="00890533" w:rsidRPr="0003070F">
        <w:rPr>
          <w:rFonts w:ascii="Arial" w:hAnsi="Arial" w:cs="Arial"/>
          <w:bCs/>
          <w:color w:val="000000"/>
          <w:sz w:val="22"/>
          <w:szCs w:val="22"/>
          <w:shd w:val="clear" w:color="auto" w:fill="FFFFFF"/>
        </w:rPr>
        <w:t>ell viability was quantified using Cell-Titer-Glo.</w:t>
      </w:r>
      <w:r w:rsidR="00890533">
        <w:rPr>
          <w:rFonts w:ascii="Arial" w:hAnsi="Arial" w:cs="Arial"/>
          <w:bCs/>
          <w:color w:val="000000"/>
          <w:sz w:val="22"/>
          <w:szCs w:val="22"/>
          <w:shd w:val="clear" w:color="auto" w:fill="FFFFFF"/>
        </w:rPr>
        <w:t xml:space="preserve"> n=4 replicates per condition. Data are representative of two independent experiments. </w:t>
      </w:r>
      <w:r w:rsidR="00890533" w:rsidRPr="00E26953">
        <w:rPr>
          <w:rFonts w:ascii="Arial" w:hAnsi="Arial" w:cs="Arial"/>
          <w:color w:val="000000"/>
          <w:sz w:val="22"/>
          <w:szCs w:val="22"/>
          <w:shd w:val="clear" w:color="auto" w:fill="FFFFFF"/>
        </w:rPr>
        <w:t>Multiple comparisons were analyzed by 1-way ANOVA with Tukey’s post hoc multiple comparisons test</w:t>
      </w:r>
      <w:r w:rsidR="00890533">
        <w:rPr>
          <w:rFonts w:ascii="Arial" w:hAnsi="Arial" w:cs="Arial"/>
          <w:color w:val="000000"/>
          <w:sz w:val="22"/>
          <w:szCs w:val="22"/>
          <w:shd w:val="clear" w:color="auto" w:fill="FFFFFF"/>
        </w:rPr>
        <w:t>, with selected comparisons shown</w:t>
      </w:r>
      <w:r w:rsidR="00890533" w:rsidRPr="00E26953">
        <w:rPr>
          <w:rFonts w:ascii="Arial" w:hAnsi="Arial" w:cs="Arial"/>
          <w:color w:val="000000"/>
          <w:sz w:val="22"/>
          <w:szCs w:val="22"/>
          <w:shd w:val="clear" w:color="auto" w:fill="FFFFFF"/>
        </w:rPr>
        <w:t>.</w:t>
      </w:r>
      <w:r w:rsidR="00890533" w:rsidRPr="00E26953">
        <w:rPr>
          <w:rFonts w:ascii="Arial" w:hAnsi="Arial" w:cs="Arial"/>
          <w:color w:val="000000"/>
          <w:sz w:val="22"/>
          <w:szCs w:val="22"/>
          <w:shd w:val="clear" w:color="auto" w:fill="FFFFFF"/>
          <w:lang w:val="en"/>
        </w:rPr>
        <w:t xml:space="preserve"> </w:t>
      </w:r>
      <w:r w:rsidR="00890533" w:rsidRPr="00E26953">
        <w:rPr>
          <w:rFonts w:ascii="Arial" w:hAnsi="Arial" w:cs="Arial"/>
          <w:i/>
          <w:iCs/>
          <w:color w:val="000000"/>
          <w:sz w:val="22"/>
          <w:szCs w:val="22"/>
          <w:shd w:val="clear" w:color="auto" w:fill="FFFFFF"/>
        </w:rPr>
        <w:t>P</w:t>
      </w:r>
      <w:r w:rsidR="00890533" w:rsidRPr="00E26953">
        <w:rPr>
          <w:rFonts w:ascii="Arial" w:hAnsi="Arial" w:cs="Arial"/>
          <w:color w:val="000000"/>
          <w:sz w:val="22"/>
          <w:szCs w:val="22"/>
          <w:shd w:val="clear" w:color="auto" w:fill="FFFFFF"/>
        </w:rPr>
        <w:t> values of less than or equal to 0.05 were considered significant.</w:t>
      </w:r>
      <w:r w:rsidR="00890533">
        <w:rPr>
          <w:rFonts w:ascii="Arial" w:hAnsi="Arial" w:cs="Arial"/>
          <w:color w:val="000000"/>
          <w:sz w:val="22"/>
          <w:szCs w:val="22"/>
          <w:shd w:val="clear" w:color="auto" w:fill="FFFFFF"/>
        </w:rPr>
        <w:t xml:space="preserve"> </w:t>
      </w:r>
      <w:r w:rsidR="00BA4CAA">
        <w:rPr>
          <w:rFonts w:ascii="Arial" w:hAnsi="Arial" w:cs="Arial"/>
          <w:bCs/>
          <w:color w:val="000000" w:themeColor="text1"/>
          <w:sz w:val="22"/>
          <w:szCs w:val="22"/>
          <w:shd w:val="clear" w:color="auto" w:fill="FFFFFF"/>
        </w:rPr>
        <w:t>(C) The</w:t>
      </w:r>
      <w:r w:rsidR="00890533">
        <w:rPr>
          <w:rFonts w:ascii="Arial" w:hAnsi="Arial" w:cs="Arial"/>
          <w:bCs/>
          <w:color w:val="000000" w:themeColor="text1"/>
          <w:sz w:val="22"/>
          <w:szCs w:val="22"/>
          <w:shd w:val="clear" w:color="auto" w:fill="FFFFFF"/>
        </w:rPr>
        <w:t xml:space="preserve"> </w:t>
      </w:r>
      <w:r w:rsidR="00BA4CAA">
        <w:rPr>
          <w:rFonts w:ascii="Arial" w:hAnsi="Arial" w:cs="Arial"/>
          <w:bCs/>
          <w:color w:val="000000" w:themeColor="text1"/>
          <w:sz w:val="22"/>
          <w:szCs w:val="22"/>
          <w:shd w:val="clear" w:color="auto" w:fill="FFFFFF"/>
        </w:rPr>
        <w:t xml:space="preserve">osteosarcoma cell line U2OS with </w:t>
      </w:r>
      <w:r w:rsidR="00890533">
        <w:rPr>
          <w:rFonts w:ascii="Arial" w:hAnsi="Arial" w:cs="Arial"/>
          <w:bCs/>
          <w:color w:val="000000" w:themeColor="text1"/>
          <w:sz w:val="22"/>
          <w:szCs w:val="22"/>
          <w:shd w:val="clear" w:color="auto" w:fill="FFFFFF"/>
        </w:rPr>
        <w:t>d</w:t>
      </w:r>
      <w:r w:rsidR="00BA4CAA">
        <w:rPr>
          <w:rFonts w:ascii="Arial" w:hAnsi="Arial" w:cs="Arial"/>
          <w:bCs/>
          <w:color w:val="000000" w:themeColor="text1"/>
          <w:sz w:val="22"/>
          <w:szCs w:val="22"/>
          <w:shd w:val="clear" w:color="auto" w:fill="FFFFFF"/>
        </w:rPr>
        <w:t xml:space="preserve">oxycycline-inducible expression of the EWS::FLI1 oncogene </w:t>
      </w:r>
      <w:r w:rsidR="00890533">
        <w:rPr>
          <w:rFonts w:ascii="Arial" w:hAnsi="Arial" w:cs="Arial"/>
          <w:bCs/>
          <w:color w:val="000000" w:themeColor="text1"/>
          <w:sz w:val="22"/>
          <w:szCs w:val="22"/>
          <w:shd w:val="clear" w:color="auto" w:fill="FFFFFF"/>
        </w:rPr>
        <w:t xml:space="preserve">were treated with vehicle or doxycycline for 24 hours to induce expression of EWS::FLI1. Then, the cells were treated with </w:t>
      </w:r>
      <w:r w:rsidR="00890533" w:rsidRPr="00BF6B15">
        <w:rPr>
          <w:rFonts w:ascii="Arial" w:hAnsi="Arial" w:cs="Arial"/>
          <w:color w:val="000000"/>
          <w:sz w:val="22"/>
          <w:szCs w:val="22"/>
          <w:shd w:val="clear" w:color="auto" w:fill="FFFFFF"/>
        </w:rPr>
        <w:t>thymidine (</w:t>
      </w:r>
      <w:r w:rsidR="00890533">
        <w:rPr>
          <w:rFonts w:ascii="Arial" w:hAnsi="Arial" w:cs="Arial"/>
          <w:color w:val="000000"/>
          <w:sz w:val="22"/>
          <w:szCs w:val="22"/>
          <w:shd w:val="clear" w:color="auto" w:fill="FFFFFF"/>
        </w:rPr>
        <w:t xml:space="preserve">2 mM, </w:t>
      </w:r>
      <w:r w:rsidR="00890533" w:rsidRPr="00BF6B15">
        <w:rPr>
          <w:rFonts w:ascii="Arial" w:hAnsi="Arial" w:cs="Arial"/>
          <w:color w:val="000000"/>
          <w:sz w:val="22"/>
          <w:szCs w:val="22"/>
          <w:shd w:val="clear" w:color="auto" w:fill="FFFFFF"/>
        </w:rPr>
        <w:t>hours</w:t>
      </w:r>
      <w:r w:rsidR="00890533">
        <w:rPr>
          <w:rFonts w:ascii="Arial" w:hAnsi="Arial" w:cs="Arial"/>
          <w:color w:val="000000"/>
          <w:sz w:val="22"/>
          <w:szCs w:val="22"/>
          <w:shd w:val="clear" w:color="auto" w:fill="FFFFFF"/>
        </w:rPr>
        <w:t xml:space="preserve"> 0-22</w:t>
      </w:r>
      <w:r w:rsidR="00890533" w:rsidRPr="00BF6B15">
        <w:rPr>
          <w:rFonts w:ascii="Arial" w:hAnsi="Arial" w:cs="Arial"/>
          <w:color w:val="000000"/>
          <w:sz w:val="22"/>
          <w:szCs w:val="22"/>
          <w:shd w:val="clear" w:color="auto" w:fill="FFFFFF"/>
        </w:rPr>
        <w:t>)</w:t>
      </w:r>
      <w:r w:rsidR="00890533">
        <w:rPr>
          <w:rFonts w:ascii="Arial" w:hAnsi="Arial" w:cs="Arial"/>
          <w:color w:val="000000"/>
          <w:sz w:val="22"/>
          <w:szCs w:val="22"/>
          <w:shd w:val="clear" w:color="auto" w:fill="FFFFFF"/>
        </w:rPr>
        <w:t xml:space="preserve"> or </w:t>
      </w:r>
      <w:r w:rsidR="00890533" w:rsidRPr="00BF6B15">
        <w:rPr>
          <w:rFonts w:ascii="Arial" w:hAnsi="Arial" w:cs="Arial"/>
          <w:color w:val="000000"/>
          <w:sz w:val="22"/>
          <w:szCs w:val="22"/>
          <w:shd w:val="clear" w:color="auto" w:fill="FFFFFF"/>
        </w:rPr>
        <w:t xml:space="preserve">thymidine </w:t>
      </w:r>
      <w:r w:rsidR="00890533">
        <w:rPr>
          <w:rFonts w:ascii="Arial" w:hAnsi="Arial" w:cs="Arial"/>
          <w:color w:val="000000"/>
          <w:sz w:val="22"/>
          <w:szCs w:val="22"/>
          <w:shd w:val="clear" w:color="auto" w:fill="FFFFFF"/>
        </w:rPr>
        <w:t xml:space="preserve">(2 mM, </w:t>
      </w:r>
      <w:r w:rsidR="00890533" w:rsidRPr="00BF6B15">
        <w:rPr>
          <w:rFonts w:ascii="Arial" w:hAnsi="Arial" w:cs="Arial"/>
          <w:color w:val="000000"/>
          <w:sz w:val="22"/>
          <w:szCs w:val="22"/>
          <w:shd w:val="clear" w:color="auto" w:fill="FFFFFF"/>
        </w:rPr>
        <w:t>hours</w:t>
      </w:r>
      <w:r w:rsidR="00890533">
        <w:rPr>
          <w:rFonts w:ascii="Arial" w:hAnsi="Arial" w:cs="Arial"/>
          <w:color w:val="000000"/>
          <w:sz w:val="22"/>
          <w:szCs w:val="22"/>
          <w:shd w:val="clear" w:color="auto" w:fill="FFFFFF"/>
        </w:rPr>
        <w:t xml:space="preserve"> 0-22</w:t>
      </w:r>
      <w:r w:rsidR="00890533" w:rsidRPr="00BF6B15">
        <w:rPr>
          <w:rFonts w:ascii="Arial" w:hAnsi="Arial" w:cs="Arial"/>
          <w:color w:val="000000"/>
          <w:sz w:val="22"/>
          <w:szCs w:val="22"/>
          <w:shd w:val="clear" w:color="auto" w:fill="FFFFFF"/>
        </w:rPr>
        <w:t xml:space="preserve">) with prexasertib (100 nM, </w:t>
      </w:r>
      <w:r w:rsidR="00890533">
        <w:rPr>
          <w:rFonts w:ascii="Arial" w:hAnsi="Arial" w:cs="Arial"/>
          <w:color w:val="000000"/>
          <w:sz w:val="22"/>
          <w:szCs w:val="22"/>
          <w:shd w:val="clear" w:color="auto" w:fill="FFFFFF"/>
        </w:rPr>
        <w:t xml:space="preserve">hours </w:t>
      </w:r>
      <w:r w:rsidR="00890533" w:rsidRPr="00BF6B15">
        <w:rPr>
          <w:rFonts w:ascii="Arial" w:hAnsi="Arial" w:cs="Arial"/>
          <w:color w:val="000000"/>
          <w:sz w:val="22"/>
          <w:szCs w:val="22"/>
          <w:shd w:val="clear" w:color="auto" w:fill="FFFFFF"/>
        </w:rPr>
        <w:t>18–22</w:t>
      </w:r>
      <w:r w:rsidR="00890533">
        <w:rPr>
          <w:rFonts w:ascii="Arial" w:hAnsi="Arial" w:cs="Arial"/>
          <w:color w:val="000000"/>
          <w:sz w:val="22"/>
          <w:szCs w:val="22"/>
          <w:shd w:val="clear" w:color="auto" w:fill="FFFFFF"/>
        </w:rPr>
        <w:t>).</w:t>
      </w:r>
      <w:r w:rsidR="00890533">
        <w:rPr>
          <w:rFonts w:ascii="Arial" w:hAnsi="Arial" w:cs="Arial"/>
          <w:bCs/>
          <w:color w:val="000000" w:themeColor="text1"/>
          <w:sz w:val="22"/>
          <w:szCs w:val="22"/>
          <w:shd w:val="clear" w:color="auto" w:fill="FFFFFF"/>
        </w:rPr>
        <w:t xml:space="preserve"> </w:t>
      </w:r>
      <w:r w:rsidR="00BA4CAA">
        <w:rPr>
          <w:rFonts w:ascii="Arial" w:hAnsi="Arial" w:cs="Arial"/>
          <w:bCs/>
          <w:color w:val="000000" w:themeColor="text1"/>
          <w:sz w:val="22"/>
          <w:szCs w:val="22"/>
          <w:shd w:val="clear" w:color="auto" w:fill="FFFFFF"/>
        </w:rPr>
        <w:t xml:space="preserve"> </w:t>
      </w:r>
    </w:p>
    <w:p w14:paraId="6F89AAAD" w14:textId="77777777" w:rsidR="00BA4CAA" w:rsidRDefault="00BA4CAA" w:rsidP="00B06EDA">
      <w:pPr>
        <w:rPr>
          <w:rFonts w:ascii="Arial" w:hAnsi="Arial" w:cs="Arial"/>
          <w:bCs/>
          <w:color w:val="000000" w:themeColor="text1"/>
          <w:sz w:val="22"/>
          <w:szCs w:val="22"/>
          <w:shd w:val="clear" w:color="auto" w:fill="FFFFFF"/>
        </w:rPr>
      </w:pPr>
    </w:p>
    <w:p w14:paraId="296B98DD" w14:textId="5205B4A1" w:rsidR="00B06EDA" w:rsidRPr="00E5195F" w:rsidRDefault="00890533" w:rsidP="00B06EDA">
      <w:pPr>
        <w:rPr>
          <w:rFonts w:ascii="Arial" w:hAnsi="Arial" w:cs="Arial"/>
          <w:color w:val="000000" w:themeColor="text1"/>
          <w:sz w:val="22"/>
          <w:szCs w:val="22"/>
          <w:shd w:val="clear" w:color="auto" w:fill="FFFFFF"/>
        </w:rPr>
      </w:pPr>
      <w:r w:rsidRPr="00E5195F">
        <w:rPr>
          <w:rFonts w:ascii="Arial" w:hAnsi="Arial" w:cs="Arial"/>
          <w:b/>
          <w:bCs/>
          <w:color w:val="000000" w:themeColor="text1"/>
          <w:sz w:val="22"/>
          <w:szCs w:val="22"/>
          <w:shd w:val="clear" w:color="auto" w:fill="FFFFFF"/>
        </w:rPr>
        <w:t xml:space="preserve">Supplemental Figure </w:t>
      </w:r>
      <w:r>
        <w:rPr>
          <w:rFonts w:ascii="Arial" w:hAnsi="Arial" w:cs="Arial"/>
          <w:b/>
          <w:bCs/>
          <w:color w:val="000000" w:themeColor="text1"/>
          <w:sz w:val="22"/>
          <w:szCs w:val="22"/>
          <w:shd w:val="clear" w:color="auto" w:fill="FFFFFF"/>
        </w:rPr>
        <w:t>6</w:t>
      </w:r>
      <w:r w:rsidRPr="00E5195F">
        <w:rPr>
          <w:rFonts w:ascii="Arial" w:hAnsi="Arial" w:cs="Arial"/>
          <w:b/>
          <w:bCs/>
          <w:color w:val="000000" w:themeColor="text1"/>
          <w:sz w:val="22"/>
          <w:szCs w:val="22"/>
          <w:shd w:val="clear" w:color="auto" w:fill="FFFFFF"/>
        </w:rPr>
        <w:t xml:space="preserve">. </w:t>
      </w:r>
      <w:r w:rsidR="00E5195F" w:rsidRPr="00E5195F">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A</w:t>
      </w:r>
      <w:r w:rsidR="00E5195F" w:rsidRPr="00E5195F">
        <w:rPr>
          <w:rFonts w:ascii="Arial" w:hAnsi="Arial" w:cs="Arial"/>
          <w:color w:val="000000" w:themeColor="text1"/>
          <w:sz w:val="22"/>
          <w:szCs w:val="22"/>
          <w:shd w:val="clear" w:color="auto" w:fill="FFFFFF"/>
        </w:rPr>
        <w:t>) Ewing sarcoma</w:t>
      </w:r>
      <w:r w:rsidR="00E5195F" w:rsidRPr="00E5195F">
        <w:rPr>
          <w:rFonts w:ascii="Arial" w:hAnsi="Arial" w:cs="Arial"/>
          <w:bCs/>
          <w:color w:val="000000" w:themeColor="text1"/>
          <w:sz w:val="22"/>
          <w:szCs w:val="22"/>
          <w:shd w:val="clear" w:color="auto" w:fill="FFFFFF"/>
        </w:rPr>
        <w:t xml:space="preserve"> cell lines were synchronized in S-phase using thymidine treatment for 18 hours. While maintaining thymidine treatment, cells were subsequently treated for 24 hours with DMSO, Z-VAD-FMK (10 </w:t>
      </w:r>
      <w:proofErr w:type="spellStart"/>
      <w:r w:rsidR="00E5195F" w:rsidRPr="00E5195F">
        <w:rPr>
          <w:rFonts w:ascii="Arial" w:hAnsi="Arial" w:cs="Arial"/>
          <w:bCs/>
          <w:color w:val="000000" w:themeColor="text1"/>
          <w:sz w:val="20"/>
          <w:szCs w:val="20"/>
          <w:shd w:val="clear" w:color="auto" w:fill="FFFFFF"/>
        </w:rPr>
        <w:t>μ</w:t>
      </w:r>
      <w:r w:rsidR="00E5195F" w:rsidRPr="00E5195F">
        <w:rPr>
          <w:rFonts w:ascii="Arial" w:hAnsi="Arial" w:cs="Arial"/>
          <w:bCs/>
          <w:color w:val="000000" w:themeColor="text1"/>
          <w:sz w:val="22"/>
          <w:szCs w:val="22"/>
          <w:shd w:val="clear" w:color="auto" w:fill="FFFFFF"/>
        </w:rPr>
        <w:t>M</w:t>
      </w:r>
      <w:proofErr w:type="spellEnd"/>
      <w:r w:rsidR="00E5195F" w:rsidRPr="00E5195F">
        <w:rPr>
          <w:rFonts w:ascii="Arial" w:hAnsi="Arial" w:cs="Arial"/>
          <w:bCs/>
          <w:color w:val="000000" w:themeColor="text1"/>
          <w:sz w:val="22"/>
          <w:szCs w:val="22"/>
          <w:shd w:val="clear" w:color="auto" w:fill="FFFFFF"/>
        </w:rPr>
        <w:t xml:space="preserve">), prexasertib (100 nM), </w:t>
      </w:r>
      <w:proofErr w:type="spellStart"/>
      <w:r w:rsidR="00E5195F" w:rsidRPr="00E5195F">
        <w:rPr>
          <w:rFonts w:ascii="Arial" w:hAnsi="Arial" w:cs="Arial"/>
          <w:bCs/>
          <w:color w:val="000000" w:themeColor="text1"/>
          <w:sz w:val="22"/>
          <w:szCs w:val="22"/>
          <w:shd w:val="clear" w:color="auto" w:fill="FFFFFF"/>
        </w:rPr>
        <w:lastRenderedPageBreak/>
        <w:t>emricasan</w:t>
      </w:r>
      <w:proofErr w:type="spellEnd"/>
      <w:r w:rsidR="00A16AFE">
        <w:rPr>
          <w:rFonts w:ascii="Arial" w:hAnsi="Arial" w:cs="Arial"/>
          <w:bCs/>
          <w:color w:val="000000" w:themeColor="text1"/>
          <w:sz w:val="22"/>
          <w:szCs w:val="22"/>
          <w:shd w:val="clear" w:color="auto" w:fill="FFFFFF"/>
        </w:rPr>
        <w:t xml:space="preserve"> </w:t>
      </w:r>
      <w:r w:rsidR="00A16AFE" w:rsidRPr="00E5195F">
        <w:rPr>
          <w:rFonts w:ascii="Arial" w:hAnsi="Arial" w:cs="Arial"/>
          <w:bCs/>
          <w:color w:val="000000" w:themeColor="text1"/>
          <w:sz w:val="22"/>
          <w:szCs w:val="22"/>
          <w:shd w:val="clear" w:color="auto" w:fill="FFFFFF"/>
        </w:rPr>
        <w:t xml:space="preserve">(10 </w:t>
      </w:r>
      <w:proofErr w:type="spellStart"/>
      <w:r w:rsidR="00A16AFE" w:rsidRPr="00E5195F">
        <w:rPr>
          <w:rFonts w:ascii="Arial" w:hAnsi="Arial" w:cs="Arial"/>
          <w:bCs/>
          <w:color w:val="000000" w:themeColor="text1"/>
          <w:sz w:val="20"/>
          <w:szCs w:val="20"/>
          <w:shd w:val="clear" w:color="auto" w:fill="FFFFFF"/>
        </w:rPr>
        <w:t>μ</w:t>
      </w:r>
      <w:r w:rsidR="00A16AFE" w:rsidRPr="00E5195F">
        <w:rPr>
          <w:rFonts w:ascii="Arial" w:hAnsi="Arial" w:cs="Arial"/>
          <w:bCs/>
          <w:color w:val="000000" w:themeColor="text1"/>
          <w:sz w:val="22"/>
          <w:szCs w:val="22"/>
          <w:shd w:val="clear" w:color="auto" w:fill="FFFFFF"/>
        </w:rPr>
        <w:t>M</w:t>
      </w:r>
      <w:proofErr w:type="spellEnd"/>
      <w:r w:rsidR="00A16AFE" w:rsidRPr="00E5195F">
        <w:rPr>
          <w:rFonts w:ascii="Arial" w:hAnsi="Arial" w:cs="Arial"/>
          <w:bCs/>
          <w:color w:val="000000" w:themeColor="text1"/>
          <w:sz w:val="22"/>
          <w:szCs w:val="22"/>
          <w:shd w:val="clear" w:color="auto" w:fill="FFFFFF"/>
        </w:rPr>
        <w:t>)</w:t>
      </w:r>
      <w:r w:rsidR="00E5195F" w:rsidRPr="00E5195F">
        <w:rPr>
          <w:rFonts w:ascii="Arial" w:hAnsi="Arial" w:cs="Arial"/>
          <w:bCs/>
          <w:color w:val="000000" w:themeColor="text1"/>
          <w:sz w:val="22"/>
          <w:szCs w:val="22"/>
          <w:shd w:val="clear" w:color="auto" w:fill="FFFFFF"/>
        </w:rPr>
        <w:t>, prexasertib plus Z-VAD-FMK</w:t>
      </w:r>
      <w:r w:rsidR="00E5195F">
        <w:rPr>
          <w:rFonts w:ascii="Arial" w:hAnsi="Arial" w:cs="Arial"/>
          <w:bCs/>
          <w:color w:val="000000" w:themeColor="text1"/>
          <w:sz w:val="22"/>
          <w:szCs w:val="22"/>
          <w:shd w:val="clear" w:color="auto" w:fill="FFFFFF"/>
        </w:rPr>
        <w:t xml:space="preserve">, </w:t>
      </w:r>
      <w:r w:rsidR="00E5195F" w:rsidRPr="00E5195F">
        <w:rPr>
          <w:rFonts w:ascii="Arial" w:hAnsi="Arial" w:cs="Arial"/>
          <w:bCs/>
          <w:color w:val="000000" w:themeColor="text1"/>
          <w:sz w:val="22"/>
          <w:szCs w:val="22"/>
          <w:shd w:val="clear" w:color="auto" w:fill="FFFFFF"/>
        </w:rPr>
        <w:t xml:space="preserve">or </w:t>
      </w:r>
      <w:r w:rsidR="00E5195F">
        <w:rPr>
          <w:rFonts w:ascii="Arial" w:hAnsi="Arial" w:cs="Arial"/>
          <w:bCs/>
          <w:color w:val="000000" w:themeColor="text1"/>
          <w:sz w:val="22"/>
          <w:szCs w:val="22"/>
          <w:shd w:val="clear" w:color="auto" w:fill="FFFFFF"/>
        </w:rPr>
        <w:t xml:space="preserve">prexasertib plus </w:t>
      </w:r>
      <w:r w:rsidR="00E5195F" w:rsidRPr="00E5195F">
        <w:rPr>
          <w:rFonts w:ascii="Arial" w:hAnsi="Arial" w:cs="Arial"/>
          <w:bCs/>
          <w:color w:val="000000" w:themeColor="text1"/>
          <w:sz w:val="22"/>
          <w:szCs w:val="22"/>
          <w:shd w:val="clear" w:color="auto" w:fill="FFFFFF"/>
        </w:rPr>
        <w:t xml:space="preserve">emricasan. Cell viability was assessed using the CellTiter-Glo assay. </w:t>
      </w:r>
      <w:r w:rsidR="00E5195F" w:rsidRPr="00E5195F">
        <w:rPr>
          <w:rFonts w:ascii="Arial" w:hAnsi="Arial" w:cs="Arial"/>
          <w:color w:val="000000" w:themeColor="text1"/>
          <w:sz w:val="22"/>
          <w:szCs w:val="22"/>
          <w:shd w:val="clear" w:color="auto" w:fill="FFFFFF"/>
          <w:lang w:val="en"/>
        </w:rPr>
        <w:t xml:space="preserve">n=4 replicates per condition. </w:t>
      </w:r>
      <w:r w:rsidR="00E5195F" w:rsidRPr="00E5195F">
        <w:rPr>
          <w:rFonts w:ascii="Arial" w:hAnsi="Arial" w:cs="Arial"/>
          <w:color w:val="000000" w:themeColor="text1"/>
          <w:sz w:val="22"/>
          <w:szCs w:val="22"/>
          <w:shd w:val="clear" w:color="auto" w:fill="FFFFFF"/>
        </w:rPr>
        <w:t>Multiple comparisons were analyzed by 1-way ANOVA with Tukey’s post hoc multiple comparisons test, with selected comparisons shown.</w:t>
      </w:r>
      <w:r w:rsidR="00E5195F" w:rsidRPr="00E5195F">
        <w:rPr>
          <w:rFonts w:ascii="Arial" w:hAnsi="Arial" w:cs="Arial"/>
          <w:color w:val="000000" w:themeColor="text1"/>
          <w:sz w:val="22"/>
          <w:szCs w:val="22"/>
          <w:shd w:val="clear" w:color="auto" w:fill="FFFFFF"/>
          <w:lang w:val="en"/>
        </w:rPr>
        <w:t xml:space="preserve"> </w:t>
      </w:r>
      <w:r w:rsidR="00E5195F" w:rsidRPr="00E5195F">
        <w:rPr>
          <w:rFonts w:ascii="Arial" w:hAnsi="Arial" w:cs="Arial"/>
          <w:i/>
          <w:iCs/>
          <w:color w:val="000000" w:themeColor="text1"/>
          <w:sz w:val="22"/>
          <w:szCs w:val="22"/>
          <w:shd w:val="clear" w:color="auto" w:fill="FFFFFF"/>
        </w:rPr>
        <w:t>P</w:t>
      </w:r>
      <w:r w:rsidR="00E5195F" w:rsidRPr="00E5195F">
        <w:rPr>
          <w:rFonts w:ascii="Arial" w:hAnsi="Arial" w:cs="Arial"/>
          <w:color w:val="000000" w:themeColor="text1"/>
          <w:sz w:val="22"/>
          <w:szCs w:val="22"/>
          <w:shd w:val="clear" w:color="auto" w:fill="FFFFFF"/>
        </w:rPr>
        <w:t xml:space="preserve"> values of less than or equal to 0.05 were considered significant. </w:t>
      </w:r>
      <w:r w:rsidR="00B06EDA" w:rsidRPr="00E5195F">
        <w:rPr>
          <w:rFonts w:ascii="Arial" w:hAnsi="Arial" w:cs="Arial"/>
          <w:bCs/>
          <w:color w:val="000000" w:themeColor="text1"/>
          <w:sz w:val="22"/>
          <w:szCs w:val="22"/>
          <w:shd w:val="clear" w:color="auto" w:fill="FFFFFF"/>
        </w:rPr>
        <w:t xml:space="preserve">***P &lt; 0.001; ****, P &lt; 0.0001. </w:t>
      </w:r>
      <w:r>
        <w:rPr>
          <w:rFonts w:ascii="Arial" w:hAnsi="Arial" w:cs="Arial"/>
          <w:bCs/>
          <w:color w:val="000000" w:themeColor="text1"/>
          <w:sz w:val="22"/>
          <w:szCs w:val="22"/>
          <w:shd w:val="clear" w:color="auto" w:fill="FFFFFF"/>
        </w:rPr>
        <w:t xml:space="preserve">(B) EW8 cells were treated with different doses of </w:t>
      </w:r>
      <w:r w:rsidRPr="0003070F">
        <w:rPr>
          <w:rFonts w:ascii="Arial" w:hAnsi="Arial" w:cs="Arial"/>
          <w:bCs/>
          <w:color w:val="000000" w:themeColor="text1"/>
          <w:sz w:val="22"/>
          <w:szCs w:val="22"/>
          <w:shd w:val="clear" w:color="auto" w:fill="FFFFFF"/>
        </w:rPr>
        <w:t>gemcitabine</w:t>
      </w:r>
      <w:r>
        <w:rPr>
          <w:rFonts w:ascii="Arial" w:hAnsi="Arial" w:cs="Arial"/>
          <w:bCs/>
          <w:color w:val="000000" w:themeColor="text1"/>
          <w:sz w:val="22"/>
          <w:szCs w:val="22"/>
          <w:shd w:val="clear" w:color="auto" w:fill="FFFFFF"/>
        </w:rPr>
        <w:t xml:space="preserve">, with or without </w:t>
      </w:r>
      <w:r w:rsidRPr="0003070F">
        <w:rPr>
          <w:rFonts w:ascii="Arial" w:hAnsi="Arial" w:cs="Arial"/>
          <w:bCs/>
          <w:color w:val="000000" w:themeColor="text1"/>
          <w:sz w:val="22"/>
          <w:szCs w:val="22"/>
          <w:shd w:val="clear" w:color="auto" w:fill="FFFFFF"/>
        </w:rPr>
        <w:t>prexasertib</w:t>
      </w:r>
      <w:r>
        <w:rPr>
          <w:rFonts w:ascii="Arial" w:hAnsi="Arial" w:cs="Arial"/>
          <w:bCs/>
          <w:color w:val="000000" w:themeColor="text1"/>
          <w:sz w:val="22"/>
          <w:szCs w:val="22"/>
          <w:shd w:val="clear" w:color="auto" w:fill="FFFFFF"/>
        </w:rPr>
        <w:t xml:space="preserve"> (10 nM), </w:t>
      </w:r>
      <w:r w:rsidRPr="0003070F">
        <w:rPr>
          <w:rFonts w:ascii="Arial" w:hAnsi="Arial" w:cs="Arial"/>
          <w:bCs/>
          <w:color w:val="000000" w:themeColor="text1"/>
          <w:sz w:val="22"/>
          <w:szCs w:val="22"/>
          <w:shd w:val="clear" w:color="auto" w:fill="FFFFFF"/>
        </w:rPr>
        <w:t>for 24 hours.</w:t>
      </w:r>
      <w:r>
        <w:rPr>
          <w:rFonts w:ascii="Arial" w:hAnsi="Arial" w:cs="Arial"/>
          <w:bCs/>
          <w:color w:val="000000" w:themeColor="text1"/>
          <w:sz w:val="22"/>
          <w:szCs w:val="22"/>
          <w:shd w:val="clear" w:color="auto" w:fill="FFFFFF"/>
        </w:rPr>
        <w:t xml:space="preserve"> (C) EW8 cells were treated with different doses of hydroxyurea, with or without </w:t>
      </w:r>
      <w:r w:rsidRPr="0003070F">
        <w:rPr>
          <w:rFonts w:ascii="Arial" w:hAnsi="Arial" w:cs="Arial"/>
          <w:bCs/>
          <w:color w:val="000000" w:themeColor="text1"/>
          <w:sz w:val="22"/>
          <w:szCs w:val="22"/>
          <w:shd w:val="clear" w:color="auto" w:fill="FFFFFF"/>
        </w:rPr>
        <w:t>prexasertib</w:t>
      </w:r>
      <w:r>
        <w:rPr>
          <w:rFonts w:ascii="Arial" w:hAnsi="Arial" w:cs="Arial"/>
          <w:bCs/>
          <w:color w:val="000000" w:themeColor="text1"/>
          <w:sz w:val="22"/>
          <w:szCs w:val="22"/>
          <w:shd w:val="clear" w:color="auto" w:fill="FFFFFF"/>
        </w:rPr>
        <w:t xml:space="preserve"> (10 nM), </w:t>
      </w:r>
      <w:r w:rsidRPr="0003070F">
        <w:rPr>
          <w:rFonts w:ascii="Arial" w:hAnsi="Arial" w:cs="Arial"/>
          <w:bCs/>
          <w:color w:val="000000" w:themeColor="text1"/>
          <w:sz w:val="22"/>
          <w:szCs w:val="22"/>
          <w:shd w:val="clear" w:color="auto" w:fill="FFFFFF"/>
        </w:rPr>
        <w:t>for 24 hours.</w:t>
      </w:r>
    </w:p>
    <w:p w14:paraId="394F8824" w14:textId="77777777" w:rsidR="007035B9" w:rsidRDefault="007035B9" w:rsidP="00E26953">
      <w:pPr>
        <w:rPr>
          <w:rFonts w:ascii="Arial" w:hAnsi="Arial" w:cs="Arial"/>
          <w:bCs/>
          <w:color w:val="000000"/>
          <w:sz w:val="22"/>
          <w:szCs w:val="22"/>
          <w:shd w:val="clear" w:color="auto" w:fill="FFFFFF"/>
        </w:rPr>
      </w:pPr>
    </w:p>
    <w:p w14:paraId="5579900F" w14:textId="551D09EC" w:rsidR="007035B9" w:rsidRDefault="007035B9" w:rsidP="00E26953">
      <w:pPr>
        <w:rPr>
          <w:rFonts w:ascii="Arial" w:hAnsi="Arial" w:cs="Arial"/>
          <w:bCs/>
          <w:color w:val="000000"/>
          <w:sz w:val="22"/>
          <w:szCs w:val="22"/>
          <w:shd w:val="clear" w:color="auto" w:fill="FFFFFF"/>
        </w:rPr>
      </w:pPr>
      <w:r>
        <w:rPr>
          <w:rFonts w:ascii="Arial" w:hAnsi="Arial" w:cs="Arial"/>
          <w:b/>
          <w:bCs/>
          <w:color w:val="000000"/>
          <w:sz w:val="22"/>
          <w:szCs w:val="22"/>
          <w:shd w:val="clear" w:color="auto" w:fill="FFFFFF"/>
        </w:rPr>
        <w:t xml:space="preserve">Supplemental Figure </w:t>
      </w:r>
      <w:r w:rsidR="00045099">
        <w:rPr>
          <w:rFonts w:ascii="Arial" w:hAnsi="Arial" w:cs="Arial"/>
          <w:b/>
          <w:bCs/>
          <w:color w:val="000000"/>
          <w:sz w:val="22"/>
          <w:szCs w:val="22"/>
          <w:shd w:val="clear" w:color="auto" w:fill="FFFFFF"/>
        </w:rPr>
        <w:t>7</w:t>
      </w:r>
      <w:r>
        <w:rPr>
          <w:rFonts w:ascii="Arial" w:hAnsi="Arial" w:cs="Arial"/>
          <w:b/>
          <w:bCs/>
          <w:color w:val="000000"/>
          <w:sz w:val="22"/>
          <w:szCs w:val="22"/>
          <w:shd w:val="clear" w:color="auto" w:fill="FFFFFF"/>
        </w:rPr>
        <w:t xml:space="preserve">. </w:t>
      </w:r>
      <w:r w:rsidR="00045099">
        <w:rPr>
          <w:rFonts w:ascii="Arial" w:hAnsi="Arial" w:cs="Arial"/>
          <w:color w:val="000000"/>
          <w:sz w:val="22"/>
          <w:szCs w:val="22"/>
          <w:shd w:val="clear" w:color="auto" w:fill="FFFFFF"/>
        </w:rPr>
        <w:t>(A) EW8</w:t>
      </w:r>
      <w:r w:rsidR="002233C7" w:rsidRPr="007035B9">
        <w:rPr>
          <w:rFonts w:ascii="Arial" w:hAnsi="Arial" w:cs="Arial"/>
          <w:bCs/>
          <w:color w:val="000000"/>
          <w:sz w:val="22"/>
          <w:szCs w:val="22"/>
          <w:shd w:val="clear" w:color="auto" w:fill="FFFFFF"/>
        </w:rPr>
        <w:t xml:space="preserve"> cells were synchronized in S-phase using thymidine treatment for 18 hours. While maintaining thymidine </w:t>
      </w:r>
      <w:r w:rsidR="002233C7">
        <w:rPr>
          <w:rFonts w:ascii="Arial" w:hAnsi="Arial" w:cs="Arial"/>
          <w:bCs/>
          <w:color w:val="000000"/>
          <w:sz w:val="22"/>
          <w:szCs w:val="22"/>
          <w:shd w:val="clear" w:color="auto" w:fill="FFFFFF"/>
        </w:rPr>
        <w:t>treatment</w:t>
      </w:r>
      <w:r w:rsidR="002233C7" w:rsidRPr="007035B9">
        <w:rPr>
          <w:rFonts w:ascii="Arial" w:hAnsi="Arial" w:cs="Arial"/>
          <w:bCs/>
          <w:color w:val="000000"/>
          <w:sz w:val="22"/>
          <w:szCs w:val="22"/>
          <w:shd w:val="clear" w:color="auto" w:fill="FFFFFF"/>
        </w:rPr>
        <w:t xml:space="preserve">, cells were subsequently treated </w:t>
      </w:r>
      <w:r w:rsidR="002233C7">
        <w:rPr>
          <w:rFonts w:ascii="Arial" w:hAnsi="Arial" w:cs="Arial"/>
          <w:bCs/>
          <w:color w:val="000000"/>
          <w:sz w:val="22"/>
          <w:szCs w:val="22"/>
          <w:shd w:val="clear" w:color="auto" w:fill="FFFFFF"/>
        </w:rPr>
        <w:t xml:space="preserve">for </w:t>
      </w:r>
      <w:r w:rsidR="008D3D31">
        <w:rPr>
          <w:rFonts w:ascii="Arial" w:hAnsi="Arial" w:cs="Arial"/>
          <w:bCs/>
          <w:color w:val="000000"/>
          <w:sz w:val="22"/>
          <w:szCs w:val="22"/>
          <w:shd w:val="clear" w:color="auto" w:fill="FFFFFF"/>
        </w:rPr>
        <w:t>4</w:t>
      </w:r>
      <w:r w:rsidR="002233C7">
        <w:rPr>
          <w:rFonts w:ascii="Arial" w:hAnsi="Arial" w:cs="Arial"/>
          <w:bCs/>
          <w:color w:val="000000"/>
          <w:sz w:val="22"/>
          <w:szCs w:val="22"/>
          <w:shd w:val="clear" w:color="auto" w:fill="FFFFFF"/>
        </w:rPr>
        <w:t xml:space="preserve"> hours</w:t>
      </w:r>
      <w:r w:rsidR="002233C7" w:rsidRPr="007035B9">
        <w:rPr>
          <w:rFonts w:ascii="Arial" w:hAnsi="Arial" w:cs="Arial"/>
          <w:bCs/>
          <w:color w:val="000000"/>
          <w:sz w:val="22"/>
          <w:szCs w:val="22"/>
          <w:shd w:val="clear" w:color="auto" w:fill="FFFFFF"/>
        </w:rPr>
        <w:t xml:space="preserve"> with DMSO, prexasertib (100 nM), </w:t>
      </w:r>
      <w:r w:rsidR="008D3D31">
        <w:rPr>
          <w:rFonts w:ascii="Arial" w:hAnsi="Arial" w:cs="Arial"/>
          <w:bCs/>
          <w:color w:val="000000"/>
          <w:sz w:val="22"/>
          <w:szCs w:val="22"/>
          <w:shd w:val="clear" w:color="auto" w:fill="FFFFFF"/>
        </w:rPr>
        <w:t xml:space="preserve">NSC663284 (1 </w:t>
      </w:r>
      <w:r w:rsidR="008D3D31" w:rsidRPr="008D3D31">
        <w:rPr>
          <w:rFonts w:ascii="Symbol" w:hAnsi="Symbol" w:cs="Arial"/>
          <w:bCs/>
          <w:color w:val="000000"/>
          <w:sz w:val="20"/>
          <w:szCs w:val="20"/>
          <w:shd w:val="clear" w:color="auto" w:fill="FFFFFF"/>
        </w:rPr>
        <w:t>m</w:t>
      </w:r>
      <w:r w:rsidR="008D3D31">
        <w:rPr>
          <w:rFonts w:ascii="Arial" w:hAnsi="Arial" w:cs="Arial"/>
          <w:bCs/>
          <w:color w:val="000000"/>
          <w:sz w:val="22"/>
          <w:szCs w:val="22"/>
          <w:shd w:val="clear" w:color="auto" w:fill="FFFFFF"/>
        </w:rPr>
        <w:t xml:space="preserve">M), or </w:t>
      </w:r>
      <w:r w:rsidR="002233C7" w:rsidRPr="007035B9">
        <w:rPr>
          <w:rFonts w:ascii="Arial" w:hAnsi="Arial" w:cs="Arial"/>
          <w:bCs/>
          <w:color w:val="000000"/>
          <w:sz w:val="22"/>
          <w:szCs w:val="22"/>
          <w:shd w:val="clear" w:color="auto" w:fill="FFFFFF"/>
        </w:rPr>
        <w:t xml:space="preserve">prexasertib plus </w:t>
      </w:r>
      <w:r w:rsidR="008D3D31">
        <w:rPr>
          <w:rFonts w:ascii="Arial" w:hAnsi="Arial" w:cs="Arial"/>
          <w:bCs/>
          <w:color w:val="000000"/>
          <w:sz w:val="22"/>
          <w:szCs w:val="22"/>
          <w:shd w:val="clear" w:color="auto" w:fill="FFFFFF"/>
        </w:rPr>
        <w:t>NSC663284</w:t>
      </w:r>
      <w:r w:rsidR="002233C7" w:rsidRPr="007035B9">
        <w:rPr>
          <w:rFonts w:ascii="Arial" w:hAnsi="Arial" w:cs="Arial"/>
          <w:bCs/>
          <w:color w:val="000000"/>
          <w:sz w:val="22"/>
          <w:szCs w:val="22"/>
          <w:shd w:val="clear" w:color="auto" w:fill="FFFFFF"/>
        </w:rPr>
        <w:t>.</w:t>
      </w:r>
      <w:r w:rsidR="00045099">
        <w:rPr>
          <w:rFonts w:ascii="Arial" w:hAnsi="Arial" w:cs="Arial"/>
          <w:bCs/>
          <w:color w:val="000000"/>
          <w:sz w:val="22"/>
          <w:szCs w:val="22"/>
          <w:shd w:val="clear" w:color="auto" w:fill="FFFFFF"/>
        </w:rPr>
        <w:t xml:space="preserve"> (B) EW8 cells were treated with thymidine (2 mM, hours 0-22) followed by prexasertib (100 nM, hours 18-22), dinaciclib (1 </w:t>
      </w:r>
      <w:r w:rsidR="00045099" w:rsidRPr="00045099">
        <w:rPr>
          <w:rFonts w:ascii="Symbol" w:hAnsi="Symbol" w:cs="Arial"/>
          <w:bCs/>
          <w:color w:val="000000"/>
          <w:sz w:val="20"/>
          <w:szCs w:val="20"/>
          <w:shd w:val="clear" w:color="auto" w:fill="FFFFFF"/>
        </w:rPr>
        <w:t>m</w:t>
      </w:r>
      <w:r w:rsidR="00045099">
        <w:rPr>
          <w:rFonts w:ascii="Arial" w:hAnsi="Arial" w:cs="Arial"/>
          <w:bCs/>
          <w:color w:val="000000"/>
          <w:sz w:val="22"/>
          <w:szCs w:val="22"/>
          <w:shd w:val="clear" w:color="auto" w:fill="FFFFFF"/>
        </w:rPr>
        <w:t xml:space="preserve">M, hours 18-22), or prexasertib (100 nM, hours 18-22) and dinaciclib (1 </w:t>
      </w:r>
      <w:r w:rsidR="00045099" w:rsidRPr="00045099">
        <w:rPr>
          <w:rFonts w:ascii="Symbol" w:hAnsi="Symbol" w:cs="Arial"/>
          <w:bCs/>
          <w:color w:val="000000"/>
          <w:sz w:val="20"/>
          <w:szCs w:val="20"/>
          <w:shd w:val="clear" w:color="auto" w:fill="FFFFFF"/>
        </w:rPr>
        <w:t>m</w:t>
      </w:r>
      <w:r w:rsidR="00045099">
        <w:rPr>
          <w:rFonts w:ascii="Arial" w:hAnsi="Arial" w:cs="Arial"/>
          <w:bCs/>
          <w:color w:val="000000"/>
          <w:sz w:val="22"/>
          <w:szCs w:val="22"/>
          <w:shd w:val="clear" w:color="auto" w:fill="FFFFFF"/>
        </w:rPr>
        <w:t>M, hours 18-22).</w:t>
      </w:r>
    </w:p>
    <w:p w14:paraId="0F6173E6" w14:textId="77777777" w:rsidR="008D3D31" w:rsidRDefault="008D3D31" w:rsidP="00E26953">
      <w:pPr>
        <w:rPr>
          <w:rFonts w:ascii="Arial" w:hAnsi="Arial" w:cs="Arial"/>
          <w:bCs/>
          <w:color w:val="000000"/>
          <w:sz w:val="22"/>
          <w:szCs w:val="22"/>
          <w:shd w:val="clear" w:color="auto" w:fill="FFFFFF"/>
        </w:rPr>
      </w:pPr>
    </w:p>
    <w:p w14:paraId="2D24C779" w14:textId="1ECEBEBD" w:rsidR="00552BF5" w:rsidRPr="001A46B2" w:rsidRDefault="008D3D31" w:rsidP="00552BF5">
      <w:pPr>
        <w:rPr>
          <w:rFonts w:ascii="Arial" w:hAnsi="Arial" w:cs="Arial"/>
          <w:color w:val="000000"/>
          <w:sz w:val="22"/>
          <w:szCs w:val="22"/>
          <w:shd w:val="clear" w:color="auto" w:fill="FFFFFF"/>
        </w:rPr>
      </w:pPr>
      <w:r>
        <w:rPr>
          <w:rFonts w:ascii="Arial" w:hAnsi="Arial" w:cs="Arial"/>
          <w:b/>
          <w:bCs/>
          <w:color w:val="000000"/>
          <w:sz w:val="22"/>
          <w:szCs w:val="22"/>
          <w:shd w:val="clear" w:color="auto" w:fill="FFFFFF"/>
        </w:rPr>
        <w:t xml:space="preserve">Supplemental Figure </w:t>
      </w:r>
      <w:r w:rsidR="00045099">
        <w:rPr>
          <w:rFonts w:ascii="Arial" w:hAnsi="Arial" w:cs="Arial"/>
          <w:b/>
          <w:bCs/>
          <w:color w:val="000000"/>
          <w:sz w:val="22"/>
          <w:szCs w:val="22"/>
          <w:shd w:val="clear" w:color="auto" w:fill="FFFFFF"/>
        </w:rPr>
        <w:t>8</w:t>
      </w:r>
      <w:r>
        <w:rPr>
          <w:rFonts w:ascii="Arial" w:hAnsi="Arial" w:cs="Arial"/>
          <w:b/>
          <w:bCs/>
          <w:color w:val="000000"/>
          <w:sz w:val="22"/>
          <w:szCs w:val="22"/>
          <w:shd w:val="clear" w:color="auto" w:fill="FFFFFF"/>
        </w:rPr>
        <w:t xml:space="preserve">. </w:t>
      </w:r>
      <w:r w:rsidRPr="008D3D31">
        <w:rPr>
          <w:rFonts w:ascii="Arial" w:hAnsi="Arial" w:cs="Arial"/>
          <w:color w:val="000000"/>
          <w:sz w:val="22"/>
          <w:szCs w:val="22"/>
          <w:shd w:val="clear" w:color="auto" w:fill="FFFFFF"/>
        </w:rPr>
        <w:t>(A)</w:t>
      </w:r>
      <w:r>
        <w:rPr>
          <w:rFonts w:ascii="Arial" w:hAnsi="Arial" w:cs="Arial"/>
          <w:b/>
          <w:bCs/>
          <w:color w:val="000000"/>
          <w:sz w:val="22"/>
          <w:szCs w:val="22"/>
          <w:shd w:val="clear" w:color="auto" w:fill="FFFFFF"/>
        </w:rPr>
        <w:t xml:space="preserve"> </w:t>
      </w:r>
      <w:r w:rsidR="006E6219">
        <w:rPr>
          <w:rFonts w:ascii="Arial" w:hAnsi="Arial" w:cs="Arial"/>
          <w:color w:val="000000"/>
          <w:sz w:val="22"/>
          <w:szCs w:val="22"/>
          <w:shd w:val="clear" w:color="auto" w:fill="FFFFFF"/>
        </w:rPr>
        <w:t xml:space="preserve">Ewing sarcoma cells were </w:t>
      </w:r>
      <w:r w:rsidR="006E6219" w:rsidRPr="007035B9">
        <w:rPr>
          <w:rFonts w:ascii="Arial" w:hAnsi="Arial" w:cs="Arial"/>
          <w:bCs/>
          <w:color w:val="000000"/>
          <w:sz w:val="22"/>
          <w:szCs w:val="22"/>
          <w:shd w:val="clear" w:color="auto" w:fill="FFFFFF"/>
        </w:rPr>
        <w:t xml:space="preserve">synchronized in S-phase using thymidine treatment for 18 hours. While maintaining thymidine </w:t>
      </w:r>
      <w:r w:rsidR="006E6219">
        <w:rPr>
          <w:rFonts w:ascii="Arial" w:hAnsi="Arial" w:cs="Arial"/>
          <w:bCs/>
          <w:color w:val="000000"/>
          <w:sz w:val="22"/>
          <w:szCs w:val="22"/>
          <w:shd w:val="clear" w:color="auto" w:fill="FFFFFF"/>
        </w:rPr>
        <w:t>treatment</w:t>
      </w:r>
      <w:r w:rsidR="006E6219" w:rsidRPr="007035B9">
        <w:rPr>
          <w:rFonts w:ascii="Arial" w:hAnsi="Arial" w:cs="Arial"/>
          <w:bCs/>
          <w:color w:val="000000"/>
          <w:sz w:val="22"/>
          <w:szCs w:val="22"/>
          <w:shd w:val="clear" w:color="auto" w:fill="FFFFFF"/>
        </w:rPr>
        <w:t>, cells were subsequently treated</w:t>
      </w:r>
      <w:r w:rsidR="006E6219">
        <w:rPr>
          <w:rFonts w:ascii="Arial" w:hAnsi="Arial" w:cs="Arial"/>
          <w:bCs/>
          <w:color w:val="000000"/>
          <w:sz w:val="22"/>
          <w:szCs w:val="22"/>
          <w:shd w:val="clear" w:color="auto" w:fill="FFFFFF"/>
        </w:rPr>
        <w:t xml:space="preserve"> for 4 hours</w:t>
      </w:r>
      <w:r w:rsidR="006E6219" w:rsidRPr="007035B9">
        <w:rPr>
          <w:rFonts w:ascii="Arial" w:hAnsi="Arial" w:cs="Arial"/>
          <w:bCs/>
          <w:color w:val="000000"/>
          <w:sz w:val="22"/>
          <w:szCs w:val="22"/>
          <w:shd w:val="clear" w:color="auto" w:fill="FFFFFF"/>
        </w:rPr>
        <w:t xml:space="preserve"> with DMSO, </w:t>
      </w:r>
      <w:r w:rsidR="006E6219">
        <w:rPr>
          <w:rFonts w:ascii="Arial" w:hAnsi="Arial" w:cs="Arial"/>
          <w:bCs/>
          <w:color w:val="000000"/>
          <w:sz w:val="22"/>
          <w:szCs w:val="22"/>
          <w:shd w:val="clear" w:color="auto" w:fill="FFFFFF"/>
        </w:rPr>
        <w:t>ceralasertib</w:t>
      </w:r>
      <w:r w:rsidR="006E6219" w:rsidRPr="007035B9">
        <w:rPr>
          <w:rFonts w:ascii="Arial" w:hAnsi="Arial" w:cs="Arial"/>
          <w:bCs/>
          <w:color w:val="000000"/>
          <w:sz w:val="22"/>
          <w:szCs w:val="22"/>
          <w:shd w:val="clear" w:color="auto" w:fill="FFFFFF"/>
        </w:rPr>
        <w:t xml:space="preserve"> </w:t>
      </w:r>
      <w:r w:rsidR="006E6219">
        <w:rPr>
          <w:rFonts w:ascii="Arial" w:hAnsi="Arial" w:cs="Arial"/>
          <w:bCs/>
          <w:color w:val="000000"/>
          <w:sz w:val="22"/>
          <w:szCs w:val="22"/>
          <w:shd w:val="clear" w:color="auto" w:fill="FFFFFF"/>
        </w:rPr>
        <w:t>(ATR inhibitor; 5</w:t>
      </w:r>
      <w:r w:rsidR="006E6219" w:rsidRPr="007035B9">
        <w:rPr>
          <w:rFonts w:ascii="Arial" w:hAnsi="Arial" w:cs="Arial"/>
          <w:bCs/>
          <w:color w:val="000000"/>
          <w:sz w:val="22"/>
          <w:szCs w:val="22"/>
          <w:shd w:val="clear" w:color="auto" w:fill="FFFFFF"/>
        </w:rPr>
        <w:t xml:space="preserve">00 nM), Z-VAD-FMK (10 </w:t>
      </w:r>
      <w:proofErr w:type="spellStart"/>
      <w:r w:rsidR="006E6219" w:rsidRPr="007035B9">
        <w:rPr>
          <w:rFonts w:ascii="Arial" w:hAnsi="Arial" w:cs="Arial"/>
          <w:bCs/>
          <w:color w:val="000000"/>
          <w:sz w:val="20"/>
          <w:szCs w:val="20"/>
          <w:shd w:val="clear" w:color="auto" w:fill="FFFFFF"/>
        </w:rPr>
        <w:t>μ</w:t>
      </w:r>
      <w:r w:rsidR="006E6219" w:rsidRPr="007035B9">
        <w:rPr>
          <w:rFonts w:ascii="Arial" w:hAnsi="Arial" w:cs="Arial"/>
          <w:bCs/>
          <w:color w:val="000000"/>
          <w:sz w:val="22"/>
          <w:szCs w:val="22"/>
          <w:shd w:val="clear" w:color="auto" w:fill="FFFFFF"/>
        </w:rPr>
        <w:t>M</w:t>
      </w:r>
      <w:proofErr w:type="spellEnd"/>
      <w:r w:rsidR="006E6219" w:rsidRPr="007035B9">
        <w:rPr>
          <w:rFonts w:ascii="Arial" w:hAnsi="Arial" w:cs="Arial"/>
          <w:bCs/>
          <w:color w:val="000000"/>
          <w:sz w:val="22"/>
          <w:szCs w:val="22"/>
          <w:shd w:val="clear" w:color="auto" w:fill="FFFFFF"/>
        </w:rPr>
        <w:t>)</w:t>
      </w:r>
      <w:r w:rsidR="006E6219">
        <w:rPr>
          <w:rFonts w:ascii="Arial" w:hAnsi="Arial" w:cs="Arial"/>
          <w:bCs/>
          <w:color w:val="000000"/>
          <w:sz w:val="22"/>
          <w:szCs w:val="22"/>
          <w:shd w:val="clear" w:color="auto" w:fill="FFFFFF"/>
        </w:rPr>
        <w:t xml:space="preserve">, or </w:t>
      </w:r>
      <w:proofErr w:type="spellStart"/>
      <w:r w:rsidR="006E6219">
        <w:rPr>
          <w:rFonts w:ascii="Arial" w:hAnsi="Arial" w:cs="Arial"/>
          <w:bCs/>
          <w:color w:val="000000"/>
          <w:sz w:val="22"/>
          <w:szCs w:val="22"/>
          <w:shd w:val="clear" w:color="auto" w:fill="FFFFFF"/>
        </w:rPr>
        <w:t>ceralasertib</w:t>
      </w:r>
      <w:proofErr w:type="spellEnd"/>
      <w:r w:rsidR="006E6219" w:rsidRPr="007035B9">
        <w:rPr>
          <w:rFonts w:ascii="Arial" w:hAnsi="Arial" w:cs="Arial"/>
          <w:bCs/>
          <w:color w:val="000000"/>
          <w:sz w:val="22"/>
          <w:szCs w:val="22"/>
          <w:shd w:val="clear" w:color="auto" w:fill="FFFFFF"/>
        </w:rPr>
        <w:t xml:space="preserve"> plus </w:t>
      </w:r>
      <w:r w:rsidR="006E6219">
        <w:rPr>
          <w:rFonts w:ascii="Arial" w:hAnsi="Arial" w:cs="Arial"/>
          <w:bCs/>
          <w:color w:val="000000"/>
          <w:sz w:val="22"/>
          <w:szCs w:val="22"/>
          <w:shd w:val="clear" w:color="auto" w:fill="FFFFFF"/>
        </w:rPr>
        <w:t>Z-VAD-FMK</w:t>
      </w:r>
      <w:r w:rsidR="006E6219" w:rsidRPr="007035B9">
        <w:rPr>
          <w:rFonts w:ascii="Arial" w:hAnsi="Arial" w:cs="Arial"/>
          <w:bCs/>
          <w:color w:val="000000"/>
          <w:sz w:val="22"/>
          <w:szCs w:val="22"/>
          <w:shd w:val="clear" w:color="auto" w:fill="FFFFFF"/>
        </w:rPr>
        <w:t>.</w:t>
      </w:r>
      <w:r w:rsidR="006E6219">
        <w:rPr>
          <w:rFonts w:ascii="Arial" w:hAnsi="Arial" w:cs="Arial"/>
          <w:bCs/>
          <w:color w:val="000000"/>
          <w:sz w:val="22"/>
          <w:szCs w:val="22"/>
          <w:shd w:val="clear" w:color="auto" w:fill="FFFFFF"/>
        </w:rPr>
        <w:t xml:space="preserve"> (B) </w:t>
      </w:r>
      <w:r>
        <w:rPr>
          <w:rFonts w:ascii="Arial" w:hAnsi="Arial" w:cs="Arial"/>
          <w:color w:val="000000"/>
          <w:sz w:val="22"/>
          <w:szCs w:val="22"/>
          <w:shd w:val="clear" w:color="auto" w:fill="FFFFFF"/>
        </w:rPr>
        <w:t xml:space="preserve">Ewing sarcoma cells were </w:t>
      </w:r>
      <w:r w:rsidRPr="007035B9">
        <w:rPr>
          <w:rFonts w:ascii="Arial" w:hAnsi="Arial" w:cs="Arial"/>
          <w:bCs/>
          <w:color w:val="000000"/>
          <w:sz w:val="22"/>
          <w:szCs w:val="22"/>
          <w:shd w:val="clear" w:color="auto" w:fill="FFFFFF"/>
        </w:rPr>
        <w:t xml:space="preserve">synchronized in S-phase using thymidine treatment for 18 hours. While maintaining thymidine </w:t>
      </w:r>
      <w:r>
        <w:rPr>
          <w:rFonts w:ascii="Arial" w:hAnsi="Arial" w:cs="Arial"/>
          <w:bCs/>
          <w:color w:val="000000"/>
          <w:sz w:val="22"/>
          <w:szCs w:val="22"/>
          <w:shd w:val="clear" w:color="auto" w:fill="FFFFFF"/>
        </w:rPr>
        <w:t>treatment</w:t>
      </w:r>
      <w:r w:rsidRPr="007035B9">
        <w:rPr>
          <w:rFonts w:ascii="Arial" w:hAnsi="Arial" w:cs="Arial"/>
          <w:bCs/>
          <w:color w:val="000000"/>
          <w:sz w:val="22"/>
          <w:szCs w:val="22"/>
          <w:shd w:val="clear" w:color="auto" w:fill="FFFFFF"/>
        </w:rPr>
        <w:t>, cells were subsequently treated</w:t>
      </w:r>
      <w:r>
        <w:rPr>
          <w:rFonts w:ascii="Arial" w:hAnsi="Arial" w:cs="Arial"/>
          <w:bCs/>
          <w:color w:val="000000"/>
          <w:sz w:val="22"/>
          <w:szCs w:val="22"/>
          <w:shd w:val="clear" w:color="auto" w:fill="FFFFFF"/>
        </w:rPr>
        <w:t xml:space="preserve"> for 4 hours</w:t>
      </w:r>
      <w:r w:rsidRPr="007035B9">
        <w:rPr>
          <w:rFonts w:ascii="Arial" w:hAnsi="Arial" w:cs="Arial"/>
          <w:bCs/>
          <w:color w:val="000000"/>
          <w:sz w:val="22"/>
          <w:szCs w:val="22"/>
          <w:shd w:val="clear" w:color="auto" w:fill="FFFFFF"/>
        </w:rPr>
        <w:t xml:space="preserve"> with DMSO, </w:t>
      </w:r>
      <w:r>
        <w:rPr>
          <w:rFonts w:ascii="Arial" w:hAnsi="Arial" w:cs="Arial"/>
          <w:bCs/>
          <w:color w:val="000000"/>
          <w:sz w:val="22"/>
          <w:szCs w:val="22"/>
          <w:shd w:val="clear" w:color="auto" w:fill="FFFFFF"/>
        </w:rPr>
        <w:t>RP-6306</w:t>
      </w:r>
      <w:r w:rsidRPr="007035B9">
        <w:rPr>
          <w:rFonts w:ascii="Arial" w:hAnsi="Arial" w:cs="Arial"/>
          <w:bCs/>
          <w:color w:val="000000"/>
          <w:sz w:val="22"/>
          <w:szCs w:val="22"/>
          <w:shd w:val="clear" w:color="auto" w:fill="FFFFFF"/>
        </w:rPr>
        <w:t xml:space="preserve"> </w:t>
      </w:r>
      <w:r>
        <w:rPr>
          <w:rFonts w:ascii="Arial" w:hAnsi="Arial" w:cs="Arial"/>
          <w:bCs/>
          <w:color w:val="000000"/>
          <w:sz w:val="22"/>
          <w:szCs w:val="22"/>
          <w:shd w:val="clear" w:color="auto" w:fill="FFFFFF"/>
        </w:rPr>
        <w:t>(</w:t>
      </w:r>
      <w:r w:rsidR="006E6219">
        <w:rPr>
          <w:rFonts w:ascii="Arial" w:hAnsi="Arial" w:cs="Arial"/>
          <w:bCs/>
          <w:color w:val="000000"/>
          <w:sz w:val="22"/>
          <w:szCs w:val="22"/>
          <w:shd w:val="clear" w:color="auto" w:fill="FFFFFF"/>
        </w:rPr>
        <w:t xml:space="preserve">PKMYT1 inhibitor; </w:t>
      </w:r>
      <w:r>
        <w:rPr>
          <w:rFonts w:ascii="Arial" w:hAnsi="Arial" w:cs="Arial"/>
          <w:bCs/>
          <w:color w:val="000000"/>
          <w:sz w:val="22"/>
          <w:szCs w:val="22"/>
          <w:shd w:val="clear" w:color="auto" w:fill="FFFFFF"/>
        </w:rPr>
        <w:t>5</w:t>
      </w:r>
      <w:r w:rsidRPr="007035B9">
        <w:rPr>
          <w:rFonts w:ascii="Arial" w:hAnsi="Arial" w:cs="Arial"/>
          <w:bCs/>
          <w:color w:val="000000"/>
          <w:sz w:val="22"/>
          <w:szCs w:val="22"/>
          <w:shd w:val="clear" w:color="auto" w:fill="FFFFFF"/>
        </w:rPr>
        <w:t xml:space="preserve">00 nM), Z-VAD-FMK (10 </w:t>
      </w:r>
      <w:proofErr w:type="spellStart"/>
      <w:r w:rsidRPr="007035B9">
        <w:rPr>
          <w:rFonts w:ascii="Arial" w:hAnsi="Arial" w:cs="Arial"/>
          <w:bCs/>
          <w:color w:val="000000"/>
          <w:sz w:val="20"/>
          <w:szCs w:val="20"/>
          <w:shd w:val="clear" w:color="auto" w:fill="FFFFFF"/>
        </w:rPr>
        <w:t>μ</w:t>
      </w:r>
      <w:r w:rsidRPr="007035B9">
        <w:rPr>
          <w:rFonts w:ascii="Arial" w:hAnsi="Arial" w:cs="Arial"/>
          <w:bCs/>
          <w:color w:val="000000"/>
          <w:sz w:val="22"/>
          <w:szCs w:val="22"/>
          <w:shd w:val="clear" w:color="auto" w:fill="FFFFFF"/>
        </w:rPr>
        <w:t>M</w:t>
      </w:r>
      <w:proofErr w:type="spellEnd"/>
      <w:r w:rsidRPr="007035B9">
        <w:rPr>
          <w:rFonts w:ascii="Arial" w:hAnsi="Arial" w:cs="Arial"/>
          <w:bCs/>
          <w:color w:val="000000"/>
          <w:sz w:val="22"/>
          <w:szCs w:val="22"/>
          <w:shd w:val="clear" w:color="auto" w:fill="FFFFFF"/>
        </w:rPr>
        <w:t>)</w:t>
      </w:r>
      <w:r>
        <w:rPr>
          <w:rFonts w:ascii="Arial" w:hAnsi="Arial" w:cs="Arial"/>
          <w:bCs/>
          <w:color w:val="000000"/>
          <w:sz w:val="22"/>
          <w:szCs w:val="22"/>
          <w:shd w:val="clear" w:color="auto" w:fill="FFFFFF"/>
        </w:rPr>
        <w:t xml:space="preserve">, or </w:t>
      </w:r>
      <w:r w:rsidR="00403CCC">
        <w:rPr>
          <w:rFonts w:ascii="Arial" w:hAnsi="Arial" w:cs="Arial"/>
          <w:bCs/>
          <w:color w:val="000000"/>
          <w:sz w:val="22"/>
          <w:szCs w:val="22"/>
          <w:shd w:val="clear" w:color="auto" w:fill="FFFFFF"/>
        </w:rPr>
        <w:t>RP-6306</w:t>
      </w:r>
      <w:r w:rsidRPr="007035B9">
        <w:rPr>
          <w:rFonts w:ascii="Arial" w:hAnsi="Arial" w:cs="Arial"/>
          <w:bCs/>
          <w:color w:val="000000"/>
          <w:sz w:val="22"/>
          <w:szCs w:val="22"/>
          <w:shd w:val="clear" w:color="auto" w:fill="FFFFFF"/>
        </w:rPr>
        <w:t xml:space="preserve"> plus </w:t>
      </w:r>
      <w:r>
        <w:rPr>
          <w:rFonts w:ascii="Arial" w:hAnsi="Arial" w:cs="Arial"/>
          <w:bCs/>
          <w:color w:val="000000"/>
          <w:sz w:val="22"/>
          <w:szCs w:val="22"/>
          <w:shd w:val="clear" w:color="auto" w:fill="FFFFFF"/>
        </w:rPr>
        <w:t>Z-VAD-FMK</w:t>
      </w:r>
      <w:r w:rsidRPr="007035B9">
        <w:rPr>
          <w:rFonts w:ascii="Arial" w:hAnsi="Arial" w:cs="Arial"/>
          <w:bCs/>
          <w:color w:val="000000"/>
          <w:sz w:val="22"/>
          <w:szCs w:val="22"/>
          <w:shd w:val="clear" w:color="auto" w:fill="FFFFFF"/>
        </w:rPr>
        <w:t>.</w:t>
      </w:r>
      <w:r>
        <w:rPr>
          <w:rFonts w:ascii="Arial" w:hAnsi="Arial" w:cs="Arial"/>
          <w:bCs/>
          <w:color w:val="000000"/>
          <w:sz w:val="22"/>
          <w:szCs w:val="22"/>
          <w:shd w:val="clear" w:color="auto" w:fill="FFFFFF"/>
        </w:rPr>
        <w:t xml:space="preserve"> (</w:t>
      </w:r>
      <w:r w:rsidR="006E6219">
        <w:rPr>
          <w:rFonts w:ascii="Arial" w:hAnsi="Arial" w:cs="Arial"/>
          <w:bCs/>
          <w:color w:val="000000"/>
          <w:sz w:val="22"/>
          <w:szCs w:val="22"/>
          <w:shd w:val="clear" w:color="auto" w:fill="FFFFFF"/>
        </w:rPr>
        <w:t>C</w:t>
      </w:r>
      <w:r>
        <w:rPr>
          <w:rFonts w:ascii="Arial" w:hAnsi="Arial" w:cs="Arial"/>
          <w:bCs/>
          <w:color w:val="000000"/>
          <w:sz w:val="22"/>
          <w:szCs w:val="22"/>
          <w:shd w:val="clear" w:color="auto" w:fill="FFFFFF"/>
        </w:rPr>
        <w:t xml:space="preserve">) </w:t>
      </w:r>
      <w:r w:rsidR="006E6219">
        <w:rPr>
          <w:rFonts w:ascii="Arial" w:hAnsi="Arial" w:cs="Arial"/>
          <w:color w:val="000000"/>
          <w:sz w:val="22"/>
          <w:szCs w:val="22"/>
          <w:shd w:val="clear" w:color="auto" w:fill="FFFFFF"/>
        </w:rPr>
        <w:t xml:space="preserve">Ewing sarcoma cells were </w:t>
      </w:r>
      <w:r w:rsidR="006E6219" w:rsidRPr="007035B9">
        <w:rPr>
          <w:rFonts w:ascii="Arial" w:hAnsi="Arial" w:cs="Arial"/>
          <w:bCs/>
          <w:color w:val="000000"/>
          <w:sz w:val="22"/>
          <w:szCs w:val="22"/>
          <w:shd w:val="clear" w:color="auto" w:fill="FFFFFF"/>
        </w:rPr>
        <w:t xml:space="preserve">synchronized in S-phase using thymidine treatment for 18 hours. While maintaining thymidine </w:t>
      </w:r>
      <w:r w:rsidR="006E6219">
        <w:rPr>
          <w:rFonts w:ascii="Arial" w:hAnsi="Arial" w:cs="Arial"/>
          <w:bCs/>
          <w:color w:val="000000"/>
          <w:sz w:val="22"/>
          <w:szCs w:val="22"/>
          <w:shd w:val="clear" w:color="auto" w:fill="FFFFFF"/>
        </w:rPr>
        <w:t>treatment</w:t>
      </w:r>
      <w:r w:rsidR="006E6219" w:rsidRPr="007035B9">
        <w:rPr>
          <w:rFonts w:ascii="Arial" w:hAnsi="Arial" w:cs="Arial"/>
          <w:bCs/>
          <w:color w:val="000000"/>
          <w:sz w:val="22"/>
          <w:szCs w:val="22"/>
          <w:shd w:val="clear" w:color="auto" w:fill="FFFFFF"/>
        </w:rPr>
        <w:t>, cells were subsequently treated</w:t>
      </w:r>
      <w:r w:rsidR="006E6219">
        <w:rPr>
          <w:rFonts w:ascii="Arial" w:hAnsi="Arial" w:cs="Arial"/>
          <w:bCs/>
          <w:color w:val="000000"/>
          <w:sz w:val="22"/>
          <w:szCs w:val="22"/>
          <w:shd w:val="clear" w:color="auto" w:fill="FFFFFF"/>
        </w:rPr>
        <w:t xml:space="preserve"> for 4 hours</w:t>
      </w:r>
      <w:r w:rsidR="006E6219" w:rsidRPr="007035B9">
        <w:rPr>
          <w:rFonts w:ascii="Arial" w:hAnsi="Arial" w:cs="Arial"/>
          <w:bCs/>
          <w:color w:val="000000"/>
          <w:sz w:val="22"/>
          <w:szCs w:val="22"/>
          <w:shd w:val="clear" w:color="auto" w:fill="FFFFFF"/>
        </w:rPr>
        <w:t xml:space="preserve"> with DMSO,</w:t>
      </w:r>
      <w:r w:rsidR="006E6219">
        <w:rPr>
          <w:rFonts w:ascii="Arial" w:hAnsi="Arial" w:cs="Arial"/>
          <w:bCs/>
          <w:color w:val="000000"/>
          <w:sz w:val="22"/>
          <w:szCs w:val="22"/>
          <w:shd w:val="clear" w:color="auto" w:fill="FFFFFF"/>
        </w:rPr>
        <w:t xml:space="preserve"> prexasertib, or prexasertib in combination with either navitoclax or venetoclax. (D)</w:t>
      </w:r>
      <w:r w:rsidR="001A46B2">
        <w:rPr>
          <w:rFonts w:ascii="Arial" w:hAnsi="Arial" w:cs="Arial"/>
          <w:bCs/>
          <w:color w:val="000000"/>
          <w:sz w:val="22"/>
          <w:szCs w:val="22"/>
          <w:shd w:val="clear" w:color="auto" w:fill="FFFFFF"/>
        </w:rPr>
        <w:t xml:space="preserve"> </w:t>
      </w:r>
      <w:r w:rsidR="001A46B2" w:rsidRPr="007035B9">
        <w:rPr>
          <w:rFonts w:ascii="Arial" w:hAnsi="Arial" w:cs="Arial"/>
          <w:color w:val="000000"/>
          <w:sz w:val="22"/>
          <w:szCs w:val="22"/>
          <w:shd w:val="clear" w:color="auto" w:fill="FFFFFF"/>
        </w:rPr>
        <w:t>E</w:t>
      </w:r>
      <w:r w:rsidR="001A46B2" w:rsidRPr="007035B9">
        <w:rPr>
          <w:rFonts w:ascii="Arial" w:hAnsi="Arial" w:cs="Arial"/>
          <w:bCs/>
          <w:color w:val="000000"/>
          <w:sz w:val="22"/>
          <w:szCs w:val="22"/>
          <w:shd w:val="clear" w:color="auto" w:fill="FFFFFF"/>
        </w:rPr>
        <w:t xml:space="preserve">W8 and TC71 cells were synchronized in S-phase using thymidine treatment for 18 hours. While maintaining thymidine </w:t>
      </w:r>
      <w:r w:rsidR="001A46B2">
        <w:rPr>
          <w:rFonts w:ascii="Arial" w:hAnsi="Arial" w:cs="Arial"/>
          <w:bCs/>
          <w:color w:val="000000"/>
          <w:sz w:val="22"/>
          <w:szCs w:val="22"/>
          <w:shd w:val="clear" w:color="auto" w:fill="FFFFFF"/>
        </w:rPr>
        <w:t>treatment</w:t>
      </w:r>
      <w:r w:rsidR="001A46B2" w:rsidRPr="007035B9">
        <w:rPr>
          <w:rFonts w:ascii="Arial" w:hAnsi="Arial" w:cs="Arial"/>
          <w:bCs/>
          <w:color w:val="000000"/>
          <w:sz w:val="22"/>
          <w:szCs w:val="22"/>
          <w:shd w:val="clear" w:color="auto" w:fill="FFFFFF"/>
        </w:rPr>
        <w:t xml:space="preserve">, cells were subsequently treated </w:t>
      </w:r>
      <w:r w:rsidR="001A46B2">
        <w:rPr>
          <w:rFonts w:ascii="Arial" w:hAnsi="Arial" w:cs="Arial"/>
          <w:bCs/>
          <w:color w:val="000000"/>
          <w:sz w:val="22"/>
          <w:szCs w:val="22"/>
          <w:shd w:val="clear" w:color="auto" w:fill="FFFFFF"/>
        </w:rPr>
        <w:t>for 24 hours</w:t>
      </w:r>
      <w:r w:rsidR="001A46B2" w:rsidRPr="007035B9">
        <w:rPr>
          <w:rFonts w:ascii="Arial" w:hAnsi="Arial" w:cs="Arial"/>
          <w:bCs/>
          <w:color w:val="000000"/>
          <w:sz w:val="22"/>
          <w:szCs w:val="22"/>
          <w:shd w:val="clear" w:color="auto" w:fill="FFFFFF"/>
        </w:rPr>
        <w:t xml:space="preserve"> with DMSO, </w:t>
      </w:r>
      <w:r w:rsidR="001A46B2" w:rsidRPr="0003070F">
        <w:rPr>
          <w:rFonts w:ascii="Arial" w:hAnsi="Arial" w:cs="Arial"/>
          <w:bCs/>
          <w:color w:val="000000"/>
          <w:sz w:val="22"/>
          <w:szCs w:val="22"/>
          <w:shd w:val="clear" w:color="auto" w:fill="FFFFFF"/>
        </w:rPr>
        <w:t>prexasertib (</w:t>
      </w:r>
      <w:r w:rsidR="001A46B2">
        <w:rPr>
          <w:rFonts w:ascii="Arial" w:hAnsi="Arial" w:cs="Arial"/>
          <w:bCs/>
          <w:color w:val="000000"/>
          <w:sz w:val="22"/>
          <w:szCs w:val="22"/>
          <w:shd w:val="clear" w:color="auto" w:fill="FFFFFF"/>
        </w:rPr>
        <w:t>100 nM</w:t>
      </w:r>
      <w:r w:rsidR="001A46B2" w:rsidRPr="0003070F">
        <w:rPr>
          <w:rFonts w:ascii="Arial" w:hAnsi="Arial" w:cs="Arial"/>
          <w:bCs/>
          <w:color w:val="000000"/>
          <w:sz w:val="22"/>
          <w:szCs w:val="22"/>
          <w:shd w:val="clear" w:color="auto" w:fill="FFFFFF"/>
        </w:rPr>
        <w:t>), or prexasertib</w:t>
      </w:r>
      <w:r w:rsidR="001A46B2">
        <w:rPr>
          <w:rFonts w:ascii="Arial" w:hAnsi="Arial" w:cs="Arial"/>
          <w:bCs/>
          <w:color w:val="000000"/>
          <w:sz w:val="22"/>
          <w:szCs w:val="22"/>
          <w:shd w:val="clear" w:color="auto" w:fill="FFFFFF"/>
        </w:rPr>
        <w:t xml:space="preserve"> (100 nM)</w:t>
      </w:r>
      <w:r w:rsidR="001A46B2" w:rsidRPr="0003070F">
        <w:rPr>
          <w:rFonts w:ascii="Arial" w:hAnsi="Arial" w:cs="Arial"/>
          <w:bCs/>
          <w:color w:val="000000"/>
          <w:sz w:val="22"/>
          <w:szCs w:val="22"/>
          <w:shd w:val="clear" w:color="auto" w:fill="FFFFFF"/>
        </w:rPr>
        <w:t xml:space="preserve"> with </w:t>
      </w:r>
      <w:r w:rsidR="001A46B2">
        <w:rPr>
          <w:rFonts w:ascii="Arial" w:hAnsi="Arial" w:cs="Arial"/>
          <w:bCs/>
          <w:color w:val="000000"/>
          <w:sz w:val="22"/>
          <w:szCs w:val="22"/>
          <w:shd w:val="clear" w:color="auto" w:fill="FFFFFF"/>
        </w:rPr>
        <w:t>navitoclax</w:t>
      </w:r>
      <w:r w:rsidR="001A46B2" w:rsidRPr="0003070F">
        <w:rPr>
          <w:rFonts w:ascii="Arial" w:hAnsi="Arial" w:cs="Arial"/>
          <w:bCs/>
          <w:color w:val="000000"/>
          <w:sz w:val="22"/>
          <w:szCs w:val="22"/>
          <w:shd w:val="clear" w:color="auto" w:fill="FFFFFF"/>
        </w:rPr>
        <w:t xml:space="preserve"> (</w:t>
      </w:r>
      <w:r w:rsidR="001A46B2">
        <w:rPr>
          <w:rFonts w:ascii="Arial" w:hAnsi="Arial" w:cs="Arial"/>
          <w:bCs/>
          <w:color w:val="000000"/>
          <w:sz w:val="22"/>
          <w:szCs w:val="22"/>
          <w:shd w:val="clear" w:color="auto" w:fill="FFFFFF"/>
        </w:rPr>
        <w:t xml:space="preserve">1 </w:t>
      </w:r>
      <w:r w:rsidR="001A46B2" w:rsidRPr="00C15E5F">
        <w:rPr>
          <w:rFonts w:ascii="Symbol" w:hAnsi="Symbol" w:cs="Arial"/>
          <w:bCs/>
          <w:color w:val="000000"/>
          <w:sz w:val="20"/>
          <w:szCs w:val="20"/>
          <w:shd w:val="clear" w:color="auto" w:fill="FFFFFF"/>
        </w:rPr>
        <w:t>m</w:t>
      </w:r>
      <w:r w:rsidR="001A46B2">
        <w:rPr>
          <w:rFonts w:ascii="Arial" w:hAnsi="Arial" w:cs="Arial"/>
          <w:bCs/>
          <w:color w:val="000000"/>
          <w:sz w:val="22"/>
          <w:szCs w:val="22"/>
          <w:shd w:val="clear" w:color="auto" w:fill="FFFFFF"/>
        </w:rPr>
        <w:t>M</w:t>
      </w:r>
      <w:r w:rsidR="001A46B2" w:rsidRPr="0003070F">
        <w:rPr>
          <w:rFonts w:ascii="Arial" w:hAnsi="Arial" w:cs="Arial"/>
          <w:bCs/>
          <w:color w:val="000000"/>
          <w:sz w:val="22"/>
          <w:szCs w:val="22"/>
          <w:shd w:val="clear" w:color="auto" w:fill="FFFFFF"/>
        </w:rPr>
        <w:t>). Cell viability was then quantified using Cell-Titer-Glo.</w:t>
      </w:r>
      <w:r w:rsidR="001A46B2">
        <w:rPr>
          <w:rFonts w:ascii="Arial" w:hAnsi="Arial" w:cs="Arial"/>
          <w:color w:val="000000"/>
          <w:sz w:val="22"/>
          <w:szCs w:val="22"/>
          <w:shd w:val="clear" w:color="auto" w:fill="FFFFFF"/>
        </w:rPr>
        <w:t xml:space="preserve"> </w:t>
      </w:r>
      <w:r w:rsidR="00552BF5" w:rsidRPr="00E26953">
        <w:rPr>
          <w:rFonts w:ascii="Arial" w:hAnsi="Arial" w:cs="Arial"/>
          <w:color w:val="000000"/>
          <w:sz w:val="22"/>
          <w:szCs w:val="22"/>
          <w:shd w:val="clear" w:color="auto" w:fill="FFFFFF"/>
        </w:rPr>
        <w:t>Multiple comparisons</w:t>
      </w:r>
      <w:r w:rsidR="00552BF5">
        <w:rPr>
          <w:rFonts w:ascii="Arial" w:hAnsi="Arial" w:cs="Arial"/>
          <w:color w:val="000000"/>
          <w:sz w:val="22"/>
          <w:szCs w:val="22"/>
          <w:shd w:val="clear" w:color="auto" w:fill="FFFFFF"/>
        </w:rPr>
        <w:t xml:space="preserve"> </w:t>
      </w:r>
      <w:r w:rsidR="00552BF5" w:rsidRPr="00E26953">
        <w:rPr>
          <w:rFonts w:ascii="Arial" w:hAnsi="Arial" w:cs="Arial"/>
          <w:color w:val="000000"/>
          <w:sz w:val="22"/>
          <w:szCs w:val="22"/>
          <w:shd w:val="clear" w:color="auto" w:fill="FFFFFF"/>
        </w:rPr>
        <w:t>were analyzed by 1-way ANOVA with Tukey’s post hoc multiple comparisons test</w:t>
      </w:r>
      <w:r w:rsidR="00552BF5">
        <w:rPr>
          <w:rFonts w:ascii="Arial" w:hAnsi="Arial" w:cs="Arial"/>
          <w:color w:val="000000"/>
          <w:sz w:val="22"/>
          <w:szCs w:val="22"/>
          <w:shd w:val="clear" w:color="auto" w:fill="FFFFFF"/>
        </w:rPr>
        <w:t>, with selected comparisons shown</w:t>
      </w:r>
      <w:r w:rsidR="00552BF5" w:rsidRPr="00E26953">
        <w:rPr>
          <w:rFonts w:ascii="Arial" w:hAnsi="Arial" w:cs="Arial"/>
          <w:color w:val="000000"/>
          <w:sz w:val="22"/>
          <w:szCs w:val="22"/>
          <w:shd w:val="clear" w:color="auto" w:fill="FFFFFF"/>
        </w:rPr>
        <w:t>.</w:t>
      </w:r>
      <w:r w:rsidR="00552BF5" w:rsidRPr="00E26953">
        <w:rPr>
          <w:rFonts w:ascii="Arial" w:hAnsi="Arial" w:cs="Arial"/>
          <w:color w:val="000000"/>
          <w:sz w:val="22"/>
          <w:szCs w:val="22"/>
          <w:shd w:val="clear" w:color="auto" w:fill="FFFFFF"/>
          <w:lang w:val="en"/>
        </w:rPr>
        <w:t xml:space="preserve"> </w:t>
      </w:r>
      <w:r w:rsidR="00552BF5" w:rsidRPr="00E26953">
        <w:rPr>
          <w:rFonts w:ascii="Arial" w:hAnsi="Arial" w:cs="Arial"/>
          <w:i/>
          <w:iCs/>
          <w:color w:val="000000"/>
          <w:sz w:val="22"/>
          <w:szCs w:val="22"/>
          <w:shd w:val="clear" w:color="auto" w:fill="FFFFFF"/>
        </w:rPr>
        <w:t>P</w:t>
      </w:r>
      <w:r w:rsidR="00552BF5" w:rsidRPr="00E26953">
        <w:rPr>
          <w:rFonts w:ascii="Arial" w:hAnsi="Arial" w:cs="Arial"/>
          <w:color w:val="000000"/>
          <w:sz w:val="22"/>
          <w:szCs w:val="22"/>
          <w:shd w:val="clear" w:color="auto" w:fill="FFFFFF"/>
        </w:rPr>
        <w:t> values of less than or equal to 0.05 were considered significant.</w:t>
      </w:r>
      <w:r w:rsidR="00552BF5">
        <w:rPr>
          <w:rFonts w:ascii="Arial" w:hAnsi="Arial" w:cs="Arial"/>
          <w:color w:val="000000"/>
          <w:sz w:val="22"/>
          <w:szCs w:val="22"/>
          <w:shd w:val="clear" w:color="auto" w:fill="FFFFFF"/>
        </w:rPr>
        <w:t xml:space="preserve"> </w:t>
      </w:r>
      <w:r w:rsidR="00552BF5" w:rsidRPr="0003070F">
        <w:rPr>
          <w:rFonts w:ascii="Arial" w:hAnsi="Arial" w:cs="Arial"/>
          <w:bCs/>
          <w:color w:val="000000"/>
          <w:sz w:val="22"/>
          <w:szCs w:val="22"/>
          <w:shd w:val="clear" w:color="auto" w:fill="FFFFFF"/>
        </w:rPr>
        <w:t xml:space="preserve">****, P &lt; 0.0001. </w:t>
      </w:r>
    </w:p>
    <w:p w14:paraId="584A55B8" w14:textId="77777777" w:rsidR="008D3D31" w:rsidRDefault="008D3D31" w:rsidP="008D3D31">
      <w:pPr>
        <w:rPr>
          <w:rFonts w:ascii="Arial" w:hAnsi="Arial" w:cs="Arial"/>
          <w:bCs/>
          <w:color w:val="000000"/>
          <w:sz w:val="22"/>
          <w:szCs w:val="22"/>
          <w:shd w:val="clear" w:color="auto" w:fill="FFFFFF"/>
        </w:rPr>
      </w:pPr>
    </w:p>
    <w:p w14:paraId="4DFB7B8B" w14:textId="6186B9BA" w:rsidR="00045099" w:rsidRPr="004160D4" w:rsidRDefault="00045099" w:rsidP="00045099">
      <w:pPr>
        <w:rPr>
          <w:rFonts w:ascii="Arial" w:hAnsi="Arial" w:cs="Arial"/>
          <w:color w:val="000000"/>
          <w:sz w:val="22"/>
          <w:szCs w:val="22"/>
          <w:shd w:val="clear" w:color="auto" w:fill="FFFFFF"/>
        </w:rPr>
      </w:pPr>
      <w:r w:rsidRPr="00045099">
        <w:rPr>
          <w:rFonts w:ascii="Arial" w:hAnsi="Arial" w:cs="Arial"/>
          <w:b/>
          <w:bCs/>
          <w:color w:val="000000" w:themeColor="text1"/>
          <w:sz w:val="22"/>
          <w:szCs w:val="22"/>
          <w:shd w:val="clear" w:color="auto" w:fill="FFFFFF"/>
        </w:rPr>
        <w:t xml:space="preserve">Supplemental Figure 9. </w:t>
      </w:r>
      <w:r w:rsidRPr="00045099">
        <w:rPr>
          <w:rFonts w:ascii="Arial" w:hAnsi="Arial" w:cs="Arial"/>
          <w:color w:val="000000" w:themeColor="text1"/>
          <w:sz w:val="22"/>
          <w:szCs w:val="22"/>
          <w:shd w:val="clear" w:color="auto" w:fill="FFFFFF"/>
        </w:rPr>
        <w:t xml:space="preserve">(A) Cleaved caspase-8 expression (RPPA) in Ewing sarcoma cells treated with DMSO, thymidine (hours 0-22), prexasertib (hours 18-22), or thymidine (hours 0-22) with prexasertib (hours 18-22). (B) Cells were treated with thymidine (hours 0-22) and then prexasertib was added for 4 hours (hours 18-22). Protein lysates were collected at 0, 2, and 4 hours after the addition of prexasertib. (C-D) EW8 and TC71 cells were synchronized in S-phase using thymidine treatment for 18 hours. While maintaining thymidine treatment, cells were subsequently treated for 24 hours with DMSO, prexasertib (100 nM), or prexasertib (100 nM) with Z-VAD-FMK (10 </w:t>
      </w:r>
      <w:r w:rsidRPr="00045099">
        <w:rPr>
          <w:rFonts w:ascii="Symbol" w:hAnsi="Symbol" w:cs="Arial"/>
          <w:color w:val="000000" w:themeColor="text1"/>
          <w:sz w:val="20"/>
          <w:szCs w:val="20"/>
          <w:shd w:val="clear" w:color="auto" w:fill="FFFFFF"/>
        </w:rPr>
        <w:t></w:t>
      </w:r>
      <w:r w:rsidRPr="00045099">
        <w:rPr>
          <w:rFonts w:ascii="Arial" w:hAnsi="Arial" w:cs="Arial"/>
          <w:color w:val="000000" w:themeColor="text1"/>
          <w:sz w:val="22"/>
          <w:szCs w:val="22"/>
          <w:shd w:val="clear" w:color="auto" w:fill="FFFFFF"/>
        </w:rPr>
        <w:t xml:space="preserve">M; pan-caspase inhibitor), Z-VDVAD-FMK (10 </w:t>
      </w:r>
      <w:r w:rsidRPr="00045099">
        <w:rPr>
          <w:rFonts w:ascii="Symbol" w:hAnsi="Symbol" w:cs="Arial"/>
          <w:color w:val="000000" w:themeColor="text1"/>
          <w:sz w:val="20"/>
          <w:szCs w:val="20"/>
          <w:shd w:val="clear" w:color="auto" w:fill="FFFFFF"/>
        </w:rPr>
        <w:t></w:t>
      </w:r>
      <w:r w:rsidRPr="00045099">
        <w:rPr>
          <w:rFonts w:ascii="Arial" w:hAnsi="Arial" w:cs="Arial"/>
          <w:color w:val="000000" w:themeColor="text1"/>
          <w:sz w:val="22"/>
          <w:szCs w:val="22"/>
          <w:shd w:val="clear" w:color="auto" w:fill="FFFFFF"/>
        </w:rPr>
        <w:t xml:space="preserve">M; caspase-2 inhibitor), Z-IETD-FMK (10 </w:t>
      </w:r>
      <w:r w:rsidRPr="00045099">
        <w:rPr>
          <w:rFonts w:ascii="Symbol" w:hAnsi="Symbol" w:cs="Arial"/>
          <w:color w:val="000000" w:themeColor="text1"/>
          <w:sz w:val="20"/>
          <w:szCs w:val="20"/>
          <w:shd w:val="clear" w:color="auto" w:fill="FFFFFF"/>
        </w:rPr>
        <w:t></w:t>
      </w:r>
      <w:r w:rsidRPr="00045099">
        <w:rPr>
          <w:rFonts w:ascii="Arial" w:hAnsi="Arial" w:cs="Arial"/>
          <w:color w:val="000000" w:themeColor="text1"/>
          <w:sz w:val="22"/>
          <w:szCs w:val="22"/>
          <w:shd w:val="clear" w:color="auto" w:fill="FFFFFF"/>
        </w:rPr>
        <w:t xml:space="preserve">M; caspase-8 inhibitor), Z-LEHD-FMK (10 </w:t>
      </w:r>
      <w:r w:rsidRPr="00045099">
        <w:rPr>
          <w:rFonts w:ascii="Symbol" w:hAnsi="Symbol" w:cs="Arial"/>
          <w:color w:val="000000" w:themeColor="text1"/>
          <w:sz w:val="20"/>
          <w:szCs w:val="20"/>
          <w:shd w:val="clear" w:color="auto" w:fill="FFFFFF"/>
        </w:rPr>
        <w:t></w:t>
      </w:r>
      <w:r w:rsidRPr="00045099">
        <w:rPr>
          <w:rFonts w:ascii="Arial" w:hAnsi="Arial" w:cs="Arial"/>
          <w:color w:val="000000" w:themeColor="text1"/>
          <w:sz w:val="22"/>
          <w:szCs w:val="22"/>
          <w:shd w:val="clear" w:color="auto" w:fill="FFFFFF"/>
        </w:rPr>
        <w:t xml:space="preserve">M; caspase-9 inhibitor), or Z-AEVD-FMK (10 </w:t>
      </w:r>
      <w:r w:rsidRPr="00045099">
        <w:rPr>
          <w:rFonts w:ascii="Symbol" w:hAnsi="Symbol" w:cs="Arial"/>
          <w:color w:val="000000" w:themeColor="text1"/>
          <w:sz w:val="20"/>
          <w:szCs w:val="20"/>
          <w:shd w:val="clear" w:color="auto" w:fill="FFFFFF"/>
        </w:rPr>
        <w:t></w:t>
      </w:r>
      <w:r w:rsidRPr="00045099">
        <w:rPr>
          <w:rFonts w:ascii="Arial" w:hAnsi="Arial" w:cs="Arial"/>
          <w:color w:val="000000" w:themeColor="text1"/>
          <w:sz w:val="22"/>
          <w:szCs w:val="22"/>
          <w:shd w:val="clear" w:color="auto" w:fill="FFFFFF"/>
        </w:rPr>
        <w:t xml:space="preserve">M; caspase 10 inhibitor). Cell viability was then quantified using Cell-Titer-Glo. n=4 replicates per condition. Data are representative of two independent experiments. </w:t>
      </w:r>
      <w:r w:rsidRPr="00E26953">
        <w:rPr>
          <w:rFonts w:ascii="Arial" w:hAnsi="Arial" w:cs="Arial"/>
          <w:color w:val="000000"/>
          <w:sz w:val="22"/>
          <w:szCs w:val="22"/>
          <w:shd w:val="clear" w:color="auto" w:fill="FFFFFF"/>
        </w:rPr>
        <w:t>Multiple comparisons</w:t>
      </w:r>
      <w:r>
        <w:rPr>
          <w:rFonts w:ascii="Arial" w:hAnsi="Arial" w:cs="Arial"/>
          <w:color w:val="000000"/>
          <w:sz w:val="22"/>
          <w:szCs w:val="22"/>
          <w:shd w:val="clear" w:color="auto" w:fill="FFFFFF"/>
        </w:rPr>
        <w:t xml:space="preserve"> </w:t>
      </w:r>
      <w:r w:rsidRPr="00E26953">
        <w:rPr>
          <w:rFonts w:ascii="Arial" w:hAnsi="Arial" w:cs="Arial"/>
          <w:color w:val="000000"/>
          <w:sz w:val="22"/>
          <w:szCs w:val="22"/>
          <w:shd w:val="clear" w:color="auto" w:fill="FFFFFF"/>
        </w:rPr>
        <w:t>were analyzed by 1-way ANOVA with Tukey’s post hoc multiple comparisons test.</w:t>
      </w:r>
      <w:r w:rsidRPr="00E26953">
        <w:rPr>
          <w:rFonts w:ascii="Arial" w:hAnsi="Arial" w:cs="Arial"/>
          <w:color w:val="000000"/>
          <w:sz w:val="22"/>
          <w:szCs w:val="22"/>
          <w:shd w:val="clear" w:color="auto" w:fill="FFFFFF"/>
          <w:lang w:val="en"/>
        </w:rPr>
        <w:t xml:space="preserve"> </w:t>
      </w:r>
      <w:r w:rsidRPr="00E26953">
        <w:rPr>
          <w:rFonts w:ascii="Arial" w:hAnsi="Arial" w:cs="Arial"/>
          <w:i/>
          <w:iCs/>
          <w:color w:val="000000"/>
          <w:sz w:val="22"/>
          <w:szCs w:val="22"/>
          <w:shd w:val="clear" w:color="auto" w:fill="FFFFFF"/>
        </w:rPr>
        <w:t>P</w:t>
      </w:r>
      <w:r w:rsidRPr="00E26953">
        <w:rPr>
          <w:rFonts w:ascii="Arial" w:hAnsi="Arial" w:cs="Arial"/>
          <w:color w:val="000000"/>
          <w:sz w:val="22"/>
          <w:szCs w:val="22"/>
          <w:shd w:val="clear" w:color="auto" w:fill="FFFFFF"/>
        </w:rPr>
        <w:t> values of less than or equal to 0.05 were considered significant.</w:t>
      </w:r>
      <w:r>
        <w:rPr>
          <w:rFonts w:ascii="Arial" w:hAnsi="Arial" w:cs="Arial"/>
          <w:color w:val="000000"/>
          <w:sz w:val="22"/>
          <w:szCs w:val="22"/>
          <w:shd w:val="clear" w:color="auto" w:fill="FFFFFF"/>
        </w:rPr>
        <w:t xml:space="preserve"> </w:t>
      </w:r>
      <w:r w:rsidRPr="00771B6D">
        <w:rPr>
          <w:rFonts w:ascii="Arial" w:hAnsi="Arial" w:cs="Arial"/>
          <w:bCs/>
          <w:color w:val="000000"/>
          <w:sz w:val="22"/>
          <w:szCs w:val="22"/>
          <w:shd w:val="clear" w:color="auto" w:fill="FFFFFF"/>
        </w:rPr>
        <w:t>***P &lt; 0.001.</w:t>
      </w:r>
    </w:p>
    <w:p w14:paraId="303B6FAE" w14:textId="77777777" w:rsidR="00045099" w:rsidRDefault="00045099" w:rsidP="008D3D31">
      <w:pPr>
        <w:rPr>
          <w:rFonts w:ascii="Arial" w:hAnsi="Arial" w:cs="Arial"/>
          <w:bCs/>
          <w:color w:val="000000"/>
          <w:sz w:val="22"/>
          <w:szCs w:val="22"/>
          <w:shd w:val="clear" w:color="auto" w:fill="FFFFFF"/>
        </w:rPr>
      </w:pPr>
    </w:p>
    <w:p w14:paraId="215D83E8" w14:textId="7DD729B0" w:rsidR="00556F8D" w:rsidRPr="00556F8D" w:rsidRDefault="009B4E94" w:rsidP="008D3D31">
      <w:pPr>
        <w:rPr>
          <w:rFonts w:ascii="Arial" w:hAnsi="Arial" w:cs="Arial"/>
          <w:b/>
          <w:bCs/>
          <w:color w:val="000000"/>
          <w:sz w:val="22"/>
          <w:szCs w:val="22"/>
          <w:shd w:val="clear" w:color="auto" w:fill="FFFFFF"/>
        </w:rPr>
      </w:pPr>
      <w:r>
        <w:rPr>
          <w:rFonts w:ascii="Arial" w:hAnsi="Arial" w:cs="Arial"/>
          <w:b/>
          <w:bCs/>
          <w:color w:val="000000"/>
          <w:sz w:val="22"/>
          <w:szCs w:val="22"/>
          <w:shd w:val="clear" w:color="auto" w:fill="FFFFFF"/>
        </w:rPr>
        <w:t xml:space="preserve">Supplemental Figure </w:t>
      </w:r>
      <w:r w:rsidR="004160D4">
        <w:rPr>
          <w:rFonts w:ascii="Arial" w:hAnsi="Arial" w:cs="Arial"/>
          <w:b/>
          <w:bCs/>
          <w:color w:val="000000"/>
          <w:sz w:val="22"/>
          <w:szCs w:val="22"/>
          <w:shd w:val="clear" w:color="auto" w:fill="FFFFFF"/>
        </w:rPr>
        <w:t>10</w:t>
      </w:r>
      <w:r>
        <w:rPr>
          <w:rFonts w:ascii="Arial" w:hAnsi="Arial" w:cs="Arial"/>
          <w:b/>
          <w:bCs/>
          <w:color w:val="000000"/>
          <w:sz w:val="22"/>
          <w:szCs w:val="22"/>
          <w:shd w:val="clear" w:color="auto" w:fill="FFFFFF"/>
        </w:rPr>
        <w:t xml:space="preserve">. </w:t>
      </w:r>
      <w:r w:rsidR="00556F8D">
        <w:rPr>
          <w:rFonts w:ascii="Arial" w:hAnsi="Arial" w:cs="Arial"/>
          <w:color w:val="000000"/>
          <w:sz w:val="22"/>
          <w:szCs w:val="22"/>
          <w:shd w:val="clear" w:color="auto" w:fill="FFFFFF"/>
        </w:rPr>
        <w:t>Ewing sarcoma</w:t>
      </w:r>
      <w:r w:rsidR="00556F8D" w:rsidRPr="007035B9">
        <w:rPr>
          <w:rFonts w:ascii="Arial" w:hAnsi="Arial" w:cs="Arial"/>
          <w:bCs/>
          <w:color w:val="000000"/>
          <w:sz w:val="22"/>
          <w:szCs w:val="22"/>
          <w:shd w:val="clear" w:color="auto" w:fill="FFFFFF"/>
        </w:rPr>
        <w:t xml:space="preserve"> cells were synchronized in S-phase using thymidine treatment for 18 hours. While maintaining thymidine </w:t>
      </w:r>
      <w:r w:rsidR="00556F8D">
        <w:rPr>
          <w:rFonts w:ascii="Arial" w:hAnsi="Arial" w:cs="Arial"/>
          <w:bCs/>
          <w:color w:val="000000"/>
          <w:sz w:val="22"/>
          <w:szCs w:val="22"/>
          <w:shd w:val="clear" w:color="auto" w:fill="FFFFFF"/>
        </w:rPr>
        <w:t>treatment</w:t>
      </w:r>
      <w:r w:rsidR="00556F8D" w:rsidRPr="007035B9">
        <w:rPr>
          <w:rFonts w:ascii="Arial" w:hAnsi="Arial" w:cs="Arial"/>
          <w:bCs/>
          <w:color w:val="000000"/>
          <w:sz w:val="22"/>
          <w:szCs w:val="22"/>
          <w:shd w:val="clear" w:color="auto" w:fill="FFFFFF"/>
        </w:rPr>
        <w:t xml:space="preserve">, cells were subsequently treated </w:t>
      </w:r>
      <w:r w:rsidR="00556F8D">
        <w:rPr>
          <w:rFonts w:ascii="Arial" w:hAnsi="Arial" w:cs="Arial"/>
          <w:bCs/>
          <w:color w:val="000000"/>
          <w:sz w:val="22"/>
          <w:szCs w:val="22"/>
          <w:shd w:val="clear" w:color="auto" w:fill="FFFFFF"/>
        </w:rPr>
        <w:t>for 4 hours</w:t>
      </w:r>
      <w:r w:rsidR="00556F8D" w:rsidRPr="007035B9">
        <w:rPr>
          <w:rFonts w:ascii="Arial" w:hAnsi="Arial" w:cs="Arial"/>
          <w:bCs/>
          <w:color w:val="000000"/>
          <w:sz w:val="22"/>
          <w:szCs w:val="22"/>
          <w:shd w:val="clear" w:color="auto" w:fill="FFFFFF"/>
        </w:rPr>
        <w:t xml:space="preserve"> with DMSO, prexasertib (100 nM), Z-VAD-FMK (10 </w:t>
      </w:r>
      <w:proofErr w:type="spellStart"/>
      <w:r w:rsidR="00556F8D" w:rsidRPr="007035B9">
        <w:rPr>
          <w:rFonts w:ascii="Arial" w:hAnsi="Arial" w:cs="Arial"/>
          <w:bCs/>
          <w:color w:val="000000"/>
          <w:sz w:val="20"/>
          <w:szCs w:val="20"/>
          <w:shd w:val="clear" w:color="auto" w:fill="FFFFFF"/>
        </w:rPr>
        <w:t>μ</w:t>
      </w:r>
      <w:r w:rsidR="00556F8D" w:rsidRPr="007035B9">
        <w:rPr>
          <w:rFonts w:ascii="Arial" w:hAnsi="Arial" w:cs="Arial"/>
          <w:bCs/>
          <w:color w:val="000000"/>
          <w:sz w:val="22"/>
          <w:szCs w:val="22"/>
          <w:shd w:val="clear" w:color="auto" w:fill="FFFFFF"/>
        </w:rPr>
        <w:t>M</w:t>
      </w:r>
      <w:proofErr w:type="spellEnd"/>
      <w:r w:rsidR="00556F8D" w:rsidRPr="007035B9">
        <w:rPr>
          <w:rFonts w:ascii="Arial" w:hAnsi="Arial" w:cs="Arial"/>
          <w:bCs/>
          <w:color w:val="000000"/>
          <w:sz w:val="22"/>
          <w:szCs w:val="22"/>
          <w:shd w:val="clear" w:color="auto" w:fill="FFFFFF"/>
        </w:rPr>
        <w:t>)</w:t>
      </w:r>
      <w:r w:rsidR="00556F8D">
        <w:rPr>
          <w:rFonts w:ascii="Arial" w:hAnsi="Arial" w:cs="Arial"/>
          <w:bCs/>
          <w:color w:val="000000"/>
          <w:sz w:val="22"/>
          <w:szCs w:val="22"/>
          <w:shd w:val="clear" w:color="auto" w:fill="FFFFFF"/>
        </w:rPr>
        <w:t xml:space="preserve">, or </w:t>
      </w:r>
      <w:r w:rsidR="00556F8D" w:rsidRPr="007035B9">
        <w:rPr>
          <w:rFonts w:ascii="Arial" w:hAnsi="Arial" w:cs="Arial"/>
          <w:bCs/>
          <w:color w:val="000000"/>
          <w:sz w:val="22"/>
          <w:szCs w:val="22"/>
          <w:shd w:val="clear" w:color="auto" w:fill="FFFFFF"/>
        </w:rPr>
        <w:t>prexasertib plus Z-VAD-</w:t>
      </w:r>
      <w:r w:rsidR="00556F8D" w:rsidRPr="007035B9">
        <w:rPr>
          <w:rFonts w:ascii="Arial" w:hAnsi="Arial" w:cs="Arial"/>
          <w:bCs/>
          <w:color w:val="000000"/>
          <w:sz w:val="22"/>
          <w:szCs w:val="22"/>
          <w:shd w:val="clear" w:color="auto" w:fill="FFFFFF"/>
        </w:rPr>
        <w:lastRenderedPageBreak/>
        <w:t>FMK.</w:t>
      </w:r>
      <w:r w:rsidR="00556F8D">
        <w:rPr>
          <w:rFonts w:ascii="Arial" w:hAnsi="Arial" w:cs="Arial"/>
          <w:b/>
          <w:bCs/>
          <w:color w:val="000000"/>
          <w:sz w:val="22"/>
          <w:szCs w:val="22"/>
          <w:shd w:val="clear" w:color="auto" w:fill="FFFFFF"/>
        </w:rPr>
        <w:t xml:space="preserve"> </w:t>
      </w:r>
      <w:r w:rsidR="00556F8D" w:rsidRPr="00556F8D">
        <w:rPr>
          <w:rFonts w:ascii="Arial" w:hAnsi="Arial" w:cs="Arial"/>
          <w:bCs/>
          <w:color w:val="000000"/>
          <w:sz w:val="22"/>
          <w:szCs w:val="22"/>
          <w:shd w:val="clear" w:color="auto" w:fill="FFFFFF"/>
        </w:rPr>
        <w:t>O-propargyl-puromycin was added for the last hour of drug incubation to label newly synthesized proteins. Puromycin was then detected by flow cytometry (Click-iT chemistry).</w:t>
      </w:r>
    </w:p>
    <w:p w14:paraId="58453012" w14:textId="3D6379E7" w:rsidR="00C82405" w:rsidRPr="008D3D31" w:rsidRDefault="00C82405" w:rsidP="00E26953">
      <w:pPr>
        <w:rPr>
          <w:rFonts w:ascii="Arial" w:hAnsi="Arial" w:cs="Arial"/>
          <w:color w:val="000000"/>
          <w:sz w:val="22"/>
          <w:szCs w:val="22"/>
          <w:shd w:val="clear" w:color="auto" w:fill="FFFFFF"/>
        </w:rPr>
      </w:pPr>
    </w:p>
    <w:p w14:paraId="151744C8" w14:textId="2104704E" w:rsidR="00556F8D" w:rsidRDefault="00556F8D" w:rsidP="00E26953">
      <w:pPr>
        <w:rPr>
          <w:rFonts w:ascii="Arial" w:hAnsi="Arial" w:cs="Arial"/>
          <w:b/>
          <w:bCs/>
          <w:color w:val="000000"/>
          <w:sz w:val="22"/>
          <w:szCs w:val="22"/>
          <w:shd w:val="clear" w:color="auto" w:fill="FFFFFF"/>
        </w:rPr>
      </w:pPr>
      <w:r>
        <w:rPr>
          <w:rFonts w:ascii="Arial" w:hAnsi="Arial" w:cs="Arial"/>
          <w:b/>
          <w:bCs/>
          <w:color w:val="000000"/>
          <w:sz w:val="22"/>
          <w:szCs w:val="22"/>
          <w:shd w:val="clear" w:color="auto" w:fill="FFFFFF"/>
        </w:rPr>
        <w:t xml:space="preserve">Supplemental Figure </w:t>
      </w:r>
      <w:r w:rsidR="004160D4">
        <w:rPr>
          <w:rFonts w:ascii="Arial" w:hAnsi="Arial" w:cs="Arial"/>
          <w:b/>
          <w:bCs/>
          <w:color w:val="000000"/>
          <w:sz w:val="22"/>
          <w:szCs w:val="22"/>
          <w:shd w:val="clear" w:color="auto" w:fill="FFFFFF"/>
        </w:rPr>
        <w:t>11</w:t>
      </w:r>
      <w:r>
        <w:rPr>
          <w:rFonts w:ascii="Arial" w:hAnsi="Arial" w:cs="Arial"/>
          <w:b/>
          <w:bCs/>
          <w:color w:val="000000"/>
          <w:sz w:val="22"/>
          <w:szCs w:val="22"/>
          <w:shd w:val="clear" w:color="auto" w:fill="FFFFFF"/>
        </w:rPr>
        <w:t xml:space="preserve">. </w:t>
      </w:r>
      <w:r w:rsidRPr="0003070F">
        <w:rPr>
          <w:rFonts w:ascii="Arial" w:hAnsi="Arial" w:cs="Arial"/>
          <w:bCs/>
          <w:color w:val="000000"/>
          <w:sz w:val="22"/>
          <w:szCs w:val="22"/>
          <w:shd w:val="clear" w:color="auto" w:fill="FFFFFF"/>
        </w:rPr>
        <w:t xml:space="preserve">EW8 and TC71 cells were treated with gemcitabine, prexasertib, or </w:t>
      </w:r>
      <w:r>
        <w:rPr>
          <w:rFonts w:ascii="Arial" w:hAnsi="Arial" w:cs="Arial"/>
          <w:bCs/>
          <w:color w:val="000000"/>
          <w:sz w:val="22"/>
          <w:szCs w:val="22"/>
          <w:shd w:val="clear" w:color="auto" w:fill="FFFFFF"/>
        </w:rPr>
        <w:t>the combination of gemcitabine, prexasertib, and Z-VAD-FMK</w:t>
      </w:r>
      <w:r w:rsidRPr="0003070F">
        <w:rPr>
          <w:rFonts w:ascii="Arial" w:hAnsi="Arial" w:cs="Arial"/>
          <w:bCs/>
          <w:color w:val="000000"/>
          <w:sz w:val="22"/>
          <w:szCs w:val="22"/>
          <w:shd w:val="clear" w:color="auto" w:fill="FFFFFF"/>
        </w:rPr>
        <w:t xml:space="preserve"> for 4 hours.</w:t>
      </w:r>
      <w:r>
        <w:rPr>
          <w:rFonts w:ascii="Arial" w:hAnsi="Arial" w:cs="Arial"/>
          <w:color w:val="000000"/>
          <w:sz w:val="22"/>
          <w:szCs w:val="22"/>
          <w:shd w:val="clear" w:color="auto" w:fill="FFFFFF"/>
        </w:rPr>
        <w:t xml:space="preserve"> </w:t>
      </w:r>
      <w:r w:rsidRPr="009D32CD">
        <w:rPr>
          <w:rFonts w:ascii="Arial" w:hAnsi="Arial" w:cs="Arial"/>
          <w:bCs/>
          <w:color w:val="000000"/>
          <w:sz w:val="22"/>
          <w:szCs w:val="22"/>
          <w:shd w:val="clear" w:color="auto" w:fill="FFFFFF"/>
        </w:rPr>
        <w:t>Puromycin was added for the last hour of drug incubation to label newly synthesized proteins. Puromycin was then detected by immunoblotting</w:t>
      </w:r>
      <w:r>
        <w:rPr>
          <w:rFonts w:ascii="Arial" w:hAnsi="Arial" w:cs="Arial"/>
          <w:bCs/>
          <w:color w:val="000000"/>
          <w:sz w:val="22"/>
          <w:szCs w:val="22"/>
          <w:shd w:val="clear" w:color="auto" w:fill="FFFFFF"/>
        </w:rPr>
        <w:t xml:space="preserve">. </w:t>
      </w:r>
      <w:r w:rsidR="007319E4">
        <w:rPr>
          <w:rFonts w:ascii="Arial" w:hAnsi="Arial" w:cs="Arial"/>
          <w:bCs/>
          <w:color w:val="000000"/>
          <w:sz w:val="22"/>
          <w:szCs w:val="22"/>
          <w:shd w:val="clear" w:color="auto" w:fill="FFFFFF"/>
        </w:rPr>
        <w:t>(B) Ewing sarcoma cell lines were treated with TAK931 (</w:t>
      </w:r>
      <w:r w:rsidR="007A6139">
        <w:rPr>
          <w:rFonts w:ascii="Arial" w:hAnsi="Arial" w:cs="Arial"/>
          <w:bCs/>
          <w:color w:val="000000"/>
          <w:sz w:val="22"/>
          <w:szCs w:val="22"/>
          <w:shd w:val="clear" w:color="auto" w:fill="FFFFFF"/>
        </w:rPr>
        <w:t xml:space="preserve">CDC7 </w:t>
      </w:r>
      <w:r w:rsidR="007319E4">
        <w:rPr>
          <w:rFonts w:ascii="Arial" w:hAnsi="Arial" w:cs="Arial"/>
          <w:bCs/>
          <w:color w:val="000000"/>
          <w:sz w:val="22"/>
          <w:szCs w:val="22"/>
          <w:shd w:val="clear" w:color="auto" w:fill="FFFFFF"/>
        </w:rPr>
        <w:t xml:space="preserve">inhibitor), AZD1775 (WEE1 inhibitor), or the drug combination for four hours. </w:t>
      </w:r>
      <w:r w:rsidR="007319E4" w:rsidRPr="009D32CD">
        <w:rPr>
          <w:rFonts w:ascii="Arial" w:hAnsi="Arial" w:cs="Arial"/>
          <w:bCs/>
          <w:color w:val="000000"/>
          <w:sz w:val="22"/>
          <w:szCs w:val="22"/>
          <w:shd w:val="clear" w:color="auto" w:fill="FFFFFF"/>
        </w:rPr>
        <w:t>Puromycin was added for the last hour of drug incubation to label newly synthesized proteins.</w:t>
      </w:r>
      <w:r w:rsidR="00713210">
        <w:rPr>
          <w:rFonts w:ascii="Arial" w:hAnsi="Arial" w:cs="Arial"/>
          <w:bCs/>
          <w:color w:val="000000"/>
          <w:sz w:val="22"/>
          <w:szCs w:val="22"/>
          <w:shd w:val="clear" w:color="auto" w:fill="FFFFFF"/>
        </w:rPr>
        <w:t xml:space="preserve"> (C) F</w:t>
      </w:r>
      <w:r w:rsidR="00713210" w:rsidRPr="0003070F">
        <w:rPr>
          <w:rFonts w:ascii="Arial" w:hAnsi="Arial" w:cs="Arial"/>
          <w:bCs/>
          <w:color w:val="000000"/>
          <w:sz w:val="22"/>
          <w:szCs w:val="22"/>
          <w:shd w:val="clear" w:color="auto" w:fill="FFFFFF"/>
        </w:rPr>
        <w:t xml:space="preserve">low cytometry plots showing phospho-Histone H3 (p-HH3) staining in EW8 cells treated </w:t>
      </w:r>
      <w:r w:rsidR="00713210">
        <w:rPr>
          <w:rFonts w:ascii="Arial" w:hAnsi="Arial" w:cs="Arial"/>
          <w:bCs/>
          <w:color w:val="000000"/>
          <w:sz w:val="22"/>
          <w:szCs w:val="22"/>
          <w:shd w:val="clear" w:color="auto" w:fill="FFFFFF"/>
        </w:rPr>
        <w:t>with the drugs as described in (B), with or without cycloheximide</w:t>
      </w:r>
      <w:r w:rsidR="00713210" w:rsidRPr="0003070F">
        <w:rPr>
          <w:rFonts w:ascii="Arial" w:hAnsi="Arial" w:cs="Arial"/>
          <w:bCs/>
          <w:color w:val="000000"/>
          <w:sz w:val="22"/>
          <w:szCs w:val="22"/>
          <w:shd w:val="clear" w:color="auto" w:fill="FFFFFF"/>
        </w:rPr>
        <w:t>.</w:t>
      </w:r>
    </w:p>
    <w:p w14:paraId="4AAC2654" w14:textId="77777777" w:rsidR="00556F8D" w:rsidRDefault="00556F8D" w:rsidP="00E26953">
      <w:pPr>
        <w:rPr>
          <w:rFonts w:ascii="Arial" w:hAnsi="Arial" w:cs="Arial"/>
          <w:b/>
          <w:bCs/>
          <w:color w:val="000000"/>
          <w:sz w:val="22"/>
          <w:szCs w:val="22"/>
          <w:shd w:val="clear" w:color="auto" w:fill="FFFFFF"/>
        </w:rPr>
      </w:pPr>
    </w:p>
    <w:p w14:paraId="3B837B5D" w14:textId="7AC565F9" w:rsidR="00BE0222" w:rsidRPr="00D252B2" w:rsidRDefault="00BE0222" w:rsidP="00BE0222">
      <w:pPr>
        <w:spacing w:afterLines="100" w:after="240" w:line="220" w:lineRule="auto"/>
        <w:ind w:left="640" w:hanging="640"/>
        <w:rPr>
          <w:rFonts w:ascii="Arial" w:hAnsi="Arial" w:cs="Arial"/>
          <w:color w:val="000000"/>
          <w:sz w:val="22"/>
          <w:szCs w:val="22"/>
          <w:shd w:val="clear" w:color="auto" w:fill="FFFFFF"/>
        </w:rPr>
      </w:pPr>
    </w:p>
    <w:sectPr w:rsidR="00BE0222" w:rsidRPr="00D252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61"/>
    <w:rsid w:val="00005EFF"/>
    <w:rsid w:val="000148CA"/>
    <w:rsid w:val="00016B3C"/>
    <w:rsid w:val="00022DF3"/>
    <w:rsid w:val="0003070F"/>
    <w:rsid w:val="00045099"/>
    <w:rsid w:val="00050081"/>
    <w:rsid w:val="00050993"/>
    <w:rsid w:val="00051B12"/>
    <w:rsid w:val="00053340"/>
    <w:rsid w:val="00055CA8"/>
    <w:rsid w:val="00056DBE"/>
    <w:rsid w:val="00061A54"/>
    <w:rsid w:val="0006709C"/>
    <w:rsid w:val="00077C49"/>
    <w:rsid w:val="00081EFA"/>
    <w:rsid w:val="00095F89"/>
    <w:rsid w:val="000A0894"/>
    <w:rsid w:val="000A2FB1"/>
    <w:rsid w:val="000A6BA0"/>
    <w:rsid w:val="000B1941"/>
    <w:rsid w:val="000B4419"/>
    <w:rsid w:val="000B516C"/>
    <w:rsid w:val="000B53A3"/>
    <w:rsid w:val="000C1BE4"/>
    <w:rsid w:val="000E1AE1"/>
    <w:rsid w:val="000F59CD"/>
    <w:rsid w:val="000F75B1"/>
    <w:rsid w:val="00105CF0"/>
    <w:rsid w:val="0011212B"/>
    <w:rsid w:val="00116985"/>
    <w:rsid w:val="001203C9"/>
    <w:rsid w:val="0012258B"/>
    <w:rsid w:val="00126F0F"/>
    <w:rsid w:val="00131F2A"/>
    <w:rsid w:val="0013457E"/>
    <w:rsid w:val="001371DD"/>
    <w:rsid w:val="00141C9E"/>
    <w:rsid w:val="0017048A"/>
    <w:rsid w:val="0017508F"/>
    <w:rsid w:val="001767FC"/>
    <w:rsid w:val="00181F2B"/>
    <w:rsid w:val="00196D08"/>
    <w:rsid w:val="001A46B2"/>
    <w:rsid w:val="001A7051"/>
    <w:rsid w:val="001A78AD"/>
    <w:rsid w:val="001C74D5"/>
    <w:rsid w:val="001D17F3"/>
    <w:rsid w:val="00217671"/>
    <w:rsid w:val="00221489"/>
    <w:rsid w:val="002233C7"/>
    <w:rsid w:val="0023170F"/>
    <w:rsid w:val="00237E73"/>
    <w:rsid w:val="00257199"/>
    <w:rsid w:val="00273CF9"/>
    <w:rsid w:val="0027470E"/>
    <w:rsid w:val="002761C2"/>
    <w:rsid w:val="00277E95"/>
    <w:rsid w:val="00284EA1"/>
    <w:rsid w:val="00293588"/>
    <w:rsid w:val="002B2F92"/>
    <w:rsid w:val="002B4DAE"/>
    <w:rsid w:val="002D02B6"/>
    <w:rsid w:val="002D1049"/>
    <w:rsid w:val="002D12E4"/>
    <w:rsid w:val="002D2F90"/>
    <w:rsid w:val="002E44DD"/>
    <w:rsid w:val="002F191E"/>
    <w:rsid w:val="002F1D69"/>
    <w:rsid w:val="00301E14"/>
    <w:rsid w:val="003029E0"/>
    <w:rsid w:val="00305FD0"/>
    <w:rsid w:val="00311839"/>
    <w:rsid w:val="00321CA7"/>
    <w:rsid w:val="00330A71"/>
    <w:rsid w:val="003621A1"/>
    <w:rsid w:val="00365472"/>
    <w:rsid w:val="00372C6C"/>
    <w:rsid w:val="003740D9"/>
    <w:rsid w:val="003761C3"/>
    <w:rsid w:val="00382A87"/>
    <w:rsid w:val="00382A92"/>
    <w:rsid w:val="00391E51"/>
    <w:rsid w:val="003A32EF"/>
    <w:rsid w:val="003A5B73"/>
    <w:rsid w:val="003D1AFF"/>
    <w:rsid w:val="003D6863"/>
    <w:rsid w:val="003D7865"/>
    <w:rsid w:val="00402B4C"/>
    <w:rsid w:val="00403CCC"/>
    <w:rsid w:val="00411300"/>
    <w:rsid w:val="004160D4"/>
    <w:rsid w:val="00430868"/>
    <w:rsid w:val="00432236"/>
    <w:rsid w:val="004365BD"/>
    <w:rsid w:val="00440366"/>
    <w:rsid w:val="00453972"/>
    <w:rsid w:val="0045748F"/>
    <w:rsid w:val="00460B0A"/>
    <w:rsid w:val="00462502"/>
    <w:rsid w:val="0046642F"/>
    <w:rsid w:val="00476C43"/>
    <w:rsid w:val="004803B1"/>
    <w:rsid w:val="00485E26"/>
    <w:rsid w:val="004A1331"/>
    <w:rsid w:val="004A30B2"/>
    <w:rsid w:val="004A52A2"/>
    <w:rsid w:val="004A69D7"/>
    <w:rsid w:val="004A71C1"/>
    <w:rsid w:val="004C6C95"/>
    <w:rsid w:val="004D4501"/>
    <w:rsid w:val="004D5FE9"/>
    <w:rsid w:val="004E01BF"/>
    <w:rsid w:val="004E427D"/>
    <w:rsid w:val="004E450A"/>
    <w:rsid w:val="00501171"/>
    <w:rsid w:val="00501694"/>
    <w:rsid w:val="005045FE"/>
    <w:rsid w:val="00512D94"/>
    <w:rsid w:val="00516356"/>
    <w:rsid w:val="005268B5"/>
    <w:rsid w:val="00547BA9"/>
    <w:rsid w:val="00552BF5"/>
    <w:rsid w:val="00556F8D"/>
    <w:rsid w:val="00565F50"/>
    <w:rsid w:val="00586D8C"/>
    <w:rsid w:val="005953CE"/>
    <w:rsid w:val="005A21C0"/>
    <w:rsid w:val="005A3ADB"/>
    <w:rsid w:val="005C4973"/>
    <w:rsid w:val="005D0588"/>
    <w:rsid w:val="005D3741"/>
    <w:rsid w:val="005D6DA0"/>
    <w:rsid w:val="005E1BC6"/>
    <w:rsid w:val="005E3CAC"/>
    <w:rsid w:val="005F200D"/>
    <w:rsid w:val="005F3B07"/>
    <w:rsid w:val="005F59CF"/>
    <w:rsid w:val="00616EAE"/>
    <w:rsid w:val="00627705"/>
    <w:rsid w:val="00627B31"/>
    <w:rsid w:val="00632604"/>
    <w:rsid w:val="0063515A"/>
    <w:rsid w:val="00650C71"/>
    <w:rsid w:val="0065499F"/>
    <w:rsid w:val="006618FB"/>
    <w:rsid w:val="006715E8"/>
    <w:rsid w:val="00675C41"/>
    <w:rsid w:val="006859C3"/>
    <w:rsid w:val="00690183"/>
    <w:rsid w:val="006A6181"/>
    <w:rsid w:val="006C1E9C"/>
    <w:rsid w:val="006C2ED9"/>
    <w:rsid w:val="006D62AF"/>
    <w:rsid w:val="006E6219"/>
    <w:rsid w:val="006E7E48"/>
    <w:rsid w:val="006F0AA0"/>
    <w:rsid w:val="007035B9"/>
    <w:rsid w:val="0070697F"/>
    <w:rsid w:val="00713210"/>
    <w:rsid w:val="0073030D"/>
    <w:rsid w:val="007319E4"/>
    <w:rsid w:val="00732547"/>
    <w:rsid w:val="00742D17"/>
    <w:rsid w:val="00744048"/>
    <w:rsid w:val="00756212"/>
    <w:rsid w:val="00771B6D"/>
    <w:rsid w:val="007817BD"/>
    <w:rsid w:val="00794FC3"/>
    <w:rsid w:val="007A1AC1"/>
    <w:rsid w:val="007A1D6C"/>
    <w:rsid w:val="007A5E02"/>
    <w:rsid w:val="007A6139"/>
    <w:rsid w:val="007B3AA4"/>
    <w:rsid w:val="007B46D5"/>
    <w:rsid w:val="007B4B98"/>
    <w:rsid w:val="007C1C34"/>
    <w:rsid w:val="007C6863"/>
    <w:rsid w:val="007D6B9C"/>
    <w:rsid w:val="007E30E1"/>
    <w:rsid w:val="007F2761"/>
    <w:rsid w:val="007F3AE6"/>
    <w:rsid w:val="007F6822"/>
    <w:rsid w:val="007F7F58"/>
    <w:rsid w:val="0084155B"/>
    <w:rsid w:val="00845C9E"/>
    <w:rsid w:val="008477BD"/>
    <w:rsid w:val="00847AA9"/>
    <w:rsid w:val="00850E00"/>
    <w:rsid w:val="00855658"/>
    <w:rsid w:val="00862CFF"/>
    <w:rsid w:val="00877D70"/>
    <w:rsid w:val="00890533"/>
    <w:rsid w:val="0089302D"/>
    <w:rsid w:val="008A03EB"/>
    <w:rsid w:val="008A12BF"/>
    <w:rsid w:val="008A356D"/>
    <w:rsid w:val="008A7A97"/>
    <w:rsid w:val="008B3594"/>
    <w:rsid w:val="008C00F6"/>
    <w:rsid w:val="008C756D"/>
    <w:rsid w:val="008D05EC"/>
    <w:rsid w:val="008D2388"/>
    <w:rsid w:val="008D3D31"/>
    <w:rsid w:val="008D7EE2"/>
    <w:rsid w:val="008E2C41"/>
    <w:rsid w:val="00902596"/>
    <w:rsid w:val="00903B1A"/>
    <w:rsid w:val="00905A8E"/>
    <w:rsid w:val="0092214D"/>
    <w:rsid w:val="009238C3"/>
    <w:rsid w:val="00935072"/>
    <w:rsid w:val="00941D14"/>
    <w:rsid w:val="00945EF4"/>
    <w:rsid w:val="00950B8E"/>
    <w:rsid w:val="009624CE"/>
    <w:rsid w:val="00963D5D"/>
    <w:rsid w:val="0096507D"/>
    <w:rsid w:val="00965366"/>
    <w:rsid w:val="00967411"/>
    <w:rsid w:val="00973FF7"/>
    <w:rsid w:val="00974268"/>
    <w:rsid w:val="00975FCB"/>
    <w:rsid w:val="00976294"/>
    <w:rsid w:val="00982015"/>
    <w:rsid w:val="00990107"/>
    <w:rsid w:val="009A7323"/>
    <w:rsid w:val="009B4E94"/>
    <w:rsid w:val="009C3A6C"/>
    <w:rsid w:val="009C6A2B"/>
    <w:rsid w:val="009D32CD"/>
    <w:rsid w:val="009D475C"/>
    <w:rsid w:val="009D7124"/>
    <w:rsid w:val="009E2133"/>
    <w:rsid w:val="009E3632"/>
    <w:rsid w:val="009F0B86"/>
    <w:rsid w:val="009F58C8"/>
    <w:rsid w:val="00A0337D"/>
    <w:rsid w:val="00A11350"/>
    <w:rsid w:val="00A1406A"/>
    <w:rsid w:val="00A16AFE"/>
    <w:rsid w:val="00A179D7"/>
    <w:rsid w:val="00A23947"/>
    <w:rsid w:val="00A274A2"/>
    <w:rsid w:val="00A302FB"/>
    <w:rsid w:val="00A34B98"/>
    <w:rsid w:val="00A41931"/>
    <w:rsid w:val="00A41E86"/>
    <w:rsid w:val="00A41F7A"/>
    <w:rsid w:val="00A50775"/>
    <w:rsid w:val="00A50F99"/>
    <w:rsid w:val="00A53DAC"/>
    <w:rsid w:val="00A8574A"/>
    <w:rsid w:val="00AB008F"/>
    <w:rsid w:val="00AC088A"/>
    <w:rsid w:val="00AC31BB"/>
    <w:rsid w:val="00AE121F"/>
    <w:rsid w:val="00AE2586"/>
    <w:rsid w:val="00AF2878"/>
    <w:rsid w:val="00B06EDA"/>
    <w:rsid w:val="00B118A3"/>
    <w:rsid w:val="00B11BA8"/>
    <w:rsid w:val="00B24053"/>
    <w:rsid w:val="00B246A1"/>
    <w:rsid w:val="00B2624B"/>
    <w:rsid w:val="00B3324A"/>
    <w:rsid w:val="00B434BF"/>
    <w:rsid w:val="00B568A4"/>
    <w:rsid w:val="00B6431B"/>
    <w:rsid w:val="00B64C64"/>
    <w:rsid w:val="00B66761"/>
    <w:rsid w:val="00B7470A"/>
    <w:rsid w:val="00B74A61"/>
    <w:rsid w:val="00B90C34"/>
    <w:rsid w:val="00BA07E3"/>
    <w:rsid w:val="00BA4A73"/>
    <w:rsid w:val="00BA4CAA"/>
    <w:rsid w:val="00BC1CB8"/>
    <w:rsid w:val="00BD6336"/>
    <w:rsid w:val="00BE0222"/>
    <w:rsid w:val="00BE29FD"/>
    <w:rsid w:val="00BE343F"/>
    <w:rsid w:val="00BF6B15"/>
    <w:rsid w:val="00C00809"/>
    <w:rsid w:val="00C0638D"/>
    <w:rsid w:val="00C20C30"/>
    <w:rsid w:val="00C54062"/>
    <w:rsid w:val="00C71B0F"/>
    <w:rsid w:val="00C80A25"/>
    <w:rsid w:val="00C82405"/>
    <w:rsid w:val="00C85E2D"/>
    <w:rsid w:val="00C92AC1"/>
    <w:rsid w:val="00C93A34"/>
    <w:rsid w:val="00C940B6"/>
    <w:rsid w:val="00CA5699"/>
    <w:rsid w:val="00CA61E8"/>
    <w:rsid w:val="00CB7E00"/>
    <w:rsid w:val="00CC5036"/>
    <w:rsid w:val="00CC62BD"/>
    <w:rsid w:val="00CD2A3A"/>
    <w:rsid w:val="00CE1180"/>
    <w:rsid w:val="00CF672E"/>
    <w:rsid w:val="00D07689"/>
    <w:rsid w:val="00D10EEE"/>
    <w:rsid w:val="00D129E7"/>
    <w:rsid w:val="00D145D0"/>
    <w:rsid w:val="00D1731B"/>
    <w:rsid w:val="00D21EB2"/>
    <w:rsid w:val="00D252B2"/>
    <w:rsid w:val="00D262E5"/>
    <w:rsid w:val="00D26F03"/>
    <w:rsid w:val="00D31C10"/>
    <w:rsid w:val="00D32263"/>
    <w:rsid w:val="00D40D7E"/>
    <w:rsid w:val="00D417CD"/>
    <w:rsid w:val="00D47332"/>
    <w:rsid w:val="00D54882"/>
    <w:rsid w:val="00D6642D"/>
    <w:rsid w:val="00D67113"/>
    <w:rsid w:val="00D770AE"/>
    <w:rsid w:val="00D77D0D"/>
    <w:rsid w:val="00D97611"/>
    <w:rsid w:val="00DE6F95"/>
    <w:rsid w:val="00DF54CE"/>
    <w:rsid w:val="00DF5579"/>
    <w:rsid w:val="00DF63F9"/>
    <w:rsid w:val="00E01401"/>
    <w:rsid w:val="00E1092E"/>
    <w:rsid w:val="00E11515"/>
    <w:rsid w:val="00E26953"/>
    <w:rsid w:val="00E36CE4"/>
    <w:rsid w:val="00E518E4"/>
    <w:rsid w:val="00E5195F"/>
    <w:rsid w:val="00E51A82"/>
    <w:rsid w:val="00E52651"/>
    <w:rsid w:val="00E55909"/>
    <w:rsid w:val="00E56801"/>
    <w:rsid w:val="00E602B7"/>
    <w:rsid w:val="00E602FB"/>
    <w:rsid w:val="00E77DDE"/>
    <w:rsid w:val="00E87E26"/>
    <w:rsid w:val="00E956EA"/>
    <w:rsid w:val="00EA37FC"/>
    <w:rsid w:val="00EA7233"/>
    <w:rsid w:val="00EA778F"/>
    <w:rsid w:val="00EA7E87"/>
    <w:rsid w:val="00EE32F4"/>
    <w:rsid w:val="00EF2D54"/>
    <w:rsid w:val="00EF6205"/>
    <w:rsid w:val="00F10F6C"/>
    <w:rsid w:val="00F200D6"/>
    <w:rsid w:val="00F30F85"/>
    <w:rsid w:val="00F32486"/>
    <w:rsid w:val="00F46E80"/>
    <w:rsid w:val="00F60554"/>
    <w:rsid w:val="00F6204E"/>
    <w:rsid w:val="00F731E1"/>
    <w:rsid w:val="00F80B8D"/>
    <w:rsid w:val="00FA45E5"/>
    <w:rsid w:val="00FA695F"/>
    <w:rsid w:val="00FC010B"/>
    <w:rsid w:val="00FC3C43"/>
    <w:rsid w:val="00FC3CA2"/>
    <w:rsid w:val="00FC6BD1"/>
    <w:rsid w:val="00FC77FA"/>
    <w:rsid w:val="00FD0469"/>
    <w:rsid w:val="00FD39D1"/>
    <w:rsid w:val="00FE1BF0"/>
    <w:rsid w:val="00FE3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E55C3B"/>
  <w15:chartTrackingRefBased/>
  <w15:docId w15:val="{6A707019-C2F0-1F42-B432-C1E8E2CE7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705"/>
    <w:pPr>
      <w:spacing w:after="0" w:line="240" w:lineRule="auto"/>
    </w:pPr>
  </w:style>
  <w:style w:type="paragraph" w:styleId="Heading1">
    <w:name w:val="heading 1"/>
    <w:basedOn w:val="Normal"/>
    <w:next w:val="Normal"/>
    <w:link w:val="Heading1Char"/>
    <w:uiPriority w:val="9"/>
    <w:qFormat/>
    <w:rsid w:val="00B74A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A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A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A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A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A6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A6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A6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A6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A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A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A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A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A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A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A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A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A61"/>
    <w:rPr>
      <w:rFonts w:eastAsiaTheme="majorEastAsia" w:cstheme="majorBidi"/>
      <w:color w:val="272727" w:themeColor="text1" w:themeTint="D8"/>
    </w:rPr>
  </w:style>
  <w:style w:type="paragraph" w:styleId="Title">
    <w:name w:val="Title"/>
    <w:basedOn w:val="Normal"/>
    <w:next w:val="Normal"/>
    <w:link w:val="TitleChar"/>
    <w:uiPriority w:val="10"/>
    <w:qFormat/>
    <w:rsid w:val="00B74A6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A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A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A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A61"/>
    <w:pPr>
      <w:spacing w:before="160"/>
      <w:jc w:val="center"/>
    </w:pPr>
    <w:rPr>
      <w:i/>
      <w:iCs/>
      <w:color w:val="404040" w:themeColor="text1" w:themeTint="BF"/>
    </w:rPr>
  </w:style>
  <w:style w:type="character" w:customStyle="1" w:styleId="QuoteChar">
    <w:name w:val="Quote Char"/>
    <w:basedOn w:val="DefaultParagraphFont"/>
    <w:link w:val="Quote"/>
    <w:uiPriority w:val="29"/>
    <w:rsid w:val="00B74A61"/>
    <w:rPr>
      <w:i/>
      <w:iCs/>
      <w:color w:val="404040" w:themeColor="text1" w:themeTint="BF"/>
    </w:rPr>
  </w:style>
  <w:style w:type="paragraph" w:styleId="ListParagraph">
    <w:name w:val="List Paragraph"/>
    <w:basedOn w:val="Normal"/>
    <w:uiPriority w:val="34"/>
    <w:qFormat/>
    <w:rsid w:val="00B74A61"/>
    <w:pPr>
      <w:ind w:left="720"/>
      <w:contextualSpacing/>
    </w:pPr>
  </w:style>
  <w:style w:type="character" w:styleId="IntenseEmphasis">
    <w:name w:val="Intense Emphasis"/>
    <w:basedOn w:val="DefaultParagraphFont"/>
    <w:uiPriority w:val="21"/>
    <w:qFormat/>
    <w:rsid w:val="00B74A61"/>
    <w:rPr>
      <w:i/>
      <w:iCs/>
      <w:color w:val="0F4761" w:themeColor="accent1" w:themeShade="BF"/>
    </w:rPr>
  </w:style>
  <w:style w:type="paragraph" w:styleId="IntenseQuote">
    <w:name w:val="Intense Quote"/>
    <w:basedOn w:val="Normal"/>
    <w:next w:val="Normal"/>
    <w:link w:val="IntenseQuoteChar"/>
    <w:uiPriority w:val="30"/>
    <w:qFormat/>
    <w:rsid w:val="00B74A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A61"/>
    <w:rPr>
      <w:i/>
      <w:iCs/>
      <w:color w:val="0F4761" w:themeColor="accent1" w:themeShade="BF"/>
    </w:rPr>
  </w:style>
  <w:style w:type="character" w:styleId="IntenseReference">
    <w:name w:val="Intense Reference"/>
    <w:basedOn w:val="DefaultParagraphFont"/>
    <w:uiPriority w:val="32"/>
    <w:qFormat/>
    <w:rsid w:val="00B74A61"/>
    <w:rPr>
      <w:b/>
      <w:bCs/>
      <w:smallCaps/>
      <w:color w:val="0F4761" w:themeColor="accent1" w:themeShade="BF"/>
      <w:spacing w:val="5"/>
    </w:rPr>
  </w:style>
  <w:style w:type="character" w:styleId="Hyperlink">
    <w:name w:val="Hyperlink"/>
    <w:basedOn w:val="DefaultParagraphFont"/>
    <w:uiPriority w:val="99"/>
    <w:unhideWhenUsed/>
    <w:rsid w:val="00E87E26"/>
    <w:rPr>
      <w:color w:val="467886" w:themeColor="hyperlink"/>
      <w:u w:val="single"/>
    </w:rPr>
  </w:style>
  <w:style w:type="character" w:styleId="UnresolvedMention">
    <w:name w:val="Unresolved Mention"/>
    <w:basedOn w:val="DefaultParagraphFont"/>
    <w:uiPriority w:val="99"/>
    <w:semiHidden/>
    <w:unhideWhenUsed/>
    <w:rsid w:val="00E87E26"/>
    <w:rPr>
      <w:color w:val="605E5C"/>
      <w:shd w:val="clear" w:color="auto" w:fill="E1DFDD"/>
    </w:rPr>
  </w:style>
  <w:style w:type="paragraph" w:styleId="NormalWeb">
    <w:name w:val="Normal (Web)"/>
    <w:basedOn w:val="Normal"/>
    <w:uiPriority w:val="99"/>
    <w:semiHidden/>
    <w:unhideWhenUsed/>
    <w:rsid w:val="00D26F03"/>
    <w:rPr>
      <w:rFonts w:ascii="Times New Roman" w:hAnsi="Times New Roman" w:cs="Times New Roman"/>
    </w:rPr>
  </w:style>
  <w:style w:type="character" w:customStyle="1" w:styleId="csl-left-margin">
    <w:name w:val="csl-left-margin"/>
    <w:basedOn w:val="DefaultParagraphFont"/>
    <w:rsid w:val="00BE0222"/>
  </w:style>
  <w:style w:type="character" w:customStyle="1" w:styleId="csl-right-inline">
    <w:name w:val="csl-right-inline"/>
    <w:basedOn w:val="DefaultParagraphFont"/>
    <w:rsid w:val="00BE0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2879">
      <w:bodyDiv w:val="1"/>
      <w:marLeft w:val="0"/>
      <w:marRight w:val="0"/>
      <w:marTop w:val="0"/>
      <w:marBottom w:val="0"/>
      <w:divBdr>
        <w:top w:val="none" w:sz="0" w:space="0" w:color="auto"/>
        <w:left w:val="none" w:sz="0" w:space="0" w:color="auto"/>
        <w:bottom w:val="none" w:sz="0" w:space="0" w:color="auto"/>
        <w:right w:val="none" w:sz="0" w:space="0" w:color="auto"/>
      </w:divBdr>
    </w:div>
    <w:div w:id="19864212">
      <w:bodyDiv w:val="1"/>
      <w:marLeft w:val="0"/>
      <w:marRight w:val="0"/>
      <w:marTop w:val="0"/>
      <w:marBottom w:val="0"/>
      <w:divBdr>
        <w:top w:val="none" w:sz="0" w:space="0" w:color="auto"/>
        <w:left w:val="none" w:sz="0" w:space="0" w:color="auto"/>
        <w:bottom w:val="none" w:sz="0" w:space="0" w:color="auto"/>
        <w:right w:val="none" w:sz="0" w:space="0" w:color="auto"/>
      </w:divBdr>
    </w:div>
    <w:div w:id="66847419">
      <w:bodyDiv w:val="1"/>
      <w:marLeft w:val="0"/>
      <w:marRight w:val="0"/>
      <w:marTop w:val="0"/>
      <w:marBottom w:val="0"/>
      <w:divBdr>
        <w:top w:val="none" w:sz="0" w:space="0" w:color="auto"/>
        <w:left w:val="none" w:sz="0" w:space="0" w:color="auto"/>
        <w:bottom w:val="none" w:sz="0" w:space="0" w:color="auto"/>
        <w:right w:val="none" w:sz="0" w:space="0" w:color="auto"/>
      </w:divBdr>
    </w:div>
    <w:div w:id="77673991">
      <w:bodyDiv w:val="1"/>
      <w:marLeft w:val="0"/>
      <w:marRight w:val="0"/>
      <w:marTop w:val="0"/>
      <w:marBottom w:val="0"/>
      <w:divBdr>
        <w:top w:val="none" w:sz="0" w:space="0" w:color="auto"/>
        <w:left w:val="none" w:sz="0" w:space="0" w:color="auto"/>
        <w:bottom w:val="none" w:sz="0" w:space="0" w:color="auto"/>
        <w:right w:val="none" w:sz="0" w:space="0" w:color="auto"/>
      </w:divBdr>
    </w:div>
    <w:div w:id="150758612">
      <w:bodyDiv w:val="1"/>
      <w:marLeft w:val="0"/>
      <w:marRight w:val="0"/>
      <w:marTop w:val="0"/>
      <w:marBottom w:val="0"/>
      <w:divBdr>
        <w:top w:val="none" w:sz="0" w:space="0" w:color="auto"/>
        <w:left w:val="none" w:sz="0" w:space="0" w:color="auto"/>
        <w:bottom w:val="none" w:sz="0" w:space="0" w:color="auto"/>
        <w:right w:val="none" w:sz="0" w:space="0" w:color="auto"/>
      </w:divBdr>
    </w:div>
    <w:div w:id="225603451">
      <w:bodyDiv w:val="1"/>
      <w:marLeft w:val="0"/>
      <w:marRight w:val="0"/>
      <w:marTop w:val="0"/>
      <w:marBottom w:val="0"/>
      <w:divBdr>
        <w:top w:val="none" w:sz="0" w:space="0" w:color="auto"/>
        <w:left w:val="none" w:sz="0" w:space="0" w:color="auto"/>
        <w:bottom w:val="none" w:sz="0" w:space="0" w:color="auto"/>
        <w:right w:val="none" w:sz="0" w:space="0" w:color="auto"/>
      </w:divBdr>
    </w:div>
    <w:div w:id="297032605">
      <w:bodyDiv w:val="1"/>
      <w:marLeft w:val="0"/>
      <w:marRight w:val="0"/>
      <w:marTop w:val="0"/>
      <w:marBottom w:val="0"/>
      <w:divBdr>
        <w:top w:val="none" w:sz="0" w:space="0" w:color="auto"/>
        <w:left w:val="none" w:sz="0" w:space="0" w:color="auto"/>
        <w:bottom w:val="none" w:sz="0" w:space="0" w:color="auto"/>
        <w:right w:val="none" w:sz="0" w:space="0" w:color="auto"/>
      </w:divBdr>
    </w:div>
    <w:div w:id="297343837">
      <w:bodyDiv w:val="1"/>
      <w:marLeft w:val="0"/>
      <w:marRight w:val="0"/>
      <w:marTop w:val="0"/>
      <w:marBottom w:val="0"/>
      <w:divBdr>
        <w:top w:val="none" w:sz="0" w:space="0" w:color="auto"/>
        <w:left w:val="none" w:sz="0" w:space="0" w:color="auto"/>
        <w:bottom w:val="none" w:sz="0" w:space="0" w:color="auto"/>
        <w:right w:val="none" w:sz="0" w:space="0" w:color="auto"/>
      </w:divBdr>
    </w:div>
    <w:div w:id="471364443">
      <w:bodyDiv w:val="1"/>
      <w:marLeft w:val="0"/>
      <w:marRight w:val="0"/>
      <w:marTop w:val="0"/>
      <w:marBottom w:val="0"/>
      <w:divBdr>
        <w:top w:val="none" w:sz="0" w:space="0" w:color="auto"/>
        <w:left w:val="none" w:sz="0" w:space="0" w:color="auto"/>
        <w:bottom w:val="none" w:sz="0" w:space="0" w:color="auto"/>
        <w:right w:val="none" w:sz="0" w:space="0" w:color="auto"/>
      </w:divBdr>
    </w:div>
    <w:div w:id="513497783">
      <w:bodyDiv w:val="1"/>
      <w:marLeft w:val="0"/>
      <w:marRight w:val="0"/>
      <w:marTop w:val="0"/>
      <w:marBottom w:val="0"/>
      <w:divBdr>
        <w:top w:val="none" w:sz="0" w:space="0" w:color="auto"/>
        <w:left w:val="none" w:sz="0" w:space="0" w:color="auto"/>
        <w:bottom w:val="none" w:sz="0" w:space="0" w:color="auto"/>
        <w:right w:val="none" w:sz="0" w:space="0" w:color="auto"/>
      </w:divBdr>
    </w:div>
    <w:div w:id="658267088">
      <w:bodyDiv w:val="1"/>
      <w:marLeft w:val="0"/>
      <w:marRight w:val="0"/>
      <w:marTop w:val="0"/>
      <w:marBottom w:val="0"/>
      <w:divBdr>
        <w:top w:val="none" w:sz="0" w:space="0" w:color="auto"/>
        <w:left w:val="none" w:sz="0" w:space="0" w:color="auto"/>
        <w:bottom w:val="none" w:sz="0" w:space="0" w:color="auto"/>
        <w:right w:val="none" w:sz="0" w:space="0" w:color="auto"/>
      </w:divBdr>
    </w:div>
    <w:div w:id="676811894">
      <w:bodyDiv w:val="1"/>
      <w:marLeft w:val="0"/>
      <w:marRight w:val="0"/>
      <w:marTop w:val="0"/>
      <w:marBottom w:val="0"/>
      <w:divBdr>
        <w:top w:val="none" w:sz="0" w:space="0" w:color="auto"/>
        <w:left w:val="none" w:sz="0" w:space="0" w:color="auto"/>
        <w:bottom w:val="none" w:sz="0" w:space="0" w:color="auto"/>
        <w:right w:val="none" w:sz="0" w:space="0" w:color="auto"/>
      </w:divBdr>
    </w:div>
    <w:div w:id="700281703">
      <w:bodyDiv w:val="1"/>
      <w:marLeft w:val="0"/>
      <w:marRight w:val="0"/>
      <w:marTop w:val="0"/>
      <w:marBottom w:val="0"/>
      <w:divBdr>
        <w:top w:val="none" w:sz="0" w:space="0" w:color="auto"/>
        <w:left w:val="none" w:sz="0" w:space="0" w:color="auto"/>
        <w:bottom w:val="none" w:sz="0" w:space="0" w:color="auto"/>
        <w:right w:val="none" w:sz="0" w:space="0" w:color="auto"/>
      </w:divBdr>
    </w:div>
    <w:div w:id="773866072">
      <w:bodyDiv w:val="1"/>
      <w:marLeft w:val="0"/>
      <w:marRight w:val="0"/>
      <w:marTop w:val="0"/>
      <w:marBottom w:val="0"/>
      <w:divBdr>
        <w:top w:val="none" w:sz="0" w:space="0" w:color="auto"/>
        <w:left w:val="none" w:sz="0" w:space="0" w:color="auto"/>
        <w:bottom w:val="none" w:sz="0" w:space="0" w:color="auto"/>
        <w:right w:val="none" w:sz="0" w:space="0" w:color="auto"/>
      </w:divBdr>
    </w:div>
    <w:div w:id="937296945">
      <w:bodyDiv w:val="1"/>
      <w:marLeft w:val="0"/>
      <w:marRight w:val="0"/>
      <w:marTop w:val="0"/>
      <w:marBottom w:val="0"/>
      <w:divBdr>
        <w:top w:val="none" w:sz="0" w:space="0" w:color="auto"/>
        <w:left w:val="none" w:sz="0" w:space="0" w:color="auto"/>
        <w:bottom w:val="none" w:sz="0" w:space="0" w:color="auto"/>
        <w:right w:val="none" w:sz="0" w:space="0" w:color="auto"/>
      </w:divBdr>
    </w:div>
    <w:div w:id="947856545">
      <w:bodyDiv w:val="1"/>
      <w:marLeft w:val="0"/>
      <w:marRight w:val="0"/>
      <w:marTop w:val="0"/>
      <w:marBottom w:val="0"/>
      <w:divBdr>
        <w:top w:val="none" w:sz="0" w:space="0" w:color="auto"/>
        <w:left w:val="none" w:sz="0" w:space="0" w:color="auto"/>
        <w:bottom w:val="none" w:sz="0" w:space="0" w:color="auto"/>
        <w:right w:val="none" w:sz="0" w:space="0" w:color="auto"/>
      </w:divBdr>
    </w:div>
    <w:div w:id="1090812105">
      <w:bodyDiv w:val="1"/>
      <w:marLeft w:val="0"/>
      <w:marRight w:val="0"/>
      <w:marTop w:val="0"/>
      <w:marBottom w:val="0"/>
      <w:divBdr>
        <w:top w:val="none" w:sz="0" w:space="0" w:color="auto"/>
        <w:left w:val="none" w:sz="0" w:space="0" w:color="auto"/>
        <w:bottom w:val="none" w:sz="0" w:space="0" w:color="auto"/>
        <w:right w:val="none" w:sz="0" w:space="0" w:color="auto"/>
      </w:divBdr>
    </w:div>
    <w:div w:id="1129279940">
      <w:bodyDiv w:val="1"/>
      <w:marLeft w:val="0"/>
      <w:marRight w:val="0"/>
      <w:marTop w:val="0"/>
      <w:marBottom w:val="0"/>
      <w:divBdr>
        <w:top w:val="none" w:sz="0" w:space="0" w:color="auto"/>
        <w:left w:val="none" w:sz="0" w:space="0" w:color="auto"/>
        <w:bottom w:val="none" w:sz="0" w:space="0" w:color="auto"/>
        <w:right w:val="none" w:sz="0" w:space="0" w:color="auto"/>
      </w:divBdr>
    </w:div>
    <w:div w:id="1203056733">
      <w:bodyDiv w:val="1"/>
      <w:marLeft w:val="0"/>
      <w:marRight w:val="0"/>
      <w:marTop w:val="0"/>
      <w:marBottom w:val="0"/>
      <w:divBdr>
        <w:top w:val="none" w:sz="0" w:space="0" w:color="auto"/>
        <w:left w:val="none" w:sz="0" w:space="0" w:color="auto"/>
        <w:bottom w:val="none" w:sz="0" w:space="0" w:color="auto"/>
        <w:right w:val="none" w:sz="0" w:space="0" w:color="auto"/>
      </w:divBdr>
    </w:div>
    <w:div w:id="1225947062">
      <w:bodyDiv w:val="1"/>
      <w:marLeft w:val="0"/>
      <w:marRight w:val="0"/>
      <w:marTop w:val="0"/>
      <w:marBottom w:val="0"/>
      <w:divBdr>
        <w:top w:val="none" w:sz="0" w:space="0" w:color="auto"/>
        <w:left w:val="none" w:sz="0" w:space="0" w:color="auto"/>
        <w:bottom w:val="none" w:sz="0" w:space="0" w:color="auto"/>
        <w:right w:val="none" w:sz="0" w:space="0" w:color="auto"/>
      </w:divBdr>
    </w:div>
    <w:div w:id="1418747365">
      <w:bodyDiv w:val="1"/>
      <w:marLeft w:val="0"/>
      <w:marRight w:val="0"/>
      <w:marTop w:val="0"/>
      <w:marBottom w:val="0"/>
      <w:divBdr>
        <w:top w:val="none" w:sz="0" w:space="0" w:color="auto"/>
        <w:left w:val="none" w:sz="0" w:space="0" w:color="auto"/>
        <w:bottom w:val="none" w:sz="0" w:space="0" w:color="auto"/>
        <w:right w:val="none" w:sz="0" w:space="0" w:color="auto"/>
      </w:divBdr>
    </w:div>
    <w:div w:id="1450903183">
      <w:bodyDiv w:val="1"/>
      <w:marLeft w:val="0"/>
      <w:marRight w:val="0"/>
      <w:marTop w:val="0"/>
      <w:marBottom w:val="0"/>
      <w:divBdr>
        <w:top w:val="none" w:sz="0" w:space="0" w:color="auto"/>
        <w:left w:val="none" w:sz="0" w:space="0" w:color="auto"/>
        <w:bottom w:val="none" w:sz="0" w:space="0" w:color="auto"/>
        <w:right w:val="none" w:sz="0" w:space="0" w:color="auto"/>
      </w:divBdr>
    </w:div>
    <w:div w:id="1509980154">
      <w:bodyDiv w:val="1"/>
      <w:marLeft w:val="0"/>
      <w:marRight w:val="0"/>
      <w:marTop w:val="0"/>
      <w:marBottom w:val="0"/>
      <w:divBdr>
        <w:top w:val="none" w:sz="0" w:space="0" w:color="auto"/>
        <w:left w:val="none" w:sz="0" w:space="0" w:color="auto"/>
        <w:bottom w:val="none" w:sz="0" w:space="0" w:color="auto"/>
        <w:right w:val="none" w:sz="0" w:space="0" w:color="auto"/>
      </w:divBdr>
    </w:div>
    <w:div w:id="1680543441">
      <w:bodyDiv w:val="1"/>
      <w:marLeft w:val="0"/>
      <w:marRight w:val="0"/>
      <w:marTop w:val="0"/>
      <w:marBottom w:val="0"/>
      <w:divBdr>
        <w:top w:val="none" w:sz="0" w:space="0" w:color="auto"/>
        <w:left w:val="none" w:sz="0" w:space="0" w:color="auto"/>
        <w:bottom w:val="none" w:sz="0" w:space="0" w:color="auto"/>
        <w:right w:val="none" w:sz="0" w:space="0" w:color="auto"/>
      </w:divBdr>
    </w:div>
    <w:div w:id="1748190165">
      <w:bodyDiv w:val="1"/>
      <w:marLeft w:val="0"/>
      <w:marRight w:val="0"/>
      <w:marTop w:val="0"/>
      <w:marBottom w:val="0"/>
      <w:divBdr>
        <w:top w:val="none" w:sz="0" w:space="0" w:color="auto"/>
        <w:left w:val="none" w:sz="0" w:space="0" w:color="auto"/>
        <w:bottom w:val="none" w:sz="0" w:space="0" w:color="auto"/>
        <w:right w:val="none" w:sz="0" w:space="0" w:color="auto"/>
      </w:divBdr>
    </w:div>
    <w:div w:id="1841045472">
      <w:bodyDiv w:val="1"/>
      <w:marLeft w:val="0"/>
      <w:marRight w:val="0"/>
      <w:marTop w:val="0"/>
      <w:marBottom w:val="0"/>
      <w:divBdr>
        <w:top w:val="none" w:sz="0" w:space="0" w:color="auto"/>
        <w:left w:val="none" w:sz="0" w:space="0" w:color="auto"/>
        <w:bottom w:val="none" w:sz="0" w:space="0" w:color="auto"/>
        <w:right w:val="none" w:sz="0" w:space="0" w:color="auto"/>
      </w:divBdr>
    </w:div>
    <w:div w:id="1924532721">
      <w:bodyDiv w:val="1"/>
      <w:marLeft w:val="0"/>
      <w:marRight w:val="0"/>
      <w:marTop w:val="0"/>
      <w:marBottom w:val="0"/>
      <w:divBdr>
        <w:top w:val="none" w:sz="0" w:space="0" w:color="auto"/>
        <w:left w:val="none" w:sz="0" w:space="0" w:color="auto"/>
        <w:bottom w:val="none" w:sz="0" w:space="0" w:color="auto"/>
        <w:right w:val="none" w:sz="0" w:space="0" w:color="auto"/>
      </w:divBdr>
    </w:div>
    <w:div w:id="2037460542">
      <w:bodyDiv w:val="1"/>
      <w:marLeft w:val="0"/>
      <w:marRight w:val="0"/>
      <w:marTop w:val="0"/>
      <w:marBottom w:val="0"/>
      <w:divBdr>
        <w:top w:val="none" w:sz="0" w:space="0" w:color="auto"/>
        <w:left w:val="none" w:sz="0" w:space="0" w:color="auto"/>
        <w:bottom w:val="none" w:sz="0" w:space="0" w:color="auto"/>
        <w:right w:val="none" w:sz="0" w:space="0" w:color="auto"/>
      </w:divBdr>
    </w:div>
    <w:div w:id="214377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57F191-1BCD-7B4C-9D1B-13EB0199E906}">
  <we:reference id="a504f697-cd57-482d-af3c-653ec8236b9b" version="7.0.0.1" store="EXCatalog" storeType="EXCatalog"/>
  <we:alternateReferences>
    <we:reference id="WA200002534" version="7.0.0.1" store="en-US" storeType="OMEX"/>
  </we:alternateReferences>
  <we:properties>
    <we:property name="sciwheel-csl-items" value="[{&quot;title&quot;:&quot;LY2606368 Causes Replication Catastrophe and Antitumor Effects through CHK1-Dependent Mechanisms.&quot;,&quot;page&quot;:&quot;2004-2013&quot;,&quot;volume&quot;:&quot;14&quot;,&quot;issue&quot;:&quot;9&quot;,&quot;journalAbbreviation&quot;:&quot;Mol. Cancer Ther.&quot;,&quot;id&quot;:&quot;2156547&quot;,&quot;type&quot;:&quot;article-journal&quot;,&quot;container-title&quot;:&quot;Molecular Cancer Therapeutics&quot;,&quot;container-title-short&quot;:&quot;Mol. Cancer Ther.&quot;,&quot;abstract&quot;:&quot;CHK1 is a multifunctional protein kinase integral to both the cellular response to DNA damage and control of the number of active replication forks. CHK1 inhibitors are currently under investigation as chemopotentiating agents due to CHK1's role in establishing DNA damage checkpoints in the cell cycle. Here, we describe the characterization of a novel CHK1 inhibitor, LY2606368, which as a single agent causes double-stranded DNA breakage while simultaneously removing the protection of the DNA damage checkpoints. The action of LY2606368 is dependent upon inhibition of CHK1 and the corresponding increase in CDC25A activation of CDK2, which increases the number of replication forks while reducing their stability. Treatment of cells with LY2606368 results in the rapid appearance of TUNEL and pH2AX-positive double-stranded DNA breaks in the S-phase cell population. Loss of the CHK1-dependent DNA damage checkpoints permits cells with damaged DNA to proceed into early mitosis and die. The majority of treated mitotic nuclei consist of extensively fragmented chromosomes. Inhibition of apoptosis by the caspase inhibitor Z-VAD-FMK had no effect on chromosome fragmentation, indicating that LY2606368 causes replication catastrophe. Changes in the ratio of RPA2 to phosphorylated H2AX following LY2606368 treatment further support replication catastrophe as the mechanism of DNA damage. LY2606368 shows similar activity in xenograft tumor models, which results in significant tumor growth inhibition. LY2606368 is a potent representative of a novel class of drugs for the treatment of cancer that acts through replication catastrophe.©2015 American Association for Cancer Research.&quot;,&quot;author&quot;:[{&quot;family&quot;:&quot;King&quot;,&quot;given&quot;:&quot;Constance&quot;},{&quot;family&quot;:&quot;Diaz&quot;,&quot;given&quot;:&quot;H Bruce&quot;},{&quot;family&quot;:&quot;McNeely&quot;,&quot;given&quot;:&quot;Samuel&quot;},{&quot;family&quot;:&quot;Barnard&quot;,&quot;given&quot;:&quot;Darlene&quot;},{&quot;family&quot;:&quot;Dempsey&quot;,&quot;given&quot;:&quot;Jack&quot;},{&quot;family&quot;:&quot;Blosser&quot;,&quot;given&quot;:&quot;Wayne&quot;},{&quot;family&quot;:&quot;Beckmann&quot;,&quot;given&quot;:&quot;Richard&quot;},{&quot;family&quot;:&quot;Barda&quot;,&quot;given&quot;:&quot;David&quot;},{&quot;family&quot;:&quot;Marshall&quot;,&quot;given&quot;:&quot;Mark S&quot;}],&quot;issued&quot;:{&quot;date-parts&quot;:[[&quot;2015&quot;,&quot;9&quot;]]},&quot;DOI&quot;:&quot;10.1158/1535-7163.MCT-14-1037&quot;,&quot;PMID&quot;:&quot;26141948&quot;,&quot;citation-label&quot;:&quot;2156547&quot;},{&quot;title&quot;:&quot;The target landscape of clinical kinase drugs.&quot;,&quot;volume&quot;:&quot;358&quot;,&quot;issue&quot;:&quot;6367&quot;,&quot;journalAbbreviation&quot;:&quot;Science&quot;,&quot;id&quot;:&quot;4552095&quot;,&quot;type&quot;:&quot;article-journal&quot;,&quot;container-title&quot;:&quot;Science&quot;,&quot;container-title-short&quot;:&quot;Science&quot;,&quot;abstract&quot;:&quot;Kinase inhibitors are important cancer therapeutics. Polypharmacology is commonly observed, requiring thorough target deconvolution to understand drug mechanism of action. Using chemical proteomics, we analyzed the target spectrum of 243 clinically evaluated kinase drugs. The data revealed previously unknown targets for established drugs, offered a perspective on the \&quot;druggable\&quot; kinome, highlighted (non)kinase off-targets, and suggested potential therapeutic applications. Integration of phosphoproteomic data refined drug-affected pathways, identified response markers, and strengthened rationale for combination treatments. We exemplify translational value by discovering SIK2 (salt-inducible kinase 2) inhibitors that modulate cytokine production in primary cells, by identifying drugs against the lung cancer survival marker MELK (maternal embryonic leucine zipper kinase), and by repurposing cabozantinib to treat FLT3-ITD-positive acute myeloid leukemia. This resource, available via the ProteomicsDB database, should facilitate basic, clinical, and drug discovery research and aid clinical decision-making.Copyright © 2017 The Authors, some rights reserved; exclusive licensee American Association for the Advancement of Science. No claim to original U.S. Government Works.&quot;,&quot;author&quot;:[{&quot;family&quot;:&quot;Klaeger&quot;,&quot;given&quot;:&quot;Susan&quot;},{&quot;family&quot;:&quot;Heinzlmeir&quot;,&quot;given&quot;:&quot;Stephanie&quot;},{&quot;family&quot;:&quot;Wilhelm&quot;,&quot;given&quot;:&quot;Mathias&quot;},{&quot;family&quot;:&quot;Polzer&quot;,&quot;given&quot;:&quot;Harald&quot;},{&quot;family&quot;:&quot;Vick&quot;,&quot;given&quot;:&quot;Binje&quot;},{&quot;family&quot;:&quot;Koenig&quot;,&quot;given&quot;:&quot;Paul-Albert&quot;},{&quot;family&quot;:&quot;Reinecke&quot;,&quot;given&quot;:&quot;Maria&quot;},{&quot;family&quot;:&quot;Ruprecht&quot;,&quot;given&quot;:&quot;Benjamin&quot;},{&quot;family&quot;:&quot;Petzoldt&quot;,&quot;given&quot;:&quot;Svenja&quot;},{&quot;family&quot;:&quot;Meng&quot;,&quot;given&quot;:&quot;Chen&quot;},{&quot;family&quot;:&quot;Zecha&quot;,&quot;given&quot;:&quot;Jana&quot;},{&quot;family&quot;:&quot;Reiter&quot;,&quot;given&quot;:&quot;Katrin&quot;},{&quot;family&quot;:&quot;Qiao&quot;,&quot;given&quot;:&quot;Huichao&quot;},{&quot;family&quot;:&quot;Helm&quot;,&quot;given&quot;:&quot;Dominic&quot;},{&quot;family&quot;:&quot;Koch&quot;,&quot;given&quot;:&quot;Heiner&quot;},{&quot;family&quot;:&quot;Schoof&quot;,&quot;given&quot;:&quot;Melanie&quot;},{&quot;family&quot;:&quot;Canevari&quot;,&quot;given&quot;:&quot;Giulia&quot;},{&quot;family&quot;:&quot;Casale&quot;,&quot;given&quot;:&quot;Elena&quot;},{&quot;family&quot;:&quot;Depaolini&quot;,&quot;given&quot;:&quot;Stefania Re&quot;},{&quot;family&quot;:&quot;Feuchtinger&quot;,&quot;given&quot;:&quot;Annette&quot;},{&quot;family&quot;:&quot;Wu&quot;,&quot;given&quot;:&quot;Zhixiang&quot;},{&quot;family&quot;:&quot;Schmidt&quot;,&quot;given&quot;:&quot;Tobias&quot;},{&quot;family&quot;:&quot;Rueckert&quot;,&quot;given&quot;:&quot;Lars&quot;},{&quot;family&quot;:&quot;Becker&quot;,&quot;given&quot;:&quot;Wilhelm&quot;},{&quot;family&quot;:&quot;Huenges&quot;,&quot;given&quot;:&quot;Jan&quot;},{&quot;family&quot;:&quot;Garz&quot;,&quot;given&quot;:&quot;Anne-Kathrin&quot;},{&quot;family&quot;:&quot;Gohlke&quot;,&quot;given&quot;:&quot;Bjoern-Oliver&quot;},{&quot;family&quot;:&quot;Zolg&quot;,&quot;given&quot;:&quot;Daniel Paul&quot;},{&quot;family&quot;:&quot;Kayser&quot;,&quot;given&quot;:&quot;Gian&quot;},{&quot;family&quot;:&quot;Vooder&quot;,&quot;given&quot;:&quot;Tonu&quot;},{&quot;family&quot;:&quot;Preissner&quot;,&quot;given&quot;:&quot;Robert&quot;},{&quot;family&quot;:&quot;Hahne&quot;,&quot;given&quot;:&quot;Hannes&quot;},{&quot;family&quot;:&quot;Tõnisson&quot;,&quot;given&quot;:&quot;Neeme&quot;},{&quot;family&quot;:&quot;Kramer&quot;,&quot;given&quot;:&quot;Karl&quot;},{&quot;family&quot;:&quot;Götze&quot;,&quot;given&quot;:&quot;Katharina&quot;},{&quot;family&quot;:&quot;Bassermann&quot;,&quot;given&quot;:&quot;Florian&quot;},{&quot;family&quot;:&quot;Schlegl&quot;,&quot;given&quot;:&quot;Judith&quot;},{&quot;family&quot;:&quot;Ehrlich&quot;,&quot;given&quot;:&quot;Hans-Christian&quot;},{&quot;family&quot;:&quot;Aiche&quot;,&quot;given&quot;:&quot;Stephan&quot;},{&quot;family&quot;:&quot;Walch&quot;,&quot;given&quot;:&quot;Axel&quot;},{&quot;family&quot;:&quot;Greif&quot;,&quot;given&quot;:&quot;Philipp A&quot;},{&quot;family&quot;:&quot;Schneider&quot;,&quot;given&quot;:&quot;Sabine&quot;},{&quot;family&quot;:&quot;Felder&quot;,&quot;given&quot;:&quot;Eduard Rudolf&quot;},{&quot;family&quot;:&quot;Ruland&quot;,&quot;given&quot;:&quot;Juergen&quot;},{&quot;family&quot;:&quot;Médard&quot;,&quot;given&quot;:&quot;Guillaume&quot;},{&quot;family&quot;:&quot;Jeremias&quot;,&quot;given&quot;:&quot;Irmela&quot;},{&quot;family&quot;:&quot;Spiekermann&quot;,&quot;given&quot;:&quot;Karsten&quot;},{&quot;family&quot;:&quot;Kuster&quot;,&quot;given&quot;:&quot;Bernhard&quot;}],&quot;issued&quot;:{&quot;date-parts&quot;:[[&quot;2017&quot;,&quot;12&quot;,&quot;1&quot;]]},&quot;DOI&quot;:&quot;10.1126/science.aan4368&quot;,&quot;PMID&quot;:&quot;29191878&quot;,&quot;PMCID&quot;:&quot;PMC6542668&quot;,&quot;citation-label&quot;:&quot;4552095&quot;},{&quot;title&quot;:&quot;mTORC1/2 and Protein Translation Regulate Levels of CHK1 and the Sensitivity to CHK1 Inhibitors in Ewing Sarcoma Cells.&quot;,&quot;page&quot;:&quot;2676-2688&quot;,&quot;volume&quot;:&quot;17&quot;,&quot;issue&quot;:&quot;12&quot;,&quot;journalAbbreviation&quot;:&quot;Mol. Cancer Ther.&quot;,&quot;id&quot;:&quot;5851410&quot;,&quot;type&quot;:&quot;article-journal&quot;,&quot;container-title&quot;:&quot;Molecular Cancer Therapeutics&quot;,&quot;container-title-short&quot;:&quot;Mol. Cancer Ther.&quot;,&quot;abstract&quot;:&quot;The treatment of Ewing sarcoma has changed very little in the past two decades and novel treatment approaches are needed. We recently identified that Ewing sarcoma cells are uniquely vulnerable to inhibitors of ribonucleotide reductase (RNR), the rate-limiting enzyme in the synthesis of deoxyribonucleotides. We subsequently found that the inhibition of checkpoint kinase 1 (CHK1) increases the sensitivity of Ewing sarcoma cells to inhibitors of RNR, such as gemcitabine. However, Ewing sarcoma cells exhibit high levels of the CHK1 protein, which may represent an adaptive response to elevated levels of endogenous DNA replication stress. Consequently, we began this work with the aim of determining the impact of CHK1 levels on drug sensitivity, as well as identifying the mechanisms and pathways that regulate CHK1 levels in Ewing sarcoma cells. In this report, we show that the high levels of the CHK1 protein in Ewing sarcoma cells limit the efficacy of CHK1 inhibitors. However, inhibition of mTORC1/2 activates the translational repressor 4E-BP1, reduces protein synthesis, and decreases levels of the CHK1 protein in Ewing sarcoma cells. Similarly, we identified that the CHK1 inhibitor prexasertib also activates 4E-BP1, inhibits protein synthesis, and reduces CHK1 protein levels in Ewing sarcoma cells. Moreover, the combination of prexasertib and gemcitabine was synergistic in vitro, caused tumor regression in vivo, and significantly prolonged mouse survival in a Ewing sarcoma xenograft experiment. Overall, our results provide insight into Ewing sarcoma biology and support further investigation of the CHK1 pathway as a therapeutic target in Ewing sarcoma tumors.©2018 American Association for Cancer Research.&quot;,&quot;author&quot;:[{&quot;family&quot;:&quot;Koppenhafer&quot;,&quot;given&quot;:&quot;Stacia L&quot;},{&quot;family&quot;:&quot;Goss&quot;,&quot;given&quot;:&quot;Kelli L&quot;},{&quot;family&quot;:&quot;Terry&quot;,&quot;given&quot;:&quot;William W&quot;},{&quot;family&quot;:&quot;Gordon&quot;,&quot;given&quot;:&quot;David J&quot;}],&quot;issued&quot;:{&quot;date-parts&quot;:[[&quot;2018&quot;,&quot;12&quot;]]},&quot;DOI&quot;:&quot;10.1158/1535-7163.MCT-18-0260&quot;,&quot;PMID&quot;:&quot;30282812&quot;,&quot;PMCID&quot;:&quot;PMC6279492&quot;,&quot;citation-label&quot;:&quot;5851410&quot;},{&quot;title&quot;:&quot;Activator Protein-1 (AP-1) Signaling Inhibits the Growth of Ewing Sarcoma Cells in Response to DNA Replication Stress.&quot;,&quot;page&quot;:&quot;1580-1593&quot;,&quot;volume&quot;:&quot;3&quot;,&quot;issue&quot;:&quot;8&quot;,&quot;journalAbbreviation&quot;:&quot;Cancer Res. Commun.&quot;,&quot;id&quot;:&quot;15288877&quot;,&quot;type&quot;:&quot;article-journal&quot;,&quot;container-title&quot;:&quot;Cancer Research Communications&quot;,&quot;container-title-short&quot;:&quot;Cancer Res. Commun.&quot;,&quot;abstract&quot;:&quot;UNLABELLED: Ribonucleotide reductase (RNR) catalyzes the rate-limiting step in the synthesis of deoxyribonucleosides and is required for DNA replication. Multiple types of cancer, including Ewing sarcoma tumors, are sensitive to RNR inhibitors or a reduction in the levels of either the RRM1 or RRM2 subunits of RNR. However, the polypharmacology and off-target effects of RNR inhibitors have complicated the identification of the mechanisms that regulate sensitivity and resistance to this class of drugs. Consequently, we used a conditional knockout (CRISPR/Cas9) and rescue approach to target RRM1 in Ewing sarcoma cells and identified that loss of the RRM1 protein results in the upregulation of the expression of multiple members of the activator protein-1 (AP-1) transcription factor complex, including c-Jun and c-Fos, and downregulation of c-Myc. Notably, overexpression of c-Jun and c-Fos in Ewing sarcoma cells is sufficient to inhibit cell growth and downregulate the expression of the c-Myc oncogene. We also identified that the upregulation of AP-1 is mediated, in part, by SLFN11, which is a replication stress response protein that is expressed at high levels in Ewing sarcoma. In addition, small-molecule inhibitors of RNR, including gemcitabine, and histone deacetylase inhibitors, which reduce the level of the RRM1 protein, also activate AP-1 signaling and downregulate the level of c-Myc in Ewing sarcoma. Overall, these results provide novel insight into the critical pathways activated by loss of RNR activity and the mechanisms of action of inhibitors of RNR.SIGNIFICANCE: RNR is the rate-limiting enzyme in the synthesis of deoxyribonucleotides. Although RNR is the target of multiple chemotherapy drugs, polypharmacology and off-target effects have complicated the identification of the precise mechanism of action of these drugs. In this work, using a knockout-rescue approach, we identified that inhibition of RNR upregulates AP-1 signaling and downregulates the level of c-Myc in Ewing sarcoma tumors.© 2023 The Authors; Published by the American Association for Cancer Research.&quot;,&quot;author&quot;:[{&quot;family&quot;:&quot;Croushore&quot;,&quot;given&quot;:&quot;Emma E&quot;},{&quot;family&quot;:&quot;Koppenhafer&quot;,&quot;given&quot;:&quot;Stacia L&quot;},{&quot;family&quot;:&quot;Goss&quot;,&quot;given&quot;:&quot;Kelli L&quot;},{&quot;family&quot;:&quot;Geary&quot;,&quot;given&quot;:&quot;Elizabeth L&quot;},{&quot;family&quot;:&quot;Gordon&quot;,&quot;given&quot;:&quot;David J&quot;}],&quot;issued&quot;:{&quot;date-parts&quot;:[[&quot;2023&quot;,&quot;8&quot;,&quot;17&quot;]]},&quot;DOI&quot;:&quot;10.1158/2767-9764.CRC-23-0268&quot;,&quot;PMID&quot;:&quot;37599787&quot;,&quot;PMCID&quot;:&quot;PMC10434289&quot;,&quot;citation-label&quot;:&quot;15288877&quot;},{&quot;title&quot;:&quot;Accurate delineation of cell cycle phase transitions in living cells with PIP-FUCCI.&quot;,&quot;page&quot;:&quot;2496-2516&quot;,&quot;volume&quot;:&quot;17&quot;,&quot;issue&quot;:&quot;21-22&quot;,&quot;journalAbbreviation&quot;:&quot;Cell Cycle&quot;,&quot;id&quot;:&quot;6710574&quot;,&quot;type&quot;:&quot;article-journal&quot;,&quot;container-title&quot;:&quot;Cell Cycle&quot;,&quot;container-title-short&quot;:&quot;Cell Cycle&quot;,&quot;abstract&quot;:&quot;Cell cycle phase transitions are tightly orchestrated to ensure efficient cell cycle progression and genome stability. Interrogating these transitions is important for understanding both normal and pathological cell proliferation. By quantifying the dynamics of the popular FUCCI reporters relative to the transitions into and out of S phase, we found that their dynamics are substantially and variably offset from true S phase boundaries. To enhance detection of phase transitions, we generated a new reporter whose oscillations are directly coupled to DNA replication and combined it with the FUCCI APC/C reporter to create \&quot;PIP-FUCCI\&quot;. The PIP degron fusion protein precisely marks the G1/S and S/G2 transitions; shows a rapid decrease in signal in response to large doses of DNA damage only during G1; and distinguishes cell type-specific and DNA damage source-dependent arrest phenotypes. We provide guidance to investigators in selecting appropriate fluorescent cell cycle reporters and new analysis strategies for delineating cell cycle transitions.&quot;,&quot;author&quot;:[{&quot;family&quot;:&quot;Grant&quot;,&quot;given&quot;:&quot;Gavin D&quot;},{&quot;family&quot;:&quot;Kedziora&quot;,&quot;given&quot;:&quot;Katarzyna M&quot;},{&quot;family&quot;:&quot;Limas&quot;,&quot;given&quot;:&quot;Juanita C&quot;},{&quot;family&quot;:&quot;Cook&quot;,&quot;given&quot;:&quot;Jeanette Gowen&quot;},{&quot;family&quot;:&quot;Purvis&quot;,&quot;given&quot;:&quot;Jeremy E&quot;}],&quot;issued&quot;:{&quot;date-parts&quot;:[[&quot;2018&quot;]]},&quot;DOI&quot;:&quot;10.1080/15384101.2018.1547001&quot;,&quot;PMID&quot;:&quot;30421640&quot;,&quot;PMCID&quot;:&quot;PMC6342071&quot;,&quot;citation-label&quot;:&quot;6710574&quot;},{&quot;title&quot;:&quot;Proapoptotic role of CDK1 in overcoming paclitaxel resistance in ovarian cancer cells in response to combined treatment with paclitaxel and duloxetine.&quot;,&quot;page&quot;:&quot;409&quot;,&quot;volume&quot;:&quot;24&quot;,&quot;issue&quot;:&quot;1&quot;,&quot;journalAbbreviation&quot;:&quot;Cancer Cell Int.&quot;,&quot;id&quot;:&quot;17772764&quot;,&quot;type&quot;:&quot;article-journal&quot;,&quot;container-title&quot;:&quot;Cancer cell international&quot;,&quot;container-title-short&quot;:&quot;Cancer Cell Int.&quot;,&quot;abstract&quot;:&quot;BACKGROUND: Paclitaxel resistance and recurrence are major obstacles in ovarian cancer, which is the leading cause of death among gynecologic cancers. During cancer cell progression, cyclin-dependent kinase 1 (CDK1) drives cells through the G2 phase and into mitosis. In this study, we demonstrated that CDK1 played a crucial role in switching paclitaxel-resistant ovarian cancer cells from mitotic arrest to apoptosis following combined treatment with paclitaxel and duloxetine, an antidepressant known as a serotonin-norepinephrine reuptake inhibitor (SNRI).METHODS: Cell viability was assessed by MTT assay. Apoptotic cell death and mitochondrial membrane potential (MMP) were detected by flow cytometry. Protein expression levels were explored using western blotting. Mitochondrial and cytosolic fractionation were performed to determine the mitochondrial localization of proteins. Immunofluorescence was used to detect protein expression levels and localization.RESULTS: Combined treatment with paclitaxel and duloxetine induced apoptotic cell death in paclitaxel-resistant ovarian cancer cells. We suggested that combined treatment of these drugs induced CDK1 activation and increased mitochondrial localization of activated CDK1, which caused phosphorylation of the antiapoptotic Bcl-2 and Bcl-xL proteins. Selective CDK1 inhibitors blocked Bcl-2 and Bcl-xL phosphorylation induced by paclitaxel and duloxetine, and strongly suppressed apoptotic cell death. Furthermore, we demonstrated that S6K is a potential upstream mediator of the proapoptotic activation of CDK1.CONCLUSION: Taken together, switching CDK1 to a proapoptotic role through the combination of paclitaxel and duloxetine could overcome paclitaxel resistance in ovarian cancer cells, providing promising therapeutic strategies for treating paclitaxel-resistant ovarian cancer.© 2024. The Author(s).&quot;,&quot;author&quot;:[{&quot;family&quot;:&quot;Kim&quot;,&quot;given&quot;:&quot;Gyeongmi&quot;},{&quot;family&quot;:&quot;Jang&quot;,&quot;given&quot;:&quot;Se-Kyeong&quot;},{&quot;family&quot;:&quot;Ahn&quot;,&quot;given&quot;:&quot;Se Hee&quot;},{&quot;family&quot;:&quot;Kim&quot;,&quot;given&quot;:&quot;Selim&quot;},{&quot;family&quot;:&quot;Park&quot;,&quot;given&quot;:&quot;Chan Sub&quot;},{&quot;family&quot;:&quot;Seong&quot;,&quot;given&quot;:&quot;Min-Ki&quot;},{&quot;family&quot;:&quot;Kim&quot;,&quot;given&quot;:&quot;Hyun-Ah&quot;},{&quot;family&quot;:&quot;Bae&quot;,&quot;given&quot;:&quot;Seunghee&quot;},{&quot;family&quot;:&quot;Lee&quot;,&quot;given&quot;:&quot;Jae Ho&quot;},{&quot;family&quot;:&quot;Kim&quot;,&quot;given&quot;:&quot;Hyunggee&quot;},{&quot;family&quot;:&quot;Jin&quot;,&quot;given&quot;:&quot;Hyeon-Ok&quot;},{&quot;family&quot;:&quot;Park&quot;,&quot;given&quot;:&quot;In-Chul&quot;}],&quot;issued&quot;:{&quot;date-parts&quot;:[[&quot;2024&quot;,&quot;12&quot;,&quot;19&quot;]]},&quot;DOI&quot;:&quot;10.1186/s12935-024-03607-8&quot;,&quot;PMID&quot;:&quot;39702300&quot;,&quot;PMCID&quot;:&quot;PMC11660910&quot;,&quot;citation-label&quot;:&quot;17772764&quot;},{&quot;title&quot;:&quot;CDK1 switches mitotic arrest to apoptosis by phosphorylating Bcl-2/Bax family proteins during treatment with microtubule interfering agents.&quot;,&quot;page&quot;:&quot;737-746&quot;,&quot;volume&quot;:&quot;38&quot;,&quot;issue&quot;:&quot;6&quot;,&quot;journalAbbreviation&quot;:&quot;Cell Biol. Int.&quot;,&quot;id&quot;:&quot;17772713&quot;,&quot;type&quot;:&quot;article-journal&quot;,&quot;container-title&quot;:&quot;Cell Biology International&quot;,&quot;container-title-short&quot;:&quot;Cell Biol. Int.&quot;,&quot;abstract&quot;:&quot;Microtubule interfering agents (MIAs), that can stabilise or depolymerise microtubules, are an important class of cancer chemotherapeutic drugs. They can lead to mitotic arrest and subsequent apoptosis. We demonstrate that cell cycle-dependent kinase 1 (CDK1) is important in switching cells from mitotic arrest to apoptosis during MIAs treatment. Overexpression of non-degradable cyclin B1 sustained CDK1 activation and mitotic arrest, followed by caspase-3 dependent apoptosis. CDK1 is responsible for the phosphorylation of several pro- and anti-apoptotic Bcl-2 family proteins during MIAs treatment. CDK1-mediated Bcl-2 serine 70 phosphorylation enhances its pro-apoptotic function, whereas CDK1-mediated Bad serine 128 phosphorylation promotes apoptosis. Blockage of CDK1 activity with a specific pharmacological inhibitor suppresses Mcl-1 phosphorylation, degradation and its anti-apoptotic function. Therefore, the death of cancer cells under MIAs treatment was caused by imbalance between CDK1-induced alterations in the pro-apoptotic and anti-apoptotic functions of phosphorylated Bcl-2 family proteins. © 2014 International Federation for Cell Biology.&quot;,&quot;author&quot;:[{&quot;family&quot;:&quot;Zhou&quot;,&quot;given&quot;:&quot;Lingli&quot;},{&quot;family&quot;:&quot;Cai&quot;,&quot;given&quot;:&quot;Xiaoling&quot;},{&quot;family&quot;:&quot;Han&quot;,&quot;given&quot;:&quot;Xueyao&quot;},{&quot;family&quot;:&quot;Xu&quot;,&quot;given&quot;:&quot;Naihan&quot;},{&quot;family&quot;:&quot;Chang&quot;,&quot;given&quot;:&quot;Donald C&quot;}],&quot;issued&quot;:{&quot;date-parts&quot;:[[&quot;2014&quot;,&quot;6&quot;]]},&quot;DOI&quot;:&quot;10.1002/cbin.10259&quot;,&quot;PMID&quot;:&quot;24677263&quot;,&quot;citation-label&quot;:&quot;17772713&quot;},{&quot;title&quot;:&quot;Cyclin-dependent kinase-1: linking apoptosis to cell cycle and mitotic catastrophe.&quot;,&quot;page&quot;:&quot;1287-1293&quot;,&quot;volume&quot;:&quot;9&quot;,&quot;issue&quot;:&quot;12&quot;,&quot;journalAbbreviation&quot;:&quot;Cell Death Differ.&quot;,&quot;id&quot;:&quot;2001694&quot;,&quot;type&quot;:&quot;article-journal&quot;,&quot;container-title&quot;:&quot;Cell Death and Differentiation&quot;,&quot;container-title-short&quot;:&quot;Cell Death Differ.&quot;,&quot;abstract&quot;:&quot;The cyclin-dependent kinase 1 (Cdk1), formerly called Cdc2 (or p34(Cdc2)), interacts with cyclin B1 to form an active heterodimer. The activity of Cdk1 is subjected to a complex spatiotemporary regulation, required to guarantee its scheduled contribution to the mitotic prophase and metaphase. Moreover, the activation of Cdk1 may be required for apoptosis induction in some particular pathways of cell killing. This applies to several clinically important settings, for instance to paclitaxel-induced killing of breast cancer cells, in which the ErbB2 receptor kinase can mediate apoptosis inhibition through inactivation of Cdk1. The activation of Cdk1 participates also in HIV-1-induced apoptosis, upstream of the p53-dependent mitochondrial permeabilization step. An unscheduled Cdk1 activation may contribute to neuronal apoptosis occurring in neurodegenerative diseases. Finally, the premature activation of Cdk1 can lead to mitotic catastrophe, for instance after irradiation-induced DNA damage. Thus, a cell type-specific modulation of Cdk1 might be taken advantage of for the therapeutic correction of pathogenic imbalances in apoptosis control.&quot;,&quot;author&quot;:[{&quot;family&quot;:&quot;Castedo&quot;,&quot;given&quot;:&quot;M&quot;},{&quot;family&quot;:&quot;Perfettini&quot;,&quot;given&quot;:&quot;J L&quot;},{&quot;family&quot;:&quot;Roumier&quot;,&quot;given&quot;:&quot;T&quot;},{&quot;family&quot;:&quot;Kroemer&quot;,&quot;given&quot;:&quot;G&quot;}],&quot;issued&quot;:{&quot;date-parts&quot;:[[&quot;2002&quot;,&quot;12&quot;]]},&quot;DOI&quot;:&quot;10.1038/sj.cdd.4401130&quot;,&quot;PMID&quot;:&quot;12478465&quot;,&quot;citation-label&quot;:&quot;2001694&quot;},{&quot;title&quot;:&quot;Defining a cancer dependency map.&quot;,&quot;page&quot;:&quot;564-576.e16&quot;,&quot;volume&quot;:&quot;170&quot;,&quot;issue&quot;:&quot;3&quot;,&quot;journalAbbreviation&quot;:&quot;Cell&quot;,&quot;id&quot;:&quot;3984491&quot;,&quot;type&quot;:&quot;article-journal&quot;,&quot;container-title&quot;:&quot;Cell&quot;,&quot;container-title-short&quot;:&quot;Cell&quot;,&quot;abstract&quot;:&quot;Most human epithelial tumors harbor numerous alterations, making it difficult to predict which genes are required for tumor survival. To systematically identify cancer dependencies, we analyzed 501 genome-scale loss-of-function screens performed in diverse human cancer cell lines. We developed DEMETER, an analytical framework that segregates on- from off-target effects of RNAi. 769 genes were differentially required in subsets of these cell lines at a threshold of six SDs from the mean. We found predictive models for 426 dependencies (55%) by nonlinear regression modeling considering 66,646 molecular features. Many dependencies fall into a limited number of classes, and unexpectedly, in 82% of models, the top biomarkers were expression based. We demonstrated the basis behind one such predictive model linking hypermethylation of the UBB ubiquitin gene to a dependency on UBC. Together, these observations provide a foundation for a cancer dependency map that facilitates the prioritization of therapeutic targets.Copyright © 2017 Elsevier Inc. All rights reserved.&quot;,&quot;author&quot;:[{&quot;family&quot;:&quot;Tsherniak&quot;,&quot;given&quot;:&quot;Aviad&quot;},{&quot;family&quot;:&quot;Vazquez&quot;,&quot;given&quot;:&quot;Francisca&quot;},{&quot;family&quot;:&quot;Montgomery&quot;,&quot;given&quot;:&quot;Phil G&quot;},{&quot;family&quot;:&quot;Weir&quot;,&quot;given&quot;:&quot;Barbara A&quot;},{&quot;family&quot;:&quot;Kryukov&quot;,&quot;given&quot;:&quot;Gregory&quot;},{&quot;family&quot;:&quot;Cowley&quot;,&quot;given&quot;:&quot;Glenn S&quot;},{&quot;family&quot;:&quot;Gill&quot;,&quot;given&quot;:&quot;Stanley&quot;},{&quot;family&quot;:&quot;Harrington&quot;,&quot;given&quot;:&quot;William F&quot;},{&quot;family&quot;:&quot;Pantel&quot;,&quot;given&quot;:&quot;Sasha&quot;},{&quot;family&quot;:&quot;Krill-Burger&quot;,&quot;given&quot;:&quot;John M&quot;},{&quot;family&quot;:&quot;Meyers&quot;,&quot;given&quot;:&quot;Robin M&quot;},{&quot;family&quot;:&quot;Ali&quot;,&quot;given&quot;:&quot;Levi&quot;},{&quot;family&quot;:&quot;Goodale&quot;,&quot;given&quot;:&quot;Amy&quot;},{&quot;family&quot;:&quot;Lee&quot;,&quot;given&quot;:&quot;Yenarae&quot;},{&quot;family&quot;:&quot;Jiang&quot;,&quot;given&quot;:&quot;Guozhi&quot;},{&quot;family&quot;:&quot;Hsiao&quot;,&quot;given&quot;:&quot;Jessica&quot;},{&quot;family&quot;:&quot;Gerath&quot;,&quot;given&quot;:&quot;William F J&quot;},{&quot;family&quot;:&quot;Howell&quot;,&quot;given&quot;:&quot;Sara&quot;},{&quot;family&quot;:&quot;Merkel&quot;,&quot;given&quot;:&quot;Erin&quot;},{&quot;family&quot;:&quot;Ghandi&quot;,&quot;given&quot;:&quot;Mahmoud&quot;},{&quot;family&quot;:&quot;Garraway&quot;,&quot;given&quot;:&quot;Levi A&quot;},{&quot;family&quot;:&quot;Root&quot;,&quot;given&quot;:&quot;David E&quot;},{&quot;family&quot;:&quot;Golub&quot;,&quot;given&quot;:&quot;Todd R&quot;},{&quot;family&quot;:&quot;Boehm&quot;,&quot;given&quot;:&quot;Jesse S&quot;},{&quot;family&quot;:&quot;Hahn&quot;,&quot;given&quot;:&quot;William C&quot;}],&quot;issued&quot;:{&quot;date-parts&quot;:[[&quot;2017&quot;,&quot;7&quot;,&quot;27&quot;]]},&quot;DOI&quot;:&quot;10.1016/j.cell.2017.06.010&quot;,&quot;PMID&quot;:&quot;28753430&quot;,&quot;PMCID&quot;:&quot;PMC5667678&quot;,&quot;citation-label&quot;:&quot;3984491&quot;},{&quot;title&quot;:&quot;Paediatric Strategy Forum for medicinal product development of DNA damage response pathway inhibitors in children and adolescents with cancer: ACCELERATE in collaboration with the European Medicines Agency with participation of the Food and Drug Administration.&quot;,&quot;page&quot;:&quot;112950&quot;,&quot;volume&quot;:&quot;190&quot;,&quot;journalAbbreviation&quot;:&quot;Eur. J. Cancer&quot;,&quot;id&quot;:&quot;16327778&quot;,&quot;type&quot;:&quot;article-journal&quot;,&quot;container-title&quot;:&quot;European Journal of Cancer&quot;,&quot;container-title-short&quot;:&quot;Eur. J. Cancer&quot;,&quot;abstract&quot;:&quot;DNA damage response inhibitors have a potentially important therapeutic role in paediatric cancers; however, their optimal use, including patient selection and combination strategy, remains unknown. Moreover, there is an imbalance between the number of drugs with diverse mechanisms of action and the limited number of paediatric patients available to be enrolled in early-phase trials, so prioritisation and a strategy are essential. While PARP inhibitors targeting homologous recombination-deficient tumours have been used primarily in the treatment of adult cancers with BRCA1/2 mutations, BRCA1/2 mutations occur infrequently in childhood tumours, and therefore, a specific response hypothesis is required. Combinations with targeted radiotherapy, ATR inhibitors, or antibody drug conjugates with DNA topoisomerase I inhibitor-related warheads warrant evaluation. Additional monotherapy trials of PARP inhibitors with the same mechanism of action are not recommended. PARP1-specific inhibitors and PARP inhibitors with very good central nervous system penetration also deserve evaluation. ATR, ATM, DNA-PK, CHK1, WEE1, DNA polymerase theta and PKMYT1 inhibitors are early in paediatric development. There should be an overall coordinated strategy for their development. Therefore, an academia/industry consensus of the relevant biomarkers will be established and a focused meeting on ATR inhibitors (as proof of principle) held. CHK1 inhibitors have demonstrated activity in desmoplastic small round cell tumours and have a potential role in the treatment of other paediatric malignancies, such as neuroblastoma and Ewing sarcoma. Access to CHK1 inhibitors for paediatric clinical trials is a high priority. The three key elements in evaluating these inhibitors in children are (1) innovative trial design (design driven by a clear hypothesis with the intent to further investigate responders and non-responders with detailed retrospective molecular analyses to generate a revised or new hypothesis); (2) biomarker selection and (3) rational combination therapy, which is limited by overlapping toxicity. To maximally benefit children with cancer, investigators should work collaboratively to learn the lessons from the past and apply them to future studies. Plans should be based on the relevant biology, with a focus on simultaneous and parallel research in preclinical and clinical settings, and an overall integrated and collaborative strategy.Copyright © 2023 The Authors. Published by Elsevier Ltd.. All rights reserved.&quot;,&quot;author&quot;:[{&quot;family&quot;:&quot;Pearson&quot;,&quot;given&quot;:&quot;Andrew D J&quot;},{&quot;family&quot;:&quot;Federico&quot;,&quot;given&quot;:&quot;Sara&quot;},{&quot;family&quot;:&quot;Gatz&quot;,&quot;given&quot;:&quot;Susanne A&quot;},{&quot;family&quot;:&quot;Ortiz&quot;,&quot;given&quot;:&quot;Michael&quot;},{&quot;family&quot;:&quot;Lesa&quot;,&quot;given&quot;:&quot;Giovanni&quot;},{&quot;family&quot;:&quot;Scobie&quot;,&quot;given&quot;:&quot;Nicole&quot;},{&quot;family&quot;:&quot;Gounaris&quot;,&quot;given&quot;:&quot;Ioannis&quot;},{&quot;family&quot;:&quot;Weiner&quot;,&quot;given&quot;:&quot;Susan L&quot;},{&quot;family&quot;:&quot;Weigel&quot;,&quot;given&quot;:&quot;Brenda&quot;},{&quot;family&quot;:&quot;Unger&quot;,&quot;given&quot;:&quot;T J&quot;},{&quot;family&quot;:&quot;Stewart&quot;,&quot;given&quot;:&quot;Elizabeth&quot;},{&quot;family&quot;:&quot;Smith&quot;,&quot;given&quot;:&quot;Malcolm&quot;},{&quot;family&quot;:&quot;Slotkin&quot;,&quot;given&quot;:&quot;Emily K&quot;},{&quot;family&quot;:&quot;Reaman&quot;,&quot;given&quot;:&quot;Gregory&quot;},{&quot;family&quot;:&quot;Pappo&quot;,&quot;given&quot;:&quot;Alberto&quot;},{&quot;family&quot;:&quot;Nysom&quot;,&quot;given&quot;:&quot;Karsten&quot;},{&quot;family&quot;:&quot;Norga&quot;,&quot;given&quot;:&quot;Koen&quot;},{&quot;family&quot;:&quot;McDonough&quot;,&quot;given&quot;:&quot;Joe&quot;},{&quot;family&quot;:&quot;Marshall&quot;,&quot;given&quot;:&quot;Lynley V&quot;},{&quot;family&quot;:&quot;Ludwinski&quot;,&quot;given&quot;:&quot;Donna&quot;},{&quot;family&quot;:&quot;Ligas&quot;,&quot;given&quot;:&quot;Franca&quot;},{&quot;family&quot;:&quot;Karres&quot;,&quot;given&quot;:&quot;Dominik&quot;},{&quot;family&quot;:&quot;Kool&quot;,&quot;given&quot;:&quot;Marcel&quot;},{&quot;family&quot;:&quot;Horner&quot;,&quot;given&quot;:&quot;Thierry J&quot;},{&quot;family&quot;:&quot;Henssen&quot;,&quot;given&quot;:&quot;Anton&quot;},{&quot;family&quot;:&quot;Heenen&quot;,&quot;given&quot;:&quot;Delphine&quot;},{&quot;family&quot;:&quot;Hawkins&quot;,&quot;given&quot;:&quot;Douglas S&quot;},{&quot;family&quot;:&quot;Gore&quot;,&quot;given&quot;:&quot;Lia&quot;},{&quot;family&quot;:&quot;Bender&quot;,&quot;given&quot;:&quot;Julia Glade&quot;},{&quot;family&quot;:&quot;Galluzzo&quot;,&quot;given&quot;:&quot;Sara&quot;},{&quot;family&quot;:&quot;Fox&quot;,&quot;given&quot;:&quot;Elizabeth&quot;},{&quot;family&quot;:&quot;de Rojas&quot;,&quot;given&quot;:&quot;Teresa&quot;},{&quot;family&quot;:&quot;Davies&quot;,&quot;given&quot;:&quot;Barry R&quot;},{&quot;family&quot;:&quot;Chakrabarti&quot;,&quot;given&quot;:&quot;Jayeta&quot;},{&quot;family&quot;:&quot;Carmichael&quot;,&quot;given&quot;:&quot;Juliet&quot;},{&quot;family&quot;:&quot;Bradford&quot;,&quot;given&quot;:&quot;Diana&quot;},{&quot;family&quot;:&quot;Blanc&quot;,&quot;given&quot;:&quot;Patricia&quot;},{&quot;family&quot;:&quot;Bernardi&quot;,&quot;given&quot;:&quot;Ronald&quot;},{&quot;family&quot;:&quot;Benchetrit&quot;,&quot;given&quot;:&quot;Sylvie&quot;},{&quot;family&quot;:&quot;Akindele&quot;,&quot;given&quot;:&quot;Korede&quot;},{&quot;family&quot;:&quot;Vassal&quot;,&quot;given&quot;:&quot;Gilles&quot;}],&quot;issued&quot;:{&quot;date-parts&quot;:[[&quot;2023&quot;,&quot;9&quot;]]},&quot;DOI&quot;:&quot;10.1016/j.ejca.2023.112950&quot;,&quot;PMID&quot;:&quot;37441939&quot;,&quot;citation-label&quot;:&quot;16327778&quot;},{&quot;title&quot;:&quot;New horizons in lung cancer management through ATR/CHK1 pathway modulation.&quot;,&quot;page&quot;:&quot;1807-1818&quot;,&quot;volume&quot;:&quot;15&quot;,&quot;issue&quot;:&quot;19&quot;,&quot;journalAbbreviation&quot;:&quot;Future Med. Chem.&quot;,&quot;id&quot;:&quot;16327777&quot;,&quot;type&quot;:&quot;article-journal&quot;,&quot;container-title&quot;:&quot;Future medicinal chemistry&quot;,&quot;container-title-short&quot;:&quot;Future Med. Chem.&quot;,&quot;abstract&quot;:&quot;Lung cancer is the leading cause of cancer-related deaths worldwide. Molecular profiling has contributed to a new classification of lung cancer, driving advancements in research and therapy. The ataxia telangiectasia and rad3/checkpoint kinase 1 (ATR/CHK1) pathway plays a crucial role in maintaining genomic stability, and its activation has been linked to the development of lung cancer, drug resistance and poor prognosis. Clinical and preclinical studies have demonstrated promising results in targeting this pathway. ATR and CHK1 are proteins that collaborate to repair DNA damage caused by radiation or chemotherapy. ATR/CHK1 inhibitors are currently under investigation in preclinical and clinical trials. This article explores the ATR/CHK1 pathway and its potential for treating lung cancer.&quot;,&quot;author&quot;:[{&quot;family&quot;:&quot;Thapa&quot;,&quot;given&quot;:&quot;Riya&quot;},{&quot;family&quot;:&quot;Afzal&quot;,&quot;given&quot;:&quot;Obaid&quot;},{&quot;family&quot;:&quot;Bhat&quot;,&quot;given&quot;:&quot;Asif Ahmad&quot;},{&quot;family&quot;:&quot;Goyal&quot;,&quot;given&quot;:&quot;Ahsas&quot;},{&quot;family&quot;:&quot;Alfawaz Altamimi&quot;,&quot;given&quot;:&quot;Abdulmalik Saleh&quot;},{&quot;family&quot;:&quot;Almalki&quot;,&quot;given&quot;:&quot;Waleed Hassan&quot;},{&quot;family&quot;:&quot;Alzarea&quot;,&quot;given&quot;:&quot;Sami I&quot;},{&quot;family&quot;:&quot;Kazmi&quot;,&quot;given&quot;:&quot;Imran&quot;},{&quot;family&quot;:&quot;Singh&quot;,&quot;given&quot;:&quot;Sachin Kumar&quot;},{&quot;family&quot;:&quot;Dua&quot;,&quot;given&quot;:&quot;Kamal&quot;},{&quot;family&quot;:&quot;Thangavelu&quot;,&quot;given&quot;:&quot;Lakshmi&quot;},{&quot;family&quot;:&quot;Gupta&quot;,&quot;given&quot;:&quot;Gaurav&quot;}],&quot;issued&quot;:{&quot;date-parts&quot;:[[&quot;2023&quot;,&quot;10&quot;,&quot;25&quot;]]},&quot;DOI&quot;:&quot;10.4155/fmc-2023-0164&quot;,&quot;PMID&quot;:&quot;37877252&quot;,&quot;citation-label&quot;:&quot;16327777&quot;},{&quot;title&quot;:&quot;Cell Context is the third axis of synergy for the combination of ATR inhibition and cisplatin in Ewing sarcoma.&quot;,&quot;journalAbbreviation&quot;:&quot;Clin. Cancer Res.&quot;,&quot;id&quot;:&quot;16257479&quot;,&quot;type&quot;:&quot;article-journal&quot;,&quot;container-title&quot;:&quot;Clinical Cancer Research&quot;,&quot;container-title-short&quot;:&quot;Clin. Cancer Res.&quot;,&quot;abstract&quot;:&quot;PURPOSE: The importance of cellular context to the synergy of DNA Damage Response (DDR) targeted agents is important for tumors with mutations in DDR pathways, but less well-established for tumors driven by oncogenic transcription factors. In this study, we exploit the widespread transcriptional dysregulation of the EWS-FLI1 transcription factor to identify an effective DDR targeted combination therapy for Ewing Sarcoma (ES).EXPERIMENTAL DESIGN: We used matrix drug screening to evaluate synergy between a DNA-PK inhibitor (M9831) or an ATR inhibitor (berzosertib) and chemotherapy. The combination of berzosertib and cisplatin was selected for broad synergy, mechanistically evaluated for ES selectivity, and optimized for in vivo schedule.RESULTS: Berzosertib combined with cisplatin demonstrates profound synergy in multiple ES cell lines at clinically achievable concentrations. The synergy is due to loss of expression of the ATR downstream target CHEK1, loss of cell cycle checkpoints, and mitotic catastrophe. Consistent with the goals of the project, EWS-FLI1 drives the expression of CHEK1 and five other ATR pathway members. The loss of CHEK1 expression is not due to transcriptional repression and instead caused by degradation coupled with suppression of protein translation. The profound synergy is realized in vivo with a novel optimized schedule of this combination in subsets of ES models leading to durable complete responses in 50% of animals bearing two different ES xenografts.CONCLUSION: These data exploit EWS-FLI1 driven alterations in cell context to broaden the therapeutic window of berzosertib and cisplatin to establish a promising combination therapy and a novel in vivo schedule.&quot;,&quot;author&quot;:[{&quot;family&quot;:&quot;Jess&quot;,&quot;given&quot;:&quot;Jennifer&quot;},{&quot;family&quot;:&quot;Sorensen&quot;,&quot;given&quot;:&quot;Kathleen M&quot;},{&quot;family&quot;:&quot;Boguslawski&quot;,&quot;given&quot;:&quot;Elissa A&quot;},{&quot;family&quot;:&quot;Stout&quot;,&quot;given&quot;:&quot;Matthew C&quot;},{&quot;family&quot;:&quot;Madaj&quot;,&quot;given&quot;:&quot;Zachary B&quot;},{&quot;family&quot;:&quot;Caiello&quot;,&quot;given&quot;:&quot;Benjamin P&quot;},{&quot;family&quot;:&quot;Pomaville&quot;,&quot;given&quot;:&quot;Monica&quot;},{&quot;family&quot;:&quot;Wilson&quot;,&quot;given&quot;:&quot;Elizabeth R&quot;},{&quot;family&quot;:&quot;Kinn-Gurzo&quot;,&quot;given&quot;:&quot;Seneca S&quot;},{&quot;family&quot;:&quot;Parker&quot;,&quot;given&quot;:&quot;Curtis C&quot;},{&quot;family&quot;:&quot;Veluvolu&quot;,&quot;given&quot;:&quot;Sridhar M&quot;},{&quot;family&quot;:&quot;Brysgel&quot;,&quot;given&quot;:&quot;Taylor V&quot;},{&quot;family&quot;:&quot;Kaufman&quot;,&quot;given&quot;:&quot;Rebecca&quot;},{&quot;family&quot;:&quot;Kitchen-Goosen&quot;,&quot;given&quot;:&quot;Susan M&quot;},{&quot;family&quot;:&quot;Gedminas&quot;,&quot;given&quot;:&quot;Jenna M&quot;},{&quot;family&quot;:&quot;Grohar&quot;,&quot;given&quot;:&quot;Patrick J&quot;}],&quot;issued&quot;:{&quot;date-parts&quot;:[[&quot;2024&quot;,&quot;3&quot;,&quot;20&quot;]]},&quot;DOI&quot;:&quot;10.1158/1078-0432.CCR-23-3063&quot;,&quot;PMID&quot;:&quot;38506712&quot;,&quot;citation-label&quot;:&quot;16257479&quot;},{&quot;title&quot;:&quot;OPP Labeling Enables Total Protein Synthesis Quantification in CHO Production Cell Lines at the Single-Cell Level.&quot;,&quot;page&quot;:&quot;e1700492&quot;,&quot;volume&quot;:&quot;13&quot;,&quot;issue&quot;:&quot;4&quot;,&quot;journalAbbreviation&quot;:&quot;Biotechnol. J.&quot;,&quot;id&quot;:&quot;7030585&quot;,&quot;type&quot;:&quot;article-journal&quot;,&quot;container-title&quot;:&quot;Biotechnology Journal&quot;,&quot;container-title-short&quot;:&quot;Biotechnol. J.&quot;,&quot;abstract&quot;:&quot;Accurate measurement of global and specific protein synthesis rates is becoming increasingly important, especially in the context of biotechnological applications such as process modeling or selection of production cell clones. While quantification of total protein translation across whole cell populations is easily achieved, methods that are capable of tracking population dynamics at the single-cell level are still lacking. To address this need, we apply O-propargyl-puromycin (OPP) labeling to assess total protein synthesis in single recombinant Chinese hamster ovary (CHO) cells by flow cytometry. Thereby we demonstrate that global protein translation rates slightly increase with progression through the cell cycle during exponential growth. Stable CHO cell lines producing recombinant protein display similar levels of total protein synthesis as their parental CHO host cell line. Global protein translation does not correlate with intracellular product content of three model proteins, but the host cell line with high transient productivity has a higher OPP signal. This indicates that production cell lines with increased overall protein synthesis capacity can be identified by our method at the single-cell level. In conclusion, OPP-labeling allows rapid and reproducible assessment of global protein synthesis in single CHO cells, and can be multiplexed with DNA staining or any type of immunolabeling of specific proteins or markers for organelles.© 2018 The Authors. Biotechnology Journal Published by Wiley-VCH Verlag GmbH &amp; Co. KGaA.&quot;,&quot;author&quot;:[{&quot;family&quot;:&quot;Nagelreiter&quot;,&quot;given&quot;:&quot;Fabian&quot;},{&quot;family&quot;:&quot;Coats&quot;,&quot;given&quot;:&quot;Michael T&quot;},{&quot;family&quot;:&quot;Klanert&quot;,&quot;given&quot;:&quot;Gerald&quot;},{&quot;family&quot;:&quot;Gludovacz&quot;,&quot;given&quot;:&quot;Elisabeth&quot;},{&quot;family&quot;:&quot;Borth&quot;,&quot;given&quot;:&quot;Nicole&quot;},{&quot;family&quot;:&quot;Grillari&quot;,&quot;given&quot;:&quot;Johannes&quot;},{&quot;family&quot;:&quot;Schosserer&quot;,&quot;given&quot;:&quot;Markus&quot;}],&quot;issued&quot;:{&quot;date-parts&quot;:[[&quot;2018&quot;,&quot;4&quot;]]},&quot;DOI&quot;:&quot;10.1002/biot.201700492&quot;,&quot;PMID&quot;:&quot;29369524&quot;,&quot;citation-label&quot;:&quot;7030585&quot;},{&quot;title&quot;:&quot;Structure, function, and mechanism of ribonucleotide reductases.&quot;,&quot;page&quot;:&quot;1-34&quot;,&quot;volume&quot;:&quot;1699&quot;,&quot;issue&quot;:&quot;1-2&quot;,&quot;journalAbbreviation&quot;:&quot;Biochim. Biophys. Acta&quot;,&quot;id&quot;:&quot;13750316&quot;,&quot;type&quot;:&quot;article-journal&quot;,&quot;container-title&quot;:&quot;Biochimica et Biophysica Acta&quot;,&quot;container-title-short&quot;:&quot;Biochim. Biophys. Acta&quot;,&quot;abstract&quot;:&quot;Ribonucleotide reductase (RNR) is the enzyme responsible for the conversion of ribonucleotides to 2'-deoxyribonucleotides and thereby provides the precursors needed for both synthesis and repair of DNA. In the recent years, many new crystal structures have been obtained of the protein subunits of all three classes of RNR. This review will focus upon recent structural and spectroscopic studies, which have offered deeper insight to the mechanistic properties as well as evolutionary relationship and diversity among the different classes of RNR. Although the three different classes of RNR enzymes depend on different metal cofactors for the catalytic activity, all three classes have a conserved cysteine residue at the active site located on the tip of a protein loop in the centre of an alpha/beta-barrel structural motif. This cysteine residue is believed to be converted into a thiyl radical that initiates the substrate turnover in all three classes of RNR. The functional and structural similarities suggest that the present-day RNRs have all evolved from a common ancestral reductase. Nevertheless, the different cofactors found in the three classes of RNR make the RNR proteins into interesting model systems for quite diverse protein families, such as diiron-oxygen proteins, cobalamin-dependent proteins, and SAM-dependent iron-sulfur proteins. There are also significant variations within each of the three classes of RNR. With new structures available of the R2 protein of class I RNR, we have made a comparison of the diiron centres in R2 from mouse and Escherichia coli. The R2 protein shows dynamic carboxylate, radical, and water shifts in different redox forms, and new radical forms are different from non-radical forms. In mouse R2, the binding of iron(II) or cobalt(II) to the four metal sites shows high cooperativity. A unique situation is found in RNR from baker's yeast, which is made up of heterodimers, in contrast to homodimers, which is the normal case for class I RNR. Since the reduction of ribonucleotides is the rate-limiting step of DNA synthesis, RNR is an important target for cell growth control, and the recent finding of a p53-induced isoform of the R2 protein in mammalian cells has increased the interest for the role of RNR during the different phases of the cell cycle.&quot;,&quot;author&quot;:[{&quot;family&quot;:&quot;Kolberg&quot;,&quot;given&quot;:&quot;Matthias&quot;},{&quot;family&quot;:&quot;Strand&quot;,&quot;given&quot;:&quot;Kari R&quot;},{&quot;family&quot;:&quot;Graff&quot;,&quot;given&quot;:&quot;Pål&quot;},{&quot;family&quot;:&quot;Andersson&quot;,&quot;given&quot;:&quot;K Kristoffer&quot;}],&quot;issued&quot;:{&quot;date-parts&quot;:[[&quot;2004&quot;,&quot;6&quot;,&quot;1&quot;]]},&quot;DOI&quot;:&quot;10.1016/j.bbapap.2004.02.007&quot;,&quot;PMID&quot;:&quot;15158709&quot;,&quot;citation-label&quot;:&quot;13750316&quot;},{&quot;title&quot;:&quot;High Expression of Complement Component 5 (C5) at Tumor Site Associates with Superior Survival in Ewing's Sarcoma Family of Tumour Patients.&quot;,&quot;page&quot;:&quot;168712&quot;,&quot;volume&quot;:&quot;2011&quot;,&quot;journalAbbreviation&quot;:&quot;ISRN Oncol.&quot;,&quot;id&quot;:&quot;1953217&quot;,&quot;type&quot;:&quot;article-journal&quot;,&quot;container-title&quot;:&quot;ISRN oncology&quot;,&quot;container-title-short&quot;:&quot;ISRN Oncol.&quot;,&quot;abstract&quot;:&quot;Background. Unlike in most adult-onset cancers, an association between typical paediatric neoplasms and inflammatory triggers is rare. We studied whether immune system-related genes are activated and have prognostic significance in Ewing's sarcoma family of tumors (ESFTs). Method. Data analysis was performed on gene expression profiles of 44 ESFT patients, 11 ESFT cell lines, and 18 normal skeletal muscle samples. Differential expression of 238 inflammation and 299 macrophage-related genes was analysed by t-test, and survival analysis was performed according to gene expression. Results. Inflammatory genes are activated in ESFT patient samples, as 38 of 238 (16%) inflammatory genes were upregulated (P &lt; 0.001) when compared to cell lines. This inflammatory gene activation was characterized by significant enrichment of macrophage-related gene expression with 58 of 299 (19%) of genes upregulated (P &lt; 0.001). High expression of complement component 5 (C5) correlated with better event-free (P = 0.01) and overall survival (P = 0.004) in a dose-dependent manner. C5 and its receptor C5aR1 expression was verified at protein level by immunohistochemistry on an independent ESFT tumour tissue microarray. Conclusion. Immune system-related gene activation is observed in ESFT patient samples, and prognostically significant inflammatory genes (C5, JAK1, and IL8) for ESFT were identified.&quot;,&quot;author&quot;:[{&quot;family&quot;:&quot;Savola&quot;,&quot;given&quot;:&quot;Suvi&quot;},{&quot;family&quot;:&quot;Klami&quot;,&quot;given&quot;:&quot;Arto&quot;},{&quot;family&quot;:&quot;Myllykangas&quot;,&quot;given&quot;:&quot;Samuel&quot;},{&quot;family&quot;:&quot;Manara&quot;,&quot;given&quot;:&quot;Cristina&quot;},{&quot;family&quot;:&quot;Scotlandi&quot;,&quot;given&quot;:&quot;Katia&quot;},{&quot;family&quot;:&quot;Picci&quot;,&quot;given&quot;:&quot;Piero&quot;},{&quot;family&quot;:&quot;Knuutila&quot;,&quot;given&quot;:&quot;Sakari&quot;},{&quot;family&quot;:&quot;Vakkila&quot;,&quot;given&quot;:&quot;Jukka&quot;}],&quot;issued&quot;:{&quot;date-parts&quot;:[[&quot;2011&quot;,&quot;10&quot;,&quot;2&quot;]]},&quot;DOI&quot;:&quot;10.5402/2011/168712&quot;,&quot;PMID&quot;:&quot;22084725&quot;,&quot;PMCID&quot;:&quot;PMC3196920&quot;,&quot;citation-label&quot;:&quot;1953217&quot;},{&quot;title&quot;:&quot;Targeting the replication stress response through synthetic lethal strategies in cancer medicine.&quot;,&quot;page&quot;:&quot;930-957&quot;,&quot;volume&quot;:&quot;7&quot;,&quot;issue&quot;:&quot;10&quot;,&quot;journalAbbreviation&quot;:&quot;Trends Cancer&quot;,&quot;id&quot;:&quot;11726590&quot;,&quot;type&quot;:&quot;article-journal&quot;,&quot;container-title&quot;:&quot;Trends in cancer&quot;,&quot;container-title-short&quot;:&quot;Trends Cancer&quot;,&quot;abstract&quot;:&quot;The replication stress response (RSR) involves a downstream kinase cascade comprising ataxia telangiectasia-mutated (ATM), ATM and rad3-related (ATR), checkpoint kinases 1 and 2 (CHK1/2), and WEE1-like protein kinase (WEE1), which cooperate to arrest the cell cycle, protect stalled forks, and allow time for replication fork repair. In the presence of elevated replicative stress, cancers are increasingly dependent on RSR to maintain genomic integrity. An increasing number of drug candidates targeting key RSR nodes, as monotherapy through synthetic lethality, or through rational combinations with immune checkpoint inhibitors and targeted therapies, are demonstrating promising efficacy in early phase trials. RSR targeting is also showing potential in reversing PARP inhibitor resistance, an important area of unmet clinical need. In this review, we introduce the concept of targeting the RSR, detail the current landscape of monotherapy and combination strategies, and discuss emerging therapeutic approaches, such as targeting Polθ.Copyright © 2021 Elsevier Inc. All rights reserved.&quot;,&quot;author&quot;:[{&quot;family&quot;:&quot;Ngoi&quot;,&quot;given&quot;:&quot;Natalie Y L&quot;},{&quot;family&quot;:&quot;Pham&quot;,&quot;given&quot;:&quot;Melissa M&quot;},{&quot;family&quot;:&quot;Tan&quot;,&quot;given&quot;:&quot;David S P&quot;},{&quot;family&quot;:&quot;Yap&quot;,&quot;given&quot;:&quot;Timothy A&quot;}],&quot;issued&quot;:{&quot;date-parts&quot;:[[&quot;2021&quot;,&quot;10&quot;]]},&quot;DOI&quot;:&quot;10.1016/j.trecan.2021.06.002&quot;,&quot;PMID&quot;:&quot;34215565&quot;,&quot;PMCID&quot;:&quot;PMC8458263&quot;,&quot;citation-label&quot;:&quot;11726590&quot;},{&quot;title&quot;:&quot;Targeting replication stress in cancer therapy.&quot;,&quot;page&quot;:&quot;38-58&quot;,&quot;volume&quot;:&quot;22&quot;,&quot;issue&quot;:&quot;1&quot;,&quot;journalAbbreviation&quot;:&quot;Nat. Rev. Drug Discov.&quot;,&quot;id&quot;:&quot;13741414&quot;,&quot;type&quot;:&quot;article-journal&quot;,&quot;container-title&quot;:&quot;Nature Reviews. Drug Discovery&quot;,&quot;container-title-short&quot;:&quot;Nat. Rev. Drug Discov.&quot;,&quot;abstract&quot;:&quot;Replication stress is a major cause of genomic instability and a crucial vulnerability of cancer cells. This vulnerability can be therapeutically targeted by inhibiting kinases that coordinate the DNA damage response with cell cycle control, including ATR, CHK1, WEE1 and MYT1 checkpoint kinases. In addition, inhibiting the DNA damage response releases DNA fragments into the cytoplasm, eliciting an innate immune response. Therefore, several ATR, CHK1, WEE1 and MYT1 inhibitors are undergoing clinical evaluation as monotherapies or in combination with chemotherapy, poly[ADP-ribose]polymerase (PARP) inhibitors, or immune checkpoint inhibitors to capitalize on high replication stress, overcome therapeutic resistance and promote effective antitumour immunity. Here, we review current and emerging approaches for targeting replication stress in cancer, from preclinical and biomarker development to clinical trial evaluation.© 2022. Springer Nature Limited.&quot;,&quot;author&quot;:[{&quot;family&quot;:&quot;da Costa&quot;,&quot;given&quot;:&quot;Alexandre André B A&quot;},{&quot;family&quot;:&quot;Chowdhury&quot;,&quot;given&quot;:&quot;Dipanjan&quot;},{&quot;family&quot;:&quot;Shapiro&quot;,&quot;given&quot;:&quot;Geoffrey I&quot;},{&quot;family&quot;:&quot;D'Andrea&quot;,&quot;given&quot;:&quot;Alan D&quot;},{&quot;family&quot;:&quot;Konstantinopoulos&quot;,&quot;given&quot;:&quot;Panagiotis A&quot;}],&quot;issued&quot;:{&quot;date-parts&quot;:[[&quot;2023&quot;,&quot;1&quot;]]},&quot;DOI&quot;:&quot;10.1038/s41573-022-00558-5&quot;,&quot;PMID&quot;:&quot;36202931&quot;,&quot;PMCID&quot;:&quot;PMC11132912&quot;,&quot;citation-label&quot;:&quot;13741414&quot;},{&quot;title&quot;:&quot;Synergistic anticancer activity of combined ATR and ribonucleotide reductase inhibition in Ewing's sarcoma cells.&quot;,&quot;journalAbbreviation&quot;:&quot;J. Cancer Res. Clin. Oncol.&quot;,&quot;id&quot;:&quot;14741114&quot;,&quot;type&quot;:&quot;article-journal&quot;,&quot;container-title&quot;:&quot;Journal of Cancer Research and Clinical Oncology&quot;,&quot;container-title-short&quot;:&quot;J. Cancer Res. Clin. Oncol.&quot;,&quot;abstract&quot;:&quot;PURPOSE: Ewing's sarcoma is a highly malignant childhood tumour whose outcome has hardly changed over the past two decades despite numerous attempts at chemotherapy intensification. It is therefore essential to identify new treatment options. The present study was conducted to explore the effectiveness of combined inhibition of two promising targets, ATR and ribonucleotide reductase (RNR), in Ewing's sarcoma cells.METHODS: Effects of the ATR inhibitor VE821 in combination with the RNR inhibitors triapine and didox were assessed in three Ewing's sarcoma cell lines with different TP53 status (WE-68, SK-ES-1, A673) by flow cytometric analysis of cell death, mitochondrial depolarisation and cell cycle distribution as well as by caspase 3/7 activity determination, by immunoblotting and by real-time RT-PCR. Interactions between inhibitors were evaluated by combination index analysis.RESULTS: Single ATR or RNR inhibitor treatment produced small to moderate effects, while their combined treatment produced strong synergistic ones. ATR and RNR inhibitors elicited synergistic cell death and cooperated in inducing mitochondrial depolarisation, caspase 3/7 activity and DNA fragmentation, evidencing an apoptotic form of cell death. All effects were independent of functional p53. In addition, VE821 in combination with triapine increased p53 level and induced p53 target gene expression (CDKN1A, BBC3) in p53 wild-type Ewing's sarcoma cells.CONCLUSION: Our study reveals that combined targeting of ATR and RNR was effective against Ewing's sarcoma in vitro and thus rationalises an in vivo exploration into the potential of combining ATR and RNR inhibitors as a new strategy for the treatment of this challenging disease.© 2023. The Author(s).&quot;,&quot;author&quot;:[{&quot;family&quot;:&quot;Sturm&quot;,&quot;given&quot;:&quot;Max-Johann&quot;},{&quot;family&quot;:&quot;Henao-Restrepo&quot;,&quot;given&quot;:&quot;Julián Andrés&quot;},{&quot;family&quot;:&quot;Becker&quot;,&quot;given&quot;:&quot;Sabine&quot;},{&quot;family&quot;:&quot;Proquitté&quot;,&quot;given&quot;:&quot;Hans&quot;},{&quot;family&quot;:&quot;Beck&quot;,&quot;given&quot;:&quot;James F&quot;},{&quot;family&quot;:&quot;Sonnemann&quot;,&quot;given&quot;:&quot;Jürgen&quot;}],&quot;issued&quot;:{&quot;date-parts&quot;:[[&quot;2023&quot;,&quot;4&quot;,&quot;25&quot;]]},&quot;DOI&quot;:&quot;10.1007/s00432-023-04804-0&quot;,&quot;PMID&quot;:&quot;37097390&quot;,&quot;PMCID&quot;:&quot;PMC10374484&quot;,&quot;citation-label&quot;:&quot;14741114&quot;},{&quot;title&quot;:&quot;Clinical Candidates Targeting the ATR-CHK1-WEE1 Axis in Cancer.&quot;,&quot;volume&quot;:&quot;13&quot;,&quot;issue&quot;:&quot;4&quot;,&quot;journalAbbreviation&quot;:&quot;Cancers (Basel)&quot;,&quot;id&quot;:&quot;14268460&quot;,&quot;type&quot;:&quot;article-journal&quot;,&quot;container-title&quot;:&quot;Cancers&quot;,&quot;container-title-short&quot;:&quot;Cancers (Basel)&quot;,&quot;abstract&quot;:&quot;Selective killing of cancer cells while sparing healthy ones is the principle of the perfect cancer treatment and the primary aim of many oncologists, molecular biologists, and medicinal chemists. To achieve this goal, it is crucial to understand the molecular mechanisms that distinguish cancer cells from healthy ones. Accordingly, several clinical candidates that use particular mutations in cell-cycle progressions have been developed to kill cancer cells. As the majority of cancer cells have defects in G1 control, targeting the subsequent intra‑S or G2/M checkpoints has also been extensively pursued. This review focuses on clinical candidates that target the kinases involved in intra‑S and G2/M checkpoints, namely, ATR, CHK1, and WEE1 inhibitors. It provides insight into their current status and future perspectives for anticancer treatment. Overall, even though CHK1 inhibitors are still far from clinical establishment, promising accomplishments with ATR and WEE1 inhibitors in phase II trials present a positive outlook for patient survival.&quot;,&quot;author&quot;:[{&quot;family&quot;:&quot;Gorecki&quot;,&quot;given&quot;:&quot;Lukas&quot;},{&quot;family&quot;:&quot;Andrs&quot;,&quot;given&quot;:&quot;Martin&quot;},{&quot;family&quot;:&quot;Korabecny&quot;,&quot;given&quot;:&quot;Jan&quot;}],&quot;issued&quot;:{&quot;date-parts&quot;:[[&quot;2021&quot;,&quot;2&quot;,&quot;14&quot;]]},&quot;DOI&quot;:&quot;10.3390/cancers13040795&quot;,&quot;PMID&quot;:&quot;33672884&quot;,&quot;PMCID&quot;:&quot;PMC7918546&quot;,&quot;citation-label&quot;:&quot;14268460&quot;},{&quot;title&quot;:&quot;A first-generation pediatric cancer dependency map.&quot;,&quot;page&quot;:&quot;529-538&quot;,&quot;volume&quot;:&quot;53&quot;,&quot;issue&quot;:&quot;4&quot;,&quot;journalAbbreviation&quot;:&quot;Nat. Genet.&quot;,&quot;id&quot;:&quot;10728366&quot;,&quot;type&quot;:&quot;article-journal&quot;,&quot;container-title&quot;:&quot;Nature Genetics&quot;,&quot;container-title-short&quot;:&quot;Nat. Genet.&quot;,&quot;abstract&quot;:&quot;Exciting therapeutic targets are emerging from CRISPR-based screens of high mutational-burden adult cancers. A key question, however, is whether functional genomic approaches will yield new targets in pediatric cancers, known for remarkably few mutations, which often encode proteins considered challenging drug targets. To address this, we created a first-generation pediatric cancer dependency map representing 13 pediatric solid and brain tumor types. Eighty-two pediatric cancer cell lines were subjected to genome-scale CRISPR-Cas9 loss-of-function screening to identify genes required for cell survival. In contrast to the finding that pediatric cancers harbor fewer somatic mutations, we found a similar complexity of genetic dependencies in pediatric cancer cell lines compared to that in adult models. Findings from the pediatric cancer dependency map provide preclinical support for ongoing precision medicine clinical trials. The vulnerabilities observed in pediatric cancers were often distinct from those in adult cancer, indicating that repurposing adult oncology drugs will be insufficient to address childhood cancers.&quot;,&quot;author&quot;:[{&quot;family&quot;:&quot;Dharia&quot;,&quot;given&quot;:&quot;Neekesh V&quot;},{&quot;family&quot;:&quot;Kugener&quot;,&quot;given&quot;:&quot;Guillaume&quot;},{&quot;family&quot;:&quot;Guenther&quot;,&quot;given&quot;:&quot;Lillian M&quot;},{&quot;family&quot;:&quot;Malone&quot;,&quot;given&quot;:&quot;Clare F&quot;},{&quot;family&quot;:&quot;Durbin&quot;,&quot;given&quot;:&quot;Adam D&quot;},{&quot;family&quot;:&quot;Hong&quot;,&quot;given&quot;:&quot;Andrew L&quot;},{&quot;family&quot;:&quot;Howard&quot;,&quot;given&quot;:&quot;Thomas P&quot;},{&quot;family&quot;:&quot;Bandopadhayay&quot;,&quot;given&quot;:&quot;Pratiti&quot;},{&quot;family&quot;:&quot;Wechsler&quot;,&quot;given&quot;:&quot;Caroline S&quot;},{&quot;family&quot;:&quot;Fung&quot;,&quot;given&quot;:&quot;Iris&quot;},{&quot;family&quot;:&quot;Warren&quot;,&quot;given&quot;:&quot;Allison C&quot;},{&quot;family&quot;:&quot;Dempster&quot;,&quot;given&quot;:&quot;Joshua M&quot;},{&quot;family&quot;:&quot;Krill-Burger&quot;,&quot;given&quot;:&quot;John M&quot;},{&quot;family&quot;:&quot;Paolella&quot;,&quot;given&quot;:&quot;Brenton R&quot;},{&quot;family&quot;:&quot;Moh&quot;,&quot;given&quot;:&quot;Phoebe&quot;},{&quot;family&quot;:&quot;Jha&quot;,&quot;given&quot;:&quot;Nishant&quot;},{&quot;family&quot;:&quot;Tang&quot;,&quot;given&quot;:&quot;Andrew&quot;},{&quot;family&quot;:&quot;Montgomery&quot;,&quot;given&quot;:&quot;Philip&quot;},{&quot;family&quot;:&quot;Boehm&quot;,&quot;given&quot;:&quot;Jesse S&quot;},{&quot;family&quot;:&quot;Hahn&quot;,&quot;given&quot;:&quot;William C&quot;},{&quot;family&quot;:&quot;Roberts&quot;,&quot;given&quot;:&quot;Charles W M&quot;},{&quot;family&quot;:&quot;McFarland&quot;,&quot;given&quot;:&quot;James M&quot;},{&quot;family&quot;:&quot;Tsherniak&quot;,&quot;given&quot;:&quot;Aviad&quot;},{&quot;family&quot;:&quot;Golub&quot;,&quot;given&quot;:&quot;Todd R&quot;},{&quot;family&quot;:&quot;Vazquez&quot;,&quot;given&quot;:&quot;Francisca&quot;},{&quot;family&quot;:&quot;Stegmaier&quot;,&quot;given&quot;:&quot;Kimberly&quot;}],&quot;issued&quot;:{&quot;date-parts&quot;:[[&quot;2021&quot;,&quot;4&quot;,&quot;1&quot;]]},&quot;DOI&quot;:&quot;10.1038/s41588-021-00819-w&quot;,&quot;PMID&quot;:&quot;33753930&quot;,&quot;PMCID&quot;:&quot;PMC8049517&quot;,&quot;citation-label&quot;:&quot;10728366&quot;},{&quot;title&quot;:&quot;WEE1 inhibition augments CDC7 (DDK) inhibitor-induced cell death in Ewing sarcoma by forcing premature mitotic entry and mitotic catastrophe.&quot;,&quot;page&quot;:&quot;471-482&quot;,&quot;volume&quot;:&quot;2&quot;,&quot;issue&quot;:&quot;6&quot;,&quot;journalAbbreviation&quot;:&quot;Cancer Res. Commun.&quot;,&quot;id&quot;:&quot;14224110&quot;,&quot;type&quot;:&quot;article-journal&quot;,&quot;container-title&quot;:&quot;Cancer Research Communications&quot;,&quot;container-title-short&quot;:&quot;Cancer Res. Commun.&quot;,&quot;abstract&quot;:&quot;Ewing sarcoma is an aggressive childhood cancer for which treatment options remain limited and toxic. There is an urgent need for the identification of novel therapeutic strategies. Our group has recently shown that Ewing cells rely on the S-phase kinase CDC7 (DDK) to maintain replication rates and cell viability and that DDK inhibition causes an increase in the phosphorylation of CDK1 and a significant delay in mitotic entry. Here, we expand on our previous findings and show that DDK inhibitor-induced mitotic entry delay is dependent upon WEE1 kinase. Specifically, WEE1 phosphorylates CDK1 and prevents mitotic entry upon DDK inhibition due to the presence of under-replicated DNA, potentially limiting the cytotoxic effects of DDK inhibition. To overcome this, we combined the inhibition of DDK with the inhibition of WEE1 and found that this results in elevated levels of premature mitotic entry, mitotic catastrophe, and apoptosis. Importantly, we have found that DDK and WEE1 inhibitors display a synergistic relationship with regards to reducing cell viability of Ewing sarcoma cells. Interestingly, the cytotoxic nature of this combination can be suppressed by the inhibition of CDK1 or microtubule polymerization, indicating that mitotic progression is required to elicit the cytotoxic effects. This is the first study to display the potential of utilizing the combined inhibition of DDK and WEE1 for the treatment of cancer. We believe this will offer a potential therapeutic strategy for the treatment of Ewing sarcoma as well as other tumor types that display sensitivity to DDK inhibitors.&quot;,&quot;author&quot;:[{&quot;family&quot;:&quot;Martin&quot;,&quot;given&quot;:&quot;Jeffrey C&quot;},{&quot;family&quot;:&quot;Sims&quot;,&quot;given&quot;:&quot;Jennie R&quot;},{&quot;family&quot;:&quot;Gupta&quot;,&quot;given&quot;:&quot;Ajay&quot;},{&quot;family&quot;:&quot;Bakin&quot;,&quot;given&quot;:&quot;Andrei V&quot;},{&quot;family&quot;:&quot;Ohm&quot;,&quot;given&quot;:&quot;Joyce E&quot;}],&quot;issued&quot;:{&quot;date-parts&quot;:[[&quot;2022&quot;,&quot;6&quot;,&quot;20&quot;]]},&quot;DOI&quot;:&quot;10.1158/2767-9764.crc-22-0130&quot;,&quot;PMID&quot;:&quot;36338546&quot;,&quot;PMCID&quot;:&quot;PMC9635308&quot;,&quot;citation-label&quot;:&quot;14224110&quot;},{&quot;title&quot;:&quot;Translational evidence for RRM2 as a prognostic biomarker and therapeutic target in Ewing sarcoma.&quot;,&quot;page&quot;:&quot;97&quot;,&quot;volume&quot;:&quot;20&quot;,&quot;issue&quot;:&quot;1&quot;,&quot;journalAbbreviation&quot;:&quot;Mol. Cancer&quot;,&quot;id&quot;:&quot;13157332&quot;,&quot;type&quot;:&quot;article-journal&quot;,&quot;container-title&quot;:&quot;Molecular Cancer&quot;,&quot;container-title-short&quot;:&quot;Mol. Cancer&quot;,&quot;author&quot;:[{&quot;family&quot;:&quot;Ohmura&quot;,&quot;given&quot;:&quot;Shunya&quot;},{&quot;family&quot;:&quot;Marchetto&quot;,&quot;given&quot;:&quot;Aruna&quot;},{&quot;family&quot;:&quot;Orth&quot;,&quot;given&quot;:&quot;Martin F&quot;},{&quot;family&quot;:&quot;Li&quot;,&quot;given&quot;:&quot;Jing&quot;},{&quot;family&quot;:&quot;Jabar&quot;,&quot;given&quot;:&quot;Susanne&quot;},{&quot;family&quot;:&quot;Ranft&quot;,&quot;given&quot;:&quot;Andreas&quot;},{&quot;family&quot;:&quot;Vinca&quot;,&quot;given&quot;:&quot;Endrit&quot;},{&quot;family&quot;:&quot;Ceranski&quot;,&quot;given&quot;:&quot;Katharina&quot;},{&quot;family&quot;:&quot;Carreño-Gonzalez&quot;,&quot;given&quot;:&quot;Martha J&quot;},{&quot;family&quot;:&quot;Romero-Pérez&quot;,&quot;given&quot;:&quot;Laura&quot;},{&quot;family&quot;:&quot;Wehweck&quot;,&quot;given&quot;:&quot;Fabienne S&quot;},{&quot;family&quot;:&quot;Musa&quot;,&quot;given&quot;:&quot;Julian&quot;},{&quot;family&quot;:&quot;Bestvater&quot;,&quot;given&quot;:&quot;Felix&quot;},{&quot;family&quot;:&quot;Knott&quot;,&quot;given&quot;:&quot;Maximilian M L&quot;},{&quot;family&quot;:&quot;Hölting&quot;,&quot;given&quot;:&quot;Tilman L B&quot;},{&quot;family&quot;:&quot;Hartmann&quot;,&quot;given&quot;:&quot;Wolfgang&quot;},{&quot;family&quot;:&quot;Dirksen&quot;,&quot;given&quot;:&quot;Uta&quot;},{&quot;family&quot;:&quot;Kirchner&quot;,&quot;given&quot;:&quot;Thomas&quot;},{&quot;family&quot;:&quot;Cidre-Aranaz&quot;,&quot;given&quot;:&quot;Florencia&quot;},{&quot;family&quot;:&quot;Grünewald&quot;,&quot;given&quot;:&quot;Thomas G P&quot;}],&quot;issued&quot;:{&quot;date-parts&quot;:[[&quot;2021&quot;,&quot;7&quot;,&quot;27&quot;]]},&quot;DOI&quot;:&quot;10.1186/s12943-021-01393-9&quot;,&quot;PMID&quot;:&quot;34315482&quot;,&quot;PMCID&quot;:&quot;PMC8314608&quot;,&quot;citation-label&quot;:&quot;13157332&quot;},{&quot;title&quot;:&quot;CDC7 kinase (DDK) inhibition disrupts DNA replication leading to mitotic catastrophe in Ewing sarcoma.&quot;,&quot;page&quot;:&quot;85&quot;,&quot;volume&quot;:&quot;8&quot;,&quot;issue&quot;:&quot;1&quot;,&quot;journalAbbreviation&quot;:&quot;Cell Death Discov.&quot;,&quot;id&quot;:&quot;13735547&quot;,&quot;type&quot;:&quot;article-journal&quot;,&quot;container-title&quot;:&quot;Cell death discovery&quot;,&quot;container-title-short&quot;:&quot;Cell Death Discov.&quot;,&quot;abstract&quot;:&quot;Ewing sarcoma is the second most common bone malignancy in children and adolescents. In recent years, a large body of evidence has emerged that suggests Ewing tumors harbor large amounts of replication stress (RS). CDC7, also known as DDK (DBF4-dependent kinase), is a serine/threonine kinase that is involved in a diverse array of cellular functions including the regulation of DNA replication initiation and activation of the RS response. Due to DDK's diverse roles during replication, coupled with the fact that there is an increased level of RS within Ewing tumors, we hypothesized that Ewing sarcoma cells would be particularly vulnerable to DDK inhibition. Here, we report that DDK inhibition resulted a significant reduction in cell viability and the induction of apoptosis, specifically in Ewing sarcoma cells. Treatment with DDK inhibitors dramatically reduced the rate of replication, prolonged S-phase, and led to a pronounced increase in phospho-CDC2 (Y15), indicating delay of mitotic entry. The induction of cell death corresponded to mitotic exit and G1 entry, suggesting improper mitotic progression. In accordance with this, we find that DDK inhibition caused premature mitotic entry resulting in mitotic abnormalities such as anaphase bridges, lagging chromosomes, and cells with &gt;2 poles in Ewing sarcoma cells. This abnormal progression through mitosis resulted in mitotic catastrophe as evidenced by the formation of micronuclei and induction of DNA damage. Together, these findings suggest that DDK activity is required for the faithful and timely completion of DNA replication in Ewing cells and that DDK inhibition may present a viable therapeutic strategy for the treatment of Ewing sarcoma.© 2022. The Author(s).&quot;,&quot;author&quot;:[{&quot;family&quot;:&quot;Martin&quot;,&quot;given&quot;:&quot;Jeffrey C&quot;},{&quot;family&quot;:&quot;Sims&quot;,&quot;given&quot;:&quot;Jennie R&quot;},{&quot;family&quot;:&quot;Gupta&quot;,&quot;given&quot;:&quot;Ajay&quot;},{&quot;family&quot;:&quot;Hagoel&quot;,&quot;given&quot;:&quot;Tamara J&quot;},{&quot;family&quot;:&quot;Gao&quot;,&quot;given&quot;:&quot;Lingqiu&quot;},{&quot;family&quot;:&quot;Lynch&quot;,&quot;given&quot;:&quot;Miranda L&quot;},{&quot;family&quot;:&quot;Woloszynska&quot;,&quot;given&quot;:&quot;Anna&quot;},{&quot;family&quot;:&quot;Melendy&quot;,&quot;given&quot;:&quot;Thomas&quot;},{&quot;family&quot;:&quot;Kane&quot;,&quot;given&quot;:&quot;Jeremy F&quot;},{&quot;family&quot;:&quot;Kuechle&quot;,&quot;given&quot;:&quot;Joseph&quot;},{&quot;family&quot;:&quot;Ohm&quot;,&quot;given&quot;:&quot;Joyce E&quot;}],&quot;issued&quot;:{&quot;date-parts&quot;:[[&quot;2022&quot;,&quot;2&quot;,&quot;26&quot;]]},&quot;DOI&quot;:&quot;10.1038/s41420-022-00877-x&quot;,&quot;PMID&quot;:&quot;35220396&quot;,&quot;PMCID&quot;:&quot;PMC8882187&quot;,&quot;citation-label&quot;:&quot;13735547&quot;},{&quot;title&quot;:&quot;Inhibitor of DNA binding 2 (ID2) regulates the expression of developmental genes and tumorigenesis in ewing sarcoma.&quot;,&quot;page&quot;:&quot;2873-2884&quot;,&quot;volume&quot;:&quot;41&quot;,&quot;issue&quot;:&quot;20&quot;,&quot;journalAbbreviation&quot;:&quot;Oncogene&quot;,&quot;id&quot;:&quot;12820006&quot;,&quot;type&quot;:&quot;article-journal&quot;,&quot;container-title&quot;:&quot;Oncogene&quot;,&quot;container-title-short&quot;:&quot;Oncogene&quot;,&quot;abstract&quot;:&quot;Sarcomas are difficult to treat and the therapy, even when effective, is associated with long-term and life-threatening side effects. In addition, the treatment regimens for many sarcomas, including Ewing sarcoma, rhabdomyosarcoma, and osteosarcoma, are relatively unchanged over the past two decades, indicating a critical lack of progress. Although differentiation-based therapies are used for the treatment of some cancers, the application of this approach to sarcomas has proven challenging. Here, using a CRISPR-mediated gene knockout approach, we show that Inhibitor of DNA Binding 2 (ID2) is a critical regulator of developmental-related genes and tumor growth in vitro and in vivo in Ewing sarcoma tumors. We also identified that homoharringtonine, which is an inhibitor of protein translation and FDA-approved for the treatment of leukemia, decreases the level of the ID2 protein and significantly reduces tumor growth and prolongs mouse survival in an Ewing sarcoma xenograft model. Furthermore, in addition to targeting ID2, homoharringtonine also reduces the protein levels of ID1 and ID3, which are additional members of the ID family of proteins with well-described roles in tumorigenesis, in multiple types of cancer. Overall, these results provide insight into developmental regulation in Ewing sarcoma tumors and identify a novel, therapeutic approach to target the ID family of proteins using an FDA-approved drug.© 2022. The Author(s), under exclusive licence to Springer Nature Limited.&quot;,&quot;author&quot;:[{&quot;family&quot;:&quot;Koppenhafer&quot;,&quot;given&quot;:&quot;Stacia L&quot;},{&quot;family&quot;:&quot;Goss&quot;,&quot;given&quot;:&quot;Kelli L&quot;},{&quot;family&quot;:&quot;Voigt&quot;,&quot;given&quot;:&quot;Ellen&quot;},{&quot;family&quot;:&quot;Croushore&quot;,&quot;given&quot;:&quot;Emma&quot;},{&quot;family&quot;:&quot;Terry&quot;,&quot;given&quot;:&quot;William W&quot;},{&quot;family&quot;:&quot;Ostergaard&quot;,&quot;given&quot;:&quot;Jason&quot;},{&quot;family&quot;:&quot;Gordon&quot;,&quot;given&quot;:&quot;Peter M&quot;},{&quot;family&quot;:&quot;Gordon&quot;,&quot;given&quot;:&quot;David J&quot;}],&quot;issued&quot;:{&quot;date-parts&quot;:[[&quot;2022&quot;,&quot;5&quot;]]},&quot;DOI&quot;:&quot;10.1038/s41388-022-02310-0&quot;,&quot;PMID&quot;:&quot;35422476&quot;,&quot;PMCID&quot;:&quot;PMC9107507&quot;,&quot;citation-label&quot;:&quot;12820006&quot;},{&quot;title&quot;:&quot;Eltrombopag inhibits the proliferation of Ewing sarcoma cells via iron chelation and impaired DNA replication.&quot;,&quot;page&quot;:&quot;1171&quot;,&quot;volume&quot;:&quot;20&quot;,&quot;issue&quot;:&quot;1&quot;,&quot;journalAbbreviation&quot;:&quot;BMC Cancer&quot;,&quot;id&quot;:&quot;10810107&quot;,&quot;type&quot;:&quot;article-journal&quot;,&quot;container-title&quot;:&quot;BMC Cancer&quot;,&quot;container-title-short&quot;:&quot;BMC Cancer&quot;,&quot;abstract&quot;:&quot;BACKGROUND: The treatment of Ewing sarcoma, an aggressive bone and soft tissue sarcoma, is associated with suboptimal outcomes and significant side-effects. Consequently, there is an urgent need to identify novel therapies that will improve outcomes for children and adults with Ewing sarcoma tumors while also decreasing treatment-related toxicities.METHODS: We analyzed data from the PRISM drug repurposing screen, which tested the activity of 4518 drugs across 578 cancer cell lines, to identify drugs that selectively inhibit the growth of Ewing sarcoma cell lines. We then tested the effects of a top hit from the screen on cell proliferation, cell cycle progression, and activation of the DNA damage pathway using Ewing sarcoma cell lines. We also used a CRISPR/Cas9 gene knockout approach to investigate the role of Schlafen 11 (SLFN11), a restriction factor for DNA replication stress that is overexpressed in Ewing sarcoma tumors, in mediating the sensitivity of Ewing sarcoma cells to the drug.RESULTS: We found that eltrombopag, an FDA-approved thrombopoietin-receptor agonist (TPO-RA) that is currently being evaluated as a treatment for chemotherapy-induced thrombocytopenia, inhibits the growth of Ewing sarcoma cell lines in vitro in proliferation and colony formation assays. However, from a mechanistic standpoint, the thrombopoietin receptor is not expressed in Ewing sarcoma cells and we show that eltrombopag impairs DNA replication and causes DNA damage in Ewing sarcoma cells by chelating iron, a known \&quot;off-target\&quot; effect of the drug. We also found that the sensitivity of Ewing sarcoma cells to eltrombopag is mediated, in part, by SLFN11, which regulates the cellular response to DNA replication stress.CONCLUSIONS: Ewing sarcoma cell lines are sensitive to eltrombopag and this drug could improve outcomes for patients with Ewing sarcoma tumors by both targeting the tumor, via chelation of iron and inhibition of DNA replication, and reducing chemotherapy-induced thrombocytopenia, via stimulation of the thrombopoietin receptor.&quot;,&quot;author&quot;:[{&quot;family&quot;:&quot;Waters&quot;,&quot;given&quot;:&quot;Torin&quot;},{&quot;family&quot;:&quot;Goss&quot;,&quot;given&quot;:&quot;Kelli L&quot;},{&quot;family&quot;:&quot;Koppenhafer&quot;,&quot;given&quot;:&quot;Stacia L&quot;},{&quot;family&quot;:&quot;Terry&quot;,&quot;given&quot;:&quot;William W&quot;},{&quot;family&quot;:&quot;Gordon&quot;,&quot;given&quot;:&quot;David J&quot;}],&quot;issued&quot;:{&quot;date-parts&quot;:[[&quot;2020&quot;,&quot;11&quot;,&quot;30&quot;]]},&quot;DOI&quot;:&quot;10.1186/s12885-020-07668-6&quot;,&quot;PMID&quot;:&quot;33256675&quot;,&quot;PMCID&quot;:&quot;PMC7706234&quot;,&quot;citation-label&quot;:&quot;10810107&quot;},{&quot;title&quot;:&quot;The translational repressor 4E-BP1 regulates RRM2 levels and functions as a tumor suppressor in Ewing sarcoma tumors.&quot;,&quot;page&quot;:&quot;564-577&quot;,&quot;volume&quot;:&quot;40&quot;,&quot;issue&quot;:&quot;3&quot;,&quot;journalAbbreviation&quot;:&quot;Oncogene&quot;,&quot;id&quot;:&quot;10056054&quot;,&quot;type&quot;:&quot;article-journal&quot;,&quot;container-title&quot;:&quot;Oncogene&quot;,&quot;container-title-short&quot;:&quot;Oncogene&quot;,&quot;abstract&quot;:&quot;Ribonucleotide reductase (RNR), which is a heterodimeric tetramer composed of RRM1 and RRM2 subunits, is the rate-limiting enzyme in the synthesis of deoxyribonucleoside triphosphates (dNTPs) and essential for both DNA replication and the repair of DNA damage. The activity of RNR is coordinated with the cell cycle and regulated by fluctuations in the level of the RRM2 subunit. Multiple cancer types, including Ewing sarcoma tumors, are sensitive to inhibitors of RNR or a reduction in the levels of either the RRM1 or RRM2 subunits of RNR. Here, we show that the expression of the RRM2 protein is dependent on active protein synthesis and that 4E-BP1, a repressor of cap-dependent protein translation, specifically regulates the level of the RRM2 protein. Furthermore, inhibition of mTORC1/2, but not mTORC1, activates 4E-BP1, inhibits protein synthesis, and reduces the level of the RRM2 protein in multiple sarcoma cell lines. This effect of mTORC1/2 inhibitors on protein synthesis and RRM2 levels was rescued in cell lines with the CRISPR/Cas9-mediated knockout of 4E-BP1. In addition, the inducible expression of a mutant 4E-BP1 protein that cannot be phosphorylated by mTOR blocked protein synthesis and inhibited the growth of Ewing sarcoma cells in vitro and in vivo in a xenograft. Overall, these results provide insight into the multifaceted regulation of RRM2 protein levels and identify a regulatory link between protein translation and DNA replication.&quot;,&quot;author&quot;:[{&quot;family&quot;:&quot;Goss&quot;,&quot;given&quot;:&quot;Kelli L&quot;},{&quot;family&quot;:&quot;Koppenhafer&quot;,&quot;given&quot;:&quot;Stacia L&quot;},{&quot;family&quot;:&quot;Waters&quot;,&quot;given&quot;:&quot;Torin&quot;},{&quot;family&quot;:&quot;Terry&quot;,&quot;given&quot;:&quot;William W&quot;},{&quot;family&quot;:&quot;Wen&quot;,&quot;given&quot;:&quot;Kuo-Kuang&quot;},{&quot;family&quot;:&quot;Wu&quot;,&quot;given&quot;:&quot;Meng&quot;},{&quot;family&quot;:&quot;Ostergaard&quot;,&quot;given&quot;:&quot;Jason&quot;},{&quot;family&quot;:&quot;Gordon&quot;,&quot;given&quot;:&quot;Peter M&quot;},{&quot;family&quot;:&quot;Gordon&quot;,&quot;given&quot;:&quot;David J&quot;}],&quot;issued&quot;:{&quot;date-parts&quot;:[[&quot;2021&quot;,&quot;1&quot;]]},&quot;DOI&quot;:&quot;10.1038/s41388-020-01552-0&quot;,&quot;PMID&quot;:&quot;33191406&quot;,&quot;PMCID&quot;:&quot;PMC7856031&quot;,&quot;citation-label&quot;:&quot;10056054&quot;},{&quot;title&quot;:&quot;Inhibition of the ATR-CHK1 Pathway in Ewing Sarcoma Cells Causes DNA Damage and Apoptosis via the CDK2-Mediated Degradation of RRM2.&quot;,&quot;page&quot;:&quot;91-104&quot;,&quot;volume&quot;:&quot;18&quot;,&quot;issue&quot;:&quot;1&quot;,&quot;journalAbbreviation&quot;:&quot;Mol. Cancer Res.&quot;,&quot;id&quot;:&quot;7685030&quot;,&quot;type&quot;:&quot;article-journal&quot;,&quot;container-title&quot;:&quot;Molecular Cancer Research&quot;,&quot;container-title-short&quot;:&quot;Mol. Cancer Res.&quot;,&quot;abstract&quot;:&quot;Inhibition of ribonucleotide reductase (RNR), the rate-limiting enzyme in the synthesis of deoxyribonucleotides, causes DNA replication stress and activates the ataxia telangiectasia and rad3-related protein (ATR)-checkpoint kinase 1 (CHK1) pathway. Notably, a number of different cancers, including Ewing sarcoma tumors, are sensitive to the combination of RNR and ATR-CHK1 inhibitors. However, multiple, overlapping mechanisms are reported to underlie the toxicity of ATR-CHK1 inhibitors, both as single agents and in combination with RNR inhibitors, toward cancer cells. Here, we identified a feedback loop in Ewing sarcoma cells in which inhibition of the ATR-CHK1 pathway depletes RRM2, the small subunit of RNR, and exacerbates the DNA replication stress and DNA damage caused by RNR inhibitors. Mechanistically, we identified that the inhibition of ATR-CHK1 activates CDK2, which targets RRM2 for degradation via the proteasome. Similarly, activation of CDK2 by inhibition or knockdown of the WEE1 kinase also depletes RRM2 and causes DNA damage and apoptosis. Moreover, we show that the concurrent inhibition of ATR and WEE1 has a synergistic effect in Ewing sarcoma cells. Overall, our results provide novel insight into the response to DNA replication stress, as well as a rationale for targeting the ATR, CHK1, and WEE1 pathways, in Ewing sarcoma tumors. IMPLICATIONS: Targeting the ATR, CHK1, and WEE1 kinases in Ewing sarcoma cells activates CDK2 and increases DNA replication stress by promoting the proteasome-mediated degradation of RRM2.©2019 American Association for Cancer Research.&quot;,&quot;author&quot;:[{&quot;family&quot;:&quot;Koppenhafer&quot;,&quot;given&quot;:&quot;Stacia L&quot;},{&quot;family&quot;:&quot;Goss&quot;,&quot;given&quot;:&quot;Kelli L&quot;},{&quot;family&quot;:&quot;Terry&quot;,&quot;given&quot;:&quot;William W&quot;},{&quot;family&quot;:&quot;Gordon&quot;,&quot;given&quot;:&quot;David J&quot;}],&quot;issued&quot;:{&quot;date-parts&quot;:[[&quot;2020&quot;,&quot;1&quot;]]},&quot;DOI&quot;:&quot;10.1158/1541-7786.MCR-19-0585&quot;,&quot;PMID&quot;:&quot;31649026&quot;,&quot;PMCID&quot;:&quot;PMC6942212&quot;,&quot;citation-label&quot;:&quot;7685030&quot;},{&quot;title&quot;:&quot;Exploiting DNA replication stress for cancer treatment.&quot;,&quot;page&quot;:&quot;1730-1739&quot;,&quot;volume&quot;:&quot;79&quot;,&quot;issue&quot;:&quot;8&quot;,&quot;journalAbbreviation&quot;:&quot;Cancer Res.&quot;,&quot;id&quot;:&quot;6789728&quot;,&quot;type&quot;:&quot;article-journal&quot;,&quot;container-title&quot;:&quot;Cancer Research&quot;,&quot;container-title-short&quot;:&quot;Cancer Res.&quot;,&quot;abstract&quot;:&quot;Complete and accurate DNA replication is fundamental to cellular proliferation and genome stability. Obstacles that delay, prevent, or terminate DNA replication cause the phenomena termed DNA replication stress. Cancer cells exhibit chronic replication stress due to the loss of proteins that protect or repair stressed replication forks and due to the continuous proliferative signaling, providing an exploitable therapeutic vulnerability in tumors. Here, we outline current and pending therapeutic approaches leveraging tumor-specific replication stress as a target, in addition to the challenges associated with such therapies. We discuss how replication stress modulates the cell-intrinsic innate immune response and highlight the integration of replication stress with immunotherapies. Together, exploiting replication stress for cancer treatment seems to be a promising strategy as it provides a selective means of eliminating tumors, and with continuous advances in our knowledge of the replication stress response and lessons learned from current therapies in use, we are moving toward honing the potential of targeting replication stress in the clinic.©2019 American Association for Cancer Research.&quot;,&quot;author&quot;:[{&quot;family&quot;:&quot;Ubhi&quot;,&quot;given&quot;:&quot;Tajinder&quot;},{&quot;family&quot;:&quot;Brown&quot;,&quot;given&quot;:&quot;Grant W&quot;}],&quot;issued&quot;:{&quot;date-parts&quot;:[[&quot;2019&quot;,&quot;4&quot;,&quot;15&quot;]]},&quot;DOI&quot;:&quot;10.1158/0008-5472.CAN-18-3631&quot;,&quot;PMID&quot;:&quot;30967400&quot;,&quot;citation-label&quot;:&quot;6789728&quot;},{&quot;title&quot;:&quot;Broad spectrum activity of the checkpoint kinase 1 inhibitor prexasertib as a single agent or chemopotentiator across a range of preclinical pediatric tumor models.&quot;,&quot;page&quot;:&quot;2278-2289&quot;,&quot;volume&quot;:&quot;25&quot;,&quot;issue&quot;:&quot;7&quot;,&quot;journalAbbreviation&quot;:&quot;Clin. Cancer Res.&quot;,&quot;id&quot;:&quot;6170391&quot;,&quot;type&quot;:&quot;article-journal&quot;,&quot;container-title&quot;:&quot;Clinical Cancer Research&quot;,&quot;container-title-short&quot;:&quot;Clin. Cancer Res.&quot;,&quot;abstract&quot;:&quot;PURPOSE: Checkpoint kinase 1 (CHK1) inhibitors potentiate the DNA-damaging effects of cytotoxic therapies and/or promote elevated levels of replication stress, leading to tumor cell death. Prexasertib (LY2606368) is a CHK1 small-molecule inhibitor under clinical evaluation in multiple adult and pediatric cancers. In this study, prexasertib was tested in a large panel of preclinical models of pediatric solid malignancies alone or in combination with chemotherapy.EXPERIMENTAL DESIGN: DNA damage and changes in cell signaling following in vitro prexasertib treatment in pediatric sarcoma cell lines were analyzed by Western blot and high content imaging. Antitumor activity of prexasertib as a single agent or in combination with different chemotherapies was explored in cell line-derived (CDX) and patient-derived xenograft (PDX) mouse models representing nine different pediatric cancer histologies.RESULTS: Pediatric sarcoma cell lines were highly sensitive to prexasertib treatment in vitro, resulting in activation of the DNA damage response. Two PDX models of desmoplastic small round cell tumor and one malignant rhabdoid tumor CDX model responded to prexasertib with complete regression. Prexasertib monotherapy also elicited robust responses in mouse models of rhabdomyosarcoma. Concurrent administration with chemotherapy was sufficient to overcome innate resistance or prevent acquired resistance to prexasertib in preclinical models of neuroblastoma, osteosarcoma, and Ewing sarcoma, or alveolar rhabdomyosarcoma, respectively.CONCLUSIONS: Prexasertib has significant antitumor effects as a monotherapy or in combination with chemotherapy in multiple preclinical models of pediatric cancer. These findings support further investigation of prexasertib in pediatric malignancies.©2018 American Association for Cancer Research.&quot;,&quot;author&quot;:[{&quot;family&quot;:&quot;Lowery&quot;,&quot;given&quot;:&quot;Caitlin D&quot;},{&quot;family&quot;:&quot;Dowless&quot;,&quot;given&quot;:&quot;Michele&quot;},{&quot;family&quot;:&quot;Renschler&quot;,&quot;given&quot;:&quot;Matthew&quot;},{&quot;family&quot;:&quot;Blosser&quot;,&quot;given&quot;:&quot;Wayne&quot;},{&quot;family&quot;:&quot;VanWye&quot;,&quot;given&quot;:&quot;Alle B&quot;},{&quot;family&quot;:&quot;Stephens&quot;,&quot;given&quot;:&quot;Jennifer R&quot;},{&quot;family&quot;:&quot;Iversen&quot;,&quot;given&quot;:&quot;Philip W&quot;},{&quot;family&quot;:&quot;Lin&quot;,&quot;given&quot;:&quot;Aimee Bence&quot;},{&quot;family&quot;:&quot;Beckmann&quot;,&quot;given&quot;:&quot;Richard P&quot;},{&quot;family&quot;:&quot;Krytska&quot;,&quot;given&quot;:&quot;Kateryna&quot;},{&quot;family&quot;:&quot;Cole&quot;,&quot;given&quot;:&quot;Kristina A&quot;},{&quot;family&quot;:&quot;Maris&quot;,&quot;given&quot;:&quot;John M&quot;},{&quot;family&quot;:&quot;Hawkins&quot;,&quot;given&quot;:&quot;Douglas S&quot;},{&quot;family&quot;:&quot;Rubin&quot;,&quot;given&quot;:&quot;Brian P&quot;},{&quot;family&quot;:&quot;Kurmasheva&quot;,&quot;given&quot;:&quot;Raushan T&quot;},{&quot;family&quot;:&quot;Houghton&quot;,&quot;given&quot;:&quot;Peter J&quot;},{&quot;family&quot;:&quot;Gorlick&quot;,&quot;given&quot;:&quot;Richard&quot;},{&quot;family&quot;:&quot;Kolb&quot;,&quot;given&quot;:&quot;E Anders&quot;},{&quot;family&quot;:&quot;Kang&quot;,&quot;given&quot;:&quot;Min H&quot;},{&quot;family&quot;:&quot;Reynolds&quot;,&quot;given&quot;:&quot;C Patrick&quot;},{&quot;family&quot;:&quot;Erickson&quot;,&quot;given&quot;:&quot;Stephen W&quot;},{&quot;family&quot;:&quot;Teicher&quot;,&quot;given&quot;:&quot;Beverly A&quot;},{&quot;family&quot;:&quot;Smith&quot;,&quot;given&quot;:&quot;Malcolm A&quot;},{&quot;family&quot;:&quot;Stancato&quot;,&quot;given&quot;:&quot;Louis F&quot;}],&quot;issued&quot;:{&quot;date-parts&quot;:[[&quot;2019&quot;,&quot;4&quot;,&quot;1&quot;]]},&quot;DOI&quot;:&quot;10.1158/1078-0432.CCR-18-2728&quot;,&quot;PMID&quot;:&quot;30563935&quot;,&quot;PMCID&quot;:&quot;PMC6445779&quot;,&quot;citation-label&quot;:&quot;6170391&quot;},{&quot;title&quot;:&quot;STEAP1 is associated with the invasive and oxidative stress phenotype of Ewing tumors.&quot;,&quot;page&quot;:&quot;52-65&quot;,&quot;volume&quot;:&quot;10&quot;,&quot;issue&quot;:&quot;1&quot;,&quot;journalAbbreviation&quot;:&quot;Mol. Cancer Res.&quot;,&quot;id&quot;:&quot;5189865&quot;,&quot;type&quot;:&quot;article-journal&quot;,&quot;container-title&quot;:&quot;Molecular Cancer Research&quot;,&quot;container-title-short&quot;:&quot;Mol. Cancer Res.&quot;,&quot;abstract&quot;:&quot;Ewing tumors comprise the second most common type of bone-associated cancer in children and are characterized by oncogenic EWS/FLI1 fusion proteins and early metastasis. Compelling evidence suggests that elevated levels of intracellular oxidative stress contribute to enhanced aggressiveness of numerous cancers, possibly including Ewing tumors. Using comprehensive microarray analyses and RNA interference, we identified the six-transmembrane epithelial antigen of the prostate 1 (STEAP1)-a membrane-bound mesenchymal stem cell marker of unknown function-as a highly expressed protein in Ewing tumors compared with benign tissues and show its regulation by EWS/FLI1. In addition, we show that STEAP1 knockdown reduces Ewing tumor proliferation, anchorage-independent colony formation as well as invasion in vitro and decreases growth and metastasis of Ewing tumor xenografts in vivo. Moreover, transcriptome and proteome analyses as well as functional studies revealed that STEAP1 expression correlates with oxidative stress responses and elevated levels of reactive oxygen species that in turn are able to regulate redox-sensitive and proinvasive genes. In synopsis, our data suggest that STEAP1 is associated with the invasive behavior and oxidative stress phenotype of Ewing tumors and point to a hitherto unanticipated oncogenic function of STEAP1.&quot;,&quot;author&quot;:[{&quot;family&quot;:&quot;Grunewald&quot;,&quot;given&quot;:&quot;Thomas G P&quot;},{&quot;family&quot;:&quot;Diebold&quot;,&quot;given&quot;:&quot;Isabel&quot;},{&quot;family&quot;:&quot;Esposito&quot;,&quot;given&quot;:&quot;Irene&quot;},{&quot;family&quot;:&quot;Plehm&quot;,&quot;given&quot;:&quot;Stephanie&quot;},{&quot;family&quot;:&quot;Hauer&quot;,&quot;given&quot;:&quot;Kristina&quot;},{&quot;family&quot;:&quot;Thiel&quot;,&quot;given&quot;:&quot;Uwe&quot;},{&quot;family&quot;:&quot;da Silva-Buttkus&quot;,&quot;given&quot;:&quot;Patricia&quot;},{&quot;family&quot;:&quot;Neff&quot;,&quot;given&quot;:&quot;Frauke&quot;},{&quot;family&quot;:&quot;Unland&quot;,&quot;given&quot;:&quot;Rebekka&quot;},{&quot;family&quot;:&quot;Müller-Tidow&quot;,&quot;given&quot;:&quot;Carsten&quot;},{&quot;family&quot;:&quot;Zobywalski&quot;,&quot;given&quot;:&quot;Colette&quot;},{&quot;family&quot;:&quot;Lohrig&quot;,&quot;given&quot;:&quot;Katharina&quot;},{&quot;family&quot;:&quot;Lewandrowski&quot;,&quot;given&quot;:&quot;Urs&quot;},{&quot;family&quot;:&quot;Sickmann&quot;,&quot;given&quot;:&quot;Albert&quot;},{&quot;family&quot;:&quot;Prazeres da Costa&quot;,&quot;given&quot;:&quot;Olivia&quot;},{&quot;family&quot;:&quot;Görlach&quot;,&quot;given&quot;:&quot;Agnes&quot;},{&quot;family&quot;:&quot;Cossarizza&quot;,&quot;given&quot;:&quot;Andrea&quot;},{&quot;family&quot;:&quot;Butt&quot;,&quot;given&quot;:&quot;Elke&quot;},{&quot;family&quot;:&quot;Richter&quot;,&quot;given&quot;:&quot;Günther H S&quot;},{&quot;family&quot;:&quot;Burdach&quot;,&quot;given&quot;:&quot;Stefan&quot;}],&quot;issued&quot;:{&quot;date-parts&quot;:[[&quot;2012&quot;,&quot;1&quot;]]},&quot;DOI&quot;:&quot;10.1158/1541-7786.MCR-11-0524&quot;,&quot;PMID&quot;:&quot;22080479&quot;,&quot;citation-label&quot;:&quot;5189865&quot;},{&quot;title&quot;:&quot;Revealing nascent proteomics in signaling pathways and cell differentiation.&quot;,&quot;page&quot;:&quot;2353-2358&quot;,&quot;volume&quot;:&quot;115&quot;,&quot;issue&quot;:&quot;10&quot;,&quot;journalAbbreviation&quot;:&quot;Proc Natl Acad Sci USA&quot;,&quot;id&quot;:&quot;5189849&quot;,&quot;type&quot;:&quot;article-journal&quot;,&quot;container-title&quot;:&quot;Proceedings of the National Academy of Sciences of the United States of America&quot;,&quot;container-title-short&quot;:&quot;Proc Natl Acad Sci USA&quot;,&quot;abstract&quot;:&quot;Regulation of gene expression at the level of protein synthesis is a crucial element in driving how the genetic landscape is expressed. However, we are still limited in technologies that can quantitatively capture the immediate proteomic changes that allow cells to respond to specific stimuli. Here, we present a method to capture and identify nascent proteomes in situ across different cell types without disturbing normal growth conditions, using O-propargyl-puromycin (OPP). Cell-permeable OPP rapidly labels nascent elongating polypeptides, which are subsequently conjugated to biotin-azide, using click chemistry, and captured with streptavidin beads, followed by digestion and analysis, using liquid chromatography-tandem mass spectrometry. Our technique of OPP-mediated identification (OPP-ID) allows detection of widespread proteomic changes within a short 2-hour pulse of OPP. We illustrate our technique by recapitulating alterations of proteomic networks induced by a potent mammalian target of rapamycin inhibitor, MLN128. In addition, by employing OPP-ID, we identify more than 2,100 proteins and uncover distinct protein networks underlying early erythroid progenitor and differentiation states not amenable to alternative approaches such as amino acid analog labeling. We present OPP-ID as a method to quantitatively identify nascent proteomes across an array of biological contexts while preserving the subtleties directing signaling in the native cellular environment.Copyright © 2018 the Author(s). Published by PNAS.&quot;,&quot;author&quot;:[{&quot;family&quot;:&quot;Forester&quot;,&quot;given&quot;:&quot;Craig M&quot;},{&quot;family&quot;:&quot;Zhao&quot;,&quot;given&quot;:&quot;Qian&quot;},{&quot;family&quot;:&quot;Phillips&quot;,&quot;given&quot;:&quot;Nancy J&quot;},{&quot;family&quot;:&quot;Urisman&quot;,&quot;given&quot;:&quot;Anatoly&quot;},{&quot;family&quot;:&quot;Chalkley&quot;,&quot;given&quot;:&quot;Robert J&quot;},{&quot;family&quot;:&quot;Oses-Prieto&quot;,&quot;given&quot;:&quot;Juan A&quot;},{&quot;family&quot;:&quot;Zhang&quot;,&quot;given&quot;:&quot;Li&quot;},{&quot;family&quot;:&quot;Ruggero&quot;,&quot;given&quot;:&quot;Davide&quot;},{&quot;family&quot;:&quot;Burlingame&quot;,&quot;given&quot;:&quot;Alma L&quot;}],&quot;issued&quot;:{&quot;date-parts&quot;:[[&quot;2018&quot;,&quot;3&quot;,&quot;6&quot;]]},&quot;DOI&quot;:&quot;10.1073/pnas.1707514115&quot;,&quot;PMID&quot;:&quot;29467287&quot;,&quot;PMCID&quot;:&quot;PMC5877968&quot;,&quot;citation-label&quot;:&quot;5189849&quot;},{&quot;title&quot;:&quot;Inhibition of CHK1 sensitizes Ewing sarcoma cells to the ribonucleotide reductase inhibitor gemcitabine.&quot;,&quot;page&quot;:&quot;87016-87032&quot;,&quot;volume&quot;:&quot;8&quot;,&quot;issue&quot;:&quot;50&quot;,&quot;journalAbbreviation&quot;:&quot;Oncotarget&quot;,&quot;id&quot;:&quot;5189771&quot;,&quot;type&quot;:&quot;article-journal&quot;,&quot;container-title&quot;:&quot;Oncotarget&quot;,&quot;container-title-short&quot;:&quot;Oncotarget&quot;,&quot;abstract&quot;:&quot;Ewing sarcoma is a bone and soft tissue sarcoma that occurs in children and young adults. The EWS-FLI1 gene fusion is the driver mutation in most Ewing sarcoma tumors and functions, in part, as an aberrant transcription factor. We recently identified that Ewing sarcoma cells are sensitive to inhibition of ribonucleotide reductase (RNR), which catalyzes the formation of deoxyribonucleotides from ribonucleotides. In this report, we show that Ewing sarcoma cells are sensitive to treatment with clofarabine, which is a nucleoside analogue and allosteric inhibitor of RNR. However, clofarabine is a reversible inhibitor of RNR and we found that the effect of clofarabine is limited when using a short (6-hour) drug treatment. Gemcitabine, on the other hand, is an irreversible inhibitor of the RRM1 subunit of RNR and this drug induces apoptosis in Ewing sarcoma cells when used in both 6-hour and longer drug treatments. Treatment of Ewing sarcoma cells with gemcitabine also results in activation of checkpoint kinase 1 (CHK1), which is a critical mediator of cell survival in the setting of impaired DNA replication. Notably, inhibition of CHK1 function in Ewing sarcoma cells using a small-molecule CHK1 inhibitor, or siRNA knockdown, in combination with gemcitabine results in increased toxicity both in vitro and in vivo in a mouse xenograft experiment. Overall, our results provide insight into Ewing sarcoma biology and identify a candidate therapeutic target, and drug combination, in Ewing sarcoma.&quot;,&quot;author&quot;:[{&quot;family&quot;:&quot;Goss&quot;,&quot;given&quot;:&quot;Kelli L&quot;},{&quot;family&quot;:&quot;Koppenhafer&quot;,&quot;given&quot;:&quot;Stacia L&quot;},{&quot;family&quot;:&quot;Harmoney&quot;,&quot;given&quot;:&quot;Kathryn M&quot;},{&quot;family&quot;:&quot;Terry&quot;,&quot;given&quot;:&quot;William W&quot;},{&quot;family&quot;:&quot;Gordon&quot;,&quot;given&quot;:&quot;David J&quot;}],&quot;issued&quot;:{&quot;date-parts&quot;:[[&quot;2017&quot;,&quot;10&quot;,&quot;20&quot;]]},&quot;DOI&quot;:&quot;10.18632/oncotarget.18776&quot;,&quot;PMID&quot;:&quot;29152060&quot;,&quot;PMCID&quot;:&quot;PMC5675612&quot;,&quot;citation-label&quot;:&quot;5189771&quot;},{&quot;title&quot;:&quot;Gene expression signature based screening identifies ribonucleotide reductase as a candidate therapeutic target in Ewing sarcoma.&quot;,&quot;page&quot;:&quot;63003-63019&quot;,&quot;volume&quot;:&quot;7&quot;,&quot;issue&quot;:&quot;39&quot;,&quot;journalAbbreviation&quot;:&quot;Oncotarget&quot;,&quot;id&quot;:&quot;5189749&quot;,&quot;type&quot;:&quot;article-journal&quot;,&quot;container-title&quot;:&quot;Oncotarget&quot;,&quot;container-title-short&quot;:&quot;Oncotarget&quot;,&quot;abstract&quot;:&quot;There is a critical need in cancer therapeutics to identify targeted therapies that will improve outcomes and decrease toxicities compared to conventional, cytotoxic chemotherapy. Ewing sarcoma is a highly aggressive bone and soft tissue cancer that is caused by the EWS-FLI1 fusion protein. Although EWS-FLI1 is specific for cancer cells, and required for tumorigenesis, directly targeting this transcription factor has proven challenging. Consequently, targeting unique dependencies or key downstream mediators of EWS-FLI1 represent important alternative strategies. We used gene expression data derived from a genetically defined model of Ewing sarcoma to interrogate the Connectivity Map and identify a class of drugs, iron chelators, that downregulate a significant number of EWS-FLI1 target genes. We then identified ribonucleotide reductase M2 (RRM2), the iron-dependent subunit of ribonucleotide reductase (RNR), as one mediator of iron chelator toxicity in Ewing sarcoma cells. Inhibition of RNR in Ewing sarcoma cells caused apoptosis in vitro and attenuated tumor growth in an in vivo, xenograft model. Additionally, we discovered that the sensitivity of Ewing sarcoma cells to inhibition or suppression of RNR is mediated, in part, by high levels of SLFN11, a protein that sensitizes cells to DNA damage. This work demonstrates a unique dependency of Ewing sarcoma cells on RNR and supports further investigation of RNR inhibitors, which are currently used in clinical practice, as a novel approach for treating Ewing sarcoma.&quot;,&quot;author&quot;:[{&quot;family&quot;:&quot;Goss&quot;,&quot;given&quot;:&quot;Kelli L&quot;},{&quot;family&quot;:&quot;Gordon&quot;,&quot;given&quot;:&quot;David J&quot;}],&quot;issued&quot;:{&quot;date-parts&quot;:[[&quot;2016&quot;,&quot;9&quot;,&quot;27&quot;]]},&quot;DOI&quot;:&quot;10.18632/oncotarget.11416&quot;,&quot;PMID&quot;:&quot;27557498&quot;,&quot;PMCID&quot;:&quot;PMC5325343&quot;,&quot;citation-label&quot;:&quot;5189749&quot;},{&quot;title&quot;:&quot;EZH2 is a mediator of EWS/FLI1 driven tumor growth and metastasis blocking endothelial and neuro-ectodermal differentiation.&quot;,&quot;page&quot;:&quot;5324-5329&quot;,&quot;volume&quot;:&quot;106&quot;,&quot;issue&quot;:&quot;13&quot;,&quot;journalAbbreviation&quot;:&quot;Proc Natl Acad Sci USA&quot;,&quot;id&quot;:&quot;5189740&quot;,&quot;type&quot;:&quot;article-journal&quot;,&quot;container-title&quot;:&quot;Proceedings of the National Academy of Sciences of the United States of America&quot;,&quot;container-title-short&quot;:&quot;Proc Natl Acad Sci USA&quot;,&quot;abstract&quot;:&quot;Ewing tumors (ET) are highly malignant, localized in bone or soft tissue, and are molecularly defined by ews/ets translocations. DNA microarray analysis revealed a relationship of ET to both endothelium and fetal neural crest. We identified expression of histone methyltransferase enhancer of Zeste, Drosophila, Homolog 2 (EZH2) to be increased in ET. Suppressive activity of EZH2 maintains stemness in normal and malignant cells. Here, we found EWS/FLI1 bound to the EZH2 promoter in vivo, and induced EZH2 expression in ET and mesenchymal stem cells. Down-regulation of EZH2 by RNA interference in ET suppressed oncogenic transformation by inhibiting clonogenicity in vitro. Similarly, tumor development and metastasis was suppressed in immunodeficient Rag2(-/-)gamma(C)(-/-) mice. EZH2-mediated gene silencing was shown to be dependent on histone deacetylase (HDAC) activity. Subsequent microarray analysis of EZH2 knock down, HDAC-inhibitor treatment and confirmation in independent assays revealed an undifferentiated phenotype maintained by EZH2 in ET. EZH2 regulated stemness genes such as nerve growth factor receptor (NGFR), as well as genes involved in neuroectodermal and endothelial differentiation (EMP1, EPHB2, GFAP, and GAP43). These data suggest that EZH2 might have a central role in ET pathology by shaping the oncogenicity and stem cell phenotype of this tumor.&quot;,&quot;author&quot;:[{&quot;family&quot;:&quot;Richter&quot;,&quot;given&quot;:&quot;Günther H S&quot;},{&quot;family&quot;:&quot;Plehm&quot;,&quot;given&quot;:&quot;Stephanie&quot;},{&quot;family&quot;:&quot;Fasan&quot;,&quot;given&quot;:&quot;Annette&quot;},{&quot;family&quot;:&quot;Rössler&quot;,&quot;given&quot;:&quot;Sabine&quot;},{&quot;family&quot;:&quot;Unland&quot;,&quot;given&quot;:&quot;Rebekka&quot;},{&quot;family&quot;:&quot;Bennani-Baiti&quot;,&quot;given&quot;:&quot;Idriss M&quot;},{&quot;family&quot;:&quot;Hotfilder&quot;,&quot;given&quot;:&quot;Marc&quot;},{&quot;family&quot;:&quot;Löwel&quot;,&quot;given&quot;:&quot;Diana&quot;},{&quot;family&quot;:&quot;von Luettichau&quot;,&quot;given&quot;:&quot;Irene&quot;},{&quot;family&quot;:&quot;Mossbrugger&quot;,&quot;given&quot;:&quot;Ilona&quot;},{&quot;family&quot;:&quot;Quintanilla-Martinez&quot;,&quot;given&quot;:&quot;Leticia&quot;},{&quot;family&quot;:&quot;Kovar&quot;,&quot;given&quot;:&quot;Heinrich&quot;},{&quot;family&quot;:&quot;Staege&quot;,&quot;given&quot;:&quot;Martin S&quot;},{&quot;family&quot;:&quot;Müller-Tidow&quot;,&quot;given&quot;:&quot;Carsten&quot;},{&quot;family&quot;:&quot;Burdach&quot;,&quot;given&quot;:&quot;Stefan&quot;}],&quot;issued&quot;:{&quot;date-parts&quot;:[[&quot;2009&quot;,&quot;3&quot;,&quot;31&quot;]]},&quot;DOI&quot;:&quot;10.1073/pnas.0810759106&quot;,&quot;PMID&quot;:&quot;19289832&quot;,&quot;PMCID&quot;:&quot;PMC2656557&quot;,&quot;citation-label&quot;:&quot;5189740&quot;},{&quot;title&quot;:&quot;Therapeutic targeting of PGBD5-induced DNA repair dependency in pediatric solid tumors.&quot;,&quot;volume&quot;:&quot;9&quot;,&quot;issue&quot;:&quot;414&quot;,&quot;journalAbbreviation&quot;:&quot;Sci. Transl. Med.&quot;,&quot;id&quot;:&quot;5057573&quot;,&quot;type&quot;:&quot;article-journal&quot;,&quot;container-title&quot;:&quot;Science Translational Medicine&quot;,&quot;container-title-short&quot;:&quot;Sci. Transl. Med.&quot;,&quot;abstract&quot;:&quot;Despite intense efforts, the cure rates of childhood and adult solid tumors are not satisfactory. Resistance to intensive chemotherapy is common, and targets for molecular therapies are largely undefined. We have found that the majority of childhood solid tumors, including rhabdoid tumors, neuroblastoma, medulloblastoma, and Ewing sarcoma, express an active DNA transposase, PGBD5, that can promote site-specific genomic rearrangements in human cells. Using functional genetic approaches, we discovered that mouse and human cells deficient in nonhomologous end joining (NHEJ) DNA repair cannot tolerate the expression of PGBD5. In a chemical screen of DNA damage signaling inhibitors, we identified AZD6738 as a specific sensitizer of PGBD5-dependent DNA damage and apoptosis. We found that expression of PGBD5, but not its nuclease activity-deficient mutant, was sufficient to induce sensitivity to AZD6738. Depletion of endogenous PGBD5 conferred resistance to AZD6738 in human tumor cells. PGBD5-expressing tumor cells accumulated unrepaired DNA damage in response to AZD6738 treatment and underwent apoptosis in both dividing and G1-phase cells in the absence of immediate DNA replication stress. Accordingly, AZD6738 exhibited nanomolar potency against most neuroblastoma, medulloblastoma, Ewing sarcoma, and rhabdoid tumor cells tested while sparing nontransformed human and mouse embryonic fibroblasts in vitro. Finally, treatment with AZD6738 induced apoptosis and regression of human neuroblastoma and medulloblastoma tumors engrafted in immunodeficient mice in vivo. This effect was potentiated by combined treatment with cisplatin, including substantial antitumor activity against patient-derived primary neuroblastoma xenografts. These findings delineate a therapeutically actionable synthetic dependency induced in PGBD5-expressing solid tumors.Copyright © 2017 The Authors, some rights reserved; exclusive licensee American Association for the Advancement of Science. No claim to original U.S. Government Works.&quot;,&quot;author&quot;:[{&quot;family&quot;:&quot;Henssen&quot;,&quot;given&quot;:&quot;Anton G&quot;},{&quot;family&quot;:&quot;Reed&quot;,&quot;given&quot;:&quot;Casie&quot;},{&quot;family&quot;:&quot;Jiang&quot;,&quot;given&quot;:&quot;Eileen&quot;},{&quot;family&quot;:&quot;Garcia&quot;,&quot;given&quot;:&quot;Heathcliff Dorado&quot;},{&quot;family&quot;:&quot;von Stebut&quot;,&quot;given&quot;:&quot;Jennifer&quot;},{&quot;family&quot;:&quot;MacArthur&quot;,&quot;given&quot;:&quot;Ian C&quot;},{&quot;family&quot;:&quot;Hundsdoerfer&quot;,&quot;given&quot;:&quot;Patrick&quot;},{&quot;family&quot;:&quot;Kim&quot;,&quot;given&quot;:&quot;Jun Hyun&quot;},{&quot;family&quot;:&quot;de Stanchina&quot;,&quot;given&quot;:&quot;Elisa&quot;},{&quot;family&quot;:&quot;Kuwahara&quot;,&quot;given&quot;:&quot;Yasumichi&quot;},{&quot;family&quot;:&quot;Hosoi&quot;,&quot;given&quot;:&quot;Hajime&quot;},{&quot;family&quot;:&quot;Ganem&quot;,&quot;given&quot;:&quot;Neil J&quot;},{&quot;family&quot;:&quot;Dela Cruz&quot;,&quot;given&quot;:&quot;Filemon&quot;},{&quot;family&quot;:&quot;Kung&quot;,&quot;given&quot;:&quot;Andrew L&quot;},{&quot;family&quot;:&quot;Schulte&quot;,&quot;given&quot;:&quot;Johannes H&quot;},{&quot;family&quot;:&quot;Petrini&quot;,&quot;given&quot;:&quot;John H&quot;},{&quot;family&quot;:&quot;Kentsis&quot;,&quot;given&quot;:&quot;Alex&quot;}],&quot;issued&quot;:{&quot;date-parts&quot;:[[&quot;2017&quot;,&quot;11&quot;,&quot;1&quot;]]},&quot;DOI&quot;:&quot;10.1126/scitranslmed.aam9078&quot;,&quot;PMID&quot;:&quot;29093183&quot;,&quot;PMCID&quot;:&quot;PMC5683417&quot;,&quot;citation-label&quot;:&quot;5057573&quot;},{&quot;title&quot;:&quot;Targeting the ATR-CHK1 Axis in Cancer Therapy.&quot;,&quot;volume&quot;:&quot;9&quot;,&quot;issue&quot;:&quot;5&quot;,&quot;journalAbbreviation&quot;:&quot;Cancers (Basel)&quot;,&quot;id&quot;:&quot;4439742&quot;,&quot;type&quot;:&quot;article-journal&quot;,&quot;container-title&quot;:&quot;Cancers&quot;,&quot;container-title-short&quot;:&quot;Cancers (Basel)&quot;,&quot;abstract&quot;:&quot;Targeting the DNA damage response (DDR) is a new therapeutic approach in cancer that shows great promise for tumour selectivity. Key components of the DDR are the ataxia telangiectasia mutated and Rad3 related (ATR) and checkpoint kinase 1 (CHK1) kinases. This review article describes the role of ATR and its major downstream target, CHK1, in the DDR and why cancer cells are particularly reliant on the ATR-CHK1 pathway, providing the rationale for targeting these kinases, and validation of this hypothesis by genetic manipulation. The recent development of specific inhibitors and preclinical data using these inhibitors not only as chemosensitisers and radiosensitisers but also as single agents to exploit specific pathologies of tumour cells is described. These potent and specific inhibitors have now entered clinical trial and early results are presented.&quot;,&quot;author&quot;:[{&quot;family&quot;:&quot;Rundle&quot;,&quot;given&quot;:&quot;Stuart&quot;},{&quot;family&quot;:&quot;Bradbury&quot;,&quot;given&quot;:&quot;Alice&quot;},{&quot;family&quot;:&quot;Drew&quot;,&quot;given&quot;:&quot;Yvette&quot;},{&quot;family&quot;:&quot;Curtin&quot;,&quot;given&quot;:&quot;Nicola J&quot;}],&quot;issued&quot;:{&quot;date-parts&quot;:[[&quot;2017&quot;,&quot;4&quot;,&quot;27&quot;]]},&quot;DOI&quot;:&quot;10.3390/cancers9050041&quot;,&quot;PMID&quot;:&quot;28448462&quot;,&quot;PMCID&quot;:&quot;PMC5447951&quot;,&quot;citation-label&quot;:&quot;4439742&quot;},{&quot;title&quot;:&quot;Efficacy of ATR inhibitors as single agents in Ewing sarcoma.&quot;,&quot;page&quot;:&quot;58759-58767&quot;,&quot;volume&quot;:&quot;7&quot;,&quot;issue&quot;:&quot;37&quot;,&quot;journalAbbreviation&quot;:&quot;Oncotarget&quot;,&quot;id&quot;:&quot;3573100&quot;,&quot;type&quot;:&quot;article-journal&quot;,&quot;container-title&quot;:&quot;Oncotarget&quot;,&quot;container-title-short&quot;:&quot;Oncotarget&quot;,&quot;abstract&quot;:&quot;Ewing sarcomas (ES) are pediatric bone tumors that arise from a driver translocation, most frequently EWS/FLI1. Current ES treatment involves DNA damaging agents, yet the basis for the sensitivity to these therapies remains unknown. Oncogene-induced replication stress (RS) is a known source of endogenous DNA damage in cancer, which is suppressed by ATR and CHK1 kinases. We here show that ES suffer from high endogenous levels of RS, rendering them particularly dependent on the ATR pathway. Accordingly, two independent ATR inhibitors show in vitro toxicity in ES cell lines as well as in vivo efficacy in ES xenografts as single agents. Expression of EWS/FLI1 or EWS/ERG oncogenic translocations sensitizes non-ES cells to ATR inhibitors. Our data shed light onto the sensitivity of ES to genotoxic agents, and identify ATR inhibitors as a potential therapy for Ewing Sarcomas.&quot;,&quot;author&quot;:[{&quot;family&quot;:&quot;Nieto-Soler&quot;,&quot;given&quot;:&quot;Maria&quot;},{&quot;family&quot;:&quot;Morgado-Palacin&quot;,&quot;given&quot;:&quot;Isabel&quot;},{&quot;family&quot;:&quot;Lafarga&quot;,&quot;given&quot;:&quot;Vanesa&quot;},{&quot;family&quot;:&quot;Lecona&quot;,&quot;given&quot;:&quot;Emilio&quot;},{&quot;family&quot;:&quot;Murga&quot;,&quot;given&quot;:&quot;Matilde&quot;},{&quot;family&quot;:&quot;Callen&quot;,&quot;given&quot;:&quot;Elsa&quot;},{&quot;family&quot;:&quot;Azorin&quot;,&quot;given&quot;:&quot;Daniel&quot;},{&quot;family&quot;:&quot;Alonso&quot;,&quot;given&quot;:&quot;Javier&quot;},{&quot;family&quot;:&quot;Lopez-Contreras&quot;,&quot;given&quot;:&quot;Andres J&quot;},{&quot;family&quot;:&quot;Nussenzweig&quot;,&quot;given&quot;:&quot;Andre&quot;},{&quot;family&quot;:&quot;Fernandez-Capetillo&quot;,&quot;given&quot;:&quot;Oscar&quot;}],&quot;issued&quot;:{&quot;date-parts&quot;:[[&quot;2016&quot;,&quot;9&quot;,&quot;13&quot;]]},&quot;DOI&quot;:&quot;10.18632/oncotarget.11643&quot;,&quot;PMID&quot;:&quot;27577084&quot;,&quot;PMCID&quot;:&quot;PMC5312273&quot;,&quot;citation-label&quot;:&quot;3573100&quot;},{&quot;title&quot;:&quot;Selective small-molecule inhibitor reveals critical mitotic functions of human CDK1.&quot;,&quot;page&quot;:&quot;10660-10665&quot;,&quot;volume&quot;:&quot;103&quot;,&quot;issue&quot;:&quot;28&quot;,&quot;journalAbbreviation&quot;:&quot;Proc Natl Acad Sci USA&quot;,&quot;id&quot;:&quot;1095446&quot;,&quot;type&quot;:&quot;article-journal&quot;,&quot;container-title&quot;:&quot;Proceedings of the National Academy of Sciences of the United States of America&quot;,&quot;container-title-short&quot;:&quot;Proc Natl Acad Sci USA&quot;,&quot;abstract&quot;:&quot;CDK1 is a nonredundant cyclin-dependent kinase (CDK) with an essential role in mitosis, but its multiple functions still are poorly understood at a molecular level. Here we identify a selective small-molecule inhibitor of CDK1 that reversibly arrests human cells at the G(2)/M border of the cell cycle and allows for effective cell synchronization in early mitosis. Inhibition of CDK1 during cell division revealed that its activity is necessary and sufficient for maintaining the mitotic state of the cells, preventing replication origin licensing and premature cytokinesis. Although CDK1 inhibition for up to 24 h is well tolerated, longer exposure to the inhibitor induces apoptosis in tumor cells, suggesting that selective CDK1 inhibitors may have utility in cancer therapy.&quot;,&quot;author&quot;:[{&quot;family&quot;:&quot;Vassilev&quot;,&quot;given&quot;:&quot;Lyubomir T&quot;},{&quot;family&quot;:&quot;Tovar&quot;,&quot;given&quot;:&quot;Christian&quot;},{&quot;family&quot;:&quot;Chen&quot;,&quot;given&quot;:&quot;Shaoqing&quot;},{&quot;family&quot;:&quot;Knezevic&quot;,&quot;given&quot;:&quot;Dejan&quot;},{&quot;family&quot;:&quot;Zhao&quot;,&quot;given&quot;:&quot;Xiaolan&quot;},{&quot;family&quot;:&quot;Sun&quot;,&quot;given&quot;:&quot;Hongmao&quot;},{&quot;family&quot;:&quot;Heimbrook&quot;,&quot;given&quot;:&quot;David C&quot;},{&quot;family&quot;:&quot;Chen&quot;,&quot;given&quot;:&quot;Li&quot;}],&quot;issued&quot;:{&quot;date-parts&quot;:[[&quot;2006&quot;,&quot;7&quot;,&quot;11&quot;]]},&quot;DOI&quot;:&quot;10.1073/pnas.0600447103&quot;,&quot;PMID&quot;:&quot;16818887&quot;,&quot;PMCID&quot;:&quot;PMC1502288&quot;,&quot;citation-label&quot;:&quot;1095446&quot;},{&quot;title&quot;:&quot;Novel insights into the regulation of skeletal muscle protein synthesis as revealed by a new nonradioactive in vivo technique.&quot;,&quot;page&quot;:&quot;1028-1039&quot;,&quot;volume&quot;:&quot;25&quot;,&quot;issue&quot;:&quot;3&quot;,&quot;journalAbbreviation&quot;:&quot;FASEB J.&quot;,&quot;id&quot;:&quot;968344&quot;,&quot;type&quot;:&quot;article-journal&quot;,&quot;container-title&quot;:&quot;The FASEB Journal&quot;,&quot;container-title-short&quot;:&quot;FASEB J.&quot;,&quot;abstract&quot;:&quot;In this study, the principles of surface sensing of translation (SUnSET) were used to develop a nonradioactive method for ex vivo and in vivo measurements of protein synthesis (PS). Compared with controls, we first demonstrate excellent agreement between SUnSET and a [(3)H]phenylalanine method when detecting synergist ablation-induced increases in skeletal muscle PS ex vivo. We then show that SUnSET can detect the same synergist ablation-induced increase in PS when used in vivo (IV-SUnSET). In addition, IV-SUnSET detected food deprivation-induced decreases in PS in the heart, kidney, and skeletal muscles, with similar changes being visualized with an immunohistochemical version of IV-SUnSET (IV-IHC-SUnSET). By combining IV-IHC-SUnSET with in vivo transfection, we demonstrate that constitutively active PKB induces a robust increase in skeletal muscle PS. Furthermore, transfection with Ras homolog enriched in brain (Rheb) revealed that a PKB-independent activation of mammalian target of rapamycin is also sufficient to induce an increase in skeletal muscle PS. Finally, IV-IHC-SUnSET exposed the existence of fiber type-dependent differences in skeletal muscle PS, with PS in type 2B and 2X fibers being significantly lower than that in type 2A fibers within the same muscle. Thus, our nonradioactive method allowed us to accurately visualize and quantify PS under various ex vivo and in vivo conditions and revealed novel insights into the regulation of PS in skeletal muscle.&quot;,&quot;author&quot;:[{&quot;family&quot;:&quot;Goodman&quot;,&quot;given&quot;:&quot;Craig A&quot;},{&quot;family&quot;:&quot;Mabrey&quot;,&quot;given&quot;:&quot;Danielle M&quot;},{&quot;family&quot;:&quot;Frey&quot;,&quot;given&quot;:&quot;John W&quot;},{&quot;family&quot;:&quot;Miu&quot;,&quot;given&quot;:&quot;Man Hing&quot;},{&quot;family&quot;:&quot;Schmidt&quot;,&quot;given&quot;:&quot;Enrico K&quot;},{&quot;family&quot;:&quot;Pierre&quot;,&quot;given&quot;:&quot;Philippe&quot;},{&quot;family&quot;:&quot;Hornberger&quot;,&quot;given&quot;:&quot;Troy A&quot;}],&quot;issued&quot;:{&quot;date-parts&quot;:[[&quot;2011&quot;,&quot;3&quot;,&quot;1&quot;]]},&quot;DOI&quot;:&quot;10.1096/fj.10-168799&quot;,&quot;PMID&quot;:&quot;21148113&quot;,&quot;PMCID&quot;:&quot;PMC3042844&quot;,&quot;citation-label&quot;:&quot;968344&quot;},{&quot;title&quot;:&quot;Replication stress and cancer: it takes two to tango.&quot;,&quot;page&quot;:&quot;26-34&quot;,&quot;volume&quot;:&quot;329&quot;,&quot;issue&quot;:&quot;1&quot;,&quot;journalAbbreviation&quot;:&quot;Exp. Cell Res.&quot;,&quot;id&quot;:&quot;734630&quot;,&quot;type&quot;:&quot;article-journal&quot;,&quot;container-title&quot;:&quot;Experimental Cell Research&quot;,&quot;container-title-short&quot;:&quot;Exp. Cell Res.&quot;,&quot;abstract&quot;:&quot;Problems arising during DNA replication require the activation of the ATR-CHK1 pathway to ensure the stabilization and repair of the forks, and to prevent the entry into mitosis with unreplicated genomes. Whereas the pathway is essential at the cellular level, limiting its activity is particularly detrimental for some cancer cells. Here we review the links between replication stress (RS) and cancer, which provide a rationale for the use of ATR and Chk1 inhibitors in chemotherapy. First, we describe how the activation of oncogene-induced RS promotes genome rearrangements and chromosome instability, both of which could potentially fuel carcinogenesis. Next, we review the various pathways that contribute to the suppression of RS, and how mutations in these components lead to increased cancer incidence and/or accelerated ageing. Finally, we summarize the evidence showing that tumors with high levels of RS are dependent on a proficient RS-response, and therefore vulnerable to ATR or Chk1 inhibitors.Copyright © 2014 Elsevier Inc. All rights reserved.&quot;,&quot;author&quot;:[{&quot;family&quot;:&quot;Lecona&quot;,&quot;given&quot;:&quot;Emilio&quot;},{&quot;family&quot;:&quot;Fernández-Capetillo&quot;,&quot;given&quot;:&quot;Oscar&quot;}],&quot;issued&quot;:{&quot;date-parts&quot;:[[&quot;2014&quot;,&quot;11&quot;,&quot;15&quot;]]},&quot;DOI&quot;:&quot;10.1016/j.yexcr.2014.09.019&quot;,&quot;PMID&quot;:&quot;25257608&quot;,&quot;PMCID&quot;:&quot;PMC4878650&quot;,&quot;citation-label&quot;:&quot;734630&quot;},{&quot;title&quot;:&quot;SUnSET, a nonradioactive method to monitor protein synthesis.&quot;,&quot;page&quot;:&quot;275-277&quot;,&quot;volume&quot;:&quot;6&quot;,&quot;issue&quot;:&quot;4&quot;,&quot;journalAbbreviation&quot;:&quot;Nat. Methods&quot;,&quot;id&quot;:&quot;44891&quot;,&quot;type&quot;:&quot;article-journal&quot;,&quot;container-title&quot;:&quot;Nature Methods&quot;,&quot;container-title-short&quot;:&quot;Nat. Methods&quot;,&quot;abstract&quot;:&quot;We developed a nonradioactive fluorescence-activated cell sorting-based assay, called surface sensing of translation (SUnSET), which allows the monitoring and quantification of global protein synthesis in individual mammalian cells and in heterogeneous cell populations. We demonstrate here, using mouse dendritic and T cells as a model, that SUnSET offers a technical alternative to classical radioactive labeling methods for the study of mRNA translation and cellular activation.&quot;,&quot;author&quot;:[{&quot;family&quot;:&quot;Schmidt&quot;,&quot;given&quot;:&quot;Enrico K&quot;},{&quot;family&quot;:&quot;Clavarino&quot;,&quot;given&quot;:&quot;Giovanna&quot;},{&quot;family&quot;:&quot;Ceppi&quot;,&quot;given&quot;:&quot;Maurizio&quot;},{&quot;family&quot;:&quot;Pierre&quot;,&quot;given&quot;:&quot;Philippe&quot;}],&quot;issued&quot;:{&quot;date-parts&quot;:[[&quot;2009&quot;,&quot;4&quot;]]},&quot;DOI&quot;:&quot;10.1038/nmeth.1314&quot;,&quot;PMID&quot;:&quot;19305406&quot;,&quot;citation-label&quot;:&quot;44891&quot;},{&quot;title&quot;:&quot;ACR-368, a CHK1/2 Kinase Inhibitor, in Patients With Relapsed or Refractory Desmoplastic Small Round Cell Tumor: Phase I/II Trial Results.&quot;,&quot;page&quot;:&quot;e2400095&quot;,&quot;volume&quot;:&quot;2&quot;,&quot;issue&quot;:&quot;1&quot;,&quot;journalAbbreviation&quot;:&quot;JCO Oncology Advances&quot;,&quot;id&quot;:&quot;17826947&quot;,&quot;type&quot;:&quot;article-journal&quot;,&quot;container-title&quot;:&quot;JCO Oncology Advances&quot;,&quot;container-title-short&quot;:&quot;JCO Oncology Advances&quot;,&quot;abstract&quot;:&quot;PURPOSE: We hypothesized that ACR-368 (prexasertib) would be active in desmoplastic small round cell tumor (DSRCT) because of favorable responses in preclinical models.METHODS: Preclinical work identified ACR-368 activity in DSRCT, and a phase I/II trial of ACR-368 and irinotecan in patients 12 months and older with relapsed/refractory DSRCT was conducted. The primary objectives were determination of recommended phase II dose (RP2D) and best overall response rate (ORR) at the RP2D in DSRCT, with ≥3 of 16 responses considered promising.RESULTS: Preclinical data confirmed ACR-368 as potentially therapeutic in DSRCT, and 19 patients were enrolled in a subsequent clinical trial. Treatment was well tolerated, and cytopenias were managed using growth factors. Fifteen of 19 patients, including five of six achieving PR, had previously received irinotecan. The estimated ORR at the RP2D was 23% (lower boundary one-sided 90% CI, 9%), exceeding the unpromising rate of 5%. In addition, three patients with DSRCT had a PR at doses other than the RP2D, bringing the ORR for all doses (n = 19) to 32% (90% CI, 15% to 53%). The median overall survival was 19 months (95% CI, 13 to 36).CONCLUSION: The RP2D of ACR-368 with irinotecan by age group is ACR-368 105 or 150 mg/m2 once on day 1 (&gt;21 years or ≤21 years, respectively) and irinotecan 15 mg/m2 once daily for 5 days in 21-day cycles for both groups. The study met its primary objective to consider ACR-368 and irinotecan promising in DSRCT and, to our knowledge, is the first incorporating a targeted therapy to achieve this magnitude of response.© 2025 by American Society of Clinical Oncology.&quot;,&quot;author&quot;:[{&quot;family&quot;:&quot;Slotkin&quot;,&quot;given&quot;:&quot;Emily K&quot;},{&quot;family&quot;:&quot;Mauguen&quot;,&quot;given&quot;:&quot;Audrey&quot;},{&quot;family&quot;:&quot;Dela Cruz&quot;,&quot;given&quot;:&quot;Filemon S&quot;},{&quot;family&quot;:&quot;Ortiz&quot;,&quot;given&quot;:&quot;Michael V&quot;},{&quot;family&quot;:&quot;Avutu&quot;,&quot;given&quot;:&quot;Viswatej&quot;},{&quot;family&quot;:&quot;Meyers&quot;,&quot;given&quot;:&quot;Paul A&quot;},{&quot;family&quot;:&quot;Wexler&quot;,&quot;given&quot;:&quot;Leonard H&quot;},{&quot;family&quot;:&quot;O'Donohue&quot;,&quot;given&quot;:&quot;Tara J&quot;},{&quot;family&quot;:&quot;Kinnaman&quot;,&quot;given&quot;:&quot;Michael D&quot;},{&quot;family&quot;:&quot;Kelly&quot;,&quot;given&quot;:&quot;Ciara M&quot;},{&quot;family&quot;:&quot;D'Angelo&quot;,&quot;given&quot;:&quot;Sandra P&quot;},{&quot;family&quot;:&quot;Keohan&quot;,&quot;given&quot;:&quot;Mary Lou&quot;},{&quot;family&quot;:&quot;Gounder&quot;,&quot;given&quot;:&quot;Mrinal M&quot;},{&quot;family&quot;:&quot;Thornton&quot;,&quot;given&quot;:&quot;Katherine&quot;},{&quot;family&quot;:&quot;Nacev&quot;,&quot;given&quot;:&quot;Benjamin A&quot;},{&quot;family&quot;:&quot;Chi&quot;,&quot;given&quot;:&quot;Ping&quot;},{&quot;family&quot;:&quot;Rosenbaum&quot;,&quot;given&quot;:&quot;Evan&quot;},{&quot;family&quot;:&quot;Dickson&quot;,&quot;given&quot;:&quot;Mark&quot;},{&quot;family&quot;:&quot;Pachhal&quot;,&quot;given&quot;:&quot;Sagarika&quot;},{&quot;family&quot;:&quot;Somwar&quot;,&quot;given&quot;:&quot;Romel&quot;},{&quot;family&quot;:&quot;Ladanyi&quot;,&quot;given&quot;:&quot;Marc&quot;},{&quot;family&quot;:&quot;Robb&quot;,&quot;given&quot;:&quot;Caroline&quot;},{&quot;family&quot;:&quot;Pandit-Taskar&quot;,&quot;given&quot;:&quot;Neeta&quot;},{&quot;family&quot;:&quot;Hwang&quot;,&quot;given&quot;:&quot;Sinchun&quot;},{&quot;family&quot;:&quot;Price&quot;,&quot;given&quot;:&quot;Anita&quot;},{&quot;family&quot;:&quot;Behr&quot;,&quot;given&quot;:&quot;Gerald&quot;},{&quot;family&quot;:&quot;Reed&quot;,&quot;given&quot;:&quot;Damon R&quot;},{&quot;family&quot;:&quot;Kentsis&quot;,&quot;given&quot;:&quot;Alex&quot;},{&quot;family&quot;:&quot;Kung&quot;,&quot;given&quot;:&quot;Andrew L&quot;},{&quot;family&quot;:&quot;Bender&quot;,&quot;given&quot;:&quot;Julia Glade&quot;},{&quot;family&quot;:&quot;Tap&quot;,&quot;given&quot;:&quot;William D&quot;}],&quot;issued&quot;:{&quot;date-parts&quot;:[[&quot;2025&quot;,&quot;4&quot;,&quot;28&quot;]]},&quot;DOI&quot;:&quot;10.1200/OA-24-00095&quot;,&quot;PMID&quot;:&quot;40330140&quot;,&quot;citation-label&quot;:&quot;17826947&quot;},{&quot;title&quot;:&quot;Molecular mechanisms of cell death: recommendations of the Nomenclature Committee on Cell Death 2018.&quot;,&quot;page&quot;:&quot;486-541&quot;,&quot;volume&quot;:&quot;25&quot;,&quot;issue&quot;:&quot;3&quot;,&quot;journalAbbreviation&quot;:&quot;Cell Death Differ.&quot;,&quot;id&quot;:&quot;4753590&quot;,&quot;type&quot;:&quot;article-journal&quot;,&quot;container-title&quot;:&quot;Cell Death and Differentiation&quot;,&quot;container-title-short&quot;:&quot;Cell Death Differ.&quot;,&quot;abstract&quot;:&quot;Over the past decade, the Nomenclature Committee on Cell Death (NCCD) has formulated guidelines for the definition and interpretation of cell death from morphological, biochemical, and functional perspectives. Since the field continues to expand and novel mechanisms that orchestrate multiple cell death pathways are unveiled, we propose an updated classification of cell death subroutines focusing on mechanistic and essential (as opposed to correlative and dispensable) aspects of the process. As we provide molecularly oriented definitions of terms including intrinsic apoptosis, extrinsic apoptosis, mitochondrial permeability transition (MPT)-driven necrosis, necroptosis, ferroptosis, pyroptosis, parthanatos, entotic cell death, NETotic cell death, lysosome-dependent cell death, autophagy-dependent cell death, immunogenic cell death, cellular senescence, and mitotic catastrophe, we discuss the utility of neologisms that refer to highly specialized instances of these processes. The mission of the NCCD is to provide a widely accepted nomenclature on cell death in support of the continued development of the field.&quot;,&quot;author&quot;:[{&quot;family&quot;:&quot;Galluzzi&quot;,&quot;given&quot;:&quot;Lorenzo&quot;},{&quot;family&quot;:&quot;Vitale&quot;,&quot;given&quot;:&quot;Ilio&quot;},{&quot;family&quot;:&quot;Aaronson&quot;,&quot;given&quot;:&quot;Stuart A&quot;},{&quot;family&quot;:&quot;Abrams&quot;,&quot;given&quot;:&quot;John M&quot;},{&quot;family&quot;:&quot;Adam&quot;,&quot;given&quot;:&quot;Dieter&quot;},{&quot;family&quot;:&quot;Agostinis&quot;,&quot;given&quot;:&quot;Patrizia&quot;},{&quot;family&quot;:&quot;Alnemri&quot;,&quot;given&quot;:&quot;Emad S&quot;},{&quot;family&quot;:&quot;Altucci&quot;,&quot;given&quot;:&quot;Lucia&quot;},{&quot;family&quot;:&quot;Amelio&quot;,&quot;given&quot;:&quot;Ivano&quot;},{&quot;family&quot;:&quot;Andrews&quot;,&quot;given&quot;:&quot;David W&quot;},{&quot;family&quot;:&quot;Annicchiarico-Petruzzelli&quot;,&quot;given&quot;:&quot;Margherita&quot;},{&quot;family&quot;:&quot;Antonov&quot;,&quot;given&quot;:&quot;Alexey V&quot;},{&quot;family&quot;:&quot;Arama&quot;,&quot;given&quot;:&quot;Eli&quot;},{&quot;family&quot;:&quot;Baehrecke&quot;,&quot;given&quot;:&quot;Eric H&quot;},{&quot;family&quot;:&quot;Barlev&quot;,&quot;given&quot;:&quot;Nickolai A&quot;},{&quot;family&quot;:&quot;Bazan&quot;,&quot;given&quot;:&quot;Nicolas G&quot;},{&quot;family&quot;:&quot;Bernassola&quot;,&quot;given&quot;:&quot;Francesca&quot;},{&quot;family&quot;:&quot;Bertrand&quot;,&quot;given&quot;:&quot;Mathieu J M&quot;},{&quot;family&quot;:&quot;Bianchi&quot;,&quot;given&quot;:&quot;Katiuscia&quot;},{&quot;family&quot;:&quot;Blagosklonny&quot;,&quot;given&quot;:&quot;Mikhail V&quot;},{&quot;family&quot;:&quot;Blomgren&quot;,&quot;given&quot;:&quot;Klas&quot;},{&quot;family&quot;:&quot;Borner&quot;,&quot;given&quot;:&quot;Christoph&quot;},{&quot;family&quot;:&quot;Boya&quot;,&quot;given&quot;:&quot;Patricia&quot;},{&quot;family&quot;:&quot;Brenner&quot;,&quot;given&quot;:&quot;Catherine&quot;},{&quot;family&quot;:&quot;Campanella&quot;,&quot;given&quot;:&quot;Michelangelo&quot;},{&quot;family&quot;:&quot;Candi&quot;,&quot;given&quot;:&quot;Eleonora&quot;},{&quot;family&quot;:&quot;Carmona-Gutierrez&quot;,&quot;given&quot;:&quot;Didac&quot;},{&quot;family&quot;:&quot;Cecconi&quot;,&quot;given&quot;:&quot;Francesco&quot;},{&quot;family&quot;:&quot;Chan&quot;,&quot;given&quot;:&quot;Francis K-M&quot;},{&quot;family&quot;:&quot;Chandel&quot;,&quot;given&quot;:&quot;Navdeep S&quot;},{&quot;family&quot;:&quot;Cheng&quot;,&quot;given&quot;:&quot;Emily H&quot;},{&quot;family&quot;:&quot;Chipuk&quot;,&quot;given&quot;:&quot;Jerry E&quot;},{&quot;family&quot;:&quot;Cidlowski&quot;,&quot;given&quot;:&quot;John A&quot;},{&quot;family&quot;:&quot;Ciechanover&quot;,&quot;given&quot;:&quot;Aaron&quot;},{&quot;family&quot;:&quot;Cohen&quot;,&quot;given&quot;:&quot;Gerald M&quot;},{&quot;family&quot;:&quot;Conrad&quot;,&quot;given&quot;:&quot;Marcus&quot;},{&quot;family&quot;:&quot;Cubillos-Ruiz&quot;,&quot;given&quot;:&quot;Juan R&quot;},{&quot;family&quot;:&quot;Czabotar&quot;,&quot;given&quot;:&quot;Peter E&quot;},{&quot;family&quot;:&quot;D'Angiolella&quot;,&quot;given&quot;:&quot;Vincenzo&quot;},{&quot;family&quot;:&quot;Dawson&quot;,&quot;given&quot;:&quot;Ted M&quot;},{&quot;family&quot;:&quot;Dawson&quot;,&quot;given&quot;:&quot;Valina L&quot;},{&quot;family&quot;:&quot;De Laurenzi&quot;,&quot;given&quot;:&quot;Vincenzo&quot;},{&quot;family&quot;:&quot;De Maria&quot;,&quot;given&quot;:&quot;Ruggero&quot;},{&quot;family&quot;:&quot;Debatin&quot;,&quot;given&quot;:&quot;Klaus-Michael&quot;},{&quot;family&quot;:&quot;DeBerardinis&quot;,&quot;given&quot;:&quot;Ralph J&quot;},{&quot;family&quot;:&quot;Deshmukh&quot;,&quot;given&quot;:&quot;Mohanish&quot;},{&quot;family&quot;:&quot;Di Daniele&quot;,&quot;given&quot;:&quot;Nicola&quot;},{&quot;family&quot;:&quot;Di Virgilio&quot;,&quot;given&quot;:&quot;Francesco&quot;},{&quot;family&quot;:&quot;Dixit&quot;,&quot;given&quot;:&quot;Vishva M&quot;},{&quot;family&quot;:&quot;Dixon&quot;,&quot;given&quot;:&quot;Scott J&quot;},{&quot;family&quot;:&quot;Duckett&quot;,&quot;given&quot;:&quot;Colin S&quot;},{&quot;family&quot;:&quot;Dynlacht&quot;,&quot;given&quot;:&quot;Brian D&quot;},{&quot;family&quot;:&quot;El-Deiry&quot;,&quot;given&quot;:&quot;Wafik S&quot;},{&quot;family&quot;:&quot;Elrod&quot;,&quot;given&quot;:&quot;John W&quot;},{&quot;family&quot;:&quot;Fimia&quot;,&quot;given&quot;:&quot;Gian Maria&quot;},{&quot;family&quot;:&quot;Fulda&quot;,&quot;given&quot;:&quot;Simone&quot;},{&quot;family&quot;:&quot;García-Sáez&quot;,&quot;given&quot;:&quot;Ana J&quot;},{&quot;family&quot;:&quot;Garg&quot;,&quot;given&quot;:&quot;Abhishek D&quot;},{&quot;family&quot;:&quot;Garrido&quot;,&quot;given&quot;:&quot;Carmen&quot;},{&quot;family&quot;:&quot;Gavathiotis&quot;,&quot;given&quot;:&quot;Evripidis&quot;},{&quot;family&quot;:&quot;Golstein&quot;,&quot;given&quot;:&quot;Pierre&quot;},{&quot;family&quot;:&quot;Gottlieb&quot;,&quot;given&quot;:&quot;Eyal&quot;},{&quot;family&quot;:&quot;Green&quot;,&quot;given&quot;:&quot;Douglas R&quot;},{&quot;family&quot;:&quot;Greene&quot;,&quot;given&quot;:&quot;Lloyd A&quot;},{&quot;family&quot;:&quot;Gronemeyer&quot;,&quot;given&quot;:&quot;Hinrich&quot;},{&quot;family&quot;:&quot;Gross&quot;,&quot;given&quot;:&quot;Atan&quot;},{&quot;family&quot;:&quot;Hajnoczky&quot;,&quot;given&quot;:&quot;Gyorgy&quot;},{&quot;family&quot;:&quot;Hardwick&quot;,&quot;given&quot;:&quot;J Marie&quot;},{&quot;family&quot;:&quot;Harris&quot;,&quot;given&quot;:&quot;Isaac S&quot;},{&quot;family&quot;:&quot;Hengartner&quot;,&quot;given&quot;:&quot;Michael O&quot;},{&quot;family&quot;:&quot;Hetz&quot;,&quot;given&quot;:&quot;Claudio&quot;},{&quot;family&quot;:&quot;Ichijo&quot;,&quot;given&quot;:&quot;Hidenori&quot;},{&quot;family&quot;:&quot;Jäättelä&quot;,&quot;given&quot;:&quot;Marja&quot;},{&quot;family&quot;:&quot;Joseph&quot;,&quot;given&quot;:&quot;Bertrand&quot;},{&quot;family&quot;:&quot;Jost&quot;,&quot;given&quot;:&quot;Philipp J&quot;},{&quot;family&quot;:&quot;Juin&quot;,&quot;given&quot;:&quot;Philippe P&quot;},{&quot;family&quot;:&quot;Kaiser&quot;,&quot;given&quot;:&quot;William J&quot;},{&quot;family&quot;:&quot;Karin&quot;,&quot;given&quot;:&quot;Michael&quot;},{&quot;family&quot;:&quot;Kaufmann&quot;,&quot;given&quot;:&quot;Thomas&quot;},{&quot;family&quot;:&quot;Kepp&quot;,&quot;given&quot;:&quot;Oliver&quot;},{&quot;family&quot;:&quot;Kimchi&quot;,&quot;given&quot;:&quot;Adi&quot;},{&quot;family&quot;:&quot;Kitsis&quot;,&quot;given&quot;:&quot;Richard N&quot;},{&quot;family&quot;:&quot;Klionsky&quot;,&quot;given&quot;:&quot;Daniel J&quot;},{&quot;family&quot;:&quot;Knight&quot;,&quot;given&quot;:&quot;Richard A&quot;},{&quot;family&quot;:&quot;Kumar&quot;,&quot;given&quot;:&quot;Sharad&quot;},{&quot;family&quot;:&quot;Lee&quot;,&quot;given&quot;:&quot;Sam W&quot;},{&quot;family&quot;:&quot;Lemasters&quot;,&quot;given&quot;:&quot;John J&quot;},{&quot;family&quot;:&quot;Levine&quot;,&quot;given&quot;:&quot;Beth&quot;},{&quot;family&quot;:&quot;Linkermann&quot;,&quot;given&quot;:&quot;Andreas&quot;},{&quot;family&quot;:&quot;Lipton&quot;,&quot;given&quot;:&quot;Stuart A&quot;},{&quot;family&quot;:&quot;Lockshin&quot;,&quot;given&quot;:&quot;Richard A&quot;},{&quot;family&quot;:&quot;López-Otín&quot;,&quot;given&quot;:&quot;Carlos&quot;},{&quot;family&quot;:&quot;Lowe&quot;,&quot;given&quot;:&quot;Scott W&quot;},{&quot;family&quot;:&quot;Luedde&quot;,&quot;given&quot;:&quot;Tom&quot;},{&quot;family&quot;:&quot;Lugli&quot;,&quot;given&quot;:&quot;Enrico&quot;},{&quot;family&quot;:&quot;MacFarlane&quot;,&quot;given&quot;:&quot;Marion&quot;},{&quot;family&quot;:&quot;Madeo&quot;,&quot;given&quot;:&quot;Frank&quot;},{&quot;family&quot;:&quot;Malewicz&quot;,&quot;given&quot;:&quot;Michal&quot;},{&quot;family&quot;:&quot;Kroemer&quot;,&quot;given&quot;:&quot;Guido&quot;}],&quot;issued&quot;:{&quot;date-parts&quot;:[[&quot;2018&quot;,&quot;3&quot;]]},&quot;DOI&quot;:&quot;10.1038/s41418-017-0012-4&quot;,&quot;PMID&quot;:&quot;29362479&quot;,&quot;PMCID&quot;:&quot;PMC5864239&quot;,&quot;citation-label&quot;:&quot;4753590&quot;}]"/>
    <we:property name="sciwheel-selectedStyle" value="{&quot;id&quot;:&quot;oncogene&quot;,&quot;name&quot;:&quot;Oncogene&quot;,&quot;bibText&quot;:[{&quot;maxoffset&quot;:2,&quot;entryspacing&quot;:1,&quot;linespacing&quot;:1,&quot;second-field-align&quot;:&quot;flush&quot;,&quot;entry_ids&quot;:[[&quot;0&quot;]],&quot;bibliography_errors&quot;:[],&quot;done&quot;:false,&quot;bibstart&quot;:&quot;&lt;div class=\&quot;csl-bib-body\&quot;&gt;\n&quot;,&quot;bibend&quot;:&quot;&lt;/div&gt;&quot;},[&quot;  &lt;div class=\&quot;csl-entry\&quot;&gt;\n    &lt;div class=\&quot;csl-left-margin\&quot;&gt;1 &lt;/div&gt;&lt;div class=\&quot;csl-right-inline\&quot;&gt;Accadia T, Acernese F, Alshourbagy M, Amico P, Antonucci F, Aoudia S &lt;i&gt;et al.&lt;/i&gt; Virgo: a laser interferometer to detect gravitational waves. &lt;i&gt;J Instrum&lt;/i&gt; 2012; &lt;b&gt;7&lt;/b&gt;: P03012–P03012.&lt;/div&gt;\n  &lt;/div&gt;\n&quot;]],&quot;citationText&quot;:&quot;&lt;sup&gt;1&lt;/sup&gt;&quot;}"/>
    <we:property name="sciwheel-styles" value="[{&quot;id&quot;:&quot;american-medical-association&quot;,&quot;name&quot;:&quot;AMA (American Medical Association)&quot;},{&quot;id&quot;:&quot;apa 7th&quot;,&quot;name&quot;:&quot;APA (American Psychological Association) 7th Edition&quot;},{&quot;id&quot;:&quot;cell&quot;,&quot;name&quot;:&quot;Cell&quot;},{&quot;id&quot;:&quot;chicago-17th-edition&quot;,&quot;name&quot;:&quot;Chicago 17th Edition (author-date)&quot;},{&quot;id&quot;:&quot;cite-them-right-11th-edition-harvard&quot;,&quot;name&quot;:&quot;Cite Them Right 11th Edition - Harvard&quot;},{&quot;id&quot;:&quot;ieee&quot;,&quot;name&quot;:&quot;IEEE&quot;},{&quot;id&quot;:&quot;modern-language-association&quot;,&quot;name&quot;:&quot;MLA (Modern Language Association)&quot;},{&quot;id&quot;:&quot;national-library-of-medicine-grant-proposals&quot;,&quot;name&quot;:&quot;National Library of Medicine (Grant proposals with PMCID/PMID)&quot;},{&quot;id&quot;:&quot;nature&quot;,&quot;name&quot;:&quot;Nature&quot;},{&quot;id&quot;:&quot;oncogene&quot;,&quot;name&quot;:&quot;Oncogene&quot;,&quot;bibText&quot;:[{&quot;maxoffset&quot;:2,&quot;entryspacing&quot;:1,&quot;linespacing&quot;:1,&quot;second-field-align&quot;:&quot;flush&quot;,&quot;entry_ids&quot;:[[&quot;0&quot;]],&quot;bibliography_errors&quot;:[],&quot;done&quot;:false,&quot;bibstart&quot;:&quot;&lt;div class=\&quot;csl-bib-body\&quot;&gt;\n&quot;,&quot;bibend&quot;:&quot;&lt;/div&gt;&quot;},[&quot;  &lt;div class=\&quot;csl-entry\&quot;&gt;\n    &lt;div class=\&quot;csl-left-margin\&quot;&gt;1 &lt;/div&gt;&lt;div class=\&quot;csl-right-inline\&quot;&gt;Accadia T, Acernese F, Alshourbagy M, Amico P, Antonucci F, Aoudia S &lt;i&gt;et al.&lt;/i&gt; Virgo: a laser interferometer to detect gravitational waves. &lt;i&gt;J Instrum&lt;/i&gt; 2012; &lt;b&gt;7&lt;/b&gt;: P03012–P03012.&lt;/div&gt;\n  &lt;/div&gt;\n&quot;]],&quot;citationText&quot;:&quot;&lt;sup&gt;1&lt;/sup&gt;&quot;},{&quot;id&quot;:&quot;science&quot;,&quot;name&quot;:&quot;Science&quot;},{&quot;id&quot;:&quot;vancouver&quot;,&quot;name&quot;:&quot;Vancouver&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194</TotalTime>
  <Pages>3</Pages>
  <Words>1278</Words>
  <Characters>7301</Characters>
  <Application>Microsoft Office Word</Application>
  <DocSecurity>0</DocSecurity>
  <Lines>114</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David J</dc:creator>
  <cp:keywords/>
  <dc:description/>
  <cp:lastModifiedBy>Gordon, David J</cp:lastModifiedBy>
  <cp:revision>40</cp:revision>
  <dcterms:created xsi:type="dcterms:W3CDTF">2025-08-18T12:49:00Z</dcterms:created>
  <dcterms:modified xsi:type="dcterms:W3CDTF">2026-01-15T18:12:00Z</dcterms:modified>
</cp:coreProperties>
</file>