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A4A90">
      <w:pPr>
        <w:spacing w:after="240" w:line="480" w:lineRule="auto"/>
        <w:jc w:val="both"/>
        <w:rPr>
          <w:szCs w:val="24"/>
        </w:rPr>
      </w:pPr>
      <w:r>
        <w:rPr>
          <w:szCs w:val="24"/>
        </w:rPr>
        <w:t>Supplementary Information for</w:t>
      </w:r>
    </w:p>
    <w:p w14:paraId="5FBB4835">
      <w:pPr>
        <w:pStyle w:val="84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</w:rPr>
        <w:t xml:space="preserve">JNK Acts as a Molecular Brake of the CDC73 Positive Feedback Loop to Modulate Osteosarcoma Malignant Progression </w:t>
      </w:r>
      <w:r>
        <w:rPr>
          <w:rFonts w:ascii="Times New Roman" w:hAnsi="Times New Roman"/>
          <w:b w:val="0"/>
          <w:bCs w:val="0"/>
          <w:sz w:val="28"/>
          <w:szCs w:val="28"/>
        </w:rPr>
        <w:t>Via UBR5</w:t>
      </w:r>
    </w:p>
    <w:p w14:paraId="2ECE078D">
      <w:pPr>
        <w:spacing w:line="480" w:lineRule="auto"/>
        <w:rPr>
          <w:szCs w:val="24"/>
        </w:rPr>
      </w:pPr>
      <w:r>
        <w:rPr>
          <w:rFonts w:hint="eastAsia"/>
          <w:szCs w:val="24"/>
        </w:rPr>
        <w:t>Dingji Li</w:t>
      </w:r>
      <w:r>
        <w:rPr>
          <w:vertAlign w:val="superscript"/>
        </w:rPr>
        <w:t>1</w:t>
      </w:r>
      <w:r>
        <w:rPr>
          <w:szCs w:val="24"/>
        </w:rPr>
        <w:t xml:space="preserve">, </w:t>
      </w:r>
      <w:r>
        <w:rPr>
          <w:rFonts w:hint="eastAsia"/>
          <w:szCs w:val="24"/>
        </w:rPr>
        <w:t>Xinchen Wang</w:t>
      </w:r>
      <w:r>
        <w:rPr>
          <w:vertAlign w:val="superscript"/>
        </w:rPr>
        <w:t>1</w:t>
      </w:r>
      <w:r>
        <w:rPr>
          <w:rFonts w:hint="eastAsia"/>
        </w:rPr>
        <w:t>，</w:t>
      </w:r>
      <w:r>
        <w:rPr>
          <w:rFonts w:hint="eastAsia"/>
          <w:szCs w:val="24"/>
        </w:rPr>
        <w:t>Huigen Luo</w:t>
      </w:r>
      <w:r>
        <w:rPr>
          <w:szCs w:val="24"/>
          <w:vertAlign w:val="superscript"/>
        </w:rPr>
        <w:t>1</w:t>
      </w:r>
      <w:r>
        <w:rPr>
          <w:szCs w:val="24"/>
        </w:rPr>
        <w:t>, Hua Tu</w:t>
      </w:r>
      <w:r>
        <w:rPr>
          <w:szCs w:val="24"/>
          <w:vertAlign w:val="superscript"/>
        </w:rPr>
        <w:t xml:space="preserve"> 1</w:t>
      </w:r>
      <w:r>
        <w:rPr>
          <w:szCs w:val="24"/>
        </w:rPr>
        <w:t xml:space="preserve">, </w:t>
      </w:r>
      <w:r>
        <w:rPr>
          <w:rFonts w:hint="eastAsia"/>
          <w:szCs w:val="24"/>
        </w:rPr>
        <w:t>Lili</w:t>
      </w:r>
      <w:r>
        <w:rPr>
          <w:szCs w:val="24"/>
        </w:rPr>
        <w:t xml:space="preserve"> </w:t>
      </w:r>
      <w:r>
        <w:rPr>
          <w:rFonts w:hint="eastAsia"/>
          <w:szCs w:val="24"/>
        </w:rPr>
        <w:t>Hao</w:t>
      </w:r>
      <w:r>
        <w:rPr>
          <w:szCs w:val="24"/>
          <w:vertAlign w:val="superscript"/>
        </w:rPr>
        <w:t xml:space="preserve"> 1</w:t>
      </w:r>
      <w:r>
        <w:rPr>
          <w:szCs w:val="24"/>
        </w:rPr>
        <w:t xml:space="preserve">, </w:t>
      </w:r>
      <w:r>
        <w:rPr>
          <w:rFonts w:hint="eastAsia"/>
          <w:szCs w:val="24"/>
          <w:lang w:eastAsia="zh-CN"/>
        </w:rPr>
        <w:t>IoHong Lei</w:t>
      </w:r>
      <w:r>
        <w:rPr>
          <w:szCs w:val="24"/>
          <w:vertAlign w:val="superscript"/>
        </w:rPr>
        <w:t>1</w:t>
      </w:r>
      <w:r>
        <w:rPr>
          <w:szCs w:val="24"/>
        </w:rPr>
        <w:t>, Renjie Hu</w:t>
      </w:r>
      <w:r>
        <w:rPr>
          <w:szCs w:val="24"/>
          <w:vertAlign w:val="superscript"/>
        </w:rPr>
        <w:t>1</w:t>
      </w:r>
      <w:r>
        <w:rPr>
          <w:rFonts w:hint="eastAsia"/>
          <w:szCs w:val="24"/>
        </w:rPr>
        <w:t>, Pengchao Zheng</w:t>
      </w:r>
      <w:r>
        <w:rPr>
          <w:szCs w:val="24"/>
          <w:vertAlign w:val="superscript"/>
        </w:rPr>
        <w:t>1</w:t>
      </w:r>
      <w:r>
        <w:rPr>
          <w:szCs w:val="24"/>
        </w:rPr>
        <w:t>,</w:t>
      </w:r>
      <w:r>
        <w:rPr>
          <w:szCs w:val="24"/>
          <w:vertAlign w:val="superscript"/>
        </w:rPr>
        <w:t xml:space="preserve"> </w:t>
      </w:r>
      <w:r>
        <w:rPr>
          <w:rFonts w:hint="eastAsia"/>
          <w:szCs w:val="24"/>
        </w:rPr>
        <w:t>Yuhan Shi</w:t>
      </w:r>
      <w:r>
        <w:rPr>
          <w:szCs w:val="24"/>
          <w:vertAlign w:val="superscript"/>
        </w:rPr>
        <w:t>1</w:t>
      </w:r>
      <w:r>
        <w:rPr>
          <w:szCs w:val="24"/>
        </w:rPr>
        <w:t>,</w:t>
      </w:r>
      <w:r>
        <w:rPr>
          <w:rFonts w:hint="eastAsia"/>
          <w:szCs w:val="24"/>
        </w:rPr>
        <w:t xml:space="preserve"> </w:t>
      </w:r>
      <w:r>
        <w:rPr>
          <w:szCs w:val="24"/>
        </w:rPr>
        <w:t>Jianbo Sun</w:t>
      </w:r>
      <w:r>
        <w:rPr>
          <w:szCs w:val="24"/>
          <w:vertAlign w:val="superscript"/>
        </w:rPr>
        <w:t>2</w:t>
      </w:r>
      <w:r>
        <w:rPr>
          <w:szCs w:val="24"/>
        </w:rPr>
        <w:t>, Minying Zhu</w:t>
      </w:r>
      <w:r>
        <w:rPr>
          <w:rFonts w:hint="eastAsia"/>
          <w:szCs w:val="24"/>
          <w:vertAlign w:val="superscript"/>
          <w:lang w:eastAsia="zh-CN"/>
        </w:rPr>
        <w:t>2</w:t>
      </w:r>
      <w:r>
        <w:rPr>
          <w:rFonts w:hint="eastAsia"/>
          <w:szCs w:val="24"/>
          <w:lang w:eastAsia="zh-CN"/>
        </w:rPr>
        <w:t xml:space="preserve">, </w:t>
      </w:r>
      <w:r>
        <w:rPr>
          <w:szCs w:val="24"/>
        </w:rPr>
        <w:t>Chengnong Guan</w:t>
      </w:r>
      <w:r>
        <w:rPr>
          <w:szCs w:val="24"/>
          <w:vertAlign w:val="superscript"/>
        </w:rPr>
        <w:t>3</w:t>
      </w:r>
      <w:r>
        <w:rPr>
          <w:szCs w:val="24"/>
        </w:rPr>
        <w:t>,</w:t>
      </w:r>
      <w:r>
        <w:rPr>
          <w:rFonts w:hint="eastAsia"/>
          <w:szCs w:val="24"/>
        </w:rPr>
        <w:t xml:space="preserve"> Baoshan Xu*</w:t>
      </w:r>
      <w:r>
        <w:rPr>
          <w:szCs w:val="24"/>
          <w:vertAlign w:val="superscript"/>
        </w:rPr>
        <w:t>1</w:t>
      </w:r>
    </w:p>
    <w:p w14:paraId="31046E16">
      <w:pPr>
        <w:rPr>
          <w:lang w:eastAsia="zh-CN"/>
        </w:rPr>
      </w:pPr>
    </w:p>
    <w:p w14:paraId="12000EDF">
      <w:pPr>
        <w:pStyle w:val="148"/>
        <w:spacing w:before="100" w:beforeAutospacing="1" w:after="100" w:afterAutospacing="1" w:line="480" w:lineRule="auto"/>
        <w:jc w:val="both"/>
        <w:rPr>
          <w:lang w:eastAsia="zh-CN"/>
        </w:rPr>
      </w:pPr>
      <w:r>
        <w:t>This file contains the following contents</w:t>
      </w:r>
      <w:r>
        <w:rPr>
          <w:rFonts w:hint="eastAsia" w:eastAsia="宋体"/>
          <w:lang w:eastAsia="zh-CN"/>
        </w:rPr>
        <w:t>:</w:t>
      </w:r>
    </w:p>
    <w:p w14:paraId="2747426D">
      <w:pPr>
        <w:pStyle w:val="148"/>
        <w:spacing w:before="0" w:after="100" w:afterAutospacing="1" w:line="480" w:lineRule="auto"/>
        <w:jc w:val="both"/>
      </w:pPr>
      <w:r>
        <w:t>Supplementa</w:t>
      </w:r>
      <w:r>
        <w:rPr>
          <w:rFonts w:eastAsiaTheme="minorEastAsia"/>
          <w:lang w:eastAsia="zh-CN"/>
        </w:rPr>
        <w:t>ry</w:t>
      </w:r>
      <w:r>
        <w:t xml:space="preserve"> Figures and </w:t>
      </w:r>
      <w:r>
        <w:rPr>
          <w:rFonts w:eastAsiaTheme="minorEastAsia"/>
          <w:lang w:eastAsia="zh-CN"/>
        </w:rPr>
        <w:t>Figure</w:t>
      </w:r>
      <w:r>
        <w:t xml:space="preserve"> Legends </w:t>
      </w:r>
    </w:p>
    <w:p w14:paraId="73CC1906">
      <w:pPr>
        <w:pStyle w:val="148"/>
        <w:spacing w:before="0" w:after="100" w:afterAutospacing="1" w:line="480" w:lineRule="auto"/>
        <w:jc w:val="both"/>
      </w:pPr>
      <w:r>
        <w:t>Supplementa</w:t>
      </w:r>
      <w:r>
        <w:rPr>
          <w:rFonts w:eastAsiaTheme="minorEastAsia"/>
          <w:lang w:eastAsia="zh-CN"/>
        </w:rPr>
        <w:t>ry</w:t>
      </w:r>
      <w:r>
        <w:t xml:space="preserve"> Tables</w:t>
      </w:r>
      <w:r>
        <w:br w:type="page"/>
      </w:r>
    </w:p>
    <w:p w14:paraId="775F3F15">
      <w:pPr>
        <w:spacing w:before="100" w:beforeAutospacing="1" w:after="100" w:afterAutospacing="1" w:line="480" w:lineRule="auto"/>
        <w:jc w:val="both"/>
        <w:rPr>
          <w:b/>
          <w:bCs/>
          <w:kern w:val="32"/>
          <w:szCs w:val="24"/>
        </w:rPr>
      </w:pPr>
      <w:r>
        <w:rPr>
          <w:b/>
          <w:bCs/>
          <w:kern w:val="32"/>
          <w:szCs w:val="24"/>
        </w:rPr>
        <w:t xml:space="preserve">Supplementary Figures and </w:t>
      </w:r>
      <w:r>
        <w:rPr>
          <w:rFonts w:hint="eastAsia"/>
          <w:b/>
          <w:bCs/>
          <w:kern w:val="32"/>
          <w:szCs w:val="24"/>
          <w:lang w:eastAsia="zh-CN"/>
        </w:rPr>
        <w:t>Figure</w:t>
      </w:r>
      <w:r>
        <w:rPr>
          <w:b/>
          <w:bCs/>
          <w:kern w:val="32"/>
          <w:szCs w:val="24"/>
        </w:rPr>
        <w:t xml:space="preserve"> Legends</w:t>
      </w:r>
    </w:p>
    <w:p w14:paraId="1C040F47">
      <w:pPr>
        <w:pStyle w:val="107"/>
        <w:spacing w:before="480" w:beforeLines="200" w:line="480" w:lineRule="auto"/>
        <w:jc w:val="both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drawing>
          <wp:inline distT="0" distB="0" distL="0" distR="0">
            <wp:extent cx="5943600" cy="3046095"/>
            <wp:effectExtent l="0" t="0" r="0" b="1905"/>
            <wp:docPr id="9205674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67428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ADA00">
      <w:pPr>
        <w:pStyle w:val="107"/>
        <w:spacing w:before="480" w:beforeLines="200" w:line="480" w:lineRule="auto"/>
        <w:jc w:val="both"/>
        <w:rPr>
          <w:szCs w:val="24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bCs/>
          <w:szCs w:val="24"/>
        </w:rPr>
        <w:t xml:space="preserve"> S</w:t>
      </w:r>
      <w:r>
        <w:rPr>
          <w:rFonts w:hint="eastAsia"/>
          <w:b/>
          <w:bCs/>
          <w:szCs w:val="24"/>
          <w:lang w:eastAsia="zh-CN"/>
        </w:rPr>
        <w:t xml:space="preserve">1. </w:t>
      </w:r>
      <w:r>
        <w:rPr>
          <w:szCs w:val="24"/>
          <w:lang w:eastAsia="zh-CN"/>
        </w:rPr>
        <w:t>CDC73 protein expression levels after knockdown in 143B</w:t>
      </w:r>
      <w:r>
        <w:rPr>
          <w:rFonts w:hint="eastAsia"/>
          <w:szCs w:val="24"/>
          <w:lang w:eastAsia="zh-CN"/>
        </w:rPr>
        <w:t>(A)</w:t>
      </w:r>
      <w:r>
        <w:rPr>
          <w:szCs w:val="24"/>
          <w:lang w:eastAsia="zh-CN"/>
        </w:rPr>
        <w:t xml:space="preserve"> </w:t>
      </w:r>
      <w:r>
        <w:rPr>
          <w:rFonts w:hint="eastAsia"/>
          <w:szCs w:val="24"/>
          <w:lang w:eastAsia="zh-CN"/>
        </w:rPr>
        <w:t xml:space="preserve">and LM8(B) </w:t>
      </w:r>
      <w:r>
        <w:rPr>
          <w:szCs w:val="24"/>
          <w:lang w:eastAsia="zh-CN"/>
        </w:rPr>
        <w:t>cells (Western blot)</w:t>
      </w:r>
      <w:r>
        <w:rPr>
          <w:szCs w:val="24"/>
        </w:rPr>
        <w:br w:type="page"/>
      </w:r>
    </w:p>
    <w:p w14:paraId="1B711C34">
      <w:pPr>
        <w:pStyle w:val="107"/>
        <w:spacing w:before="480" w:beforeLines="200" w:line="480" w:lineRule="auto"/>
        <w:jc w:val="both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5902325" cy="3450590"/>
            <wp:effectExtent l="0" t="0" r="3175" b="0"/>
            <wp:docPr id="15153640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6403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2945" cy="345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3A6EF">
      <w:pPr>
        <w:pStyle w:val="107"/>
        <w:spacing w:before="480" w:beforeLines="200" w:line="480" w:lineRule="auto"/>
        <w:jc w:val="both"/>
        <w:rPr>
          <w:sz w:val="21"/>
          <w:szCs w:val="21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bCs/>
          <w:szCs w:val="24"/>
        </w:rPr>
        <w:t xml:space="preserve"> S</w:t>
      </w:r>
      <w:r>
        <w:rPr>
          <w:rFonts w:hint="eastAsia"/>
          <w:b/>
          <w:bCs/>
          <w:szCs w:val="24"/>
          <w:lang w:eastAsia="zh-CN"/>
        </w:rPr>
        <w:t xml:space="preserve">2 A </w:t>
      </w:r>
      <w:r>
        <w:rPr>
          <w:sz w:val="21"/>
          <w:szCs w:val="21"/>
        </w:rPr>
        <w:t xml:space="preserve">Clustering analysis of differential metabolites in supernatant of CDC73-knockdown </w:t>
      </w:r>
      <w:r>
        <w:rPr>
          <w:rFonts w:hint="eastAsia"/>
          <w:sz w:val="21"/>
          <w:szCs w:val="21"/>
          <w:lang w:eastAsia="zh-CN"/>
        </w:rPr>
        <w:t>LM8</w:t>
      </w:r>
      <w:r>
        <w:rPr>
          <w:sz w:val="21"/>
          <w:szCs w:val="21"/>
        </w:rPr>
        <w:t xml:space="preserve"> cells.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B </w:t>
      </w:r>
      <w:r>
        <w:rPr>
          <w:sz w:val="21"/>
          <w:szCs w:val="21"/>
        </w:rPr>
        <w:t>KEGG pathway enrichment analysis of sh#1</w:t>
      </w:r>
      <w:r>
        <w:rPr>
          <w:rFonts w:hint="eastAsia"/>
          <w:sz w:val="21"/>
          <w:szCs w:val="21"/>
          <w:lang w:eastAsia="zh-CN"/>
        </w:rPr>
        <w:t xml:space="preserve"> and sh#2 </w:t>
      </w:r>
      <w:r>
        <w:rPr>
          <w:sz w:val="21"/>
          <w:szCs w:val="21"/>
        </w:rPr>
        <w:t>CDC73-knockdown 143B cells.</w:t>
      </w:r>
    </w:p>
    <w:p w14:paraId="3ABBDA12">
      <w:pPr>
        <w:pStyle w:val="107"/>
        <w:spacing w:before="480" w:beforeLines="200" w:line="480" w:lineRule="auto"/>
        <w:jc w:val="both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0" distR="0">
            <wp:extent cx="5358130" cy="5295900"/>
            <wp:effectExtent l="0" t="0" r="0" b="0"/>
            <wp:docPr id="5683495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3495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8468" cy="529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9FB83">
      <w:pPr>
        <w:pStyle w:val="107"/>
        <w:spacing w:before="480" w:beforeLines="200" w:line="480" w:lineRule="auto"/>
        <w:jc w:val="both"/>
        <w:rPr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lang w:eastAsia="zh-CN"/>
        </w:rPr>
        <w:t>Supplementary Figure S</w:t>
      </w:r>
      <w:r>
        <w:rPr>
          <w:rFonts w:hint="eastAsia"/>
          <w:b/>
          <w:bCs/>
          <w:lang w:eastAsia="zh-CN"/>
        </w:rPr>
        <w:t>3</w:t>
      </w:r>
      <w:r>
        <w:rPr>
          <w:lang w:eastAsia="zh-CN"/>
        </w:rPr>
        <w:t xml:space="preserve">. Correlation between CDC73 expression and osteosarcoma patient survival in the </w:t>
      </w:r>
      <w:r>
        <w:rPr>
          <w:rFonts w:hint="eastAsia"/>
          <w:lang w:eastAsia="zh-CN"/>
        </w:rPr>
        <w:t xml:space="preserve">GSE16091(P=0.057), </w:t>
      </w:r>
      <w:r>
        <w:rPr>
          <w:lang w:eastAsia="zh-CN"/>
        </w:rPr>
        <w:t>GSE39055 (P=0.09) and the Target-OS dataset (P=0.</w:t>
      </w:r>
      <w:r>
        <w:rPr>
          <w:rFonts w:hint="eastAsia"/>
          <w:lang w:eastAsia="zh-CN"/>
        </w:rPr>
        <w:t>533</w:t>
      </w:r>
      <w:r>
        <w:rPr>
          <w:lang w:eastAsia="zh-CN"/>
        </w:rPr>
        <w:t xml:space="preserve">) </w:t>
      </w:r>
    </w:p>
    <w:p w14:paraId="14F36A03">
      <w:pPr>
        <w:pStyle w:val="107"/>
        <w:spacing w:before="480" w:beforeLines="200" w:line="480" w:lineRule="auto"/>
        <w:jc w:val="both"/>
        <w:rPr>
          <w:lang w:eastAsia="zh-CN"/>
        </w:rPr>
      </w:pPr>
      <w:r>
        <w:rPr>
          <w:color w:val="000000" w:themeColor="text1"/>
          <w:sz w:val="20"/>
          <w:lang w:bidi="ar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2924810"/>
            <wp:effectExtent l="0" t="0" r="2540" b="8890"/>
            <wp:docPr id="388925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252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C4048">
      <w:pPr>
        <w:pStyle w:val="107"/>
        <w:spacing w:before="480" w:beforeLines="200" w:line="480" w:lineRule="auto"/>
        <w:jc w:val="both"/>
        <w:rPr>
          <w:b/>
          <w:bCs/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bCs/>
          <w:szCs w:val="24"/>
        </w:rPr>
        <w:t xml:space="preserve"> S</w:t>
      </w:r>
      <w:r>
        <w:rPr>
          <w:rFonts w:hint="eastAsia"/>
          <w:b/>
          <w:bCs/>
          <w:szCs w:val="24"/>
          <w:lang w:eastAsia="zh-CN"/>
        </w:rPr>
        <w:t xml:space="preserve">4 A-F </w:t>
      </w:r>
      <w:r>
        <w:rPr>
          <w:sz w:val="21"/>
          <w:szCs w:val="21"/>
        </w:rPr>
        <w:t xml:space="preserve">CDC73 mRNA (qRT-PCR) and protein (Western blot) levels, and UBR5-GFP rescue effect (Western blot) in UBR5 KO </w:t>
      </w:r>
      <w:r>
        <w:rPr>
          <w:rFonts w:hint="eastAsia"/>
          <w:sz w:val="21"/>
          <w:szCs w:val="21"/>
          <w:lang w:eastAsia="zh-CN"/>
        </w:rPr>
        <w:t>143B and U2OS</w:t>
      </w:r>
      <w:r>
        <w:rPr>
          <w:sz w:val="21"/>
          <w:szCs w:val="21"/>
        </w:rPr>
        <w:t xml:space="preserve"> cells. Data were shown as mean ± SEM for triplicates; ns not significant; ns</w:t>
      </w:r>
      <w:r>
        <w:rPr>
          <w:rFonts w:hint="eastAsia"/>
          <w:sz w:val="21"/>
          <w:szCs w:val="21"/>
          <w:lang w:eastAsia="zh-CN"/>
        </w:rPr>
        <w:t>:</w:t>
      </w:r>
      <w:r>
        <w:rPr>
          <w:sz w:val="21"/>
          <w:szCs w:val="21"/>
        </w:rPr>
        <w:t xml:space="preserve"> not significant</w:t>
      </w:r>
      <w:r>
        <w:rPr>
          <w:rFonts w:hint="eastAsia"/>
          <w:sz w:val="21"/>
          <w:szCs w:val="21"/>
          <w:lang w:eastAsia="zh-CN"/>
        </w:rPr>
        <w:t xml:space="preserve">; </w:t>
      </w:r>
      <w:r>
        <w:rPr>
          <w:sz w:val="21"/>
          <w:szCs w:val="21"/>
        </w:rPr>
        <w:t>*p&lt; 0.0</w:t>
      </w:r>
      <w:r>
        <w:rPr>
          <w:rFonts w:hint="eastAsia"/>
          <w:sz w:val="21"/>
          <w:szCs w:val="21"/>
          <w:lang w:eastAsia="zh-CN"/>
        </w:rPr>
        <w:t>5;</w:t>
      </w:r>
      <w:r>
        <w:rPr>
          <w:sz w:val="21"/>
          <w:szCs w:val="21"/>
        </w:rPr>
        <w:t> **p &lt; 0.01; ***p &lt; 0.001</w:t>
      </w:r>
      <w:r>
        <w:rPr>
          <w:rFonts w:hint="eastAsia"/>
          <w:sz w:val="21"/>
          <w:szCs w:val="21"/>
          <w:lang w:eastAsia="zh-CN"/>
        </w:rPr>
        <w:t>;</w:t>
      </w:r>
      <w:r>
        <w:rPr>
          <w:sz w:val="21"/>
          <w:szCs w:val="21"/>
        </w:rPr>
        <w:t xml:space="preserve"> **</w:t>
      </w:r>
      <w:r>
        <w:rPr>
          <w:rFonts w:hint="eastAsia"/>
          <w:sz w:val="21"/>
          <w:szCs w:val="21"/>
          <w:lang w:eastAsia="zh-CN"/>
        </w:rPr>
        <w:t>*</w:t>
      </w:r>
      <w:r>
        <w:rPr>
          <w:sz w:val="21"/>
          <w:szCs w:val="21"/>
        </w:rPr>
        <w:t>*p &lt; 0.00</w:t>
      </w:r>
      <w:r>
        <w:rPr>
          <w:rFonts w:hint="eastAsia"/>
          <w:sz w:val="21"/>
          <w:szCs w:val="21"/>
          <w:lang w:eastAsia="zh-CN"/>
        </w:rPr>
        <w:t>0</w:t>
      </w:r>
      <w:r>
        <w:rPr>
          <w:sz w:val="21"/>
          <w:szCs w:val="21"/>
        </w:rPr>
        <w:t>1.</w:t>
      </w:r>
    </w:p>
    <w:p w14:paraId="1B1A2F95">
      <w:pPr>
        <w:pStyle w:val="107"/>
        <w:spacing w:before="480" w:beforeLines="200" w:line="480" w:lineRule="auto"/>
        <w:jc w:val="both"/>
      </w:pPr>
      <w:r>
        <w:drawing>
          <wp:inline distT="0" distB="0" distL="0" distR="0">
            <wp:extent cx="5943600" cy="3218815"/>
            <wp:effectExtent l="0" t="0" r="0" b="635"/>
            <wp:docPr id="15368834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88343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6A02B16">
      <w:pPr>
        <w:pStyle w:val="107"/>
        <w:spacing w:before="480" w:beforeLines="200" w:line="480" w:lineRule="auto"/>
        <w:jc w:val="both"/>
        <w:rPr>
          <w:rFonts w:eastAsia="宋体"/>
          <w:szCs w:val="24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 xml:space="preserve">5. </w:t>
      </w:r>
      <w:r>
        <w:rPr>
          <w:rFonts w:hint="eastAsia"/>
          <w:bCs/>
          <w:szCs w:val="24"/>
          <w:lang w:eastAsia="zh-CN"/>
        </w:rPr>
        <w:t xml:space="preserve">Kegg analysis on </w:t>
      </w:r>
      <w:r>
        <w:rPr>
          <w:rFonts w:eastAsia="宋体"/>
          <w:szCs w:val="24"/>
        </w:rPr>
        <w:t>differentially expressed genes (DEGs) in LM8 WT cells and</w:t>
      </w:r>
      <w:r>
        <w:rPr>
          <w:rFonts w:hint="eastAsia" w:eastAsia="宋体"/>
          <w:szCs w:val="24"/>
          <w:lang w:eastAsia="zh-CN"/>
        </w:rPr>
        <w:t xml:space="preserve"> </w:t>
      </w:r>
      <w:r>
        <w:rPr>
          <w:rFonts w:eastAsia="宋体"/>
          <w:szCs w:val="24"/>
        </w:rPr>
        <w:t>in LM8 ubr5</w:t>
      </w:r>
      <w:r>
        <w:rPr>
          <w:rFonts w:ascii="Cambria Math" w:hAnsi="Cambria Math" w:eastAsia="宋体" w:cs="Cambria Math"/>
          <w:szCs w:val="24"/>
        </w:rPr>
        <w:t>⁻</w:t>
      </w:r>
      <w:r>
        <w:rPr>
          <w:rFonts w:eastAsia="宋体"/>
          <w:szCs w:val="24"/>
        </w:rPr>
        <w:t xml:space="preserve"> cells</w:t>
      </w:r>
    </w:p>
    <w:p w14:paraId="59A1E187">
      <w:pPr>
        <w:pStyle w:val="107"/>
        <w:spacing w:before="480" w:beforeLines="200" w:line="480" w:lineRule="auto"/>
        <w:jc w:val="both"/>
        <w:rPr>
          <w:rFonts w:eastAsia="宋体"/>
          <w:szCs w:val="24"/>
          <w:lang w:eastAsia="zh-CN"/>
        </w:rPr>
      </w:pPr>
      <w:r>
        <w:rPr>
          <w:rFonts w:eastAsia="宋体"/>
        </w:rPr>
        <w:drawing>
          <wp:inline distT="0" distB="0" distL="0" distR="0">
            <wp:extent cx="4730115" cy="8910955"/>
            <wp:effectExtent l="0" t="0" r="0" b="4445"/>
            <wp:docPr id="2679302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930291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1413" cy="891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5DF85">
      <w:pPr>
        <w:pStyle w:val="107"/>
        <w:spacing w:before="480" w:beforeLines="200" w:line="480" w:lineRule="auto"/>
        <w:jc w:val="both"/>
        <w:rPr>
          <w:sz w:val="21"/>
          <w:szCs w:val="21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>6 A</w:t>
      </w:r>
      <w:r>
        <w:rPr>
          <w:sz w:val="21"/>
          <w:szCs w:val="21"/>
        </w:rPr>
        <w:t xml:space="preserve"> Genomic functional region distribution of ATAC-seq peaks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 and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szCs w:val="24"/>
          <w:lang w:eastAsia="zh-CN"/>
        </w:rPr>
        <w:t xml:space="preserve">B </w:t>
      </w:r>
      <w:r>
        <w:rPr>
          <w:sz w:val="21"/>
          <w:szCs w:val="21"/>
        </w:rPr>
        <w:t xml:space="preserve">Genome-wide TSS chromatin accessibility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 and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 (ATAC-seq).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C </w:t>
      </w:r>
      <w:r>
        <w:rPr>
          <w:rFonts w:hint="eastAsia"/>
          <w:sz w:val="21"/>
          <w:szCs w:val="21"/>
          <w:lang w:eastAsia="zh-CN"/>
        </w:rPr>
        <w:t>1961</w:t>
      </w:r>
      <w:r>
        <w:rPr>
          <w:sz w:val="21"/>
          <w:szCs w:val="21"/>
        </w:rPr>
        <w:t xml:space="preserve"> upregulated and </w:t>
      </w:r>
      <w:r>
        <w:rPr>
          <w:rFonts w:hint="eastAsia"/>
          <w:sz w:val="21"/>
          <w:szCs w:val="21"/>
          <w:lang w:eastAsia="zh-CN"/>
        </w:rPr>
        <w:t>3554</w:t>
      </w:r>
      <w:r>
        <w:rPr>
          <w:sz w:val="21"/>
          <w:szCs w:val="21"/>
        </w:rPr>
        <w:t xml:space="preserve"> downregulated CDC73 binding peaks in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>D-E</w:t>
      </w:r>
      <w:r>
        <w:rPr>
          <w:sz w:val="21"/>
          <w:szCs w:val="21"/>
        </w:rPr>
        <w:t xml:space="preserve"> GO and KEGG enrichment of UBR5 KO-specific peaks</w:t>
      </w:r>
      <w:r>
        <w:rPr>
          <w:rFonts w:hint="eastAsia"/>
          <w:sz w:val="21"/>
          <w:szCs w:val="21"/>
          <w:lang w:eastAsia="zh-CN"/>
        </w:rPr>
        <w:t xml:space="preserve">. </w:t>
      </w:r>
      <w:r>
        <w:rPr>
          <w:rFonts w:hint="eastAsia"/>
          <w:b/>
          <w:bCs/>
          <w:sz w:val="21"/>
          <w:szCs w:val="21"/>
          <w:lang w:eastAsia="zh-CN"/>
        </w:rPr>
        <w:t xml:space="preserve">F </w:t>
      </w:r>
      <w:r>
        <w:rPr>
          <w:sz w:val="21"/>
          <w:szCs w:val="21"/>
          <w:lang w:eastAsia="zh-CN"/>
        </w:rPr>
        <w:t>Differential Analysis of Transcription Factor Binding Motifs in the</w:t>
      </w:r>
      <w:r>
        <w:rPr>
          <w:rFonts w:hint="eastAsia"/>
          <w:sz w:val="21"/>
          <w:szCs w:val="21"/>
          <w:lang w:eastAsia="zh-CN"/>
        </w:rPr>
        <w:t xml:space="preserve"> CDC73</w:t>
      </w:r>
      <w:r>
        <w:rPr>
          <w:sz w:val="21"/>
          <w:szCs w:val="21"/>
          <w:lang w:eastAsia="zh-CN"/>
        </w:rPr>
        <w:t xml:space="preserve"> Promoter Region Between Groups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(Cross-species false-positive annotations excluded)</w:t>
      </w:r>
      <w:r>
        <w:rPr>
          <w:rFonts w:hint="eastAsia"/>
          <w:sz w:val="21"/>
          <w:szCs w:val="21"/>
          <w:lang w:eastAsia="zh-CN"/>
        </w:rPr>
        <w:t xml:space="preserve">. </w:t>
      </w:r>
      <w:r>
        <w:rPr>
          <w:rFonts w:hint="eastAsia"/>
          <w:b/>
          <w:bCs/>
          <w:sz w:val="21"/>
          <w:szCs w:val="21"/>
          <w:lang w:eastAsia="zh-CN"/>
        </w:rPr>
        <w:t>G</w:t>
      </w:r>
      <w:r>
        <w:rPr>
          <w:sz w:val="21"/>
          <w:szCs w:val="21"/>
          <w:lang w:eastAsia="zh-CN"/>
        </w:rPr>
        <w:t xml:space="preserve"> Family classification of CDC73-regulatory TFs specific to 143B UBR5⁻ cells</w:t>
      </w:r>
      <w:r>
        <w:rPr>
          <w:rFonts w:hint="eastAsia"/>
          <w:sz w:val="21"/>
          <w:szCs w:val="21"/>
          <w:lang w:eastAsia="zh-CN"/>
        </w:rPr>
        <w:t xml:space="preserve">.  </w:t>
      </w:r>
      <w:r>
        <w:rPr>
          <w:rFonts w:hint="eastAsia"/>
          <w:b/>
          <w:bCs/>
          <w:sz w:val="21"/>
          <w:szCs w:val="21"/>
          <w:lang w:eastAsia="zh-CN"/>
        </w:rPr>
        <w:t xml:space="preserve">H </w:t>
      </w:r>
      <w:r>
        <w:rPr>
          <w:sz w:val="21"/>
          <w:szCs w:val="21"/>
          <w:lang w:eastAsia="zh-CN"/>
        </w:rPr>
        <w:t xml:space="preserve">Functional clustering of the </w:t>
      </w:r>
      <w:r>
        <w:rPr>
          <w:rFonts w:hint="eastAsia"/>
          <w:sz w:val="21"/>
          <w:szCs w:val="21"/>
          <w:lang w:eastAsia="zh-CN"/>
        </w:rPr>
        <w:t>35</w:t>
      </w:r>
      <w:r>
        <w:rPr>
          <w:sz w:val="21"/>
          <w:szCs w:val="21"/>
          <w:lang w:eastAsia="zh-CN"/>
        </w:rPr>
        <w:t xml:space="preserve"> TFs into 5 categories </w:t>
      </w:r>
    </w:p>
    <w:p w14:paraId="3EA3C0A2">
      <w:pPr>
        <w:pStyle w:val="107"/>
        <w:spacing w:before="480" w:beforeLines="200" w:line="480" w:lineRule="auto"/>
        <w:jc w:val="both"/>
        <w:rPr>
          <w:szCs w:val="24"/>
          <w:lang w:eastAsia="zh-CN"/>
        </w:rPr>
      </w:pPr>
      <w:r>
        <w:rPr>
          <w:rFonts w:eastAsia="宋体"/>
          <w:szCs w:val="24"/>
        </w:rPr>
        <w:drawing>
          <wp:inline distT="0" distB="0" distL="0" distR="0">
            <wp:extent cx="4363085" cy="8863330"/>
            <wp:effectExtent l="0" t="0" r="0" b="0"/>
            <wp:docPr id="6155345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53451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3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0EBC4">
      <w:pPr>
        <w:pStyle w:val="107"/>
        <w:spacing w:before="480" w:beforeLines="200" w:line="480" w:lineRule="auto"/>
        <w:jc w:val="both"/>
        <w:rPr>
          <w:sz w:val="21"/>
          <w:szCs w:val="21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>7 A</w:t>
      </w:r>
      <w:r>
        <w:rPr>
          <w:sz w:val="21"/>
          <w:szCs w:val="21"/>
        </w:rPr>
        <w:t xml:space="preserve"> Genomic functional region distribution of </w:t>
      </w:r>
      <w:r>
        <w:rPr>
          <w:rFonts w:hint="eastAsia"/>
          <w:sz w:val="21"/>
          <w:szCs w:val="21"/>
          <w:lang w:eastAsia="zh-CN"/>
        </w:rPr>
        <w:t>CUTTAG</w:t>
      </w:r>
      <w:r>
        <w:rPr>
          <w:sz w:val="21"/>
          <w:szCs w:val="21"/>
        </w:rPr>
        <w:t xml:space="preserve"> peaks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 and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szCs w:val="24"/>
          <w:lang w:eastAsia="zh-CN"/>
        </w:rPr>
        <w:t xml:space="preserve">B </w:t>
      </w:r>
      <w:r>
        <w:rPr>
          <w:sz w:val="21"/>
          <w:szCs w:val="21"/>
        </w:rPr>
        <w:t xml:space="preserve">Genome-wide TSS chromatin accessibility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 and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 </w:t>
      </w:r>
      <w:r>
        <w:rPr>
          <w:rFonts w:hint="eastAsia"/>
          <w:sz w:val="21"/>
          <w:szCs w:val="21"/>
          <w:lang w:eastAsia="zh-CN"/>
        </w:rPr>
        <w:t>（CUTTAG</w:t>
      </w:r>
      <w:r>
        <w:rPr>
          <w:sz w:val="21"/>
          <w:szCs w:val="21"/>
        </w:rPr>
        <w:t>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C </w:t>
      </w:r>
      <w:r>
        <w:rPr>
          <w:sz w:val="21"/>
          <w:szCs w:val="21"/>
        </w:rPr>
        <w:t>KEGG analysis showing specific enrichment of</w:t>
      </w:r>
      <w:r>
        <w:rPr>
          <w:rFonts w:hint="eastAsia"/>
          <w:sz w:val="21"/>
          <w:szCs w:val="21"/>
          <w:lang w:eastAsia="zh-CN"/>
        </w:rPr>
        <w:t xml:space="preserve"> protein kinase binding and mRNA splicing in 143B ubr5- cells. </w:t>
      </w:r>
      <w:r>
        <w:rPr>
          <w:rFonts w:hint="eastAsia"/>
          <w:b/>
          <w:bCs/>
          <w:sz w:val="21"/>
          <w:szCs w:val="21"/>
          <w:lang w:eastAsia="zh-CN"/>
        </w:rPr>
        <w:t>D</w:t>
      </w:r>
      <w:r>
        <w:rPr>
          <w:rFonts w:hint="eastAsia"/>
          <w:sz w:val="21"/>
          <w:szCs w:val="21"/>
          <w:lang w:eastAsia="zh-CN"/>
        </w:rPr>
        <w:t xml:space="preserve"> 625 </w:t>
      </w:r>
      <w:r>
        <w:rPr>
          <w:sz w:val="21"/>
          <w:szCs w:val="21"/>
        </w:rPr>
        <w:t xml:space="preserve">upregulated and </w:t>
      </w:r>
      <w:r>
        <w:rPr>
          <w:rFonts w:hint="eastAsia"/>
          <w:sz w:val="21"/>
          <w:szCs w:val="21"/>
          <w:lang w:eastAsia="zh-CN"/>
        </w:rPr>
        <w:t>1080</w:t>
      </w:r>
      <w:r>
        <w:rPr>
          <w:sz w:val="21"/>
          <w:szCs w:val="21"/>
        </w:rPr>
        <w:t xml:space="preserve"> downregulated CDC73 binding peaks in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>E</w:t>
      </w:r>
      <w:r>
        <w:rPr>
          <w:sz w:val="21"/>
          <w:szCs w:val="21"/>
        </w:rPr>
        <w:t xml:space="preserve"> GO Enrichment Analysis of Genes Corresponding to Specific Peaks in 143B ubr5</w:t>
      </w:r>
      <w:r>
        <w:rPr>
          <w:rFonts w:ascii="Cambria Math" w:hAnsi="Cambria Math" w:cs="Cambria Math"/>
          <w:sz w:val="21"/>
          <w:szCs w:val="21"/>
        </w:rPr>
        <w:t>⁻</w:t>
      </w:r>
      <w:r>
        <w:rPr>
          <w:sz w:val="21"/>
          <w:szCs w:val="21"/>
        </w:rPr>
        <w:t xml:space="preserve"> Cells</w:t>
      </w:r>
      <w:r>
        <w:rPr>
          <w:rFonts w:hint="eastAsia"/>
          <w:sz w:val="21"/>
          <w:szCs w:val="21"/>
          <w:lang w:eastAsia="zh-CN"/>
        </w:rPr>
        <w:t xml:space="preserve"> </w:t>
      </w:r>
    </w:p>
    <w:p w14:paraId="12E57344">
      <w:pPr>
        <w:pStyle w:val="107"/>
        <w:spacing w:before="480" w:beforeLines="200" w:line="480" w:lineRule="auto"/>
        <w:jc w:val="both"/>
        <w:rPr>
          <w:szCs w:val="24"/>
          <w:lang w:eastAsia="zh-CN"/>
        </w:rPr>
      </w:pPr>
    </w:p>
    <w:p w14:paraId="30BA821C">
      <w:pPr>
        <w:pStyle w:val="107"/>
        <w:spacing w:before="480" w:beforeLines="200" w:line="480" w:lineRule="auto"/>
        <w:jc w:val="both"/>
        <w:rPr>
          <w:b/>
          <w:bCs/>
          <w:szCs w:val="24"/>
          <w:lang w:eastAsia="zh-CN"/>
        </w:rPr>
      </w:pPr>
      <w:r>
        <w:rPr>
          <w:szCs w:val="24"/>
        </w:rPr>
        <w:drawing>
          <wp:inline distT="0" distB="0" distL="0" distR="0">
            <wp:extent cx="5671820" cy="2451100"/>
            <wp:effectExtent l="0" t="0" r="5080" b="6350"/>
            <wp:docPr id="10904523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452312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l="23627" t="21979" r="10897" b="27717"/>
                    <a:stretch>
                      <a:fillRect/>
                    </a:stretch>
                  </pic:blipFill>
                  <pic:spPr>
                    <a:xfrm>
                      <a:off x="0" y="0"/>
                      <a:ext cx="5676974" cy="245332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9E9EB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 xml:space="preserve">8 </w:t>
      </w:r>
      <w:r>
        <w:rPr>
          <w:bCs/>
          <w:szCs w:val="24"/>
          <w:lang w:eastAsia="zh-CN"/>
        </w:rPr>
        <w:t xml:space="preserve">The CCK-8 assay was performed in 143B </w:t>
      </w:r>
      <w:r>
        <w:rPr>
          <w:rFonts w:hint="eastAsia"/>
          <w:bCs/>
          <w:szCs w:val="24"/>
          <w:lang w:eastAsia="zh-CN"/>
        </w:rPr>
        <w:t>and</w:t>
      </w:r>
      <w:r>
        <w:rPr>
          <w:bCs/>
          <w:szCs w:val="24"/>
          <w:lang w:eastAsia="zh-CN"/>
        </w:rPr>
        <w:t xml:space="preserve"> U2OS osteosarcoma cells with UBR5/CDC73 knockdown or non-knockdown.</w:t>
      </w:r>
    </w:p>
    <w:p w14:paraId="536FB35D">
      <w:pPr>
        <w:pStyle w:val="107"/>
        <w:spacing w:before="480" w:beforeLines="200" w:line="480" w:lineRule="auto"/>
        <w:jc w:val="both"/>
        <w:rPr>
          <w:rFonts w:eastAsia="宋体"/>
          <w:szCs w:val="24"/>
          <w:lang w:eastAsia="zh-CN"/>
        </w:rPr>
      </w:pPr>
      <w:r>
        <w:rPr>
          <w:rFonts w:hint="eastAsia" w:eastAsia="宋体"/>
          <w:szCs w:val="24"/>
          <w:lang w:eastAsia="zh-CN"/>
        </w:rPr>
        <w:drawing>
          <wp:inline distT="0" distB="0" distL="0" distR="0">
            <wp:extent cx="5943600" cy="2080260"/>
            <wp:effectExtent l="0" t="0" r="0" b="0"/>
            <wp:docPr id="3165495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549507" name="图片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0CC33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>9</w:t>
      </w:r>
      <w:r>
        <w:rPr>
          <w:b/>
          <w:szCs w:val="24"/>
        </w:rPr>
        <w:t xml:space="preserve">. </w:t>
      </w:r>
      <w:r>
        <w:rPr>
          <w:bCs/>
          <w:szCs w:val="24"/>
          <w:lang w:eastAsia="zh-CN"/>
        </w:rPr>
        <w:t xml:space="preserve">The Colony Formation assay was performed in 143B </w:t>
      </w:r>
      <w:r>
        <w:rPr>
          <w:rFonts w:hint="eastAsia"/>
          <w:bCs/>
          <w:szCs w:val="24"/>
          <w:lang w:eastAsia="zh-CN"/>
        </w:rPr>
        <w:t>and</w:t>
      </w:r>
      <w:r>
        <w:rPr>
          <w:bCs/>
          <w:szCs w:val="24"/>
          <w:lang w:eastAsia="zh-CN"/>
        </w:rPr>
        <w:t xml:space="preserve"> U2OS osteosarcoma cells with UBR5/CDC73 knockdown or non-knockdown.</w:t>
      </w:r>
    </w:p>
    <w:p w14:paraId="73E6C36D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bCs/>
          <w:szCs w:val="24"/>
          <w:lang w:eastAsia="zh-CN"/>
        </w:rPr>
        <w:drawing>
          <wp:inline distT="0" distB="0" distL="0" distR="0">
            <wp:extent cx="5943600" cy="2788285"/>
            <wp:effectExtent l="0" t="0" r="0" b="0"/>
            <wp:docPr id="1283405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405616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1306">
      <w:pPr>
        <w:pStyle w:val="107"/>
        <w:spacing w:before="480" w:beforeLines="200" w:line="480" w:lineRule="auto"/>
        <w:jc w:val="both"/>
        <w:rPr>
          <w:szCs w:val="24"/>
          <w:shd w:val="clear" w:color="auto" w:fill="FFFFFF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 xml:space="preserve">10.  </w:t>
      </w:r>
      <w:r>
        <w:rPr>
          <w:szCs w:val="24"/>
          <w:shd w:val="clear" w:color="auto" w:fill="FFFFFF"/>
        </w:rPr>
        <w:t>The expression of cleaved caspase-3</w:t>
      </w:r>
      <w:r>
        <w:rPr>
          <w:rFonts w:hint="eastAsia"/>
          <w:szCs w:val="24"/>
          <w:shd w:val="clear" w:color="auto" w:fill="FFFFFF"/>
          <w:lang w:eastAsia="zh-CN"/>
        </w:rPr>
        <w:t xml:space="preserve"> </w:t>
      </w:r>
      <w:r>
        <w:rPr>
          <w:szCs w:val="24"/>
          <w:shd w:val="clear" w:color="auto" w:fill="FFFFFF"/>
        </w:rPr>
        <w:t xml:space="preserve">was </w:t>
      </w:r>
      <w:r>
        <w:rPr>
          <w:bCs/>
          <w:szCs w:val="24"/>
        </w:rPr>
        <w:t xml:space="preserve">examined </w:t>
      </w:r>
      <w:r>
        <w:rPr>
          <w:szCs w:val="24"/>
          <w:shd w:val="clear" w:color="auto" w:fill="FFFFFF"/>
        </w:rPr>
        <w:t>by IHC staining</w:t>
      </w:r>
    </w:p>
    <w:p w14:paraId="26BAB2B6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bCs/>
          <w:szCs w:val="24"/>
          <w:lang w:eastAsia="zh-CN"/>
        </w:rPr>
        <w:drawing>
          <wp:inline distT="0" distB="0" distL="0" distR="0">
            <wp:extent cx="5943600" cy="4427855"/>
            <wp:effectExtent l="0" t="0" r="0" b="0"/>
            <wp:docPr id="21346545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54576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A863">
      <w:pPr>
        <w:pStyle w:val="107"/>
        <w:spacing w:before="480" w:beforeLines="200" w:line="480" w:lineRule="auto"/>
        <w:jc w:val="both"/>
        <w:rPr>
          <w:b/>
          <w:bCs/>
          <w:szCs w:val="24"/>
        </w:rPr>
      </w:pPr>
    </w:p>
    <w:p w14:paraId="7456C79C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 xml:space="preserve">11. </w:t>
      </w:r>
      <w:r>
        <w:rPr>
          <w:rFonts w:hint="eastAsia"/>
          <w:bCs/>
          <w:szCs w:val="24"/>
          <w:lang w:eastAsia="zh-CN"/>
        </w:rPr>
        <w:t xml:space="preserve"> </w:t>
      </w:r>
      <w:r>
        <w:rPr>
          <w:bCs/>
          <w:szCs w:val="24"/>
          <w:lang w:eastAsia="zh-CN"/>
        </w:rPr>
        <w:t>Lung tissues bearing tumor nodules derived from cells with different gene knockout or knockdown were cultured in the presence of 500 nM G418 for 7 days, stained with 1% crystal violet staining solution, and then imaged using a scanner.</w:t>
      </w:r>
    </w:p>
    <w:p w14:paraId="668E7007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drawing>
          <wp:inline distT="0" distB="0" distL="0" distR="0">
            <wp:extent cx="5191760" cy="8863330"/>
            <wp:effectExtent l="0" t="0" r="8890" b="0"/>
            <wp:docPr id="202323430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34302" name="图片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ABB7A">
      <w:pPr>
        <w:pStyle w:val="107"/>
        <w:spacing w:before="480" w:beforeLines="200" w:line="480" w:lineRule="auto"/>
        <w:jc w:val="both"/>
        <w:rPr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 w:val="21"/>
          <w:szCs w:val="21"/>
        </w:rPr>
        <w:t>Supplementary Fig</w:t>
      </w:r>
      <w:r>
        <w:rPr>
          <w:b/>
          <w:bCs/>
          <w:sz w:val="21"/>
          <w:szCs w:val="21"/>
          <w:lang w:eastAsia="zh-CN"/>
        </w:rPr>
        <w:t>ure</w:t>
      </w:r>
      <w:r>
        <w:rPr>
          <w:b/>
          <w:sz w:val="21"/>
          <w:szCs w:val="21"/>
        </w:rPr>
        <w:t xml:space="preserve"> S</w:t>
      </w:r>
      <w:r>
        <w:rPr>
          <w:rFonts w:hint="eastAsia"/>
          <w:b/>
          <w:sz w:val="21"/>
          <w:szCs w:val="21"/>
          <w:lang w:eastAsia="zh-CN"/>
        </w:rPr>
        <w:t xml:space="preserve">12 A </w:t>
      </w:r>
      <w:r>
        <w:rPr>
          <w:bCs/>
          <w:sz w:val="21"/>
          <w:szCs w:val="21"/>
          <w:lang w:eastAsia="zh-CN"/>
        </w:rPr>
        <w:t>Representative bioluminescence images of orthotopic tibial tumors in nude mice (left) and quantitative analysis of total photon flux from the tumor-bearing tibiae (right). Tumor-bearing mice were injected with UBR5‑knockout, CDC73‑knockdown, or control cells</w:t>
      </w:r>
      <w:r>
        <w:rPr>
          <w:rFonts w:hint="eastAsia"/>
          <w:bCs/>
          <w:sz w:val="21"/>
          <w:szCs w:val="21"/>
          <w:lang w:eastAsia="zh-CN"/>
        </w:rPr>
        <w:t xml:space="preserve">. </w:t>
      </w:r>
      <w:r>
        <w:rPr>
          <w:sz w:val="21"/>
          <w:szCs w:val="21"/>
          <w:lang w:eastAsia="zh-CN"/>
        </w:rPr>
        <w:t>Normalization was based on the mean fluorescence of the reference region, calculated as: [target total intensity / target mean intensity] × (target mean intensity – reference mean intensity).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b/>
          <w:bCs/>
          <w:sz w:val="21"/>
          <w:szCs w:val="21"/>
          <w:lang w:eastAsia="zh-CN"/>
        </w:rPr>
        <w:t>B</w:t>
      </w:r>
      <w:r>
        <w:rPr>
          <w:sz w:val="21"/>
          <w:szCs w:val="21"/>
          <w:lang w:eastAsia="zh-CN"/>
        </w:rPr>
        <w:t> TUNEL staining of tumor sections from the tibial injection sites (left) and quantification of TUNEL</w:t>
      </w:r>
      <w:r>
        <w:rPr>
          <w:sz w:val="21"/>
          <w:szCs w:val="21"/>
          <w:lang w:eastAsia="zh-CN"/>
        </w:rPr>
        <w:noBreakHyphen/>
      </w:r>
      <w:r>
        <w:rPr>
          <w:sz w:val="21"/>
          <w:szCs w:val="21"/>
          <w:lang w:eastAsia="zh-CN"/>
        </w:rPr>
        <w:t>positive cells (right). Scale bar, 50 μm.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b/>
          <w:bCs/>
          <w:sz w:val="21"/>
          <w:szCs w:val="21"/>
          <w:lang w:eastAsia="zh-CN"/>
        </w:rPr>
        <w:t>C</w:t>
      </w:r>
      <w:r>
        <w:rPr>
          <w:sz w:val="21"/>
          <w:szCs w:val="21"/>
          <w:lang w:eastAsia="zh-CN"/>
        </w:rPr>
        <w:t> Representative gross images of lungs harvested from each group. No visible tumor nodules were observed in any of the groups.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b/>
          <w:bCs/>
          <w:sz w:val="21"/>
          <w:szCs w:val="21"/>
          <w:lang w:eastAsia="zh-CN"/>
        </w:rPr>
        <w:t>D</w:t>
      </w:r>
      <w:r>
        <w:rPr>
          <w:rFonts w:hint="eastAsia"/>
          <w:b/>
          <w:bCs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H&amp;E staining of lung sections. Scale bar, 100 μm.</w:t>
      </w:r>
      <w:r>
        <w:rPr>
          <w:b/>
          <w:bCs/>
          <w:sz w:val="21"/>
          <w:szCs w:val="21"/>
          <w:lang w:eastAsia="zh-CN"/>
        </w:rPr>
        <w:t xml:space="preserve"> E</w:t>
      </w:r>
      <w:r>
        <w:rPr>
          <w:sz w:val="21"/>
          <w:szCs w:val="21"/>
          <w:lang w:eastAsia="zh-CN"/>
        </w:rPr>
        <w:t> Flow cytometric quantification of fluorescent</w:t>
      </w:r>
      <w:r>
        <w:rPr>
          <w:sz w:val="21"/>
          <w:szCs w:val="21"/>
          <w:lang w:eastAsia="zh-CN"/>
        </w:rPr>
        <w:noBreakHyphen/>
      </w:r>
      <w:r>
        <w:rPr>
          <w:sz w:val="21"/>
          <w:szCs w:val="21"/>
          <w:lang w:eastAsia="zh-CN"/>
        </w:rPr>
        <w:t>positive cells in lung tissues. Single</w:t>
      </w:r>
      <w:r>
        <w:rPr>
          <w:sz w:val="21"/>
          <w:szCs w:val="21"/>
          <w:lang w:eastAsia="zh-CN"/>
        </w:rPr>
        <w:noBreakHyphen/>
      </w:r>
      <w:r>
        <w:rPr>
          <w:sz w:val="21"/>
          <w:szCs w:val="21"/>
          <w:lang w:eastAsia="zh-CN"/>
        </w:rPr>
        <w:t>cell suspensions were prepared from digested lungs, and the percentages of GFP</w:t>
      </w:r>
      <w:r>
        <w:rPr>
          <w:sz w:val="21"/>
          <w:szCs w:val="21"/>
          <w:lang w:eastAsia="zh-CN"/>
        </w:rPr>
        <w:noBreakHyphen/>
      </w:r>
      <w:r>
        <w:rPr>
          <w:sz w:val="21"/>
          <w:szCs w:val="21"/>
          <w:lang w:eastAsia="zh-CN"/>
        </w:rPr>
        <w:t>positive (or luciferase</w:t>
      </w:r>
      <w:r>
        <w:rPr>
          <w:sz w:val="21"/>
          <w:szCs w:val="21"/>
          <w:lang w:eastAsia="zh-CN"/>
        </w:rPr>
        <w:noBreakHyphen/>
      </w:r>
      <w:r>
        <w:rPr>
          <w:sz w:val="21"/>
          <w:szCs w:val="21"/>
          <w:lang w:eastAsia="zh-CN"/>
        </w:rPr>
        <w:t>positive) cells were quantified as a measure of metastatic tumor burden. </w:t>
      </w:r>
      <m:oMath>
        <m:r>
          <m:rPr/>
          <w:rPr>
            <w:rFonts w:ascii="Cambria Math" w:hAnsi="Cambria Math"/>
            <w:sz w:val="21"/>
            <w:szCs w:val="21"/>
            <w:lang w:eastAsia="zh-CN"/>
          </w:rPr>
          <m:t>n=4</m:t>
        </m:r>
      </m:oMath>
      <w:r>
        <w:rPr>
          <w:sz w:val="21"/>
          <w:szCs w:val="21"/>
          <w:lang w:eastAsia="zh-CN"/>
        </w:rPr>
        <w:t> mice per group. *</w:t>
      </w:r>
      <m:oMath>
        <m:r>
          <m:rPr/>
          <w:rPr>
            <w:rFonts w:ascii="Cambria Math" w:hAnsi="Cambria Math"/>
            <w:sz w:val="21"/>
            <w:szCs w:val="21"/>
            <w:lang w:eastAsia="zh-CN"/>
          </w:rPr>
          <m:t>p&lt;0.05</m:t>
        </m:r>
      </m:oMath>
      <w:r>
        <w:rPr>
          <w:sz w:val="21"/>
          <w:szCs w:val="21"/>
          <w:lang w:eastAsia="zh-CN"/>
        </w:rPr>
        <w:t xml:space="preserve">, </w:t>
      </w:r>
      <w:bookmarkStart w:id="0" w:name="OLE_LINK1"/>
      <w:r>
        <w:rPr>
          <w:sz w:val="21"/>
          <w:szCs w:val="21"/>
          <w:lang w:eastAsia="zh-CN"/>
        </w:rPr>
        <w:t>**</w:t>
      </w:r>
      <m:oMath>
        <m:r>
          <m:rPr/>
          <w:rPr>
            <w:rFonts w:ascii="Cambria Math" w:hAnsi="Cambria Math"/>
            <w:sz w:val="21"/>
            <w:szCs w:val="21"/>
            <w:lang w:eastAsia="zh-CN"/>
          </w:rPr>
          <m:t>p&lt;0.01</m:t>
        </m:r>
      </m:oMath>
      <w:bookmarkEnd w:id="0"/>
      <w:r>
        <w:rPr>
          <w:sz w:val="21"/>
          <w:szCs w:val="21"/>
          <w:lang w:eastAsia="zh-CN"/>
        </w:rPr>
        <w:t xml:space="preserve">. 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sz w:val="21"/>
          <w:szCs w:val="21"/>
          <w:lang w:eastAsia="zh-CN"/>
        </w:rPr>
        <w:t>**</w:t>
      </w:r>
      <m:oMath>
        <m:r>
          <m:rPr/>
          <w:rPr>
            <w:rFonts w:ascii="Cambria Math" w:hAnsi="Cambria Math"/>
            <w:sz w:val="21"/>
            <w:szCs w:val="21"/>
            <w:lang w:eastAsia="zh-CN"/>
          </w:rPr>
          <m:t xml:space="preserve">p&lt;0.001. </m:t>
        </m:r>
      </m:oMath>
      <w:r>
        <w:rPr>
          <w:sz w:val="21"/>
          <w:szCs w:val="21"/>
          <w:lang w:eastAsia="zh-CN"/>
        </w:rPr>
        <w:t>N.S., not significant.</w:t>
      </w:r>
    </w:p>
    <w:p w14:paraId="4034B038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drawing>
          <wp:inline distT="0" distB="0" distL="0" distR="0">
            <wp:extent cx="5943600" cy="7226935"/>
            <wp:effectExtent l="0" t="0" r="0" b="0"/>
            <wp:docPr id="3663108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310840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93A9F">
      <w:pPr>
        <w:pStyle w:val="107"/>
        <w:spacing w:before="480" w:beforeLines="200" w:line="480" w:lineRule="auto"/>
        <w:jc w:val="both"/>
        <w:rPr>
          <w:sz w:val="21"/>
          <w:szCs w:val="21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 w:val="21"/>
          <w:szCs w:val="21"/>
        </w:rPr>
        <w:t>Supplementary Fig</w:t>
      </w:r>
      <w:r>
        <w:rPr>
          <w:b/>
          <w:bCs/>
          <w:sz w:val="21"/>
          <w:szCs w:val="21"/>
          <w:lang w:eastAsia="zh-CN"/>
        </w:rPr>
        <w:t>ure</w:t>
      </w:r>
      <w:r>
        <w:rPr>
          <w:b/>
          <w:sz w:val="21"/>
          <w:szCs w:val="21"/>
        </w:rPr>
        <w:t xml:space="preserve"> S</w:t>
      </w:r>
      <w:r>
        <w:rPr>
          <w:rFonts w:hint="eastAsia"/>
          <w:b/>
          <w:sz w:val="21"/>
          <w:szCs w:val="21"/>
          <w:lang w:eastAsia="zh-CN"/>
        </w:rPr>
        <w:t xml:space="preserve">13. </w:t>
      </w:r>
      <w:r>
        <w:rPr>
          <w:sz w:val="21"/>
          <w:szCs w:val="21"/>
        </w:rPr>
        <w:t>JNK</w:t>
      </w:r>
      <w:r>
        <w:rPr>
          <w:sz w:val="21"/>
          <w:szCs w:val="21"/>
        </w:rPr>
        <w:noBreakHyphen/>
      </w:r>
      <w:r>
        <w:rPr>
          <w:sz w:val="21"/>
          <w:szCs w:val="21"/>
        </w:rPr>
        <w:t>regulated UBR5 mediates proteasomal degradation of CDC73</w:t>
      </w:r>
    </w:p>
    <w:p w14:paraId="3A2ABD47">
      <w:pPr>
        <w:pStyle w:val="107"/>
        <w:spacing w:before="480" w:beforeLines="200" w:line="480" w:lineRule="auto"/>
        <w:jc w:val="both"/>
        <w:rPr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 xml:space="preserve">A </w:t>
      </w:r>
      <w:r>
        <w:rPr>
          <w:rFonts w:eastAsia="Segoe UI"/>
          <w:color w:val="0F1115"/>
          <w:sz w:val="21"/>
          <w:szCs w:val="21"/>
          <w:shd w:val="clear" w:color="auto" w:fill="FFFFFF"/>
        </w:rPr>
        <w:t>Western blot analysis of CDC73 expression in 143B wild</w:t>
      </w:r>
      <w:r>
        <w:rPr>
          <w:rFonts w:eastAsia="Segoe UI"/>
          <w:color w:val="0F1115"/>
          <w:sz w:val="21"/>
          <w:szCs w:val="21"/>
          <w:shd w:val="clear" w:color="auto" w:fill="FFFFFF"/>
        </w:rPr>
        <w:noBreakHyphen/>
      </w:r>
      <w:r>
        <w:rPr>
          <w:rFonts w:eastAsia="Segoe UI"/>
          <w:color w:val="0F1115"/>
          <w:sz w:val="21"/>
          <w:szCs w:val="21"/>
          <w:shd w:val="clear" w:color="auto" w:fill="FFFFFF"/>
        </w:rPr>
        <w:t>type (WT) and UBR5 KO cells treated with 50 μg/ml cycloheximide (CHX).</w:t>
      </w:r>
      <w:r>
        <w:rPr>
          <w:rFonts w:hint="eastAsia" w:eastAsia="宋体"/>
          <w:color w:val="0F1115"/>
          <w:sz w:val="21"/>
          <w:szCs w:val="21"/>
          <w:shd w:val="clear" w:color="auto" w:fill="FFFFFF"/>
          <w:lang w:eastAsia="zh-CN"/>
        </w:rPr>
        <w:t xml:space="preserve"> </w:t>
      </w:r>
      <w:r>
        <w:rPr>
          <w:rFonts w:hint="eastAsia" w:eastAsia="宋体"/>
          <w:b/>
          <w:bCs/>
          <w:color w:val="0F1115"/>
          <w:sz w:val="21"/>
          <w:szCs w:val="21"/>
          <w:shd w:val="clear" w:color="auto" w:fill="FFFFFF"/>
          <w:lang w:eastAsia="zh-CN"/>
        </w:rPr>
        <w:t xml:space="preserve">B </w:t>
      </w:r>
      <w:r>
        <w:rPr>
          <w:sz w:val="21"/>
          <w:szCs w:val="21"/>
        </w:rPr>
        <w:t xml:space="preserve">CDC73 protein levels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WT/UBR5 KO cells treated with proteasome inhibitors MG-132 (10μM, 8h).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C </w:t>
      </w:r>
      <w:r>
        <w:rPr>
          <w:sz w:val="21"/>
          <w:szCs w:val="21"/>
        </w:rPr>
        <w:t xml:space="preserve">CDC73 levels in the </w:t>
      </w:r>
      <w:r>
        <w:rPr>
          <w:rFonts w:hint="eastAsia"/>
          <w:sz w:val="21"/>
          <w:szCs w:val="21"/>
          <w:lang w:eastAsia="zh-CN"/>
        </w:rPr>
        <w:t xml:space="preserve">143B </w:t>
      </w:r>
      <w:r>
        <w:rPr>
          <w:sz w:val="21"/>
          <w:szCs w:val="21"/>
        </w:rPr>
        <w:t>WT/UBR5 KO cells treated with 100nM broad-spectrum kinase inhibitor staurosporine (STS, 8h).</w:t>
      </w:r>
      <w:r>
        <w:rPr>
          <w:rFonts w:hint="eastAsia"/>
          <w:sz w:val="21"/>
          <w:szCs w:val="21"/>
          <w:lang w:eastAsia="zh-CN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D </w:t>
      </w:r>
      <w:r>
        <w:rPr>
          <w:sz w:val="21"/>
          <w:szCs w:val="21"/>
        </w:rPr>
        <w:t>CDC73 and LC3B levels in cells treated with 20μM autophagy inhibitor chloroquine (CQ, 8h) to verify autophagy inhibition efficacy.</w:t>
      </w:r>
      <w:r>
        <w:rPr>
          <w:rFonts w:hint="eastAsia"/>
          <w:b/>
          <w:bCs/>
          <w:sz w:val="21"/>
          <w:szCs w:val="21"/>
          <w:lang w:eastAsia="zh-CN"/>
        </w:rPr>
        <w:t xml:space="preserve"> E </w:t>
      </w:r>
      <w:r>
        <w:rPr>
          <w:sz w:val="21"/>
          <w:szCs w:val="21"/>
        </w:rPr>
        <w:t xml:space="preserve">CDC73 levels in </w:t>
      </w:r>
      <w:r>
        <w:rPr>
          <w:rFonts w:hint="eastAsia"/>
          <w:sz w:val="21"/>
          <w:szCs w:val="21"/>
          <w:lang w:eastAsia="zh-CN"/>
        </w:rPr>
        <w:t>143B</w:t>
      </w:r>
      <w:r>
        <w:rPr>
          <w:sz w:val="21"/>
          <w:szCs w:val="21"/>
        </w:rPr>
        <w:t xml:space="preserve"> WT/UBR5 KO cells treated with 0, </w:t>
      </w:r>
      <w:r>
        <w:rPr>
          <w:rFonts w:hint="eastAsia"/>
          <w:sz w:val="21"/>
          <w:szCs w:val="21"/>
          <w:lang w:eastAsia="zh-CN"/>
        </w:rPr>
        <w:t>20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  <w:lang w:eastAsia="zh-CN"/>
        </w:rPr>
        <w:t>5</w:t>
      </w:r>
      <w:r>
        <w:rPr>
          <w:sz w:val="21"/>
          <w:szCs w:val="21"/>
        </w:rPr>
        <w:t>0</w:t>
      </w:r>
      <w:r>
        <w:rPr>
          <w:rFonts w:hint="eastAsia"/>
          <w:sz w:val="21"/>
          <w:szCs w:val="21"/>
          <w:lang w:eastAsia="zh-CN"/>
        </w:rPr>
        <w:t>n</w:t>
      </w:r>
      <w:r>
        <w:rPr>
          <w:sz w:val="21"/>
          <w:szCs w:val="21"/>
        </w:rPr>
        <w:t xml:space="preserve">M </w:t>
      </w:r>
      <w:r>
        <w:rPr>
          <w:rFonts w:hint="eastAsia"/>
          <w:sz w:val="21"/>
          <w:szCs w:val="21"/>
          <w:lang w:eastAsia="zh-CN"/>
        </w:rPr>
        <w:t>siJNK</w:t>
      </w:r>
      <w:r>
        <w:rPr>
          <w:sz w:val="21"/>
          <w:szCs w:val="21"/>
        </w:rPr>
        <w:t xml:space="preserve"> for </w:t>
      </w:r>
      <w:r>
        <w:rPr>
          <w:rFonts w:hint="eastAsia"/>
          <w:sz w:val="21"/>
          <w:szCs w:val="21"/>
          <w:lang w:eastAsia="zh-CN"/>
        </w:rPr>
        <w:t>30</w:t>
      </w:r>
      <w:r>
        <w:rPr>
          <w:sz w:val="21"/>
          <w:szCs w:val="21"/>
        </w:rPr>
        <w:t xml:space="preserve">h. </w:t>
      </w:r>
      <w:r>
        <w:rPr>
          <w:rFonts w:hint="eastAsia"/>
          <w:b/>
          <w:bCs/>
          <w:sz w:val="21"/>
          <w:szCs w:val="21"/>
          <w:lang w:eastAsia="zh-CN"/>
        </w:rPr>
        <w:t xml:space="preserve">F </w:t>
      </w:r>
      <w:r>
        <w:rPr>
          <w:rFonts w:eastAsia="宋体"/>
          <w:color w:val="0F1115"/>
          <w:sz w:val="21"/>
          <w:szCs w:val="21"/>
          <w:shd w:val="clear" w:color="auto" w:fill="FFFFFF"/>
          <w:lang w:eastAsia="zh-CN"/>
        </w:rPr>
        <w:t>GAPDH</w:t>
      </w:r>
      <w:r>
        <w:rPr>
          <w:rFonts w:eastAsia="Segoe UI"/>
          <w:color w:val="0F1115"/>
          <w:sz w:val="21"/>
          <w:szCs w:val="21"/>
          <w:shd w:val="clear" w:color="auto" w:fill="FFFFFF"/>
        </w:rPr>
        <w:t xml:space="preserve"> and JNK were detected separately on the same membrane</w:t>
      </w:r>
      <w:r>
        <w:rPr>
          <w:rFonts w:eastAsia="宋体"/>
          <w:color w:val="0F1115"/>
          <w:sz w:val="21"/>
          <w:szCs w:val="21"/>
          <w:shd w:val="clear" w:color="auto" w:fill="FFFFFF"/>
          <w:lang w:eastAsia="zh-CN"/>
        </w:rPr>
        <w:t xml:space="preserve"> with figure 7H</w:t>
      </w:r>
      <w:r>
        <w:rPr>
          <w:rFonts w:hint="eastAsia" w:eastAsia="宋体"/>
          <w:color w:val="0F1115"/>
          <w:sz w:val="21"/>
          <w:szCs w:val="21"/>
          <w:shd w:val="clear" w:color="auto" w:fill="FFFFFF"/>
          <w:lang w:eastAsia="zh-CN"/>
        </w:rPr>
        <w:t xml:space="preserve">. </w:t>
      </w:r>
      <w:r>
        <w:rPr>
          <w:rFonts w:hint="eastAsia" w:eastAsia="宋体"/>
          <w:b/>
          <w:bCs/>
          <w:color w:val="0F1115"/>
          <w:sz w:val="21"/>
          <w:szCs w:val="21"/>
          <w:shd w:val="clear" w:color="auto" w:fill="FFFFFF"/>
          <w:lang w:eastAsia="zh-CN"/>
        </w:rPr>
        <w:t xml:space="preserve">G </w:t>
      </w:r>
      <w:r>
        <w:rPr>
          <w:sz w:val="21"/>
          <w:szCs w:val="21"/>
        </w:rPr>
        <w:t xml:space="preserve">CDC73 degradation in cells treated with </w:t>
      </w:r>
      <w:r>
        <w:rPr>
          <w:rFonts w:hint="eastAsia"/>
          <w:sz w:val="21"/>
          <w:szCs w:val="21"/>
          <w:lang w:eastAsia="zh-CN"/>
        </w:rPr>
        <w:t>CC-401(10uM,12h)</w:t>
      </w:r>
      <w:r>
        <w:rPr>
          <w:sz w:val="21"/>
          <w:szCs w:val="21"/>
        </w:rPr>
        <w:t>, alone or combined with MG-132</w:t>
      </w:r>
      <w:r>
        <w:rPr>
          <w:rFonts w:hint="eastAsia"/>
          <w:sz w:val="21"/>
          <w:szCs w:val="21"/>
          <w:lang w:eastAsia="zh-CN"/>
        </w:rPr>
        <w:t>(10uM,12h)</w:t>
      </w:r>
      <w:r>
        <w:rPr>
          <w:sz w:val="21"/>
          <w:szCs w:val="21"/>
        </w:rPr>
        <w:t>.</w:t>
      </w:r>
      <w:r>
        <w:rPr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  <w:sz w:val="21"/>
          <w:szCs w:val="21"/>
          <w:lang w:eastAsia="zh-CN"/>
        </w:rPr>
        <w:t xml:space="preserve">H </w:t>
      </w:r>
      <w:r>
        <w:rPr>
          <w:rFonts w:eastAsia="宋体"/>
          <w:sz w:val="21"/>
          <w:szCs w:val="21"/>
        </w:rPr>
        <w:t xml:space="preserve">Ubiquitination assay of CDC73 in GFP-UBR5-transfected </w:t>
      </w:r>
      <w:r>
        <w:rPr>
          <w:rFonts w:hint="eastAsia" w:eastAsia="宋体"/>
          <w:sz w:val="21"/>
          <w:szCs w:val="21"/>
          <w:lang w:eastAsia="zh-CN"/>
        </w:rPr>
        <w:t>143B</w:t>
      </w:r>
      <w:r>
        <w:rPr>
          <w:rFonts w:eastAsia="宋体"/>
          <w:sz w:val="21"/>
          <w:szCs w:val="21"/>
        </w:rPr>
        <w:t xml:space="preserve"> cells </w:t>
      </w:r>
      <w:r>
        <w:rPr>
          <w:rStyle w:val="91"/>
          <w:rFonts w:eastAsia="宋体"/>
          <w:b w:val="0"/>
          <w:color w:val="000000"/>
          <w:sz w:val="21"/>
          <w:szCs w:val="21"/>
        </w:rPr>
        <w:t>pre-treated with 50 nM siJNK for 20 h, followed by treatment with or without 10 μM MG-132 for an additional 10 h</w:t>
      </w:r>
      <w:r>
        <w:rPr>
          <w:rFonts w:eastAsia="宋体"/>
          <w:sz w:val="21"/>
          <w:szCs w:val="21"/>
        </w:rPr>
        <w:t>.</w:t>
      </w:r>
    </w:p>
    <w:p w14:paraId="14AC2CA1">
      <w:pPr>
        <w:pStyle w:val="107"/>
        <w:spacing w:before="480" w:beforeLines="200" w:line="480" w:lineRule="auto"/>
        <w:jc w:val="both"/>
        <w:rPr>
          <w:bCs/>
          <w:szCs w:val="24"/>
          <w:lang w:eastAsia="zh-CN"/>
        </w:rPr>
      </w:pPr>
      <w:r>
        <w:rPr>
          <w:bCs/>
          <w:szCs w:val="24"/>
          <w:lang w:eastAsia="zh-CN"/>
        </w:rPr>
        <w:drawing>
          <wp:inline distT="0" distB="0" distL="0" distR="0">
            <wp:extent cx="6656705" cy="1635125"/>
            <wp:effectExtent l="0" t="0" r="0" b="3175"/>
            <wp:docPr id="8842760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76050" name="图片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2" t="26248" r="2812" b="27406"/>
                    <a:stretch>
                      <a:fillRect/>
                    </a:stretch>
                  </pic:blipFill>
                  <pic:spPr>
                    <a:xfrm>
                      <a:off x="0" y="0"/>
                      <a:ext cx="6684913" cy="164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8DC2E">
      <w:pPr>
        <w:pStyle w:val="107"/>
        <w:spacing w:before="100" w:beforeAutospacing="1" w:line="480" w:lineRule="auto"/>
        <w:jc w:val="both"/>
        <w:rPr>
          <w:bCs/>
          <w:szCs w:val="24"/>
          <w:lang w:eastAsia="zh-CN"/>
        </w:rPr>
      </w:pPr>
      <w:r>
        <w:rPr>
          <w:rFonts w:hint="eastAsia"/>
          <w:b/>
          <w:bCs/>
          <w:szCs w:val="24"/>
          <w:lang w:val="en-US" w:eastAsia="zh-CN"/>
        </w:rPr>
        <w:t xml:space="preserve">Figure Legends: </w:t>
      </w:r>
      <w:r>
        <w:rPr>
          <w:b/>
          <w:bCs/>
          <w:szCs w:val="24"/>
        </w:rPr>
        <w:t>Supplementary Fig</w:t>
      </w:r>
      <w:r>
        <w:rPr>
          <w:b/>
          <w:bCs/>
          <w:szCs w:val="24"/>
          <w:lang w:eastAsia="zh-CN"/>
        </w:rPr>
        <w:t>ure</w:t>
      </w:r>
      <w:r>
        <w:rPr>
          <w:b/>
          <w:szCs w:val="24"/>
        </w:rPr>
        <w:t xml:space="preserve"> S</w:t>
      </w:r>
      <w:r>
        <w:rPr>
          <w:rFonts w:hint="eastAsia"/>
          <w:b/>
          <w:szCs w:val="24"/>
          <w:lang w:eastAsia="zh-CN"/>
        </w:rPr>
        <w:t>1</w:t>
      </w:r>
      <w:r>
        <w:rPr>
          <w:rFonts w:hint="eastAsia"/>
          <w:b/>
          <w:szCs w:val="24"/>
          <w:lang w:val="en-US" w:eastAsia="zh-CN"/>
        </w:rPr>
        <w:t>4</w:t>
      </w:r>
      <w:bookmarkStart w:id="1" w:name="_GoBack"/>
      <w:bookmarkEnd w:id="1"/>
      <w:r>
        <w:rPr>
          <w:rFonts w:hint="eastAsia"/>
          <w:b/>
          <w:szCs w:val="24"/>
          <w:lang w:eastAsia="zh-CN"/>
        </w:rPr>
        <w:t>.</w:t>
      </w:r>
      <w:r>
        <w:t xml:space="preserve"> </w:t>
      </w:r>
      <w:r>
        <w:rPr>
          <w:bCs/>
          <w:szCs w:val="24"/>
          <w:lang w:eastAsia="zh-CN"/>
        </w:rPr>
        <w:t>2D results of molecular docking showed that CDC73 Lys257 interacts with UBR5 via hydrophobic bonds and is the only lysine residue in this region.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24571">
    <w:pPr>
      <w:pStyle w:val="55"/>
      <w:ind w:right="120"/>
      <w:jc w:val="right"/>
    </w:pPr>
    <w:r>
      <w:rPr>
        <w:rFonts w:hint="eastAsia"/>
        <w:lang w:eastAsia="zh-CN"/>
      </w:rPr>
      <w:t>1</w:t>
    </w:r>
  </w:p>
  <w:p w14:paraId="1A8EC1EA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F886F">
    <w:pPr>
      <w:jc w:val="right"/>
      <w:rPr>
        <w:sz w:val="20"/>
      </w:rPr>
    </w:pPr>
  </w:p>
  <w:p w14:paraId="2831BB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bordersDoNotSurroundHeader w:val="1"/>
  <w:bordersDoNotSurroundFooter w:val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03A02"/>
    <w:rsid w:val="00003F82"/>
    <w:rsid w:val="00011C79"/>
    <w:rsid w:val="000124D9"/>
    <w:rsid w:val="00013FF2"/>
    <w:rsid w:val="0001454F"/>
    <w:rsid w:val="00014D90"/>
    <w:rsid w:val="00015F74"/>
    <w:rsid w:val="00026282"/>
    <w:rsid w:val="00033E39"/>
    <w:rsid w:val="00042735"/>
    <w:rsid w:val="000449BE"/>
    <w:rsid w:val="00046CE5"/>
    <w:rsid w:val="00051420"/>
    <w:rsid w:val="00065EBD"/>
    <w:rsid w:val="00066D0C"/>
    <w:rsid w:val="000738D3"/>
    <w:rsid w:val="00076592"/>
    <w:rsid w:val="000824FE"/>
    <w:rsid w:val="00083B44"/>
    <w:rsid w:val="000850DC"/>
    <w:rsid w:val="00094B2E"/>
    <w:rsid w:val="000960F1"/>
    <w:rsid w:val="000A08AB"/>
    <w:rsid w:val="000A3A64"/>
    <w:rsid w:val="000B2025"/>
    <w:rsid w:val="000B7A2A"/>
    <w:rsid w:val="000C07BF"/>
    <w:rsid w:val="000C2771"/>
    <w:rsid w:val="000D46F4"/>
    <w:rsid w:val="000D4D42"/>
    <w:rsid w:val="000D596C"/>
    <w:rsid w:val="000F08FA"/>
    <w:rsid w:val="000F0DCE"/>
    <w:rsid w:val="000F2528"/>
    <w:rsid w:val="000F5FE0"/>
    <w:rsid w:val="000F6BE3"/>
    <w:rsid w:val="000F6FFB"/>
    <w:rsid w:val="00101F59"/>
    <w:rsid w:val="00104C9C"/>
    <w:rsid w:val="00110D3C"/>
    <w:rsid w:val="00112C5B"/>
    <w:rsid w:val="00113F27"/>
    <w:rsid w:val="00114193"/>
    <w:rsid w:val="00114718"/>
    <w:rsid w:val="00115A38"/>
    <w:rsid w:val="0011687B"/>
    <w:rsid w:val="00117FDE"/>
    <w:rsid w:val="00124F82"/>
    <w:rsid w:val="001306B9"/>
    <w:rsid w:val="00132006"/>
    <w:rsid w:val="00143F6C"/>
    <w:rsid w:val="0014604A"/>
    <w:rsid w:val="0015332B"/>
    <w:rsid w:val="001544C6"/>
    <w:rsid w:val="00162BBB"/>
    <w:rsid w:val="0016337A"/>
    <w:rsid w:val="00163E19"/>
    <w:rsid w:val="00164269"/>
    <w:rsid w:val="001644C8"/>
    <w:rsid w:val="001715B1"/>
    <w:rsid w:val="00173183"/>
    <w:rsid w:val="00176481"/>
    <w:rsid w:val="00177DEA"/>
    <w:rsid w:val="00183BBB"/>
    <w:rsid w:val="00185D5A"/>
    <w:rsid w:val="00185E70"/>
    <w:rsid w:val="00187353"/>
    <w:rsid w:val="001901B4"/>
    <w:rsid w:val="00190493"/>
    <w:rsid w:val="00197A98"/>
    <w:rsid w:val="001A1BDE"/>
    <w:rsid w:val="001A365C"/>
    <w:rsid w:val="001A678A"/>
    <w:rsid w:val="001B0AFA"/>
    <w:rsid w:val="001B3B4E"/>
    <w:rsid w:val="001C4F0C"/>
    <w:rsid w:val="001D30BE"/>
    <w:rsid w:val="001D5850"/>
    <w:rsid w:val="001E34D1"/>
    <w:rsid w:val="001E697B"/>
    <w:rsid w:val="001F0876"/>
    <w:rsid w:val="001F167C"/>
    <w:rsid w:val="001F5E91"/>
    <w:rsid w:val="00203034"/>
    <w:rsid w:val="002051C2"/>
    <w:rsid w:val="00206786"/>
    <w:rsid w:val="002077B9"/>
    <w:rsid w:val="00213BB4"/>
    <w:rsid w:val="002141E1"/>
    <w:rsid w:val="00216E2C"/>
    <w:rsid w:val="002243CB"/>
    <w:rsid w:val="0022550F"/>
    <w:rsid w:val="00243B74"/>
    <w:rsid w:val="00243DD4"/>
    <w:rsid w:val="00251DAB"/>
    <w:rsid w:val="00253087"/>
    <w:rsid w:val="00254CAC"/>
    <w:rsid w:val="0025667E"/>
    <w:rsid w:val="0025699B"/>
    <w:rsid w:val="00262D72"/>
    <w:rsid w:val="002631F2"/>
    <w:rsid w:val="002636A9"/>
    <w:rsid w:val="0026792E"/>
    <w:rsid w:val="0027584B"/>
    <w:rsid w:val="00281622"/>
    <w:rsid w:val="00281D23"/>
    <w:rsid w:val="00282A6B"/>
    <w:rsid w:val="002903F7"/>
    <w:rsid w:val="00293AA7"/>
    <w:rsid w:val="00294FBB"/>
    <w:rsid w:val="00297B79"/>
    <w:rsid w:val="002A0D2E"/>
    <w:rsid w:val="002A3A96"/>
    <w:rsid w:val="002A5AEA"/>
    <w:rsid w:val="002A65BC"/>
    <w:rsid w:val="002B0C89"/>
    <w:rsid w:val="002B6C51"/>
    <w:rsid w:val="002C030F"/>
    <w:rsid w:val="002C7D63"/>
    <w:rsid w:val="002E15BF"/>
    <w:rsid w:val="002E5220"/>
    <w:rsid w:val="002E5EC4"/>
    <w:rsid w:val="002E627B"/>
    <w:rsid w:val="002F0FB6"/>
    <w:rsid w:val="002F16DB"/>
    <w:rsid w:val="002F4D7C"/>
    <w:rsid w:val="002F61F2"/>
    <w:rsid w:val="002F6D8C"/>
    <w:rsid w:val="002F6E58"/>
    <w:rsid w:val="00303F20"/>
    <w:rsid w:val="003075B9"/>
    <w:rsid w:val="003116F9"/>
    <w:rsid w:val="00313755"/>
    <w:rsid w:val="00315132"/>
    <w:rsid w:val="0031671A"/>
    <w:rsid w:val="003218FF"/>
    <w:rsid w:val="00322F46"/>
    <w:rsid w:val="003274DF"/>
    <w:rsid w:val="0032772F"/>
    <w:rsid w:val="00330177"/>
    <w:rsid w:val="00331D75"/>
    <w:rsid w:val="003414ED"/>
    <w:rsid w:val="0034186B"/>
    <w:rsid w:val="00343269"/>
    <w:rsid w:val="0034781E"/>
    <w:rsid w:val="00355362"/>
    <w:rsid w:val="00357DAD"/>
    <w:rsid w:val="00363939"/>
    <w:rsid w:val="00363E44"/>
    <w:rsid w:val="0036489C"/>
    <w:rsid w:val="00364AF0"/>
    <w:rsid w:val="00365484"/>
    <w:rsid w:val="003659A8"/>
    <w:rsid w:val="003669F9"/>
    <w:rsid w:val="00370C17"/>
    <w:rsid w:val="003756C6"/>
    <w:rsid w:val="003770A7"/>
    <w:rsid w:val="00380AF3"/>
    <w:rsid w:val="003818F9"/>
    <w:rsid w:val="00385301"/>
    <w:rsid w:val="003862EE"/>
    <w:rsid w:val="00387B3E"/>
    <w:rsid w:val="00391504"/>
    <w:rsid w:val="00392402"/>
    <w:rsid w:val="00393BAB"/>
    <w:rsid w:val="00395E86"/>
    <w:rsid w:val="00396798"/>
    <w:rsid w:val="003A2550"/>
    <w:rsid w:val="003A2FD8"/>
    <w:rsid w:val="003B16DA"/>
    <w:rsid w:val="003B40E6"/>
    <w:rsid w:val="003C061E"/>
    <w:rsid w:val="003C1EA5"/>
    <w:rsid w:val="003D1E26"/>
    <w:rsid w:val="003D1F81"/>
    <w:rsid w:val="003E0AE6"/>
    <w:rsid w:val="003E5D45"/>
    <w:rsid w:val="003E74FB"/>
    <w:rsid w:val="003F5904"/>
    <w:rsid w:val="003F6CCF"/>
    <w:rsid w:val="003F6E14"/>
    <w:rsid w:val="00400699"/>
    <w:rsid w:val="004048BA"/>
    <w:rsid w:val="00405336"/>
    <w:rsid w:val="00410D19"/>
    <w:rsid w:val="00412A7E"/>
    <w:rsid w:val="00414F53"/>
    <w:rsid w:val="00415D1E"/>
    <w:rsid w:val="00417835"/>
    <w:rsid w:val="00417FCC"/>
    <w:rsid w:val="00421E14"/>
    <w:rsid w:val="004356C2"/>
    <w:rsid w:val="00435ABE"/>
    <w:rsid w:val="00436884"/>
    <w:rsid w:val="00437A19"/>
    <w:rsid w:val="00444613"/>
    <w:rsid w:val="00450F1A"/>
    <w:rsid w:val="00452328"/>
    <w:rsid w:val="00454933"/>
    <w:rsid w:val="00454C1E"/>
    <w:rsid w:val="004571D5"/>
    <w:rsid w:val="00461D81"/>
    <w:rsid w:val="0046356B"/>
    <w:rsid w:val="004656E3"/>
    <w:rsid w:val="00472F95"/>
    <w:rsid w:val="00477182"/>
    <w:rsid w:val="004779CB"/>
    <w:rsid w:val="004808B3"/>
    <w:rsid w:val="004816B8"/>
    <w:rsid w:val="004904DB"/>
    <w:rsid w:val="00490636"/>
    <w:rsid w:val="004A1105"/>
    <w:rsid w:val="004A31CD"/>
    <w:rsid w:val="004A3371"/>
    <w:rsid w:val="004A3EC8"/>
    <w:rsid w:val="004A6F57"/>
    <w:rsid w:val="004A74ED"/>
    <w:rsid w:val="004B3F5F"/>
    <w:rsid w:val="004C6BCF"/>
    <w:rsid w:val="004C775A"/>
    <w:rsid w:val="004C7950"/>
    <w:rsid w:val="004C7987"/>
    <w:rsid w:val="004D0168"/>
    <w:rsid w:val="004D44CF"/>
    <w:rsid w:val="004E42D8"/>
    <w:rsid w:val="004E4F0B"/>
    <w:rsid w:val="004E7BA2"/>
    <w:rsid w:val="004F32B7"/>
    <w:rsid w:val="004F4CE4"/>
    <w:rsid w:val="004F6916"/>
    <w:rsid w:val="004F7EDF"/>
    <w:rsid w:val="005001AC"/>
    <w:rsid w:val="005032DC"/>
    <w:rsid w:val="005065EE"/>
    <w:rsid w:val="005119B6"/>
    <w:rsid w:val="00511E97"/>
    <w:rsid w:val="00523F81"/>
    <w:rsid w:val="005248E2"/>
    <w:rsid w:val="00527D71"/>
    <w:rsid w:val="00533910"/>
    <w:rsid w:val="00535098"/>
    <w:rsid w:val="00542675"/>
    <w:rsid w:val="005449B7"/>
    <w:rsid w:val="005520A8"/>
    <w:rsid w:val="005552DB"/>
    <w:rsid w:val="00555CCA"/>
    <w:rsid w:val="005607DD"/>
    <w:rsid w:val="00562CE1"/>
    <w:rsid w:val="005673A3"/>
    <w:rsid w:val="00572846"/>
    <w:rsid w:val="00574373"/>
    <w:rsid w:val="00581AF3"/>
    <w:rsid w:val="00582438"/>
    <w:rsid w:val="00583BF3"/>
    <w:rsid w:val="00590D62"/>
    <w:rsid w:val="005916E6"/>
    <w:rsid w:val="00591889"/>
    <w:rsid w:val="0059362F"/>
    <w:rsid w:val="00593B2A"/>
    <w:rsid w:val="005A04C3"/>
    <w:rsid w:val="005A558C"/>
    <w:rsid w:val="005B3EDF"/>
    <w:rsid w:val="005B442F"/>
    <w:rsid w:val="005B5B95"/>
    <w:rsid w:val="005B7427"/>
    <w:rsid w:val="005C1FC0"/>
    <w:rsid w:val="005C3386"/>
    <w:rsid w:val="005D042F"/>
    <w:rsid w:val="005D1038"/>
    <w:rsid w:val="005D212A"/>
    <w:rsid w:val="005D4DCA"/>
    <w:rsid w:val="005E12E5"/>
    <w:rsid w:val="005E1F6D"/>
    <w:rsid w:val="005E28F8"/>
    <w:rsid w:val="005E6513"/>
    <w:rsid w:val="00602CBF"/>
    <w:rsid w:val="00607E8E"/>
    <w:rsid w:val="00612B69"/>
    <w:rsid w:val="00614E01"/>
    <w:rsid w:val="00617550"/>
    <w:rsid w:val="006177E8"/>
    <w:rsid w:val="00625A3A"/>
    <w:rsid w:val="00627EB6"/>
    <w:rsid w:val="00632CA3"/>
    <w:rsid w:val="006351F9"/>
    <w:rsid w:val="0063665B"/>
    <w:rsid w:val="00636AA8"/>
    <w:rsid w:val="00641081"/>
    <w:rsid w:val="00645C90"/>
    <w:rsid w:val="00646753"/>
    <w:rsid w:val="00646D95"/>
    <w:rsid w:val="00647F80"/>
    <w:rsid w:val="00650120"/>
    <w:rsid w:val="00651114"/>
    <w:rsid w:val="00651394"/>
    <w:rsid w:val="00651BB9"/>
    <w:rsid w:val="006548AE"/>
    <w:rsid w:val="00664560"/>
    <w:rsid w:val="00670299"/>
    <w:rsid w:val="0067508A"/>
    <w:rsid w:val="006757B2"/>
    <w:rsid w:val="0068437E"/>
    <w:rsid w:val="006852F5"/>
    <w:rsid w:val="0069042D"/>
    <w:rsid w:val="00691985"/>
    <w:rsid w:val="006926B7"/>
    <w:rsid w:val="00697611"/>
    <w:rsid w:val="00697FCC"/>
    <w:rsid w:val="006A1B64"/>
    <w:rsid w:val="006A4006"/>
    <w:rsid w:val="006B23E5"/>
    <w:rsid w:val="006C0AC2"/>
    <w:rsid w:val="006C1979"/>
    <w:rsid w:val="006D6C39"/>
    <w:rsid w:val="006E0246"/>
    <w:rsid w:val="006E1B77"/>
    <w:rsid w:val="006E380C"/>
    <w:rsid w:val="006E3A76"/>
    <w:rsid w:val="006F1EE7"/>
    <w:rsid w:val="006F3365"/>
    <w:rsid w:val="006F4CDF"/>
    <w:rsid w:val="006F6C68"/>
    <w:rsid w:val="006F7D48"/>
    <w:rsid w:val="0070271A"/>
    <w:rsid w:val="007108F5"/>
    <w:rsid w:val="00713E5B"/>
    <w:rsid w:val="00715BB7"/>
    <w:rsid w:val="00716AE7"/>
    <w:rsid w:val="0071745C"/>
    <w:rsid w:val="00727AE1"/>
    <w:rsid w:val="007402FC"/>
    <w:rsid w:val="007411A1"/>
    <w:rsid w:val="0074491B"/>
    <w:rsid w:val="00754CDB"/>
    <w:rsid w:val="00756CBE"/>
    <w:rsid w:val="00757B35"/>
    <w:rsid w:val="00763D6B"/>
    <w:rsid w:val="00771ABA"/>
    <w:rsid w:val="00780CBF"/>
    <w:rsid w:val="00780CC6"/>
    <w:rsid w:val="007900A6"/>
    <w:rsid w:val="00790A96"/>
    <w:rsid w:val="00792C21"/>
    <w:rsid w:val="00793072"/>
    <w:rsid w:val="00793DE0"/>
    <w:rsid w:val="00797531"/>
    <w:rsid w:val="007A182C"/>
    <w:rsid w:val="007A3033"/>
    <w:rsid w:val="007A399F"/>
    <w:rsid w:val="007A3ED4"/>
    <w:rsid w:val="007A7291"/>
    <w:rsid w:val="007B37FC"/>
    <w:rsid w:val="007B5095"/>
    <w:rsid w:val="007B6A31"/>
    <w:rsid w:val="007B73FC"/>
    <w:rsid w:val="007C041B"/>
    <w:rsid w:val="007C181D"/>
    <w:rsid w:val="007C534C"/>
    <w:rsid w:val="007C5919"/>
    <w:rsid w:val="007D4966"/>
    <w:rsid w:val="007D59F1"/>
    <w:rsid w:val="007E2786"/>
    <w:rsid w:val="007E2F34"/>
    <w:rsid w:val="007F7EE2"/>
    <w:rsid w:val="0080014D"/>
    <w:rsid w:val="0080327A"/>
    <w:rsid w:val="0080635D"/>
    <w:rsid w:val="00807D35"/>
    <w:rsid w:val="008133AF"/>
    <w:rsid w:val="0081715B"/>
    <w:rsid w:val="008218C4"/>
    <w:rsid w:val="00822A4B"/>
    <w:rsid w:val="0082546C"/>
    <w:rsid w:val="0082739A"/>
    <w:rsid w:val="008303DC"/>
    <w:rsid w:val="00832A9E"/>
    <w:rsid w:val="00833A73"/>
    <w:rsid w:val="008401F0"/>
    <w:rsid w:val="00841EA4"/>
    <w:rsid w:val="008446E6"/>
    <w:rsid w:val="00844ADC"/>
    <w:rsid w:val="0084550E"/>
    <w:rsid w:val="008464A9"/>
    <w:rsid w:val="008527E7"/>
    <w:rsid w:val="00852BF7"/>
    <w:rsid w:val="00853ECA"/>
    <w:rsid w:val="0086191C"/>
    <w:rsid w:val="008619B7"/>
    <w:rsid w:val="008633AE"/>
    <w:rsid w:val="00864AAF"/>
    <w:rsid w:val="00867A98"/>
    <w:rsid w:val="00870867"/>
    <w:rsid w:val="0087442F"/>
    <w:rsid w:val="0087640C"/>
    <w:rsid w:val="00877B7F"/>
    <w:rsid w:val="00885C9B"/>
    <w:rsid w:val="008942E2"/>
    <w:rsid w:val="008949F7"/>
    <w:rsid w:val="00897DE6"/>
    <w:rsid w:val="008A3891"/>
    <w:rsid w:val="008A41E5"/>
    <w:rsid w:val="008A58DC"/>
    <w:rsid w:val="008A59EF"/>
    <w:rsid w:val="008B4A43"/>
    <w:rsid w:val="008B6EA1"/>
    <w:rsid w:val="008C15BD"/>
    <w:rsid w:val="008C1A62"/>
    <w:rsid w:val="008C4693"/>
    <w:rsid w:val="008D28BC"/>
    <w:rsid w:val="008D5D2A"/>
    <w:rsid w:val="008D6716"/>
    <w:rsid w:val="008D78E4"/>
    <w:rsid w:val="008F35EE"/>
    <w:rsid w:val="009022FC"/>
    <w:rsid w:val="009034EB"/>
    <w:rsid w:val="0090476D"/>
    <w:rsid w:val="00904C2E"/>
    <w:rsid w:val="009066E3"/>
    <w:rsid w:val="00910485"/>
    <w:rsid w:val="00910B76"/>
    <w:rsid w:val="00914B03"/>
    <w:rsid w:val="00914B63"/>
    <w:rsid w:val="00915C81"/>
    <w:rsid w:val="00920E6B"/>
    <w:rsid w:val="009240DD"/>
    <w:rsid w:val="00925838"/>
    <w:rsid w:val="00934B8F"/>
    <w:rsid w:val="009354F3"/>
    <w:rsid w:val="00935752"/>
    <w:rsid w:val="009447DC"/>
    <w:rsid w:val="00945471"/>
    <w:rsid w:val="00950234"/>
    <w:rsid w:val="00952781"/>
    <w:rsid w:val="00957FB1"/>
    <w:rsid w:val="00960FAA"/>
    <w:rsid w:val="009619CC"/>
    <w:rsid w:val="00961BA5"/>
    <w:rsid w:val="00963188"/>
    <w:rsid w:val="009705BB"/>
    <w:rsid w:val="00973480"/>
    <w:rsid w:val="009743A9"/>
    <w:rsid w:val="00983F68"/>
    <w:rsid w:val="00991367"/>
    <w:rsid w:val="00991789"/>
    <w:rsid w:val="00996752"/>
    <w:rsid w:val="0099751F"/>
    <w:rsid w:val="009A1EBA"/>
    <w:rsid w:val="009A5287"/>
    <w:rsid w:val="009A7C5F"/>
    <w:rsid w:val="009B29C9"/>
    <w:rsid w:val="009B2AC5"/>
    <w:rsid w:val="009B36DC"/>
    <w:rsid w:val="009B5215"/>
    <w:rsid w:val="009B7301"/>
    <w:rsid w:val="009B7984"/>
    <w:rsid w:val="009C0CC9"/>
    <w:rsid w:val="009C2ACB"/>
    <w:rsid w:val="009C7A5B"/>
    <w:rsid w:val="009D0E94"/>
    <w:rsid w:val="009D22F0"/>
    <w:rsid w:val="009E323D"/>
    <w:rsid w:val="009F4BED"/>
    <w:rsid w:val="009F71CC"/>
    <w:rsid w:val="009F7D93"/>
    <w:rsid w:val="009F7F5D"/>
    <w:rsid w:val="00A01C43"/>
    <w:rsid w:val="00A01D18"/>
    <w:rsid w:val="00A02E0C"/>
    <w:rsid w:val="00A25FA2"/>
    <w:rsid w:val="00A27EA5"/>
    <w:rsid w:val="00A3403B"/>
    <w:rsid w:val="00A36689"/>
    <w:rsid w:val="00A37E41"/>
    <w:rsid w:val="00A44349"/>
    <w:rsid w:val="00A45249"/>
    <w:rsid w:val="00A479E8"/>
    <w:rsid w:val="00A47CC7"/>
    <w:rsid w:val="00A51A12"/>
    <w:rsid w:val="00A53842"/>
    <w:rsid w:val="00A53A78"/>
    <w:rsid w:val="00A627D4"/>
    <w:rsid w:val="00A62F4F"/>
    <w:rsid w:val="00A705CB"/>
    <w:rsid w:val="00A74DA2"/>
    <w:rsid w:val="00A761F3"/>
    <w:rsid w:val="00A7668F"/>
    <w:rsid w:val="00A77632"/>
    <w:rsid w:val="00A80D7F"/>
    <w:rsid w:val="00A8158E"/>
    <w:rsid w:val="00A8230A"/>
    <w:rsid w:val="00A84E38"/>
    <w:rsid w:val="00A8718B"/>
    <w:rsid w:val="00A87BF4"/>
    <w:rsid w:val="00A952C6"/>
    <w:rsid w:val="00A97396"/>
    <w:rsid w:val="00AA1C74"/>
    <w:rsid w:val="00AA366B"/>
    <w:rsid w:val="00AA3EF9"/>
    <w:rsid w:val="00AB399E"/>
    <w:rsid w:val="00AB3A29"/>
    <w:rsid w:val="00AB4EE3"/>
    <w:rsid w:val="00AB6113"/>
    <w:rsid w:val="00AC2517"/>
    <w:rsid w:val="00AC2765"/>
    <w:rsid w:val="00AC59D0"/>
    <w:rsid w:val="00AD0CC0"/>
    <w:rsid w:val="00AD16B1"/>
    <w:rsid w:val="00AD499C"/>
    <w:rsid w:val="00AE1319"/>
    <w:rsid w:val="00AE2E41"/>
    <w:rsid w:val="00AE6209"/>
    <w:rsid w:val="00AF0AEF"/>
    <w:rsid w:val="00B0180E"/>
    <w:rsid w:val="00B06B50"/>
    <w:rsid w:val="00B07629"/>
    <w:rsid w:val="00B10957"/>
    <w:rsid w:val="00B12E44"/>
    <w:rsid w:val="00B16FC3"/>
    <w:rsid w:val="00B25341"/>
    <w:rsid w:val="00B26705"/>
    <w:rsid w:val="00B36869"/>
    <w:rsid w:val="00B43B31"/>
    <w:rsid w:val="00B4400D"/>
    <w:rsid w:val="00B4702E"/>
    <w:rsid w:val="00B47CFA"/>
    <w:rsid w:val="00B51774"/>
    <w:rsid w:val="00B52C41"/>
    <w:rsid w:val="00B57F00"/>
    <w:rsid w:val="00B63245"/>
    <w:rsid w:val="00B6726D"/>
    <w:rsid w:val="00B712B7"/>
    <w:rsid w:val="00B72FCF"/>
    <w:rsid w:val="00B77B2A"/>
    <w:rsid w:val="00B82C22"/>
    <w:rsid w:val="00B93133"/>
    <w:rsid w:val="00B933CE"/>
    <w:rsid w:val="00B93DBA"/>
    <w:rsid w:val="00B9440A"/>
    <w:rsid w:val="00B97549"/>
    <w:rsid w:val="00BA047D"/>
    <w:rsid w:val="00BA445E"/>
    <w:rsid w:val="00BA47F8"/>
    <w:rsid w:val="00BB2D2A"/>
    <w:rsid w:val="00BB446A"/>
    <w:rsid w:val="00BC290E"/>
    <w:rsid w:val="00BC31BB"/>
    <w:rsid w:val="00BC3E04"/>
    <w:rsid w:val="00BC744E"/>
    <w:rsid w:val="00BD58CF"/>
    <w:rsid w:val="00BE0A32"/>
    <w:rsid w:val="00BE2228"/>
    <w:rsid w:val="00BE2E1B"/>
    <w:rsid w:val="00BE6FBD"/>
    <w:rsid w:val="00BF0C92"/>
    <w:rsid w:val="00BF1252"/>
    <w:rsid w:val="00BF187B"/>
    <w:rsid w:val="00BF322C"/>
    <w:rsid w:val="00BF6A07"/>
    <w:rsid w:val="00C00B30"/>
    <w:rsid w:val="00C02CDC"/>
    <w:rsid w:val="00C04CC1"/>
    <w:rsid w:val="00C13B39"/>
    <w:rsid w:val="00C230E0"/>
    <w:rsid w:val="00C239E3"/>
    <w:rsid w:val="00C27283"/>
    <w:rsid w:val="00C279C5"/>
    <w:rsid w:val="00C34F74"/>
    <w:rsid w:val="00C4096C"/>
    <w:rsid w:val="00C4404A"/>
    <w:rsid w:val="00C45E7A"/>
    <w:rsid w:val="00C4752B"/>
    <w:rsid w:val="00C50C6D"/>
    <w:rsid w:val="00C52681"/>
    <w:rsid w:val="00C55208"/>
    <w:rsid w:val="00C56428"/>
    <w:rsid w:val="00C600D9"/>
    <w:rsid w:val="00C62C07"/>
    <w:rsid w:val="00C6472D"/>
    <w:rsid w:val="00C7002E"/>
    <w:rsid w:val="00C71E5E"/>
    <w:rsid w:val="00C748D9"/>
    <w:rsid w:val="00C74DD1"/>
    <w:rsid w:val="00C8379A"/>
    <w:rsid w:val="00C85654"/>
    <w:rsid w:val="00C85ABB"/>
    <w:rsid w:val="00C8684A"/>
    <w:rsid w:val="00C92B22"/>
    <w:rsid w:val="00CA04C6"/>
    <w:rsid w:val="00CA488E"/>
    <w:rsid w:val="00CA4AC1"/>
    <w:rsid w:val="00CA6D54"/>
    <w:rsid w:val="00CB058E"/>
    <w:rsid w:val="00CB06C2"/>
    <w:rsid w:val="00CB3901"/>
    <w:rsid w:val="00CB4799"/>
    <w:rsid w:val="00CB671B"/>
    <w:rsid w:val="00CC1384"/>
    <w:rsid w:val="00CC1992"/>
    <w:rsid w:val="00CC2A07"/>
    <w:rsid w:val="00CC31AF"/>
    <w:rsid w:val="00CC3289"/>
    <w:rsid w:val="00CC35A5"/>
    <w:rsid w:val="00CC584D"/>
    <w:rsid w:val="00CD005B"/>
    <w:rsid w:val="00CD2CEE"/>
    <w:rsid w:val="00CD3122"/>
    <w:rsid w:val="00CD340F"/>
    <w:rsid w:val="00CD3720"/>
    <w:rsid w:val="00CE1A12"/>
    <w:rsid w:val="00CF1848"/>
    <w:rsid w:val="00CF500E"/>
    <w:rsid w:val="00CF5C2F"/>
    <w:rsid w:val="00CF7150"/>
    <w:rsid w:val="00CF7E3C"/>
    <w:rsid w:val="00CF7F71"/>
    <w:rsid w:val="00D04BCF"/>
    <w:rsid w:val="00D070AC"/>
    <w:rsid w:val="00D11A56"/>
    <w:rsid w:val="00D12687"/>
    <w:rsid w:val="00D143D9"/>
    <w:rsid w:val="00D30C95"/>
    <w:rsid w:val="00D3644F"/>
    <w:rsid w:val="00D423F0"/>
    <w:rsid w:val="00D43844"/>
    <w:rsid w:val="00D51C15"/>
    <w:rsid w:val="00D5511B"/>
    <w:rsid w:val="00D62B99"/>
    <w:rsid w:val="00D70388"/>
    <w:rsid w:val="00D766F1"/>
    <w:rsid w:val="00D81206"/>
    <w:rsid w:val="00D81EF3"/>
    <w:rsid w:val="00D84C0A"/>
    <w:rsid w:val="00D857A7"/>
    <w:rsid w:val="00D8635A"/>
    <w:rsid w:val="00D92019"/>
    <w:rsid w:val="00DA1887"/>
    <w:rsid w:val="00DA6753"/>
    <w:rsid w:val="00DA7752"/>
    <w:rsid w:val="00DC038A"/>
    <w:rsid w:val="00DC19D9"/>
    <w:rsid w:val="00DC5290"/>
    <w:rsid w:val="00DC5588"/>
    <w:rsid w:val="00DC76B5"/>
    <w:rsid w:val="00DC7CCB"/>
    <w:rsid w:val="00DD1E0A"/>
    <w:rsid w:val="00DD2E17"/>
    <w:rsid w:val="00DE2938"/>
    <w:rsid w:val="00DE5229"/>
    <w:rsid w:val="00DF0444"/>
    <w:rsid w:val="00DF3519"/>
    <w:rsid w:val="00E0592F"/>
    <w:rsid w:val="00E13878"/>
    <w:rsid w:val="00E15193"/>
    <w:rsid w:val="00E151A2"/>
    <w:rsid w:val="00E15294"/>
    <w:rsid w:val="00E170F6"/>
    <w:rsid w:val="00E17689"/>
    <w:rsid w:val="00E243D6"/>
    <w:rsid w:val="00E257C8"/>
    <w:rsid w:val="00E27A1E"/>
    <w:rsid w:val="00E40A10"/>
    <w:rsid w:val="00E41512"/>
    <w:rsid w:val="00E449AC"/>
    <w:rsid w:val="00E4519A"/>
    <w:rsid w:val="00E51D17"/>
    <w:rsid w:val="00E53249"/>
    <w:rsid w:val="00E535BF"/>
    <w:rsid w:val="00E567AA"/>
    <w:rsid w:val="00E853D5"/>
    <w:rsid w:val="00E856E4"/>
    <w:rsid w:val="00E90BBF"/>
    <w:rsid w:val="00E9773B"/>
    <w:rsid w:val="00EA2899"/>
    <w:rsid w:val="00EA6F42"/>
    <w:rsid w:val="00EA72AA"/>
    <w:rsid w:val="00EB2887"/>
    <w:rsid w:val="00EB49F2"/>
    <w:rsid w:val="00EB7A2D"/>
    <w:rsid w:val="00EC0F54"/>
    <w:rsid w:val="00EC13A3"/>
    <w:rsid w:val="00EC489E"/>
    <w:rsid w:val="00EC7C85"/>
    <w:rsid w:val="00ED1FE6"/>
    <w:rsid w:val="00ED2CBE"/>
    <w:rsid w:val="00EE15C2"/>
    <w:rsid w:val="00EE4C6A"/>
    <w:rsid w:val="00EF1BF8"/>
    <w:rsid w:val="00EF30D1"/>
    <w:rsid w:val="00EF44F3"/>
    <w:rsid w:val="00EF4C20"/>
    <w:rsid w:val="00F033A5"/>
    <w:rsid w:val="00F05996"/>
    <w:rsid w:val="00F06174"/>
    <w:rsid w:val="00F10217"/>
    <w:rsid w:val="00F10B2E"/>
    <w:rsid w:val="00F125EE"/>
    <w:rsid w:val="00F1266F"/>
    <w:rsid w:val="00F12E98"/>
    <w:rsid w:val="00F15210"/>
    <w:rsid w:val="00F17F32"/>
    <w:rsid w:val="00F2063E"/>
    <w:rsid w:val="00F22029"/>
    <w:rsid w:val="00F2335D"/>
    <w:rsid w:val="00F25BF2"/>
    <w:rsid w:val="00F31F51"/>
    <w:rsid w:val="00F32878"/>
    <w:rsid w:val="00F32F79"/>
    <w:rsid w:val="00F342B3"/>
    <w:rsid w:val="00F447B5"/>
    <w:rsid w:val="00F515FB"/>
    <w:rsid w:val="00F52ED3"/>
    <w:rsid w:val="00F5500C"/>
    <w:rsid w:val="00F630EA"/>
    <w:rsid w:val="00F630F9"/>
    <w:rsid w:val="00F7007E"/>
    <w:rsid w:val="00F72909"/>
    <w:rsid w:val="00F73193"/>
    <w:rsid w:val="00F74F95"/>
    <w:rsid w:val="00F75BDE"/>
    <w:rsid w:val="00F7784A"/>
    <w:rsid w:val="00F77C9F"/>
    <w:rsid w:val="00F80705"/>
    <w:rsid w:val="00F841C1"/>
    <w:rsid w:val="00F8571B"/>
    <w:rsid w:val="00FA1481"/>
    <w:rsid w:val="00FA1C51"/>
    <w:rsid w:val="00FB25EB"/>
    <w:rsid w:val="00FB5223"/>
    <w:rsid w:val="00FC3AE2"/>
    <w:rsid w:val="00FD054A"/>
    <w:rsid w:val="00FD5FD7"/>
    <w:rsid w:val="00FE0105"/>
    <w:rsid w:val="00FE21E7"/>
    <w:rsid w:val="00FE7B42"/>
    <w:rsid w:val="00FF04E3"/>
    <w:rsid w:val="00FF35D0"/>
    <w:rsid w:val="2BC02CE1"/>
    <w:rsid w:val="49592D5B"/>
    <w:rsid w:val="7A44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name="header"/>
    <w:lsdException w:qFormat="1" w:unhideWhenUsed="0" w:uiPriority="0" w:name="footer"/>
    <w:lsdException w:qFormat="1" w:unhideWhenUsed="0" w:uiPriority="0" w:name="index heading"/>
    <w:lsdException w:qFormat="1" w:unhideWhenUsed="0" w:uiPriority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uiPriority="0" w:name="footnote reference"/>
    <w:lsdException w:qFormat="1" w:uiPriority="0" w:name="annotation reference"/>
    <w:lsdException w:qFormat="1" w:uiPriority="0" w:name="line number"/>
    <w:lsdException w:qFormat="1" w:unhideWhenUsed="0" w:uiPriority="0" w:name="page number"/>
    <w:lsdException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10" w:semiHidden="0" w:name="Title"/>
    <w:lsdException w:qFormat="1" w:unhideWhenUsed="0" w:uiPriority="0" w:name="Closing"/>
    <w:lsdException w:qFormat="1" w:unhideWhenUsed="0" w:uiPriority="0" w:name="Signature"/>
    <w:lsdException w:uiPriority="1" w:name="Default Paragraph Font"/>
    <w:lsdException w:qFormat="1" w:unhideWhenUsed="0" w:uiPriority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99" w:name="Hyperlink"/>
    <w:lsdException w:qFormat="1" w:uiPriority="99" w:name="FollowedHyperlink"/>
    <w:lsdException w:qFormat="1" w:unhideWhenUsed="0" w:uiPriority="0" w:name="Strong"/>
    <w:lsdException w:qFormat="1" w:unhideWhenUsed="0" w:uiPriority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uiPriority="0" w:name="HTML Acronym"/>
    <w:lsdException w:qFormat="1" w:unhideWhenUsed="0"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styleId="3">
    <w:name w:val="heading 1"/>
    <w:basedOn w:val="1"/>
    <w:next w:val="1"/>
    <w:link w:val="97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4">
    <w:name w:val="heading 2"/>
    <w:basedOn w:val="1"/>
    <w:next w:val="1"/>
    <w:link w:val="98"/>
    <w:semiHidden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3"/>
    <w:basedOn w:val="1"/>
    <w:next w:val="1"/>
    <w:semiHidden/>
    <w:qFormat/>
    <w:uiPriority w:val="0"/>
    <w:pPr>
      <w:keepNext/>
      <w:spacing w:line="480" w:lineRule="auto"/>
      <w:outlineLvl w:val="2"/>
    </w:pPr>
    <w:rPr>
      <w:rFonts w:ascii="Times" w:hAnsi="Times" w:eastAsia="Times"/>
      <w:b/>
    </w:rPr>
  </w:style>
  <w:style w:type="paragraph" w:styleId="6">
    <w:name w:val="heading 4"/>
    <w:basedOn w:val="1"/>
    <w:next w:val="1"/>
    <w:semiHidden/>
    <w:qFormat/>
    <w:uiPriority w:val="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7">
    <w:name w:val="heading 5"/>
    <w:basedOn w:val="1"/>
    <w:next w:val="1"/>
    <w:link w:val="99"/>
    <w:semiHidden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6"/>
    <w:basedOn w:val="1"/>
    <w:next w:val="1"/>
    <w:link w:val="100"/>
    <w:semiHidden/>
    <w:qFormat/>
    <w:uiPriority w:val="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7"/>
    <w:basedOn w:val="1"/>
    <w:next w:val="1"/>
    <w:link w:val="101"/>
    <w:semiHidden/>
    <w:qFormat/>
    <w:uiPriority w:val="0"/>
    <w:pPr>
      <w:spacing w:before="240" w:after="60"/>
      <w:outlineLvl w:val="6"/>
    </w:pPr>
    <w:rPr>
      <w:rFonts w:ascii="Calibri" w:hAnsi="Calibri"/>
      <w:szCs w:val="24"/>
    </w:rPr>
  </w:style>
  <w:style w:type="paragraph" w:styleId="10">
    <w:name w:val="heading 8"/>
    <w:basedOn w:val="1"/>
    <w:next w:val="1"/>
    <w:link w:val="102"/>
    <w:semiHidden/>
    <w:qFormat/>
    <w:uiPriority w:val="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1">
    <w:name w:val="heading 9"/>
    <w:basedOn w:val="1"/>
    <w:next w:val="1"/>
    <w:link w:val="103"/>
    <w:semiHidden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90">
    <w:name w:val="Default Paragraph Font"/>
    <w:semiHidden/>
    <w:unhideWhenUsed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3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 w:eastAsiaTheme="minorEastAsia"/>
      <w:lang w:val="en-US" w:eastAsia="en-US" w:bidi="ar-SA"/>
    </w:rPr>
  </w:style>
  <w:style w:type="paragraph" w:styleId="12">
    <w:name w:val="List 3"/>
    <w:basedOn w:val="1"/>
    <w:semiHidden/>
    <w:qFormat/>
    <w:uiPriority w:val="0"/>
    <w:pPr>
      <w:ind w:left="1080" w:hanging="360"/>
      <w:contextualSpacing/>
    </w:pPr>
  </w:style>
  <w:style w:type="paragraph" w:styleId="13">
    <w:name w:val="toc 7"/>
    <w:basedOn w:val="1"/>
    <w:next w:val="1"/>
    <w:autoRedefine/>
    <w:semiHidden/>
    <w:qFormat/>
    <w:uiPriority w:val="0"/>
    <w:pPr>
      <w:ind w:left="1440"/>
    </w:pPr>
  </w:style>
  <w:style w:type="paragraph" w:styleId="14">
    <w:name w:val="List Number 2"/>
    <w:basedOn w:val="1"/>
    <w:semiHidden/>
    <w:qFormat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136"/>
    <w:semiHidden/>
    <w:qFormat/>
    <w:uiPriority w:val="0"/>
  </w:style>
  <w:style w:type="paragraph" w:styleId="17">
    <w:name w:val="List Bullet 4"/>
    <w:basedOn w:val="1"/>
    <w:semiHidden/>
    <w:qFormat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qFormat/>
    <w:uiPriority w:val="0"/>
    <w:pPr>
      <w:ind w:left="1920" w:hanging="240"/>
    </w:pPr>
  </w:style>
  <w:style w:type="paragraph" w:styleId="19">
    <w:name w:val="E-mail Signature"/>
    <w:basedOn w:val="1"/>
    <w:link w:val="123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qFormat/>
    <w:uiPriority w:val="0"/>
    <w:pPr>
      <w:ind w:left="720"/>
    </w:pPr>
  </w:style>
  <w:style w:type="paragraph" w:styleId="22">
    <w:name w:val="caption"/>
    <w:basedOn w:val="1"/>
    <w:next w:val="1"/>
    <w:semiHidden/>
    <w:qFormat/>
    <w:uiPriority w:val="0"/>
    <w:rPr>
      <w:b/>
      <w:bCs/>
      <w:sz w:val="20"/>
    </w:rPr>
  </w:style>
  <w:style w:type="paragraph" w:styleId="23">
    <w:name w:val="index 5"/>
    <w:basedOn w:val="1"/>
    <w:next w:val="1"/>
    <w:autoRedefine/>
    <w:semiHidden/>
    <w:qFormat/>
    <w:uiPriority w:val="0"/>
    <w:pPr>
      <w:ind w:left="1200" w:hanging="240"/>
    </w:pPr>
  </w:style>
  <w:style w:type="paragraph" w:styleId="24">
    <w:name w:val="List Bullet"/>
    <w:basedOn w:val="1"/>
    <w:semiHidden/>
    <w:qFormat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Cambria" w:hAnsi="Cambria"/>
      <w:szCs w:val="24"/>
    </w:rPr>
  </w:style>
  <w:style w:type="paragraph" w:styleId="26">
    <w:name w:val="Document Map"/>
    <w:basedOn w:val="1"/>
    <w:link w:val="122"/>
    <w:semiHidden/>
    <w:qFormat/>
    <w:uiPriority w:val="0"/>
    <w:rPr>
      <w:rFonts w:ascii="Tahoma" w:hAnsi="Tahoma" w:cs="Tahoma"/>
      <w:sz w:val="16"/>
      <w:szCs w:val="16"/>
    </w:r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Cambria" w:hAnsi="Cambria"/>
      <w:b/>
      <w:bCs/>
      <w:szCs w:val="24"/>
    </w:rPr>
  </w:style>
  <w:style w:type="paragraph" w:styleId="28">
    <w:name w:val="annotation text"/>
    <w:basedOn w:val="1"/>
    <w:link w:val="119"/>
    <w:semiHidden/>
    <w:qFormat/>
    <w:uiPriority w:val="0"/>
    <w:rPr>
      <w:sz w:val="20"/>
    </w:rPr>
  </w:style>
  <w:style w:type="paragraph" w:styleId="29">
    <w:name w:val="index 6"/>
    <w:basedOn w:val="1"/>
    <w:next w:val="1"/>
    <w:autoRedefine/>
    <w:semiHidden/>
    <w:qFormat/>
    <w:uiPriority w:val="0"/>
    <w:pPr>
      <w:ind w:left="1440" w:hanging="240"/>
    </w:pPr>
  </w:style>
  <w:style w:type="paragraph" w:styleId="30">
    <w:name w:val="Salutation"/>
    <w:basedOn w:val="1"/>
    <w:next w:val="1"/>
    <w:link w:val="140"/>
    <w:semiHidden/>
    <w:qFormat/>
    <w:uiPriority w:val="0"/>
  </w:style>
  <w:style w:type="paragraph" w:styleId="31">
    <w:name w:val="Body Text 3"/>
    <w:basedOn w:val="1"/>
    <w:link w:val="112"/>
    <w:semiHidden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8"/>
    <w:semiHidden/>
    <w:qFormat/>
    <w:uiPriority w:val="0"/>
    <w:pPr>
      <w:ind w:left="432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10"/>
    <w:semiHidden/>
    <w:qFormat/>
    <w:uiPriority w:val="0"/>
    <w:pPr>
      <w:spacing w:after="120"/>
    </w:pPr>
  </w:style>
  <w:style w:type="paragraph" w:styleId="35">
    <w:name w:val="Body Text Indent"/>
    <w:basedOn w:val="1"/>
    <w:link w:val="114"/>
    <w:semiHidden/>
    <w:qFormat/>
    <w:uiPriority w:val="0"/>
    <w:pPr>
      <w:spacing w:after="120"/>
      <w:ind w:left="36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qFormat/>
    <w:uiPriority w:val="0"/>
    <w:pPr>
      <w:ind w:left="720" w:hanging="360"/>
      <w:contextualSpacing/>
    </w:pPr>
  </w:style>
  <w:style w:type="paragraph" w:styleId="38">
    <w:name w:val="List Continue"/>
    <w:basedOn w:val="1"/>
    <w:semiHidden/>
    <w:qFormat/>
    <w:uiPriority w:val="0"/>
    <w:pPr>
      <w:spacing w:after="120"/>
      <w:ind w:left="360"/>
      <w:contextualSpacing/>
    </w:pPr>
  </w:style>
  <w:style w:type="paragraph" w:styleId="39">
    <w:name w:val="Block Text"/>
    <w:basedOn w:val="1"/>
    <w:semiHidden/>
    <w:qFormat/>
    <w:uiPriority w:val="0"/>
    <w:pPr>
      <w:spacing w:after="120"/>
      <w:ind w:left="1440" w:right="144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28"/>
    <w:semiHidden/>
    <w:qFormat/>
    <w:uiPriority w:val="0"/>
    <w:rPr>
      <w:i/>
      <w:iCs/>
    </w:rPr>
  </w:style>
  <w:style w:type="paragraph" w:styleId="42">
    <w:name w:val="index 4"/>
    <w:basedOn w:val="1"/>
    <w:next w:val="1"/>
    <w:autoRedefine/>
    <w:semiHidden/>
    <w:qFormat/>
    <w:uiPriority w:val="0"/>
    <w:pPr>
      <w:ind w:left="960" w:hanging="240"/>
    </w:pPr>
  </w:style>
  <w:style w:type="paragraph" w:styleId="43">
    <w:name w:val="toc 5"/>
    <w:basedOn w:val="1"/>
    <w:next w:val="1"/>
    <w:autoRedefine/>
    <w:semiHidden/>
    <w:qFormat/>
    <w:uiPriority w:val="0"/>
    <w:pPr>
      <w:ind w:left="960"/>
    </w:pPr>
  </w:style>
  <w:style w:type="paragraph" w:styleId="44">
    <w:name w:val="toc 3"/>
    <w:basedOn w:val="1"/>
    <w:next w:val="1"/>
    <w:autoRedefine/>
    <w:semiHidden/>
    <w:qFormat/>
    <w:uiPriority w:val="0"/>
    <w:pPr>
      <w:ind w:left="480"/>
    </w:pPr>
  </w:style>
  <w:style w:type="paragraph" w:styleId="45">
    <w:name w:val="Plain Text"/>
    <w:basedOn w:val="1"/>
    <w:link w:val="137"/>
    <w:semiHidden/>
    <w:qFormat/>
    <w:uiPriority w:val="0"/>
    <w:rPr>
      <w:rFonts w:ascii="Courier New" w:hAnsi="Courier New" w:cs="Courier New"/>
      <w:sz w:val="20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qFormat/>
    <w:uiPriority w:val="0"/>
    <w:pPr>
      <w:ind w:left="1680"/>
    </w:pPr>
  </w:style>
  <w:style w:type="paragraph" w:styleId="49">
    <w:name w:val="index 3"/>
    <w:basedOn w:val="1"/>
    <w:next w:val="1"/>
    <w:autoRedefine/>
    <w:semiHidden/>
    <w:qFormat/>
    <w:uiPriority w:val="0"/>
    <w:pPr>
      <w:ind w:left="720" w:hanging="240"/>
    </w:pPr>
  </w:style>
  <w:style w:type="paragraph" w:styleId="50">
    <w:name w:val="Date"/>
    <w:basedOn w:val="1"/>
    <w:next w:val="1"/>
    <w:link w:val="121"/>
    <w:semiHidden/>
    <w:qFormat/>
    <w:uiPriority w:val="0"/>
  </w:style>
  <w:style w:type="paragraph" w:styleId="51">
    <w:name w:val="Body Text Indent 2"/>
    <w:basedOn w:val="1"/>
    <w:link w:val="116"/>
    <w:semiHidden/>
    <w:qFormat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124"/>
    <w:semiHidden/>
    <w:qFormat/>
    <w:uiPriority w:val="0"/>
    <w:rPr>
      <w:sz w:val="20"/>
    </w:rPr>
  </w:style>
  <w:style w:type="paragraph" w:styleId="53">
    <w:name w:val="List Continue 5"/>
    <w:basedOn w:val="1"/>
    <w:semiHidden/>
    <w:qFormat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108"/>
    <w:semiHidden/>
    <w:qFormat/>
    <w:uiPriority w:val="0"/>
    <w:rPr>
      <w:rFonts w:ascii="Tahoma" w:hAnsi="Tahoma" w:cs="Tahoma"/>
      <w:sz w:val="16"/>
      <w:szCs w:val="16"/>
    </w:rPr>
  </w:style>
  <w:style w:type="paragraph" w:styleId="55">
    <w:name w:val="footer"/>
    <w:basedOn w:val="1"/>
    <w:link w:val="125"/>
    <w:semiHidden/>
    <w:qFormat/>
    <w:uiPriority w:val="0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semiHidden/>
    <w:qFormat/>
    <w:uiPriority w:val="0"/>
    <w:rPr>
      <w:rFonts w:ascii="Cambria" w:hAnsi="Cambria"/>
      <w:sz w:val="20"/>
    </w:rPr>
  </w:style>
  <w:style w:type="paragraph" w:styleId="57">
    <w:name w:val="header"/>
    <w:basedOn w:val="1"/>
    <w:link w:val="127"/>
    <w:semiHidden/>
    <w:qFormat/>
    <w:uiPriority w:val="0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141"/>
    <w:semiHidden/>
    <w:qFormat/>
    <w:uiPriority w:val="0"/>
    <w:pPr>
      <w:ind w:left="4320"/>
    </w:pPr>
  </w:style>
  <w:style w:type="paragraph" w:styleId="59">
    <w:name w:val="toc 1"/>
    <w:basedOn w:val="1"/>
    <w:next w:val="1"/>
    <w:autoRedefine/>
    <w:semiHidden/>
    <w:qFormat/>
    <w:uiPriority w:val="0"/>
  </w:style>
  <w:style w:type="paragraph" w:styleId="60">
    <w:name w:val="List Continue 4"/>
    <w:basedOn w:val="1"/>
    <w:semiHidden/>
    <w:qFormat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autoRedefine/>
    <w:semiHidden/>
    <w:qFormat/>
    <w:uiPriority w:val="0"/>
    <w:pPr>
      <w:ind w:left="720"/>
    </w:pPr>
  </w:style>
  <w:style w:type="paragraph" w:styleId="62">
    <w:name w:val="index heading"/>
    <w:basedOn w:val="1"/>
    <w:next w:val="63"/>
    <w:semiHidden/>
    <w:qFormat/>
    <w:uiPriority w:val="0"/>
    <w:rPr>
      <w:rFonts w:ascii="Cambria" w:hAnsi="Cambria"/>
      <w:b/>
      <w:bCs/>
    </w:rPr>
  </w:style>
  <w:style w:type="paragraph" w:styleId="63">
    <w:name w:val="index 1"/>
    <w:basedOn w:val="1"/>
    <w:next w:val="1"/>
    <w:autoRedefine/>
    <w:semiHidden/>
    <w:qFormat/>
    <w:uiPriority w:val="0"/>
    <w:pPr>
      <w:ind w:left="240" w:hanging="240"/>
    </w:pPr>
  </w:style>
  <w:style w:type="paragraph" w:styleId="64">
    <w:name w:val="Subtitle"/>
    <w:basedOn w:val="1"/>
    <w:next w:val="1"/>
    <w:link w:val="142"/>
    <w:semiHidden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65">
    <w:name w:val="List Number 5"/>
    <w:basedOn w:val="1"/>
    <w:semiHidden/>
    <w:qFormat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qFormat/>
    <w:uiPriority w:val="0"/>
    <w:pPr>
      <w:ind w:left="360" w:hanging="360"/>
      <w:contextualSpacing/>
    </w:pPr>
  </w:style>
  <w:style w:type="paragraph" w:styleId="67">
    <w:name w:val="footnote text"/>
    <w:basedOn w:val="1"/>
    <w:link w:val="126"/>
    <w:semiHidden/>
    <w:qFormat/>
    <w:uiPriority w:val="0"/>
    <w:rPr>
      <w:sz w:val="20"/>
    </w:rPr>
  </w:style>
  <w:style w:type="paragraph" w:styleId="68">
    <w:name w:val="toc 6"/>
    <w:basedOn w:val="1"/>
    <w:next w:val="1"/>
    <w:autoRedefine/>
    <w:semiHidden/>
    <w:qFormat/>
    <w:uiPriority w:val="0"/>
    <w:pPr>
      <w:ind w:left="1200"/>
    </w:pPr>
  </w:style>
  <w:style w:type="paragraph" w:styleId="69">
    <w:name w:val="List 5"/>
    <w:basedOn w:val="1"/>
    <w:semiHidden/>
    <w:qFormat/>
    <w:uiPriority w:val="0"/>
    <w:pPr>
      <w:ind w:left="1800" w:hanging="360"/>
      <w:contextualSpacing/>
    </w:pPr>
  </w:style>
  <w:style w:type="paragraph" w:styleId="70">
    <w:name w:val="Body Text Indent 3"/>
    <w:basedOn w:val="1"/>
    <w:link w:val="117"/>
    <w:semiHidden/>
    <w:qFormat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qFormat/>
    <w:uiPriority w:val="0"/>
    <w:pPr>
      <w:ind w:left="1680" w:hanging="240"/>
    </w:pPr>
  </w:style>
  <w:style w:type="paragraph" w:styleId="72">
    <w:name w:val="index 9"/>
    <w:basedOn w:val="1"/>
    <w:next w:val="1"/>
    <w:autoRedefine/>
    <w:semiHidden/>
    <w:qFormat/>
    <w:uiPriority w:val="0"/>
    <w:pPr>
      <w:ind w:left="2160" w:hanging="240"/>
    </w:pPr>
  </w:style>
  <w:style w:type="paragraph" w:styleId="73">
    <w:name w:val="table of figures"/>
    <w:basedOn w:val="1"/>
    <w:next w:val="1"/>
    <w:semiHidden/>
    <w:qFormat/>
    <w:uiPriority w:val="0"/>
  </w:style>
  <w:style w:type="paragraph" w:styleId="74">
    <w:name w:val="toc 2"/>
    <w:basedOn w:val="1"/>
    <w:next w:val="1"/>
    <w:autoRedefine/>
    <w:semiHidden/>
    <w:qFormat/>
    <w:uiPriority w:val="0"/>
    <w:pPr>
      <w:ind w:left="240"/>
    </w:pPr>
  </w:style>
  <w:style w:type="paragraph" w:styleId="75">
    <w:name w:val="toc 9"/>
    <w:basedOn w:val="1"/>
    <w:next w:val="1"/>
    <w:autoRedefine/>
    <w:semiHidden/>
    <w:qFormat/>
    <w:uiPriority w:val="0"/>
    <w:pPr>
      <w:ind w:left="1920"/>
    </w:pPr>
  </w:style>
  <w:style w:type="paragraph" w:styleId="76">
    <w:name w:val="Body Text 2"/>
    <w:basedOn w:val="1"/>
    <w:link w:val="111"/>
    <w:semiHidden/>
    <w:qFormat/>
    <w:uiPriority w:val="0"/>
    <w:pPr>
      <w:spacing w:after="120" w:line="480" w:lineRule="auto"/>
    </w:pPr>
  </w:style>
  <w:style w:type="paragraph" w:styleId="77">
    <w:name w:val="List 4"/>
    <w:basedOn w:val="1"/>
    <w:semiHidden/>
    <w:qFormat/>
    <w:uiPriority w:val="0"/>
    <w:pPr>
      <w:ind w:left="1440" w:hanging="360"/>
      <w:contextualSpacing/>
    </w:pPr>
  </w:style>
  <w:style w:type="paragraph" w:styleId="78">
    <w:name w:val="List Continue 2"/>
    <w:basedOn w:val="1"/>
    <w:semiHidden/>
    <w:qFormat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134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80">
    <w:name w:val="HTML Preformatted"/>
    <w:basedOn w:val="1"/>
    <w:link w:val="129"/>
    <w:semiHidden/>
    <w:qFormat/>
    <w:uiPriority w:val="0"/>
    <w:rPr>
      <w:rFonts w:ascii="Courier New" w:hAnsi="Courier New" w:cs="Courier New"/>
      <w:sz w:val="20"/>
    </w:rPr>
  </w:style>
  <w:style w:type="paragraph" w:styleId="81">
    <w:name w:val="Normal (Web)"/>
    <w:basedOn w:val="1"/>
    <w:semiHidden/>
    <w:qFormat/>
    <w:uiPriority w:val="0"/>
    <w:rPr>
      <w:szCs w:val="24"/>
    </w:rPr>
  </w:style>
  <w:style w:type="paragraph" w:styleId="82">
    <w:name w:val="List Continue 3"/>
    <w:basedOn w:val="1"/>
    <w:semiHidden/>
    <w:qFormat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autoRedefine/>
    <w:semiHidden/>
    <w:qFormat/>
    <w:uiPriority w:val="0"/>
    <w:pPr>
      <w:ind w:left="480" w:hanging="240"/>
    </w:pPr>
  </w:style>
  <w:style w:type="paragraph" w:styleId="84">
    <w:name w:val="Title"/>
    <w:basedOn w:val="1"/>
    <w:next w:val="1"/>
    <w:link w:val="143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85">
    <w:name w:val="annotation subject"/>
    <w:basedOn w:val="28"/>
    <w:next w:val="28"/>
    <w:link w:val="120"/>
    <w:semiHidden/>
    <w:qFormat/>
    <w:uiPriority w:val="0"/>
    <w:rPr>
      <w:b/>
      <w:bCs/>
    </w:rPr>
  </w:style>
  <w:style w:type="paragraph" w:styleId="86">
    <w:name w:val="Body Text First Indent"/>
    <w:basedOn w:val="34"/>
    <w:link w:val="113"/>
    <w:semiHidden/>
    <w:qFormat/>
    <w:uiPriority w:val="0"/>
    <w:pPr>
      <w:ind w:firstLine="210"/>
    </w:pPr>
  </w:style>
  <w:style w:type="paragraph" w:styleId="87">
    <w:name w:val="Body Text First Indent 2"/>
    <w:basedOn w:val="35"/>
    <w:link w:val="115"/>
    <w:semiHidden/>
    <w:qFormat/>
    <w:uiPriority w:val="0"/>
    <w:pPr>
      <w:ind w:firstLine="210"/>
    </w:pPr>
  </w:style>
  <w:style w:type="table" w:styleId="89">
    <w:name w:val="Table Grid"/>
    <w:basedOn w:val="88"/>
    <w:qFormat/>
    <w:uiPriority w:val="39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basedOn w:val="90"/>
    <w:semiHidden/>
    <w:qFormat/>
    <w:uiPriority w:val="0"/>
    <w:rPr>
      <w:b/>
    </w:rPr>
  </w:style>
  <w:style w:type="character" w:styleId="92">
    <w:name w:val="page number"/>
    <w:basedOn w:val="90"/>
    <w:semiHidden/>
    <w:qFormat/>
    <w:uiPriority w:val="0"/>
  </w:style>
  <w:style w:type="character" w:styleId="93">
    <w:name w:val="FollowedHyperlink"/>
    <w:semiHidden/>
    <w:unhideWhenUsed/>
    <w:qFormat/>
    <w:uiPriority w:val="99"/>
    <w:rPr>
      <w:color w:val="800080"/>
      <w:u w:val="single"/>
    </w:rPr>
  </w:style>
  <w:style w:type="character" w:styleId="94">
    <w:name w:val="line number"/>
    <w:basedOn w:val="90"/>
    <w:semiHidden/>
    <w:unhideWhenUsed/>
    <w:qFormat/>
    <w:uiPriority w:val="0"/>
  </w:style>
  <w:style w:type="character" w:styleId="95">
    <w:name w:val="Hyperlink"/>
    <w:semiHidden/>
    <w:qFormat/>
    <w:uiPriority w:val="99"/>
    <w:rPr>
      <w:color w:val="0000FF"/>
      <w:u w:val="single"/>
    </w:rPr>
  </w:style>
  <w:style w:type="character" w:styleId="96">
    <w:name w:val="annotation reference"/>
    <w:semiHidden/>
    <w:unhideWhenUsed/>
    <w:qFormat/>
    <w:uiPriority w:val="0"/>
    <w:rPr>
      <w:sz w:val="16"/>
      <w:szCs w:val="16"/>
    </w:rPr>
  </w:style>
  <w:style w:type="character" w:customStyle="1" w:styleId="97">
    <w:name w:val="标题 1 字符"/>
    <w:link w:val="3"/>
    <w:semiHidden/>
    <w:qFormat/>
    <w:uiPriority w:val="0"/>
    <w:rPr>
      <w:b/>
      <w:bCs/>
      <w:kern w:val="32"/>
      <w:sz w:val="24"/>
      <w:szCs w:val="24"/>
    </w:rPr>
  </w:style>
  <w:style w:type="character" w:customStyle="1" w:styleId="98">
    <w:name w:val="标题 2 字符"/>
    <w:link w:val="4"/>
    <w:semiHidden/>
    <w:qFormat/>
    <w:uiPriority w:val="0"/>
    <w:rPr>
      <w:rFonts w:ascii="Cambria" w:hAnsi="Cambria"/>
      <w:b/>
      <w:bCs/>
      <w:i/>
      <w:iCs/>
      <w:sz w:val="28"/>
      <w:szCs w:val="28"/>
    </w:rPr>
  </w:style>
  <w:style w:type="character" w:customStyle="1" w:styleId="99">
    <w:name w:val="标题 5 字符"/>
    <w:link w:val="7"/>
    <w:semiHidden/>
    <w:qFormat/>
    <w:uiPriority w:val="0"/>
    <w:rPr>
      <w:rFonts w:ascii="Calibri" w:hAnsi="Calibri"/>
      <w:b/>
      <w:bCs/>
      <w:i/>
      <w:iCs/>
      <w:sz w:val="26"/>
      <w:szCs w:val="26"/>
    </w:rPr>
  </w:style>
  <w:style w:type="character" w:customStyle="1" w:styleId="100">
    <w:name w:val="标题 6 字符"/>
    <w:link w:val="8"/>
    <w:semiHidden/>
    <w:qFormat/>
    <w:uiPriority w:val="0"/>
    <w:rPr>
      <w:rFonts w:ascii="Calibri" w:hAnsi="Calibri"/>
      <w:b/>
      <w:bCs/>
      <w:sz w:val="22"/>
      <w:szCs w:val="22"/>
    </w:rPr>
  </w:style>
  <w:style w:type="character" w:customStyle="1" w:styleId="101">
    <w:name w:val="标题 7 字符"/>
    <w:link w:val="9"/>
    <w:semiHidden/>
    <w:qFormat/>
    <w:uiPriority w:val="0"/>
    <w:rPr>
      <w:rFonts w:ascii="Calibri" w:hAnsi="Calibri"/>
      <w:sz w:val="24"/>
      <w:szCs w:val="24"/>
    </w:rPr>
  </w:style>
  <w:style w:type="character" w:customStyle="1" w:styleId="102">
    <w:name w:val="标题 8 字符"/>
    <w:link w:val="10"/>
    <w:semiHidden/>
    <w:qFormat/>
    <w:uiPriority w:val="0"/>
    <w:rPr>
      <w:rFonts w:ascii="Calibri" w:hAnsi="Calibri"/>
      <w:i/>
      <w:iCs/>
      <w:sz w:val="24"/>
      <w:szCs w:val="24"/>
    </w:rPr>
  </w:style>
  <w:style w:type="character" w:customStyle="1" w:styleId="103">
    <w:name w:val="标题 9 字符"/>
    <w:link w:val="11"/>
    <w:semiHidden/>
    <w:qFormat/>
    <w:uiPriority w:val="0"/>
    <w:rPr>
      <w:rFonts w:ascii="Cambria" w:hAnsi="Cambria"/>
      <w:sz w:val="22"/>
      <w:szCs w:val="22"/>
    </w:rPr>
  </w:style>
  <w:style w:type="paragraph" w:customStyle="1" w:styleId="104">
    <w:name w:val="SM Heading"/>
    <w:basedOn w:val="3"/>
    <w:qFormat/>
    <w:uiPriority w:val="0"/>
  </w:style>
  <w:style w:type="paragraph" w:customStyle="1" w:styleId="105">
    <w:name w:val="SM Subheading"/>
    <w:basedOn w:val="1"/>
    <w:qFormat/>
    <w:uiPriority w:val="0"/>
    <w:rPr>
      <w:u w:val="words"/>
    </w:rPr>
  </w:style>
  <w:style w:type="paragraph" w:customStyle="1" w:styleId="106">
    <w:name w:val="SM Text"/>
    <w:basedOn w:val="1"/>
    <w:qFormat/>
    <w:uiPriority w:val="0"/>
    <w:pPr>
      <w:ind w:firstLine="480"/>
    </w:pPr>
  </w:style>
  <w:style w:type="paragraph" w:customStyle="1" w:styleId="107">
    <w:name w:val="SM caption"/>
    <w:basedOn w:val="106"/>
    <w:qFormat/>
    <w:uiPriority w:val="0"/>
    <w:pPr>
      <w:ind w:firstLine="0"/>
    </w:pPr>
  </w:style>
  <w:style w:type="character" w:customStyle="1" w:styleId="108">
    <w:name w:val="批注框文本 字符"/>
    <w:link w:val="54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109">
    <w:name w:val="书目1"/>
    <w:basedOn w:val="1"/>
    <w:next w:val="1"/>
    <w:semiHidden/>
    <w:qFormat/>
    <w:uiPriority w:val="37"/>
  </w:style>
  <w:style w:type="character" w:customStyle="1" w:styleId="110">
    <w:name w:val="正文文本 字符"/>
    <w:link w:val="34"/>
    <w:semiHidden/>
    <w:qFormat/>
    <w:uiPriority w:val="0"/>
    <w:rPr>
      <w:sz w:val="24"/>
    </w:rPr>
  </w:style>
  <w:style w:type="character" w:customStyle="1" w:styleId="111">
    <w:name w:val="正文文本 2 字符"/>
    <w:link w:val="76"/>
    <w:semiHidden/>
    <w:qFormat/>
    <w:uiPriority w:val="0"/>
    <w:rPr>
      <w:sz w:val="24"/>
    </w:rPr>
  </w:style>
  <w:style w:type="character" w:customStyle="1" w:styleId="112">
    <w:name w:val="正文文本 3 字符"/>
    <w:link w:val="31"/>
    <w:semiHidden/>
    <w:qFormat/>
    <w:uiPriority w:val="0"/>
    <w:rPr>
      <w:sz w:val="16"/>
      <w:szCs w:val="16"/>
    </w:rPr>
  </w:style>
  <w:style w:type="character" w:customStyle="1" w:styleId="113">
    <w:name w:val="正文文本首行缩进 字符"/>
    <w:link w:val="86"/>
    <w:semiHidden/>
    <w:qFormat/>
    <w:uiPriority w:val="0"/>
    <w:rPr>
      <w:sz w:val="24"/>
    </w:rPr>
  </w:style>
  <w:style w:type="character" w:customStyle="1" w:styleId="114">
    <w:name w:val="正文文本缩进 字符"/>
    <w:link w:val="35"/>
    <w:semiHidden/>
    <w:qFormat/>
    <w:uiPriority w:val="0"/>
    <w:rPr>
      <w:sz w:val="24"/>
    </w:rPr>
  </w:style>
  <w:style w:type="character" w:customStyle="1" w:styleId="115">
    <w:name w:val="正文文本首行缩进 2 字符"/>
    <w:link w:val="87"/>
    <w:semiHidden/>
    <w:qFormat/>
    <w:uiPriority w:val="0"/>
    <w:rPr>
      <w:sz w:val="24"/>
    </w:rPr>
  </w:style>
  <w:style w:type="character" w:customStyle="1" w:styleId="116">
    <w:name w:val="正文文本缩进 2 字符"/>
    <w:link w:val="51"/>
    <w:semiHidden/>
    <w:qFormat/>
    <w:uiPriority w:val="0"/>
    <w:rPr>
      <w:sz w:val="24"/>
    </w:rPr>
  </w:style>
  <w:style w:type="character" w:customStyle="1" w:styleId="117">
    <w:name w:val="正文文本缩进 3 字符"/>
    <w:link w:val="70"/>
    <w:semiHidden/>
    <w:qFormat/>
    <w:uiPriority w:val="0"/>
    <w:rPr>
      <w:sz w:val="16"/>
      <w:szCs w:val="16"/>
    </w:rPr>
  </w:style>
  <w:style w:type="character" w:customStyle="1" w:styleId="118">
    <w:name w:val="结束语 字符"/>
    <w:link w:val="32"/>
    <w:semiHidden/>
    <w:qFormat/>
    <w:uiPriority w:val="0"/>
    <w:rPr>
      <w:sz w:val="24"/>
    </w:rPr>
  </w:style>
  <w:style w:type="character" w:customStyle="1" w:styleId="119">
    <w:name w:val="批注文字 字符"/>
    <w:basedOn w:val="90"/>
    <w:link w:val="28"/>
    <w:semiHidden/>
    <w:qFormat/>
    <w:uiPriority w:val="0"/>
  </w:style>
  <w:style w:type="character" w:customStyle="1" w:styleId="120">
    <w:name w:val="批注主题 字符"/>
    <w:link w:val="85"/>
    <w:semiHidden/>
    <w:qFormat/>
    <w:uiPriority w:val="0"/>
    <w:rPr>
      <w:b/>
      <w:bCs/>
    </w:rPr>
  </w:style>
  <w:style w:type="character" w:customStyle="1" w:styleId="121">
    <w:name w:val="日期 字符"/>
    <w:link w:val="50"/>
    <w:semiHidden/>
    <w:qFormat/>
    <w:uiPriority w:val="0"/>
    <w:rPr>
      <w:sz w:val="24"/>
    </w:rPr>
  </w:style>
  <w:style w:type="character" w:customStyle="1" w:styleId="122">
    <w:name w:val="文档结构图 字符"/>
    <w:link w:val="26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123">
    <w:name w:val="电子邮件签名 字符"/>
    <w:link w:val="19"/>
    <w:semiHidden/>
    <w:qFormat/>
    <w:uiPriority w:val="0"/>
    <w:rPr>
      <w:sz w:val="24"/>
    </w:rPr>
  </w:style>
  <w:style w:type="character" w:customStyle="1" w:styleId="124">
    <w:name w:val="尾注文本 字符"/>
    <w:basedOn w:val="90"/>
    <w:link w:val="52"/>
    <w:semiHidden/>
    <w:qFormat/>
    <w:uiPriority w:val="0"/>
  </w:style>
  <w:style w:type="character" w:customStyle="1" w:styleId="125">
    <w:name w:val="页脚 字符"/>
    <w:link w:val="55"/>
    <w:semiHidden/>
    <w:qFormat/>
    <w:uiPriority w:val="0"/>
    <w:rPr>
      <w:sz w:val="24"/>
    </w:rPr>
  </w:style>
  <w:style w:type="character" w:customStyle="1" w:styleId="126">
    <w:name w:val="脚注文本 字符"/>
    <w:basedOn w:val="90"/>
    <w:link w:val="67"/>
    <w:semiHidden/>
    <w:qFormat/>
    <w:uiPriority w:val="0"/>
  </w:style>
  <w:style w:type="character" w:customStyle="1" w:styleId="127">
    <w:name w:val="页眉 字符"/>
    <w:link w:val="57"/>
    <w:semiHidden/>
    <w:qFormat/>
    <w:uiPriority w:val="0"/>
    <w:rPr>
      <w:sz w:val="24"/>
    </w:rPr>
  </w:style>
  <w:style w:type="character" w:customStyle="1" w:styleId="128">
    <w:name w:val="HTML 地址 字符"/>
    <w:link w:val="41"/>
    <w:semiHidden/>
    <w:qFormat/>
    <w:uiPriority w:val="0"/>
    <w:rPr>
      <w:i/>
      <w:iCs/>
      <w:sz w:val="24"/>
    </w:rPr>
  </w:style>
  <w:style w:type="character" w:customStyle="1" w:styleId="129">
    <w:name w:val="HTML 预设格式 字符"/>
    <w:link w:val="80"/>
    <w:semiHidden/>
    <w:qFormat/>
    <w:uiPriority w:val="0"/>
    <w:rPr>
      <w:rFonts w:ascii="Courier New" w:hAnsi="Courier New" w:cs="Courier New"/>
    </w:rPr>
  </w:style>
  <w:style w:type="paragraph" w:styleId="130">
    <w:name w:val="Intense Quote"/>
    <w:basedOn w:val="1"/>
    <w:next w:val="1"/>
    <w:link w:val="131"/>
    <w:semiHidden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31">
    <w:name w:val="明显引用 字符"/>
    <w:link w:val="130"/>
    <w:semiHidden/>
    <w:qFormat/>
    <w:uiPriority w:val="30"/>
    <w:rPr>
      <w:b/>
      <w:bCs/>
      <w:i/>
      <w:iCs/>
      <w:color w:val="4F81BD"/>
      <w:sz w:val="24"/>
    </w:rPr>
  </w:style>
  <w:style w:type="paragraph" w:styleId="132">
    <w:name w:val="List Paragraph"/>
    <w:basedOn w:val="1"/>
    <w:semiHidden/>
    <w:qFormat/>
    <w:uiPriority w:val="34"/>
    <w:pPr>
      <w:ind w:left="720"/>
    </w:pPr>
  </w:style>
  <w:style w:type="character" w:customStyle="1" w:styleId="133">
    <w:name w:val="宏文本 字符"/>
    <w:link w:val="2"/>
    <w:semiHidden/>
    <w:qFormat/>
    <w:uiPriority w:val="0"/>
    <w:rPr>
      <w:rFonts w:ascii="Courier New" w:hAnsi="Courier New" w:cs="Courier New"/>
      <w:lang w:val="en-US" w:eastAsia="en-US" w:bidi="ar-SA"/>
    </w:rPr>
  </w:style>
  <w:style w:type="character" w:customStyle="1" w:styleId="134">
    <w:name w:val="信息标题 字符"/>
    <w:link w:val="79"/>
    <w:semiHidden/>
    <w:qFormat/>
    <w:uiPriority w:val="0"/>
    <w:rPr>
      <w:rFonts w:ascii="Cambria" w:hAnsi="Cambria"/>
      <w:sz w:val="24"/>
      <w:szCs w:val="24"/>
      <w:shd w:val="pct20" w:color="auto" w:fill="auto"/>
    </w:rPr>
  </w:style>
  <w:style w:type="paragraph" w:styleId="135">
    <w:name w:val="No Spacing"/>
    <w:semiHidden/>
    <w:qFormat/>
    <w:uiPriority w:val="1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customStyle="1" w:styleId="136">
    <w:name w:val="注释标题 字符"/>
    <w:link w:val="16"/>
    <w:semiHidden/>
    <w:qFormat/>
    <w:uiPriority w:val="0"/>
    <w:rPr>
      <w:sz w:val="24"/>
    </w:rPr>
  </w:style>
  <w:style w:type="character" w:customStyle="1" w:styleId="137">
    <w:name w:val="纯文本 字符"/>
    <w:link w:val="45"/>
    <w:semiHidden/>
    <w:qFormat/>
    <w:uiPriority w:val="0"/>
    <w:rPr>
      <w:rFonts w:ascii="Courier New" w:hAnsi="Courier New" w:cs="Courier New"/>
    </w:rPr>
  </w:style>
  <w:style w:type="paragraph" w:styleId="138">
    <w:name w:val="Quote"/>
    <w:basedOn w:val="1"/>
    <w:next w:val="1"/>
    <w:link w:val="139"/>
    <w:semiHidden/>
    <w:qFormat/>
    <w:uiPriority w:val="29"/>
    <w:rPr>
      <w:i/>
      <w:iCs/>
      <w:color w:val="000000"/>
    </w:rPr>
  </w:style>
  <w:style w:type="character" w:customStyle="1" w:styleId="139">
    <w:name w:val="引用 字符"/>
    <w:link w:val="138"/>
    <w:semiHidden/>
    <w:qFormat/>
    <w:uiPriority w:val="29"/>
    <w:rPr>
      <w:i/>
      <w:iCs/>
      <w:color w:val="000000"/>
      <w:sz w:val="24"/>
    </w:rPr>
  </w:style>
  <w:style w:type="character" w:customStyle="1" w:styleId="140">
    <w:name w:val="称呼 字符"/>
    <w:link w:val="30"/>
    <w:semiHidden/>
    <w:qFormat/>
    <w:uiPriority w:val="0"/>
    <w:rPr>
      <w:sz w:val="24"/>
    </w:rPr>
  </w:style>
  <w:style w:type="character" w:customStyle="1" w:styleId="141">
    <w:name w:val="签名 字符"/>
    <w:link w:val="58"/>
    <w:semiHidden/>
    <w:qFormat/>
    <w:uiPriority w:val="0"/>
    <w:rPr>
      <w:sz w:val="24"/>
    </w:rPr>
  </w:style>
  <w:style w:type="character" w:customStyle="1" w:styleId="142">
    <w:name w:val="副标题 字符"/>
    <w:link w:val="64"/>
    <w:semiHidden/>
    <w:qFormat/>
    <w:uiPriority w:val="0"/>
    <w:rPr>
      <w:rFonts w:ascii="Cambria" w:hAnsi="Cambria"/>
      <w:sz w:val="24"/>
      <w:szCs w:val="24"/>
    </w:rPr>
  </w:style>
  <w:style w:type="character" w:customStyle="1" w:styleId="143">
    <w:name w:val="标题 字符"/>
    <w:link w:val="84"/>
    <w:qFormat/>
    <w:uiPriority w:val="10"/>
    <w:rPr>
      <w:rFonts w:ascii="Cambria" w:hAnsi="Cambria"/>
      <w:b/>
      <w:bCs/>
      <w:kern w:val="28"/>
      <w:sz w:val="32"/>
      <w:szCs w:val="32"/>
    </w:rPr>
  </w:style>
  <w:style w:type="paragraph" w:customStyle="1" w:styleId="144">
    <w:name w:val="TOC 标题1"/>
    <w:basedOn w:val="3"/>
    <w:next w:val="1"/>
    <w:semiHidden/>
    <w:unhideWhenUsed/>
    <w:qFormat/>
    <w:uiPriority w:val="39"/>
    <w:pPr>
      <w:outlineLvl w:val="9"/>
    </w:pPr>
    <w:rPr>
      <w:rFonts w:ascii="Cambria" w:hAnsi="Cambria"/>
      <w:sz w:val="32"/>
      <w:szCs w:val="32"/>
    </w:rPr>
  </w:style>
  <w:style w:type="character" w:customStyle="1" w:styleId="145">
    <w:name w:val="未处理的提及1"/>
    <w:basedOn w:val="90"/>
    <w:semiHidden/>
    <w:unhideWhenUsed/>
    <w:qFormat/>
    <w:uiPriority w:val="99"/>
    <w:rPr>
      <w:color w:val="808080"/>
      <w:shd w:val="clear" w:color="auto" w:fill="E6E6E6"/>
    </w:rPr>
  </w:style>
  <w:style w:type="paragraph" w:customStyle="1" w:styleId="146">
    <w:name w:val="Pub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7">
    <w:name w:val="Doi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8">
    <w:name w:val="Abstract/Summary"/>
    <w:basedOn w:val="1"/>
    <w:qFormat/>
    <w:uiPriority w:val="0"/>
    <w:pPr>
      <w:spacing w:before="120"/>
    </w:pPr>
    <w:rPr>
      <w:rFonts w:eastAsia="Times New Roman"/>
      <w:szCs w:val="24"/>
    </w:rPr>
  </w:style>
  <w:style w:type="character" w:customStyle="1" w:styleId="149">
    <w:name w:val="au_base"/>
    <w:qFormat/>
    <w:uiPriority w:val="0"/>
    <w:rPr>
      <w:sz w:val="24"/>
    </w:rPr>
  </w:style>
  <w:style w:type="paragraph" w:customStyle="1" w:styleId="150">
    <w:name w:val="修订1"/>
    <w:hidden/>
    <w:semiHidden/>
    <w:qFormat/>
    <w:uiPriority w:val="99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customStyle="1" w:styleId="151">
    <w:name w:val="msonormal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4.xml"/><Relationship Id="rId23" Type="http://schemas.openxmlformats.org/officeDocument/2006/relationships/customXml" Target="../customXml/item3.xml"/><Relationship Id="rId22" Type="http://schemas.openxmlformats.org/officeDocument/2006/relationships/customXml" Target="../customXml/item2.xml"/><Relationship Id="rId21" Type="http://schemas.openxmlformats.org/officeDocument/2006/relationships/customXml" Target="../customXml/item1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emf"/><Relationship Id="rId18" Type="http://schemas.openxmlformats.org/officeDocument/2006/relationships/image" Target="media/image13.tiff"/><Relationship Id="rId17" Type="http://schemas.openxmlformats.org/officeDocument/2006/relationships/image" Target="media/image12.tiff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6C972-A183-49AB-BF18-FB119101A461}">
  <ds:schemaRefs/>
</ds:datastoreItem>
</file>

<file path=customXml/itemProps2.xml><?xml version="1.0" encoding="utf-8"?>
<ds:datastoreItem xmlns:ds="http://schemas.openxmlformats.org/officeDocument/2006/customXml" ds:itemID="{189EB511-4EA3-483D-91D8-A9A18E01A6DB}">
  <ds:schemaRefs/>
</ds:datastoreItem>
</file>

<file path=customXml/itemProps3.xml><?xml version="1.0" encoding="utf-8"?>
<ds:datastoreItem xmlns:ds="http://schemas.openxmlformats.org/officeDocument/2006/customXml" ds:itemID="{606A6A5F-BF35-401C-A3A1-63045C831006}">
  <ds:schemaRefs/>
</ds:datastoreItem>
</file>

<file path=customXml/itemProps4.xml><?xml version="1.0" encoding="utf-8"?>
<ds:datastoreItem xmlns:ds="http://schemas.openxmlformats.org/officeDocument/2006/customXml" ds:itemID="{78F523CB-42AC-406D-90D9-CA3AE16CA9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AAAS</Company>
  <Pages>16</Pages>
  <Words>193</Words>
  <Characters>1187</Characters>
  <Lines>94</Lines>
  <Paragraphs>48</Paragraphs>
  <TotalTime>1</TotalTime>
  <ScaleCrop>false</ScaleCrop>
  <LinksUpToDate>false</LinksUpToDate>
  <CharactersWithSpaces>1369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2022-04-29T02:04:00Z</dcterms:created>
  <dc:creator>Brooks Hanson</dc:creator>
  <cp:lastModifiedBy>Mr.Li</cp:lastModifiedBy>
  <cp:lastPrinted>2018-01-11T19:53:00Z</cp:lastPrinted>
  <dcterms:modified xsi:type="dcterms:W3CDTF">2026-08-26T11:08:36Z</dcterms:modified>
  <dc:title>Supporting Online Material for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  <property fmtid="{D5CDD505-2E9C-101B-9397-08002B2CF9AE}" pid="3" name="KSOTemplateDocerSaveRecord">
    <vt:lpwstr>eyJoZGlkIjoiZDI2NDBjYzY5OGEzMDU3NjNlMzE0ZWExZWI2ZGRhMjAiLCJ1c2VySWQiOiI0MDMxMTM3NTQifQ==</vt:lpwstr>
  </property>
  <property fmtid="{D5CDD505-2E9C-101B-9397-08002B2CF9AE}" pid="4" name="KSOProductBuildVer">
    <vt:lpwstr>2052-12.1.0.28043</vt:lpwstr>
  </property>
  <property fmtid="{D5CDD505-2E9C-101B-9397-08002B2CF9AE}" pid="5" name="ICV">
    <vt:lpwstr>CDFA3BFAB9EB4CE4802CE74BD1645E75_12</vt:lpwstr>
  </property>
</Properties>
</file>