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90" w:rsidRPr="00FB61AC" w:rsidRDefault="00A55690" w:rsidP="00A55690">
      <w:pPr>
        <w:widowControl/>
        <w:spacing w:line="360" w:lineRule="auto"/>
        <w:rPr>
          <w:rFonts w:ascii="Times New Roman" w:hAnsi="Times New Roman"/>
          <w:color w:val="000000" w:themeColor="text1"/>
          <w:szCs w:val="24"/>
          <w:lang w:eastAsia="zh-HK"/>
        </w:rPr>
      </w:pPr>
      <w:proofErr w:type="gramStart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>Supplementary Figure 1.</w:t>
      </w:r>
      <w:proofErr w:type="gramEnd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 xml:space="preserve"> </w:t>
      </w:r>
      <w:proofErr w:type="spellStart"/>
      <w:proofErr w:type="gramStart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>HBx</w:t>
      </w:r>
      <w:proofErr w:type="spellEnd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 xml:space="preserve"> inducible system</w:t>
      </w:r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.</w:t>
      </w:r>
      <w:proofErr w:type="gramEnd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 xml:space="preserve"> </w:t>
      </w:r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Uncropped gel photos from Figure 1 showing the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HBx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amplicons in the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HBx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inducible system.</w:t>
      </w:r>
    </w:p>
    <w:p w:rsidR="00A55690" w:rsidRPr="00FB61AC" w:rsidRDefault="00A55690" w:rsidP="00A55690">
      <w:pPr>
        <w:widowControl/>
        <w:spacing w:line="360" w:lineRule="auto"/>
        <w:rPr>
          <w:rFonts w:ascii="Times New Roman" w:hAnsi="Times New Roman"/>
          <w:color w:val="000000" w:themeColor="text1"/>
          <w:szCs w:val="24"/>
          <w:lang w:eastAsia="zh-HK"/>
        </w:rPr>
      </w:pPr>
    </w:p>
    <w:p w:rsidR="00A55690" w:rsidRPr="00FB61AC" w:rsidRDefault="00A55690" w:rsidP="00A55690">
      <w:pPr>
        <w:widowControl/>
        <w:spacing w:line="360" w:lineRule="auto"/>
        <w:jc w:val="both"/>
        <w:rPr>
          <w:rFonts w:ascii="Times New Roman" w:hAnsi="Times New Roman"/>
          <w:color w:val="000000" w:themeColor="text1"/>
          <w:szCs w:val="24"/>
          <w:lang w:eastAsia="zh-HK"/>
        </w:rPr>
      </w:pPr>
      <w:proofErr w:type="gramStart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>Supplementary Figure 2.</w:t>
      </w:r>
      <w:proofErr w:type="gramEnd"/>
      <w:r w:rsidRPr="00FB61AC">
        <w:rPr>
          <w:rFonts w:ascii="Times New Roman" w:hAnsi="Times New Roman"/>
          <w:b/>
          <w:color w:val="000000" w:themeColor="text1"/>
          <w:szCs w:val="24"/>
          <w:lang w:eastAsia="zh-HK"/>
        </w:rPr>
        <w:t xml:space="preserve"> </w:t>
      </w:r>
      <w:proofErr w:type="spellStart"/>
      <w:r w:rsidRPr="00FB61AC">
        <w:rPr>
          <w:rFonts w:ascii="Times New Roman" w:hAnsi="Times New Roman"/>
          <w:b/>
          <w:bCs/>
          <w:color w:val="000000" w:themeColor="text1"/>
          <w:szCs w:val="24"/>
          <w:lang w:eastAsia="zh-HK"/>
        </w:rPr>
        <w:t>HBx</w:t>
      </w:r>
      <w:proofErr w:type="spellEnd"/>
      <w:r w:rsidRPr="00FB61AC">
        <w:rPr>
          <w:rFonts w:ascii="Times New Roman" w:hAnsi="Times New Roman"/>
          <w:b/>
          <w:bCs/>
          <w:color w:val="000000" w:themeColor="text1"/>
          <w:szCs w:val="24"/>
          <w:lang w:eastAsia="zh-HK"/>
        </w:rPr>
        <w:t xml:space="preserve"> promoted HCC cell invasion through ECM modification (Independent trial from Figure 6)</w:t>
      </w:r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. (A) MHCC97L and (B) Hep3B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HBx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knockdown HCC cells and their control cells were exposed to 20% and 1% O</w:t>
      </w:r>
      <w:r w:rsidRPr="00FB61AC">
        <w:rPr>
          <w:rFonts w:ascii="Times New Roman" w:hAnsi="Times New Roman"/>
          <w:color w:val="000000" w:themeColor="text1"/>
          <w:szCs w:val="24"/>
          <w:vertAlign w:val="subscript"/>
          <w:lang w:eastAsia="zh-HK"/>
        </w:rPr>
        <w:t>2</w:t>
      </w:r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for 48 hours. Conditioned media were collected and incubated with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matrigel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that was coated on the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Transwell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chambers. Conditioned media were removed. Parental </w:t>
      </w:r>
      <w:r w:rsidR="00B36F35">
        <w:rPr>
          <w:rFonts w:ascii="Times New Roman" w:hAnsi="Times New Roman"/>
          <w:color w:val="000000" w:themeColor="text1"/>
          <w:szCs w:val="24"/>
          <w:lang w:eastAsia="zh-HK"/>
        </w:rPr>
        <w:t>cancer</w:t>
      </w:r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cells in serum free conditioned media were seeded onto modified ECM coated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Transwell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chambers and allowed to invade for 24 hours. Parental </w:t>
      </w:r>
      <w:r w:rsidR="00B36F35">
        <w:rPr>
          <w:rFonts w:ascii="Times New Roman" w:hAnsi="Times New Roman"/>
          <w:color w:val="000000" w:themeColor="text1"/>
          <w:szCs w:val="24"/>
          <w:lang w:eastAsia="zh-HK"/>
        </w:rPr>
        <w:t>cancer</w:t>
      </w:r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cells invaded through the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matrigel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-coated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Transwells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 that were modified with conditioned media from the indicated HCC </w:t>
      </w:r>
      <w:proofErr w:type="spell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subclones</w:t>
      </w:r>
      <w:proofErr w:type="spellEnd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 xml:space="preserve">. Intensity of invaded cells were quantitated by Image J (area with invaded cells (purple)/ total area). Numbers of invaded cells were counted in at least 3 random fields. </w:t>
      </w:r>
      <w:proofErr w:type="gramStart"/>
      <w:r w:rsidRPr="00FB61AC">
        <w:rPr>
          <w:rFonts w:ascii="Times New Roman" w:hAnsi="Times New Roman"/>
          <w:color w:val="000000" w:themeColor="text1"/>
          <w:szCs w:val="24"/>
          <w:lang w:eastAsia="zh-HK"/>
        </w:rPr>
        <w:t>*p&lt;0.05, **P&lt;0.01, ***P&lt;0.001, Student’s t test.</w:t>
      </w:r>
      <w:proofErr w:type="gramEnd"/>
    </w:p>
    <w:p w:rsidR="00BC3CFA" w:rsidRDefault="00BC3CFA">
      <w:bookmarkStart w:id="0" w:name="_GoBack"/>
      <w:bookmarkEnd w:id="0"/>
    </w:p>
    <w:sectPr w:rsidR="00BC3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90"/>
    <w:rsid w:val="00777A22"/>
    <w:rsid w:val="00A55690"/>
    <w:rsid w:val="00B36F35"/>
    <w:rsid w:val="00BC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90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90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2018-03-22T11:35:00Z</dcterms:created>
  <dcterms:modified xsi:type="dcterms:W3CDTF">2018-03-22T11:35:00Z</dcterms:modified>
</cp:coreProperties>
</file>