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33C05" w:rsidRDefault="00D33C05" w:rsidP="00D33C05">
      <w:pPr>
        <w:spacing w:before="76" w:line="276" w:lineRule="auto"/>
        <w:rPr>
          <w:b/>
          <w:sz w:val="26"/>
        </w:rPr>
      </w:pPr>
      <w:r>
        <w:rPr>
          <w:b/>
          <w:sz w:val="26"/>
        </w:rPr>
        <w:t>Supplementary Materials and Methods</w:t>
      </w:r>
    </w:p>
    <w:p w:rsidR="00D33C05" w:rsidRPr="004F3272" w:rsidRDefault="00D33C05" w:rsidP="00D33C05">
      <w:pPr>
        <w:pStyle w:val="Brdtext"/>
        <w:spacing w:line="276" w:lineRule="auto"/>
        <w:rPr>
          <w:b/>
        </w:rPr>
      </w:pPr>
    </w:p>
    <w:p w:rsidR="00D33C05" w:rsidRDefault="00D33C05" w:rsidP="00D33C05">
      <w:pPr>
        <w:pStyle w:val="Rubrik1"/>
        <w:spacing w:before="203" w:line="276" w:lineRule="auto"/>
        <w:ind w:left="0"/>
      </w:pPr>
      <w:r>
        <w:rPr>
          <w:w w:val="105"/>
        </w:rPr>
        <w:t>Animal care and handling</w:t>
      </w:r>
    </w:p>
    <w:p w:rsidR="00D33C05" w:rsidRDefault="00D33C05" w:rsidP="00D33C05">
      <w:pPr>
        <w:pStyle w:val="Brdtext"/>
        <w:spacing w:line="276" w:lineRule="auto"/>
        <w:rPr>
          <w:b/>
          <w:sz w:val="23"/>
        </w:rPr>
      </w:pPr>
    </w:p>
    <w:p w:rsidR="00D33C05" w:rsidRDefault="00D33C05" w:rsidP="00D33C05">
      <w:pPr>
        <w:pStyle w:val="Brdtext"/>
        <w:spacing w:before="1" w:line="276" w:lineRule="auto"/>
        <w:ind w:right="132"/>
        <w:jc w:val="both"/>
      </w:pPr>
      <w:r>
        <w:rPr>
          <w:w w:val="105"/>
        </w:rPr>
        <w:t>We</w:t>
      </w:r>
      <w:r>
        <w:rPr>
          <w:spacing w:val="-4"/>
          <w:w w:val="105"/>
        </w:rPr>
        <w:t xml:space="preserve"> </w:t>
      </w:r>
      <w:r>
        <w:rPr>
          <w:w w:val="105"/>
        </w:rPr>
        <w:t>used</w:t>
      </w:r>
      <w:r>
        <w:rPr>
          <w:spacing w:val="-3"/>
          <w:w w:val="105"/>
        </w:rPr>
        <w:t xml:space="preserve"> </w:t>
      </w:r>
      <w:r>
        <w:rPr>
          <w:w w:val="105"/>
        </w:rPr>
        <w:t>a</w:t>
      </w:r>
      <w:r>
        <w:rPr>
          <w:spacing w:val="-3"/>
          <w:w w:val="105"/>
        </w:rPr>
        <w:t xml:space="preserve"> </w:t>
      </w:r>
      <w:r>
        <w:rPr>
          <w:w w:val="105"/>
        </w:rPr>
        <w:t>colitis-associated</w:t>
      </w:r>
      <w:r>
        <w:rPr>
          <w:spacing w:val="-2"/>
          <w:w w:val="105"/>
        </w:rPr>
        <w:t xml:space="preserve"> </w:t>
      </w:r>
      <w:r>
        <w:rPr>
          <w:w w:val="105"/>
        </w:rPr>
        <w:t>colon</w:t>
      </w:r>
      <w:r>
        <w:rPr>
          <w:spacing w:val="-2"/>
          <w:w w:val="105"/>
        </w:rPr>
        <w:t xml:space="preserve"> </w:t>
      </w:r>
      <w:r>
        <w:rPr>
          <w:w w:val="105"/>
        </w:rPr>
        <w:t>cancer</w:t>
      </w:r>
      <w:r>
        <w:rPr>
          <w:spacing w:val="-4"/>
          <w:w w:val="105"/>
        </w:rPr>
        <w:t xml:space="preserve"> </w:t>
      </w:r>
      <w:r>
        <w:rPr>
          <w:w w:val="105"/>
        </w:rPr>
        <w:t>(CAC)</w:t>
      </w:r>
      <w:r>
        <w:rPr>
          <w:spacing w:val="-3"/>
          <w:w w:val="105"/>
        </w:rPr>
        <w:t xml:space="preserve"> </w:t>
      </w:r>
      <w:r>
        <w:rPr>
          <w:w w:val="105"/>
        </w:rPr>
        <w:t>model</w:t>
      </w:r>
      <w:r>
        <w:rPr>
          <w:spacing w:val="-4"/>
          <w:w w:val="105"/>
        </w:rPr>
        <w:t xml:space="preserve"> </w:t>
      </w:r>
      <w:r>
        <w:rPr>
          <w:w w:val="105"/>
        </w:rPr>
        <w:t>of</w:t>
      </w:r>
      <w:r>
        <w:rPr>
          <w:spacing w:val="-3"/>
          <w:w w:val="105"/>
        </w:rPr>
        <w:t xml:space="preserve"> </w:t>
      </w:r>
      <w:r>
        <w:rPr>
          <w:w w:val="105"/>
        </w:rPr>
        <w:t>wild-type</w:t>
      </w:r>
      <w:r>
        <w:rPr>
          <w:spacing w:val="-3"/>
          <w:w w:val="105"/>
        </w:rPr>
        <w:t xml:space="preserve"> </w:t>
      </w:r>
      <w:r>
        <w:rPr>
          <w:w w:val="105"/>
        </w:rPr>
        <w:t>and</w:t>
      </w:r>
      <w:r>
        <w:rPr>
          <w:spacing w:val="-6"/>
          <w:w w:val="105"/>
        </w:rPr>
        <w:t xml:space="preserve"> </w:t>
      </w:r>
      <w:r>
        <w:rPr>
          <w:i/>
          <w:w w:val="105"/>
        </w:rPr>
        <w:t>cysltr2</w:t>
      </w:r>
      <w:r>
        <w:rPr>
          <w:i/>
          <w:w w:val="105"/>
          <w:vertAlign w:val="superscript"/>
        </w:rPr>
        <w:t>-/-</w:t>
      </w:r>
      <w:r>
        <w:rPr>
          <w:i/>
          <w:spacing w:val="-2"/>
          <w:w w:val="105"/>
        </w:rPr>
        <w:t xml:space="preserve"> </w:t>
      </w:r>
      <w:r>
        <w:rPr>
          <w:w w:val="105"/>
        </w:rPr>
        <w:t>mice</w:t>
      </w:r>
      <w:r>
        <w:rPr>
          <w:spacing w:val="-3"/>
          <w:w w:val="105"/>
        </w:rPr>
        <w:t xml:space="preserve"> </w:t>
      </w:r>
      <w:r>
        <w:rPr>
          <w:w w:val="105"/>
        </w:rPr>
        <w:t>on</w:t>
      </w:r>
      <w:r>
        <w:rPr>
          <w:spacing w:val="-2"/>
          <w:w w:val="105"/>
        </w:rPr>
        <w:t xml:space="preserve"> </w:t>
      </w:r>
      <w:r>
        <w:rPr>
          <w:w w:val="105"/>
        </w:rPr>
        <w:t xml:space="preserve">a C57BL/6N background in accordance with a previously described protocol </w:t>
      </w:r>
      <w:r w:rsidR="00A56177">
        <w:rPr>
          <w:color w:val="000000" w:themeColor="text1"/>
          <w:w w:val="105"/>
          <w:vertAlign w:val="superscript"/>
        </w:rPr>
        <w:t>24</w:t>
      </w:r>
      <w:r>
        <w:rPr>
          <w:w w:val="105"/>
        </w:rPr>
        <w:t>. Transgenic zebrafish (</w:t>
      </w:r>
      <w:r>
        <w:rPr>
          <w:i/>
          <w:w w:val="105"/>
        </w:rPr>
        <w:t>Danio rerio</w:t>
      </w:r>
      <w:r>
        <w:rPr>
          <w:w w:val="105"/>
        </w:rPr>
        <w:t xml:space="preserve">), </w:t>
      </w:r>
      <w:proofErr w:type="spellStart"/>
      <w:r>
        <w:rPr>
          <w:i/>
          <w:w w:val="105"/>
        </w:rPr>
        <w:t>Tg</w:t>
      </w:r>
      <w:proofErr w:type="spellEnd"/>
      <w:r>
        <w:rPr>
          <w:w w:val="105"/>
        </w:rPr>
        <w:t>(</w:t>
      </w:r>
      <w:r>
        <w:rPr>
          <w:i/>
          <w:w w:val="105"/>
        </w:rPr>
        <w:t>fli</w:t>
      </w:r>
      <w:proofErr w:type="gramStart"/>
      <w:r>
        <w:rPr>
          <w:i/>
          <w:w w:val="105"/>
        </w:rPr>
        <w:t>1:EGFP</w:t>
      </w:r>
      <w:proofErr w:type="gramEnd"/>
      <w:r>
        <w:rPr>
          <w:w w:val="105"/>
        </w:rPr>
        <w:t>), were handled and used in accordance with the national legislation of Sweden and the European Community guidelines for animal studies. All</w:t>
      </w:r>
      <w:r>
        <w:rPr>
          <w:spacing w:val="-14"/>
          <w:w w:val="105"/>
        </w:rPr>
        <w:t xml:space="preserve"> </w:t>
      </w:r>
      <w:r>
        <w:rPr>
          <w:w w:val="105"/>
        </w:rPr>
        <w:t>procedures</w:t>
      </w:r>
      <w:r>
        <w:rPr>
          <w:spacing w:val="-14"/>
          <w:w w:val="105"/>
        </w:rPr>
        <w:t xml:space="preserve"> </w:t>
      </w:r>
      <w:r>
        <w:rPr>
          <w:w w:val="105"/>
        </w:rPr>
        <w:t>were</w:t>
      </w:r>
      <w:r>
        <w:rPr>
          <w:spacing w:val="-13"/>
          <w:w w:val="105"/>
        </w:rPr>
        <w:t xml:space="preserve"> </w:t>
      </w:r>
      <w:r>
        <w:rPr>
          <w:w w:val="105"/>
        </w:rPr>
        <w:t>approved</w:t>
      </w:r>
      <w:r>
        <w:rPr>
          <w:spacing w:val="-15"/>
          <w:w w:val="105"/>
        </w:rPr>
        <w:t xml:space="preserve"> </w:t>
      </w:r>
      <w:r>
        <w:rPr>
          <w:w w:val="105"/>
        </w:rPr>
        <w:t>by</w:t>
      </w:r>
      <w:r>
        <w:rPr>
          <w:spacing w:val="-13"/>
          <w:w w:val="105"/>
        </w:rPr>
        <w:t xml:space="preserve"> </w:t>
      </w:r>
      <w:r>
        <w:rPr>
          <w:w w:val="105"/>
        </w:rPr>
        <w:t>the</w:t>
      </w:r>
      <w:r>
        <w:rPr>
          <w:spacing w:val="-13"/>
          <w:w w:val="105"/>
        </w:rPr>
        <w:t xml:space="preserve"> </w:t>
      </w:r>
      <w:r>
        <w:rPr>
          <w:w w:val="105"/>
        </w:rPr>
        <w:t>Ethical</w:t>
      </w:r>
      <w:r>
        <w:rPr>
          <w:spacing w:val="-14"/>
          <w:w w:val="105"/>
        </w:rPr>
        <w:t xml:space="preserve"> </w:t>
      </w:r>
      <w:r>
        <w:rPr>
          <w:w w:val="105"/>
        </w:rPr>
        <w:t>Committee</w:t>
      </w:r>
      <w:r>
        <w:rPr>
          <w:spacing w:val="-15"/>
          <w:w w:val="105"/>
        </w:rPr>
        <w:t xml:space="preserve"> </w:t>
      </w:r>
      <w:r>
        <w:rPr>
          <w:w w:val="105"/>
        </w:rPr>
        <w:t>at</w:t>
      </w:r>
      <w:r>
        <w:rPr>
          <w:spacing w:val="-14"/>
          <w:w w:val="105"/>
        </w:rPr>
        <w:t xml:space="preserve"> </w:t>
      </w:r>
      <w:r>
        <w:rPr>
          <w:w w:val="105"/>
        </w:rPr>
        <w:t>Malmö-Lund</w:t>
      </w:r>
      <w:r>
        <w:rPr>
          <w:spacing w:val="-13"/>
          <w:w w:val="105"/>
        </w:rPr>
        <w:t xml:space="preserve"> </w:t>
      </w:r>
      <w:r>
        <w:rPr>
          <w:w w:val="105"/>
        </w:rPr>
        <w:t>(permit</w:t>
      </w:r>
      <w:r>
        <w:rPr>
          <w:spacing w:val="-14"/>
          <w:w w:val="105"/>
        </w:rPr>
        <w:t xml:space="preserve"> </w:t>
      </w:r>
      <w:r>
        <w:rPr>
          <w:w w:val="105"/>
        </w:rPr>
        <w:t>no.</w:t>
      </w:r>
      <w:r>
        <w:rPr>
          <w:spacing w:val="-14"/>
          <w:w w:val="105"/>
        </w:rPr>
        <w:t xml:space="preserve"> </w:t>
      </w:r>
      <w:r>
        <w:rPr>
          <w:w w:val="105"/>
        </w:rPr>
        <w:t>M23-15, zebrafish larvae)</w:t>
      </w:r>
      <w:r w:rsidR="00A56177">
        <w:rPr>
          <w:spacing w:val="-6"/>
          <w:w w:val="105"/>
        </w:rPr>
        <w:t xml:space="preserve"> </w:t>
      </w:r>
      <w:r w:rsidR="00A56177" w:rsidRPr="00A56177">
        <w:rPr>
          <w:spacing w:val="-6"/>
          <w:w w:val="105"/>
          <w:vertAlign w:val="superscript"/>
        </w:rPr>
        <w:t>28</w:t>
      </w:r>
      <w:r>
        <w:rPr>
          <w:w w:val="105"/>
        </w:rPr>
        <w:t>.</w:t>
      </w:r>
    </w:p>
    <w:p w:rsidR="00D33C05" w:rsidRDefault="00D33C05" w:rsidP="00D33C05">
      <w:pPr>
        <w:pStyle w:val="Brdtext"/>
        <w:spacing w:line="276" w:lineRule="auto"/>
        <w:rPr>
          <w:sz w:val="28"/>
        </w:rPr>
      </w:pPr>
    </w:p>
    <w:p w:rsidR="00D33C05" w:rsidRDefault="00D33C05" w:rsidP="00D33C05">
      <w:pPr>
        <w:pStyle w:val="Rubrik1"/>
        <w:spacing w:before="202" w:line="276" w:lineRule="auto"/>
        <w:ind w:left="0"/>
      </w:pPr>
      <w:r>
        <w:rPr>
          <w:w w:val="105"/>
        </w:rPr>
        <w:t>Antibodies and reagents</w:t>
      </w:r>
    </w:p>
    <w:p w:rsidR="00D33C05" w:rsidRDefault="00D33C05" w:rsidP="00D33C05">
      <w:pPr>
        <w:pStyle w:val="Brdtext"/>
        <w:spacing w:before="1" w:line="276" w:lineRule="auto"/>
        <w:rPr>
          <w:b/>
          <w:sz w:val="23"/>
        </w:rPr>
      </w:pPr>
    </w:p>
    <w:p w:rsidR="00D33C05" w:rsidRDefault="00D33C05" w:rsidP="00D33C05">
      <w:pPr>
        <w:pStyle w:val="Brdtext"/>
        <w:spacing w:before="76" w:line="276" w:lineRule="auto"/>
        <w:ind w:right="134"/>
        <w:jc w:val="both"/>
      </w:pPr>
      <w:r>
        <w:rPr>
          <w:w w:val="105"/>
        </w:rPr>
        <w:t>The primary antibodies anti-CysLT</w:t>
      </w:r>
      <w:r>
        <w:rPr>
          <w:w w:val="105"/>
          <w:vertAlign w:val="subscript"/>
        </w:rPr>
        <w:t>2</w:t>
      </w:r>
      <w:r>
        <w:rPr>
          <w:w w:val="105"/>
        </w:rPr>
        <w:t>R (SC-27096), anti-Mucin-2 (SC-23171), anti-DCLK1 (SC-46312), and anti-α-tubulin (SC-32293) were procured from Santa Cruz Biotechnology, Dallas,</w:t>
      </w:r>
      <w:r>
        <w:rPr>
          <w:spacing w:val="-15"/>
          <w:w w:val="105"/>
        </w:rPr>
        <w:t xml:space="preserve"> </w:t>
      </w:r>
      <w:r>
        <w:rPr>
          <w:w w:val="105"/>
        </w:rPr>
        <w:t>TX,</w:t>
      </w:r>
      <w:r>
        <w:rPr>
          <w:spacing w:val="-15"/>
          <w:w w:val="105"/>
        </w:rPr>
        <w:t xml:space="preserve"> </w:t>
      </w:r>
      <w:r>
        <w:rPr>
          <w:w w:val="105"/>
        </w:rPr>
        <w:t>USA</w:t>
      </w:r>
      <w:r>
        <w:rPr>
          <w:spacing w:val="-14"/>
          <w:w w:val="105"/>
        </w:rPr>
        <w:t xml:space="preserve"> </w:t>
      </w:r>
      <w:r>
        <w:rPr>
          <w:w w:val="105"/>
        </w:rPr>
        <w:t>and</w:t>
      </w:r>
      <w:r>
        <w:rPr>
          <w:spacing w:val="-16"/>
          <w:w w:val="105"/>
        </w:rPr>
        <w:t xml:space="preserve"> </w:t>
      </w:r>
      <w:r>
        <w:rPr>
          <w:w w:val="105"/>
        </w:rPr>
        <w:t>used</w:t>
      </w:r>
      <w:r>
        <w:rPr>
          <w:spacing w:val="-14"/>
          <w:w w:val="105"/>
        </w:rPr>
        <w:t xml:space="preserve"> </w:t>
      </w:r>
      <w:r>
        <w:rPr>
          <w:w w:val="105"/>
        </w:rPr>
        <w:t>for</w:t>
      </w:r>
      <w:r>
        <w:rPr>
          <w:spacing w:val="-15"/>
          <w:w w:val="105"/>
        </w:rPr>
        <w:t xml:space="preserve"> </w:t>
      </w:r>
      <w:r>
        <w:rPr>
          <w:w w:val="105"/>
        </w:rPr>
        <w:t>immunoblotting</w:t>
      </w:r>
      <w:r>
        <w:rPr>
          <w:spacing w:val="-14"/>
          <w:w w:val="105"/>
        </w:rPr>
        <w:t xml:space="preserve"> </w:t>
      </w:r>
      <w:r>
        <w:rPr>
          <w:w w:val="105"/>
        </w:rPr>
        <w:t>and</w:t>
      </w:r>
      <w:r>
        <w:rPr>
          <w:spacing w:val="-14"/>
          <w:w w:val="105"/>
        </w:rPr>
        <w:t xml:space="preserve"> </w:t>
      </w:r>
      <w:r>
        <w:rPr>
          <w:w w:val="105"/>
        </w:rPr>
        <w:t>immunofluorescence,</w:t>
      </w:r>
      <w:r>
        <w:rPr>
          <w:spacing w:val="-15"/>
          <w:w w:val="105"/>
        </w:rPr>
        <w:t xml:space="preserve"> </w:t>
      </w:r>
      <w:r>
        <w:rPr>
          <w:w w:val="105"/>
        </w:rPr>
        <w:t>as</w:t>
      </w:r>
      <w:r>
        <w:rPr>
          <w:spacing w:val="-15"/>
          <w:w w:val="105"/>
        </w:rPr>
        <w:t xml:space="preserve"> </w:t>
      </w:r>
      <w:r>
        <w:rPr>
          <w:w w:val="105"/>
        </w:rPr>
        <w:t>described</w:t>
      </w:r>
      <w:r>
        <w:rPr>
          <w:spacing w:val="-14"/>
          <w:w w:val="105"/>
        </w:rPr>
        <w:t xml:space="preserve"> </w:t>
      </w:r>
      <w:r>
        <w:rPr>
          <w:w w:val="105"/>
        </w:rPr>
        <w:t>herein. Anti-</w:t>
      </w:r>
      <w:proofErr w:type="spellStart"/>
      <w:r>
        <w:rPr>
          <w:w w:val="105"/>
        </w:rPr>
        <w:t>PKA</w:t>
      </w:r>
      <w:proofErr w:type="spellEnd"/>
      <w:r>
        <w:rPr>
          <w:w w:val="105"/>
        </w:rPr>
        <w:t xml:space="preserve"> (α/β/γ catalytic subunit, phospho-T197; ab75991), anti-</w:t>
      </w:r>
      <w:proofErr w:type="spellStart"/>
      <w:r>
        <w:rPr>
          <w:w w:val="105"/>
        </w:rPr>
        <w:t>PKA</w:t>
      </w:r>
      <w:proofErr w:type="spellEnd"/>
      <w:r>
        <w:rPr>
          <w:w w:val="105"/>
        </w:rPr>
        <w:t xml:space="preserve"> (β catalytic subunit, phospho-S338; ab5816), and anti-GLI1 (ab49314) were obtained from Abcam, Cambridge, UK for the immunoblotting and immunofluorescence assays. The </w:t>
      </w:r>
      <w:proofErr w:type="spellStart"/>
      <w:r>
        <w:rPr>
          <w:w w:val="105"/>
        </w:rPr>
        <w:t>PKA</w:t>
      </w:r>
      <w:proofErr w:type="spellEnd"/>
      <w:r>
        <w:rPr>
          <w:w w:val="105"/>
        </w:rPr>
        <w:t xml:space="preserve"> inhibitor</w:t>
      </w:r>
      <w:r>
        <w:rPr>
          <w:spacing w:val="38"/>
          <w:w w:val="105"/>
        </w:rPr>
        <w:t xml:space="preserve"> </w:t>
      </w:r>
      <w:r>
        <w:rPr>
          <w:w w:val="105"/>
        </w:rPr>
        <w:t>(H89 dihydrochloride, kinase inhibitor, ab120341) used for cell culture experiments was from Abcam. Anti-GLI1 (ab151796, Abcam), anti-Mucin-2 (SC-15338), anti-CysLT</w:t>
      </w:r>
      <w:r>
        <w:rPr>
          <w:w w:val="105"/>
          <w:vertAlign w:val="subscript"/>
        </w:rPr>
        <w:t>2</w:t>
      </w:r>
      <w:r>
        <w:rPr>
          <w:w w:val="105"/>
        </w:rPr>
        <w:t xml:space="preserve">R (C- terminal, </w:t>
      </w:r>
      <w:proofErr w:type="spellStart"/>
      <w:r>
        <w:rPr>
          <w:w w:val="105"/>
        </w:rPr>
        <w:t>Innovagen</w:t>
      </w:r>
      <w:proofErr w:type="spellEnd"/>
      <w:r>
        <w:rPr>
          <w:w w:val="105"/>
        </w:rPr>
        <w:t>, Lund, Sweden) and anti-15-PGDH (NB200-179, Novus Biologicals, Centennial, CO, USA) were used for immunohistochemical analysis. Anti-ALDH1A1 (611195, BD Bioscience, USA), anti-SI (SAB2102141, Sigma, St. Louis, MO, USA), anti- CDX2 (3977S, Cell Signaling Technology, Leiden, The Netherlands), and anti-CDHR2 (</w:t>
      </w:r>
      <w:proofErr w:type="spellStart"/>
      <w:r>
        <w:rPr>
          <w:w w:val="105"/>
        </w:rPr>
        <w:t>PCLKC</w:t>
      </w:r>
      <w:proofErr w:type="spellEnd"/>
      <w:r>
        <w:rPr>
          <w:spacing w:val="-17"/>
          <w:w w:val="105"/>
        </w:rPr>
        <w:t xml:space="preserve"> </w:t>
      </w:r>
      <w:r>
        <w:rPr>
          <w:w w:val="105"/>
        </w:rPr>
        <w:t>monoclonal</w:t>
      </w:r>
      <w:r>
        <w:rPr>
          <w:spacing w:val="-17"/>
          <w:w w:val="105"/>
        </w:rPr>
        <w:t xml:space="preserve"> </w:t>
      </w:r>
      <w:r>
        <w:rPr>
          <w:w w:val="105"/>
        </w:rPr>
        <w:t>antibody</w:t>
      </w:r>
      <w:r>
        <w:rPr>
          <w:spacing w:val="-16"/>
          <w:w w:val="105"/>
        </w:rPr>
        <w:t xml:space="preserve"> </w:t>
      </w:r>
      <w:r>
        <w:rPr>
          <w:w w:val="105"/>
        </w:rPr>
        <w:t>(M01)</w:t>
      </w:r>
      <w:r>
        <w:rPr>
          <w:spacing w:val="-17"/>
          <w:w w:val="105"/>
        </w:rPr>
        <w:t xml:space="preserve"> </w:t>
      </w:r>
      <w:r>
        <w:rPr>
          <w:w w:val="105"/>
        </w:rPr>
        <w:t>clone</w:t>
      </w:r>
      <w:r>
        <w:rPr>
          <w:spacing w:val="-17"/>
          <w:w w:val="105"/>
        </w:rPr>
        <w:t xml:space="preserve"> </w:t>
      </w:r>
      <w:r>
        <w:rPr>
          <w:w w:val="105"/>
        </w:rPr>
        <w:t>1D2,</w:t>
      </w:r>
      <w:r>
        <w:rPr>
          <w:spacing w:val="-18"/>
          <w:w w:val="105"/>
        </w:rPr>
        <w:t xml:space="preserve"> </w:t>
      </w:r>
      <w:r>
        <w:rPr>
          <w:w w:val="105"/>
        </w:rPr>
        <w:t>H00054825-M01,</w:t>
      </w:r>
      <w:r>
        <w:rPr>
          <w:spacing w:val="-17"/>
          <w:w w:val="105"/>
        </w:rPr>
        <w:t xml:space="preserve"> </w:t>
      </w:r>
      <w:proofErr w:type="spellStart"/>
      <w:r>
        <w:rPr>
          <w:w w:val="105"/>
        </w:rPr>
        <w:t>Abnova</w:t>
      </w:r>
      <w:proofErr w:type="spellEnd"/>
      <w:r>
        <w:rPr>
          <w:w w:val="105"/>
        </w:rPr>
        <w:t>,</w:t>
      </w:r>
      <w:r>
        <w:rPr>
          <w:spacing w:val="-17"/>
          <w:w w:val="105"/>
        </w:rPr>
        <w:t xml:space="preserve"> </w:t>
      </w:r>
      <w:r>
        <w:rPr>
          <w:w w:val="105"/>
        </w:rPr>
        <w:t>Taipei,</w:t>
      </w:r>
      <w:r>
        <w:rPr>
          <w:spacing w:val="-17"/>
          <w:w w:val="105"/>
        </w:rPr>
        <w:t xml:space="preserve"> </w:t>
      </w:r>
      <w:r>
        <w:rPr>
          <w:w w:val="105"/>
        </w:rPr>
        <w:t>Taiwan) antibodies were obtained from the specified manufacturers unless otherwise stated.</w:t>
      </w:r>
      <w:r>
        <w:rPr>
          <w:spacing w:val="12"/>
          <w:w w:val="105"/>
        </w:rPr>
        <w:t xml:space="preserve"> </w:t>
      </w:r>
      <w:r>
        <w:rPr>
          <w:w w:val="105"/>
        </w:rPr>
        <w:t>The CysLT</w:t>
      </w:r>
      <w:r>
        <w:rPr>
          <w:w w:val="105"/>
          <w:vertAlign w:val="subscript"/>
        </w:rPr>
        <w:t>2</w:t>
      </w:r>
      <w:r>
        <w:rPr>
          <w:w w:val="105"/>
        </w:rPr>
        <w:t>R antagonist AP100984 was a kind gift from Dr. J. Evans, Amira Pharmaceuticals (San Diego, CA,</w:t>
      </w:r>
      <w:r>
        <w:rPr>
          <w:spacing w:val="-7"/>
          <w:w w:val="105"/>
        </w:rPr>
        <w:t xml:space="preserve"> </w:t>
      </w:r>
      <w:r>
        <w:rPr>
          <w:w w:val="105"/>
        </w:rPr>
        <w:t>USA).</w:t>
      </w:r>
    </w:p>
    <w:p w:rsidR="00D33C05" w:rsidRDefault="00D33C05" w:rsidP="00D33C05">
      <w:pPr>
        <w:pStyle w:val="Brdtext"/>
        <w:spacing w:line="276" w:lineRule="auto"/>
        <w:ind w:right="128"/>
        <w:jc w:val="both"/>
      </w:pPr>
    </w:p>
    <w:p w:rsidR="00D33C05" w:rsidRDefault="00D33C05" w:rsidP="00D33C05">
      <w:pPr>
        <w:pStyle w:val="Rubrik1"/>
        <w:spacing w:before="1" w:line="276" w:lineRule="auto"/>
        <w:ind w:left="0"/>
        <w:jc w:val="both"/>
      </w:pPr>
      <w:r>
        <w:rPr>
          <w:w w:val="105"/>
        </w:rPr>
        <w:t>Cell</w:t>
      </w:r>
      <w:r>
        <w:rPr>
          <w:spacing w:val="-20"/>
          <w:w w:val="105"/>
        </w:rPr>
        <w:t xml:space="preserve"> </w:t>
      </w:r>
      <w:r>
        <w:rPr>
          <w:w w:val="105"/>
        </w:rPr>
        <w:t>lines</w:t>
      </w:r>
      <w:r>
        <w:rPr>
          <w:spacing w:val="-20"/>
          <w:w w:val="105"/>
        </w:rPr>
        <w:t xml:space="preserve"> </w:t>
      </w:r>
      <w:r>
        <w:rPr>
          <w:w w:val="105"/>
        </w:rPr>
        <w:t>and</w:t>
      </w:r>
      <w:r>
        <w:rPr>
          <w:spacing w:val="-19"/>
          <w:w w:val="105"/>
        </w:rPr>
        <w:t xml:space="preserve"> </w:t>
      </w:r>
      <w:r>
        <w:rPr>
          <w:w w:val="105"/>
        </w:rPr>
        <w:t>reagents</w:t>
      </w:r>
    </w:p>
    <w:p w:rsidR="00D33C05" w:rsidRDefault="00D33C05" w:rsidP="00D33C05">
      <w:pPr>
        <w:pStyle w:val="Brdtext"/>
        <w:spacing w:before="11" w:line="276" w:lineRule="auto"/>
        <w:rPr>
          <w:b/>
        </w:rPr>
      </w:pPr>
    </w:p>
    <w:p w:rsidR="00D33C05" w:rsidRDefault="00D33C05" w:rsidP="00AB4864">
      <w:pPr>
        <w:pStyle w:val="Brdtext"/>
        <w:spacing w:line="276" w:lineRule="auto"/>
        <w:ind w:right="130"/>
        <w:jc w:val="both"/>
      </w:pPr>
      <w:r>
        <w:rPr>
          <w:w w:val="105"/>
        </w:rPr>
        <w:t>Three</w:t>
      </w:r>
      <w:r>
        <w:rPr>
          <w:spacing w:val="-4"/>
          <w:w w:val="105"/>
        </w:rPr>
        <w:t xml:space="preserve"> </w:t>
      </w:r>
      <w:r>
        <w:rPr>
          <w:w w:val="105"/>
        </w:rPr>
        <w:t>colon</w:t>
      </w:r>
      <w:r>
        <w:rPr>
          <w:spacing w:val="-4"/>
          <w:w w:val="105"/>
        </w:rPr>
        <w:t xml:space="preserve"> </w:t>
      </w:r>
      <w:r>
        <w:rPr>
          <w:w w:val="105"/>
        </w:rPr>
        <w:t>adenocarcinoma</w:t>
      </w:r>
      <w:r>
        <w:rPr>
          <w:spacing w:val="-4"/>
          <w:w w:val="105"/>
        </w:rPr>
        <w:t xml:space="preserve"> </w:t>
      </w:r>
      <w:r>
        <w:rPr>
          <w:w w:val="105"/>
        </w:rPr>
        <w:t>cell</w:t>
      </w:r>
      <w:r>
        <w:rPr>
          <w:spacing w:val="-4"/>
          <w:w w:val="105"/>
        </w:rPr>
        <w:t xml:space="preserve"> </w:t>
      </w:r>
      <w:r>
        <w:rPr>
          <w:w w:val="105"/>
        </w:rPr>
        <w:t>lines,</w:t>
      </w:r>
      <w:r>
        <w:rPr>
          <w:spacing w:val="-4"/>
          <w:w w:val="105"/>
        </w:rPr>
        <w:t xml:space="preserve"> </w:t>
      </w:r>
      <w:r>
        <w:rPr>
          <w:w w:val="105"/>
        </w:rPr>
        <w:t>HT-29</w:t>
      </w:r>
      <w:r>
        <w:rPr>
          <w:spacing w:val="-6"/>
          <w:w w:val="105"/>
        </w:rPr>
        <w:t xml:space="preserve"> </w:t>
      </w:r>
      <w:r>
        <w:rPr>
          <w:w w:val="105"/>
        </w:rPr>
        <w:t>(</w:t>
      </w:r>
      <w:proofErr w:type="spellStart"/>
      <w:r>
        <w:rPr>
          <w:w w:val="105"/>
        </w:rPr>
        <w:t>ATCC</w:t>
      </w:r>
      <w:proofErr w:type="spellEnd"/>
      <w:r>
        <w:rPr>
          <w:w w:val="105"/>
          <w:vertAlign w:val="superscript"/>
        </w:rPr>
        <w:t>®</w:t>
      </w:r>
      <w:r>
        <w:rPr>
          <w:spacing w:val="-4"/>
          <w:w w:val="105"/>
        </w:rPr>
        <w:t xml:space="preserve"> </w:t>
      </w:r>
      <w:r>
        <w:rPr>
          <w:w w:val="105"/>
        </w:rPr>
        <w:t>HTB-38™),</w:t>
      </w:r>
      <w:r>
        <w:rPr>
          <w:spacing w:val="-5"/>
          <w:w w:val="105"/>
        </w:rPr>
        <w:t xml:space="preserve"> </w:t>
      </w:r>
      <w:r>
        <w:rPr>
          <w:w w:val="105"/>
        </w:rPr>
        <w:t>Caco-2</w:t>
      </w:r>
      <w:r>
        <w:rPr>
          <w:spacing w:val="-4"/>
          <w:w w:val="105"/>
        </w:rPr>
        <w:t xml:space="preserve"> </w:t>
      </w:r>
      <w:r>
        <w:rPr>
          <w:w w:val="105"/>
        </w:rPr>
        <w:t>(</w:t>
      </w:r>
      <w:proofErr w:type="spellStart"/>
      <w:r>
        <w:rPr>
          <w:w w:val="105"/>
        </w:rPr>
        <w:t>ATCC</w:t>
      </w:r>
      <w:proofErr w:type="spellEnd"/>
      <w:r>
        <w:rPr>
          <w:w w:val="105"/>
          <w:vertAlign w:val="superscript"/>
        </w:rPr>
        <w:t>®</w:t>
      </w:r>
      <w:r>
        <w:rPr>
          <w:spacing w:val="-18"/>
          <w:w w:val="105"/>
        </w:rPr>
        <w:t xml:space="preserve"> </w:t>
      </w:r>
      <w:r>
        <w:rPr>
          <w:w w:val="105"/>
        </w:rPr>
        <w:t>HTB-37™), and HCT116 (</w:t>
      </w:r>
      <w:proofErr w:type="spellStart"/>
      <w:r>
        <w:rPr>
          <w:w w:val="105"/>
        </w:rPr>
        <w:t>ATCC</w:t>
      </w:r>
      <w:proofErr w:type="spellEnd"/>
      <w:r>
        <w:rPr>
          <w:w w:val="105"/>
          <w:vertAlign w:val="superscript"/>
        </w:rPr>
        <w:t>®</w:t>
      </w:r>
      <w:r>
        <w:rPr>
          <w:w w:val="105"/>
        </w:rPr>
        <w:t xml:space="preserve"> CCL-247™), were used in this study. HT-29, HCT116, and HCT116 (Dox-inducible </w:t>
      </w:r>
      <w:r>
        <w:rPr>
          <w:i/>
          <w:w w:val="105"/>
        </w:rPr>
        <w:t>shCYSLTR2</w:t>
      </w:r>
      <w:r>
        <w:rPr>
          <w:w w:val="105"/>
        </w:rPr>
        <w:t>) cells were cultured in McCoy’s 5A medium (</w:t>
      </w:r>
      <w:proofErr w:type="spellStart"/>
      <w:r>
        <w:rPr>
          <w:w w:val="105"/>
        </w:rPr>
        <w:t>HyClone</w:t>
      </w:r>
      <w:proofErr w:type="spellEnd"/>
      <w:r>
        <w:rPr>
          <w:w w:val="105"/>
          <w:vertAlign w:val="superscript"/>
        </w:rPr>
        <w:t>™</w:t>
      </w:r>
      <w:r>
        <w:rPr>
          <w:w w:val="105"/>
        </w:rPr>
        <w:t xml:space="preserve">, GE Healthcare Life Sciences, Pittsburgh, PA, USA) supplemented with </w:t>
      </w:r>
      <w:r>
        <w:rPr>
          <w:w w:val="105"/>
          <w:sz w:val="18"/>
        </w:rPr>
        <w:t>L</w:t>
      </w:r>
      <w:r>
        <w:rPr>
          <w:w w:val="105"/>
        </w:rPr>
        <w:t xml:space="preserve">-glutamine (1%), 10% fetal bovine serum, and 100 µg/mL penicillin-streptomycin. Caco-2 cells were maintained in minimum essential medium (MEM; Sigma Life Science, St. Louis, MO, USA) supplemented with </w:t>
      </w:r>
      <w:r>
        <w:rPr>
          <w:w w:val="105"/>
          <w:sz w:val="18"/>
        </w:rPr>
        <w:t>L</w:t>
      </w:r>
      <w:r>
        <w:rPr>
          <w:w w:val="105"/>
        </w:rPr>
        <w:t>-glutamine (1%), 20% fetal bovine serum, nonessential amino acids (1%), and 100 µg/mL penicillin-streptomycin. HEK293T (</w:t>
      </w:r>
      <w:proofErr w:type="spellStart"/>
      <w:r>
        <w:rPr>
          <w:w w:val="105"/>
        </w:rPr>
        <w:t>ATCC</w:t>
      </w:r>
      <w:proofErr w:type="spellEnd"/>
      <w:r>
        <w:rPr>
          <w:w w:val="105"/>
        </w:rPr>
        <w:t xml:space="preserve">® CRL-11268™) cells were cultured in </w:t>
      </w:r>
      <w:proofErr w:type="spellStart"/>
      <w:r>
        <w:rPr>
          <w:w w:val="105"/>
        </w:rPr>
        <w:t>DMEM</w:t>
      </w:r>
      <w:proofErr w:type="spellEnd"/>
      <w:r>
        <w:rPr>
          <w:w w:val="105"/>
        </w:rPr>
        <w:t xml:space="preserve"> (</w:t>
      </w:r>
      <w:proofErr w:type="spellStart"/>
      <w:r>
        <w:rPr>
          <w:w w:val="105"/>
        </w:rPr>
        <w:t>HyClone</w:t>
      </w:r>
      <w:proofErr w:type="spellEnd"/>
      <w:r>
        <w:rPr>
          <w:w w:val="105"/>
          <w:vertAlign w:val="superscript"/>
        </w:rPr>
        <w:t>™</w:t>
      </w:r>
      <w:r>
        <w:rPr>
          <w:w w:val="105"/>
        </w:rPr>
        <w:t>, GE Healthcare Life Sciences, Pittsburgh, PA, USA) supplemented with L-glutamine (1%), 10% fetal bovine serum,</w:t>
      </w:r>
      <w:r>
        <w:rPr>
          <w:spacing w:val="8"/>
          <w:w w:val="105"/>
        </w:rPr>
        <w:t xml:space="preserve"> </w:t>
      </w:r>
      <w:r>
        <w:rPr>
          <w:w w:val="105"/>
        </w:rPr>
        <w:t>and</w:t>
      </w:r>
      <w:r w:rsidR="00AB4864">
        <w:t xml:space="preserve"> </w:t>
      </w:r>
      <w:r>
        <w:rPr>
          <w:w w:val="105"/>
        </w:rPr>
        <w:t>100 µg/mL penicillin-streptomycin. All the cell lines were incubated in a humidified incubator with 5% CO</w:t>
      </w:r>
      <w:r>
        <w:rPr>
          <w:w w:val="105"/>
          <w:vertAlign w:val="subscript"/>
        </w:rPr>
        <w:t>2</w:t>
      </w:r>
      <w:r>
        <w:rPr>
          <w:w w:val="105"/>
        </w:rPr>
        <w:t xml:space="preserve"> at 37°C. The cells were regularly monitored for mycoplasma infection.</w:t>
      </w:r>
      <w:r>
        <w:rPr>
          <w:spacing w:val="-9"/>
          <w:w w:val="105"/>
        </w:rPr>
        <w:t xml:space="preserve"> </w:t>
      </w:r>
      <w:r>
        <w:rPr>
          <w:w w:val="105"/>
        </w:rPr>
        <w:t>The</w:t>
      </w:r>
      <w:r>
        <w:rPr>
          <w:spacing w:val="-9"/>
          <w:w w:val="105"/>
        </w:rPr>
        <w:t xml:space="preserve"> </w:t>
      </w:r>
      <w:r>
        <w:rPr>
          <w:w w:val="105"/>
        </w:rPr>
        <w:t>authenticity</w:t>
      </w:r>
      <w:r>
        <w:rPr>
          <w:spacing w:val="-8"/>
          <w:w w:val="105"/>
        </w:rPr>
        <w:t xml:space="preserve"> </w:t>
      </w:r>
      <w:r>
        <w:rPr>
          <w:w w:val="105"/>
        </w:rPr>
        <w:t>of</w:t>
      </w:r>
      <w:r>
        <w:rPr>
          <w:spacing w:val="-9"/>
          <w:w w:val="105"/>
        </w:rPr>
        <w:t xml:space="preserve"> </w:t>
      </w:r>
      <w:r>
        <w:rPr>
          <w:w w:val="105"/>
        </w:rPr>
        <w:t>the</w:t>
      </w:r>
      <w:r>
        <w:rPr>
          <w:spacing w:val="-9"/>
          <w:w w:val="105"/>
        </w:rPr>
        <w:t xml:space="preserve"> </w:t>
      </w:r>
      <w:r>
        <w:rPr>
          <w:w w:val="105"/>
        </w:rPr>
        <w:t>cell</w:t>
      </w:r>
      <w:r>
        <w:rPr>
          <w:spacing w:val="-9"/>
          <w:w w:val="105"/>
        </w:rPr>
        <w:t xml:space="preserve"> </w:t>
      </w:r>
      <w:r>
        <w:rPr>
          <w:w w:val="105"/>
        </w:rPr>
        <w:t>lines</w:t>
      </w:r>
      <w:r>
        <w:rPr>
          <w:spacing w:val="-9"/>
          <w:w w:val="105"/>
        </w:rPr>
        <w:t xml:space="preserve"> </w:t>
      </w:r>
      <w:r>
        <w:rPr>
          <w:w w:val="105"/>
        </w:rPr>
        <w:t>was</w:t>
      </w:r>
      <w:r>
        <w:rPr>
          <w:spacing w:val="-8"/>
          <w:w w:val="105"/>
        </w:rPr>
        <w:t xml:space="preserve"> </w:t>
      </w:r>
      <w:r>
        <w:rPr>
          <w:w w:val="105"/>
        </w:rPr>
        <w:t>confirmed</w:t>
      </w:r>
      <w:r>
        <w:rPr>
          <w:spacing w:val="-10"/>
          <w:w w:val="105"/>
        </w:rPr>
        <w:t xml:space="preserve"> </w:t>
      </w:r>
      <w:r>
        <w:rPr>
          <w:w w:val="105"/>
        </w:rPr>
        <w:t>by</w:t>
      </w:r>
      <w:r>
        <w:rPr>
          <w:spacing w:val="-9"/>
          <w:w w:val="105"/>
        </w:rPr>
        <w:t xml:space="preserve"> </w:t>
      </w:r>
      <w:r>
        <w:rPr>
          <w:w w:val="105"/>
        </w:rPr>
        <w:t>STR</w:t>
      </w:r>
      <w:r>
        <w:rPr>
          <w:spacing w:val="-9"/>
          <w:w w:val="105"/>
        </w:rPr>
        <w:t xml:space="preserve"> </w:t>
      </w:r>
      <w:r>
        <w:rPr>
          <w:w w:val="105"/>
        </w:rPr>
        <w:t>profiling</w:t>
      </w:r>
      <w:r>
        <w:rPr>
          <w:spacing w:val="-9"/>
          <w:w w:val="105"/>
        </w:rPr>
        <w:t xml:space="preserve"> </w:t>
      </w:r>
      <w:r>
        <w:rPr>
          <w:w w:val="105"/>
        </w:rPr>
        <w:t>(</w:t>
      </w:r>
      <w:proofErr w:type="spellStart"/>
      <w:r>
        <w:rPr>
          <w:w w:val="105"/>
        </w:rPr>
        <w:t>LGC</w:t>
      </w:r>
      <w:proofErr w:type="spellEnd"/>
      <w:r>
        <w:rPr>
          <w:spacing w:val="-8"/>
          <w:w w:val="105"/>
        </w:rPr>
        <w:t xml:space="preserve"> </w:t>
      </w:r>
      <w:r>
        <w:rPr>
          <w:w w:val="105"/>
        </w:rPr>
        <w:t xml:space="preserve">Standards, cell line authentication service, </w:t>
      </w:r>
      <w:proofErr w:type="spellStart"/>
      <w:r>
        <w:rPr>
          <w:w w:val="105"/>
        </w:rPr>
        <w:t>Teddington</w:t>
      </w:r>
      <w:proofErr w:type="spellEnd"/>
      <w:r>
        <w:rPr>
          <w:w w:val="105"/>
        </w:rPr>
        <w:t>,</w:t>
      </w:r>
      <w:r>
        <w:rPr>
          <w:spacing w:val="-18"/>
          <w:w w:val="105"/>
        </w:rPr>
        <w:t xml:space="preserve"> </w:t>
      </w:r>
      <w:r>
        <w:rPr>
          <w:w w:val="105"/>
        </w:rPr>
        <w:t>UK).</w:t>
      </w:r>
    </w:p>
    <w:p w:rsidR="00D33C05" w:rsidRDefault="00D33C05" w:rsidP="00D33C05">
      <w:pPr>
        <w:pStyle w:val="Brdtext"/>
        <w:spacing w:line="276" w:lineRule="auto"/>
        <w:ind w:left="135" w:right="128"/>
        <w:jc w:val="both"/>
      </w:pPr>
    </w:p>
    <w:p w:rsidR="00D33C05" w:rsidRDefault="00D33C05" w:rsidP="00D33C05">
      <w:pPr>
        <w:pStyle w:val="Brdtext"/>
        <w:spacing w:line="276" w:lineRule="auto"/>
        <w:ind w:left="135" w:right="128"/>
        <w:jc w:val="both"/>
      </w:pPr>
    </w:p>
    <w:p w:rsidR="00D33C05" w:rsidRDefault="00D33C05" w:rsidP="00D33C05">
      <w:pPr>
        <w:pStyle w:val="Rubrik1"/>
        <w:spacing w:line="276" w:lineRule="auto"/>
        <w:ind w:left="0"/>
        <w:jc w:val="both"/>
      </w:pPr>
      <w:proofErr w:type="spellStart"/>
      <w:r>
        <w:rPr>
          <w:w w:val="105"/>
        </w:rPr>
        <w:lastRenderedPageBreak/>
        <w:t>Colonosphere</w:t>
      </w:r>
      <w:proofErr w:type="spellEnd"/>
      <w:r>
        <w:rPr>
          <w:w w:val="105"/>
        </w:rPr>
        <w:t xml:space="preserve"> formation and quantification</w:t>
      </w:r>
    </w:p>
    <w:p w:rsidR="00D33C05" w:rsidRDefault="00D33C05" w:rsidP="00D33C05">
      <w:pPr>
        <w:pStyle w:val="Brdtext"/>
        <w:spacing w:line="276" w:lineRule="auto"/>
        <w:ind w:left="135" w:right="132"/>
        <w:jc w:val="both"/>
        <w:rPr>
          <w:b/>
          <w:sz w:val="23"/>
        </w:rPr>
      </w:pPr>
    </w:p>
    <w:p w:rsidR="00D33C05" w:rsidRDefault="00D33C05" w:rsidP="00D33C05">
      <w:pPr>
        <w:pStyle w:val="Brdtext"/>
        <w:spacing w:line="276" w:lineRule="auto"/>
        <w:ind w:right="132"/>
        <w:jc w:val="both"/>
      </w:pPr>
      <w:proofErr w:type="spellStart"/>
      <w:r>
        <w:rPr>
          <w:w w:val="105"/>
        </w:rPr>
        <w:t>Colonospheres</w:t>
      </w:r>
      <w:proofErr w:type="spellEnd"/>
      <w:r>
        <w:rPr>
          <w:w w:val="105"/>
        </w:rPr>
        <w:t xml:space="preserve"> were formed from HT-29 and Caco-2 cells using a previously described protocol </w:t>
      </w:r>
      <w:r w:rsidR="00A56177">
        <w:rPr>
          <w:w w:val="105"/>
          <w:vertAlign w:val="superscript"/>
        </w:rPr>
        <w:t>53</w:t>
      </w:r>
      <w:r>
        <w:rPr>
          <w:w w:val="105"/>
        </w:rPr>
        <w:t xml:space="preserve">. The number of </w:t>
      </w:r>
      <w:proofErr w:type="spellStart"/>
      <w:r>
        <w:rPr>
          <w:w w:val="105"/>
        </w:rPr>
        <w:t>colonospheres</w:t>
      </w:r>
      <w:proofErr w:type="spellEnd"/>
      <w:r>
        <w:rPr>
          <w:w w:val="105"/>
        </w:rPr>
        <w:t xml:space="preserve"> was quantified, and </w:t>
      </w:r>
      <w:proofErr w:type="spellStart"/>
      <w:r>
        <w:rPr>
          <w:w w:val="105"/>
        </w:rPr>
        <w:t>colonosphere</w:t>
      </w:r>
      <w:proofErr w:type="spellEnd"/>
      <w:r>
        <w:rPr>
          <w:w w:val="105"/>
        </w:rPr>
        <w:t xml:space="preserve"> size was calculated by measuring the diameter of the spheres with ImageJ software (NIH, Bethesda, MD, USA).</w:t>
      </w:r>
    </w:p>
    <w:p w:rsidR="00D33C05" w:rsidRDefault="00D33C05" w:rsidP="00D33C05">
      <w:pPr>
        <w:pStyle w:val="Rubrik1"/>
        <w:spacing w:before="78" w:line="276" w:lineRule="auto"/>
      </w:pPr>
    </w:p>
    <w:p w:rsidR="00D33C05" w:rsidRDefault="00D33C05" w:rsidP="00D33C05">
      <w:pPr>
        <w:pStyle w:val="Rubrik1"/>
        <w:spacing w:before="78" w:line="276" w:lineRule="auto"/>
        <w:ind w:left="0"/>
      </w:pPr>
      <w:r>
        <w:t>Dox-inducible CysLT</w:t>
      </w:r>
      <w:r>
        <w:rPr>
          <w:vertAlign w:val="subscript"/>
        </w:rPr>
        <w:t>2</w:t>
      </w:r>
      <w:r>
        <w:t>R stable knockout cell line</w:t>
      </w:r>
    </w:p>
    <w:p w:rsidR="00D33C05" w:rsidRDefault="00D33C05" w:rsidP="00D33C05">
      <w:pPr>
        <w:pStyle w:val="Brdtext"/>
        <w:spacing w:line="276" w:lineRule="auto"/>
        <w:rPr>
          <w:b/>
          <w:sz w:val="23"/>
        </w:rPr>
      </w:pPr>
    </w:p>
    <w:p w:rsidR="00D33C05" w:rsidRDefault="00D33C05" w:rsidP="00D33C05">
      <w:pPr>
        <w:pStyle w:val="Brdtext"/>
        <w:spacing w:line="276" w:lineRule="auto"/>
        <w:ind w:right="130"/>
        <w:jc w:val="both"/>
      </w:pPr>
      <w:r>
        <w:rPr>
          <w:w w:val="105"/>
        </w:rPr>
        <w:t>A</w:t>
      </w:r>
      <w:r>
        <w:rPr>
          <w:spacing w:val="-9"/>
          <w:w w:val="105"/>
        </w:rPr>
        <w:t xml:space="preserve"> </w:t>
      </w:r>
      <w:r>
        <w:rPr>
          <w:w w:val="105"/>
        </w:rPr>
        <w:t>cell</w:t>
      </w:r>
      <w:r>
        <w:rPr>
          <w:spacing w:val="-10"/>
          <w:w w:val="105"/>
        </w:rPr>
        <w:t xml:space="preserve"> </w:t>
      </w:r>
      <w:r>
        <w:rPr>
          <w:w w:val="105"/>
        </w:rPr>
        <w:t>line</w:t>
      </w:r>
      <w:r>
        <w:rPr>
          <w:spacing w:val="-9"/>
          <w:w w:val="105"/>
        </w:rPr>
        <w:t xml:space="preserve"> </w:t>
      </w:r>
      <w:r>
        <w:rPr>
          <w:w w:val="105"/>
        </w:rPr>
        <w:t>with</w:t>
      </w:r>
      <w:r>
        <w:rPr>
          <w:spacing w:val="-10"/>
          <w:w w:val="105"/>
        </w:rPr>
        <w:t xml:space="preserve"> </w:t>
      </w:r>
      <w:r>
        <w:rPr>
          <w:w w:val="105"/>
        </w:rPr>
        <w:t>Dox-inducible</w:t>
      </w:r>
      <w:r>
        <w:rPr>
          <w:spacing w:val="-10"/>
          <w:w w:val="105"/>
        </w:rPr>
        <w:t xml:space="preserve"> </w:t>
      </w:r>
      <w:r>
        <w:rPr>
          <w:w w:val="105"/>
        </w:rPr>
        <w:t>stable</w:t>
      </w:r>
      <w:r>
        <w:rPr>
          <w:spacing w:val="-11"/>
          <w:w w:val="105"/>
        </w:rPr>
        <w:t xml:space="preserve"> </w:t>
      </w:r>
      <w:r>
        <w:rPr>
          <w:w w:val="105"/>
        </w:rPr>
        <w:t>knockdown</w:t>
      </w:r>
      <w:r>
        <w:rPr>
          <w:spacing w:val="-10"/>
          <w:w w:val="105"/>
        </w:rPr>
        <w:t xml:space="preserve"> </w:t>
      </w:r>
      <w:r>
        <w:rPr>
          <w:w w:val="105"/>
        </w:rPr>
        <w:t>of</w:t>
      </w:r>
      <w:r>
        <w:rPr>
          <w:spacing w:val="-9"/>
          <w:w w:val="105"/>
        </w:rPr>
        <w:t xml:space="preserve"> </w:t>
      </w:r>
      <w:r>
        <w:rPr>
          <w:w w:val="105"/>
        </w:rPr>
        <w:t>CysLT</w:t>
      </w:r>
      <w:r>
        <w:rPr>
          <w:w w:val="105"/>
          <w:vertAlign w:val="subscript"/>
        </w:rPr>
        <w:t>2</w:t>
      </w:r>
      <w:r>
        <w:rPr>
          <w:w w:val="105"/>
        </w:rPr>
        <w:t>R</w:t>
      </w:r>
      <w:r>
        <w:rPr>
          <w:spacing w:val="-10"/>
          <w:w w:val="105"/>
        </w:rPr>
        <w:t xml:space="preserve"> </w:t>
      </w:r>
      <w:r>
        <w:rPr>
          <w:w w:val="105"/>
        </w:rPr>
        <w:t>was</w:t>
      </w:r>
      <w:r>
        <w:rPr>
          <w:spacing w:val="-9"/>
          <w:w w:val="105"/>
        </w:rPr>
        <w:t xml:space="preserve"> </w:t>
      </w:r>
      <w:r>
        <w:rPr>
          <w:w w:val="105"/>
        </w:rPr>
        <w:t>established</w:t>
      </w:r>
      <w:r>
        <w:rPr>
          <w:spacing w:val="-10"/>
          <w:w w:val="105"/>
        </w:rPr>
        <w:t xml:space="preserve"> </w:t>
      </w:r>
      <w:r>
        <w:rPr>
          <w:w w:val="105"/>
        </w:rPr>
        <w:t>from</w:t>
      </w:r>
      <w:r>
        <w:rPr>
          <w:spacing w:val="-10"/>
          <w:w w:val="105"/>
        </w:rPr>
        <w:t xml:space="preserve"> </w:t>
      </w:r>
      <w:r>
        <w:rPr>
          <w:w w:val="105"/>
        </w:rPr>
        <w:t xml:space="preserve">HCT116 colon cancer cells by following a previously described protocol </w:t>
      </w:r>
      <w:r w:rsidR="00A56177">
        <w:rPr>
          <w:w w:val="105"/>
          <w:vertAlign w:val="superscript"/>
        </w:rPr>
        <w:t>27</w:t>
      </w:r>
      <w:r>
        <w:rPr>
          <w:w w:val="105"/>
        </w:rPr>
        <w:t>. Briefly, HEK293T cells were transfected by the CaPO</w:t>
      </w:r>
      <w:r>
        <w:rPr>
          <w:w w:val="105"/>
          <w:vertAlign w:val="subscript"/>
        </w:rPr>
        <w:t>4</w:t>
      </w:r>
      <w:r>
        <w:rPr>
          <w:w w:val="105"/>
        </w:rPr>
        <w:t xml:space="preserve"> method with the pLKO.1 plasmid containing shRNA against </w:t>
      </w:r>
      <w:r>
        <w:rPr>
          <w:i/>
          <w:w w:val="105"/>
        </w:rPr>
        <w:t>CYSLTR2</w:t>
      </w:r>
      <w:r>
        <w:rPr>
          <w:i/>
          <w:spacing w:val="-13"/>
          <w:w w:val="105"/>
        </w:rPr>
        <w:t xml:space="preserve"> </w:t>
      </w:r>
      <w:r>
        <w:rPr>
          <w:w w:val="105"/>
        </w:rPr>
        <w:t>and</w:t>
      </w:r>
      <w:r>
        <w:rPr>
          <w:spacing w:val="-13"/>
          <w:w w:val="105"/>
        </w:rPr>
        <w:t xml:space="preserve"> </w:t>
      </w:r>
      <w:r>
        <w:rPr>
          <w:w w:val="105"/>
        </w:rPr>
        <w:t>a</w:t>
      </w:r>
      <w:r>
        <w:rPr>
          <w:spacing w:val="-12"/>
          <w:w w:val="105"/>
        </w:rPr>
        <w:t xml:space="preserve"> </w:t>
      </w:r>
      <w:r>
        <w:rPr>
          <w:w w:val="105"/>
        </w:rPr>
        <w:t>puromycin</w:t>
      </w:r>
      <w:r>
        <w:rPr>
          <w:spacing w:val="-13"/>
          <w:w w:val="105"/>
        </w:rPr>
        <w:t xml:space="preserve"> </w:t>
      </w:r>
      <w:r>
        <w:rPr>
          <w:w w:val="105"/>
        </w:rPr>
        <w:t>control</w:t>
      </w:r>
      <w:r>
        <w:rPr>
          <w:spacing w:val="-13"/>
          <w:w w:val="105"/>
        </w:rPr>
        <w:t xml:space="preserve"> </w:t>
      </w:r>
      <w:r>
        <w:rPr>
          <w:w w:val="105"/>
        </w:rPr>
        <w:t>gene</w:t>
      </w:r>
      <w:r>
        <w:rPr>
          <w:spacing w:val="-13"/>
          <w:w w:val="105"/>
        </w:rPr>
        <w:t xml:space="preserve"> </w:t>
      </w:r>
      <w:r>
        <w:rPr>
          <w:w w:val="105"/>
        </w:rPr>
        <w:t>in</w:t>
      </w:r>
      <w:r>
        <w:rPr>
          <w:spacing w:val="-13"/>
          <w:w w:val="105"/>
        </w:rPr>
        <w:t xml:space="preserve"> </w:t>
      </w:r>
      <w:r>
        <w:rPr>
          <w:w w:val="105"/>
        </w:rPr>
        <w:t>addition</w:t>
      </w:r>
      <w:r>
        <w:rPr>
          <w:spacing w:val="-12"/>
          <w:w w:val="105"/>
        </w:rPr>
        <w:t xml:space="preserve"> </w:t>
      </w:r>
      <w:r>
        <w:rPr>
          <w:w w:val="105"/>
        </w:rPr>
        <w:t>to</w:t>
      </w:r>
      <w:r>
        <w:rPr>
          <w:spacing w:val="-13"/>
          <w:w w:val="105"/>
        </w:rPr>
        <w:t xml:space="preserve"> </w:t>
      </w:r>
      <w:r>
        <w:rPr>
          <w:w w:val="105"/>
        </w:rPr>
        <w:t>the</w:t>
      </w:r>
      <w:r>
        <w:rPr>
          <w:spacing w:val="-14"/>
          <w:w w:val="105"/>
        </w:rPr>
        <w:t xml:space="preserve"> </w:t>
      </w:r>
      <w:r>
        <w:rPr>
          <w:w w:val="105"/>
        </w:rPr>
        <w:t>helper</w:t>
      </w:r>
      <w:r>
        <w:rPr>
          <w:spacing w:val="-12"/>
          <w:w w:val="105"/>
        </w:rPr>
        <w:t xml:space="preserve"> </w:t>
      </w:r>
      <w:r>
        <w:rPr>
          <w:w w:val="105"/>
        </w:rPr>
        <w:t>plasmids</w:t>
      </w:r>
      <w:r>
        <w:rPr>
          <w:spacing w:val="-13"/>
          <w:w w:val="105"/>
        </w:rPr>
        <w:t xml:space="preserve"> </w:t>
      </w:r>
      <w:proofErr w:type="spellStart"/>
      <w:r>
        <w:rPr>
          <w:w w:val="105"/>
        </w:rPr>
        <w:t>pHR</w:t>
      </w:r>
      <w:proofErr w:type="spellEnd"/>
      <w:r>
        <w:rPr>
          <w:spacing w:val="-12"/>
          <w:w w:val="105"/>
        </w:rPr>
        <w:t xml:space="preserve"> </w:t>
      </w:r>
      <w:r>
        <w:rPr>
          <w:w w:val="105"/>
        </w:rPr>
        <w:t>8.92</w:t>
      </w:r>
      <w:r>
        <w:rPr>
          <w:spacing w:val="-13"/>
          <w:w w:val="105"/>
        </w:rPr>
        <w:t xml:space="preserve"> </w:t>
      </w:r>
      <w:r>
        <w:rPr>
          <w:w w:val="105"/>
        </w:rPr>
        <w:t>and</w:t>
      </w:r>
      <w:r>
        <w:rPr>
          <w:spacing w:val="-13"/>
          <w:w w:val="105"/>
        </w:rPr>
        <w:t xml:space="preserve"> </w:t>
      </w:r>
      <w:r>
        <w:rPr>
          <w:w w:val="105"/>
        </w:rPr>
        <w:t>8.93 and PMDG2 (</w:t>
      </w:r>
      <w:proofErr w:type="spellStart"/>
      <w:r>
        <w:rPr>
          <w:w w:val="105"/>
        </w:rPr>
        <w:t>VSV</w:t>
      </w:r>
      <w:proofErr w:type="spellEnd"/>
      <w:r>
        <w:rPr>
          <w:w w:val="105"/>
        </w:rPr>
        <w:t xml:space="preserve"> envelope protein). The supernatant containing lentiviral particles was harvested</w:t>
      </w:r>
      <w:r>
        <w:rPr>
          <w:spacing w:val="-8"/>
          <w:w w:val="105"/>
        </w:rPr>
        <w:t xml:space="preserve"> </w:t>
      </w:r>
      <w:r>
        <w:rPr>
          <w:w w:val="105"/>
        </w:rPr>
        <w:t>after</w:t>
      </w:r>
      <w:r>
        <w:rPr>
          <w:spacing w:val="-8"/>
          <w:w w:val="105"/>
        </w:rPr>
        <w:t xml:space="preserve"> </w:t>
      </w:r>
      <w:r>
        <w:rPr>
          <w:w w:val="105"/>
        </w:rPr>
        <w:t>transfection,</w:t>
      </w:r>
      <w:r>
        <w:rPr>
          <w:spacing w:val="-9"/>
          <w:w w:val="105"/>
        </w:rPr>
        <w:t xml:space="preserve"> </w:t>
      </w:r>
      <w:r>
        <w:rPr>
          <w:w w:val="105"/>
        </w:rPr>
        <w:t>and</w:t>
      </w:r>
      <w:r>
        <w:rPr>
          <w:spacing w:val="-8"/>
          <w:w w:val="105"/>
        </w:rPr>
        <w:t xml:space="preserve"> </w:t>
      </w:r>
      <w:r>
        <w:rPr>
          <w:w w:val="105"/>
        </w:rPr>
        <w:t>the</w:t>
      </w:r>
      <w:r>
        <w:rPr>
          <w:spacing w:val="-8"/>
          <w:w w:val="105"/>
        </w:rPr>
        <w:t xml:space="preserve"> </w:t>
      </w:r>
      <w:r>
        <w:rPr>
          <w:w w:val="105"/>
        </w:rPr>
        <w:t>viral</w:t>
      </w:r>
      <w:r>
        <w:rPr>
          <w:spacing w:val="-8"/>
          <w:w w:val="105"/>
        </w:rPr>
        <w:t xml:space="preserve"> </w:t>
      </w:r>
      <w:r>
        <w:rPr>
          <w:w w:val="105"/>
        </w:rPr>
        <w:t>particles</w:t>
      </w:r>
      <w:r>
        <w:rPr>
          <w:spacing w:val="-9"/>
          <w:w w:val="105"/>
        </w:rPr>
        <w:t xml:space="preserve"> </w:t>
      </w:r>
      <w:r>
        <w:rPr>
          <w:w w:val="105"/>
        </w:rPr>
        <w:t>were</w:t>
      </w:r>
      <w:r>
        <w:rPr>
          <w:spacing w:val="-8"/>
          <w:w w:val="105"/>
        </w:rPr>
        <w:t xml:space="preserve"> </w:t>
      </w:r>
      <w:r>
        <w:rPr>
          <w:w w:val="105"/>
        </w:rPr>
        <w:t>used</w:t>
      </w:r>
      <w:r>
        <w:rPr>
          <w:spacing w:val="-8"/>
          <w:w w:val="105"/>
        </w:rPr>
        <w:t xml:space="preserve"> </w:t>
      </w:r>
      <w:r>
        <w:rPr>
          <w:w w:val="105"/>
        </w:rPr>
        <w:t>to</w:t>
      </w:r>
      <w:r>
        <w:rPr>
          <w:spacing w:val="-8"/>
          <w:w w:val="105"/>
        </w:rPr>
        <w:t xml:space="preserve"> </w:t>
      </w:r>
      <w:r>
        <w:rPr>
          <w:w w:val="105"/>
        </w:rPr>
        <w:t>infect</w:t>
      </w:r>
      <w:r>
        <w:rPr>
          <w:spacing w:val="-8"/>
          <w:w w:val="105"/>
        </w:rPr>
        <w:t xml:space="preserve"> </w:t>
      </w:r>
      <w:r>
        <w:rPr>
          <w:w w:val="105"/>
        </w:rPr>
        <w:t>HCT116</w:t>
      </w:r>
      <w:r>
        <w:rPr>
          <w:spacing w:val="-8"/>
          <w:w w:val="105"/>
        </w:rPr>
        <w:t xml:space="preserve"> </w:t>
      </w:r>
      <w:r>
        <w:rPr>
          <w:w w:val="105"/>
        </w:rPr>
        <w:t>cells</w:t>
      </w:r>
      <w:r>
        <w:rPr>
          <w:spacing w:val="-9"/>
          <w:w w:val="105"/>
        </w:rPr>
        <w:t xml:space="preserve"> </w:t>
      </w:r>
      <w:r>
        <w:rPr>
          <w:w w:val="105"/>
        </w:rPr>
        <w:t>for</w:t>
      </w:r>
      <w:r>
        <w:rPr>
          <w:spacing w:val="-8"/>
          <w:w w:val="105"/>
        </w:rPr>
        <w:t xml:space="preserve"> </w:t>
      </w:r>
      <w:r>
        <w:rPr>
          <w:w w:val="105"/>
        </w:rPr>
        <w:t>48</w:t>
      </w:r>
      <w:r>
        <w:rPr>
          <w:spacing w:val="-8"/>
          <w:w w:val="105"/>
        </w:rPr>
        <w:t xml:space="preserve"> </w:t>
      </w:r>
      <w:r>
        <w:rPr>
          <w:w w:val="105"/>
        </w:rPr>
        <w:t>h. Viability</w:t>
      </w:r>
      <w:r>
        <w:rPr>
          <w:spacing w:val="-9"/>
          <w:w w:val="105"/>
        </w:rPr>
        <w:t xml:space="preserve"> </w:t>
      </w:r>
      <w:r>
        <w:rPr>
          <w:w w:val="105"/>
        </w:rPr>
        <w:t>was</w:t>
      </w:r>
      <w:r>
        <w:rPr>
          <w:spacing w:val="-8"/>
          <w:w w:val="105"/>
        </w:rPr>
        <w:t xml:space="preserve"> </w:t>
      </w:r>
      <w:r>
        <w:rPr>
          <w:w w:val="105"/>
        </w:rPr>
        <w:t>monitored</w:t>
      </w:r>
      <w:r>
        <w:rPr>
          <w:spacing w:val="-9"/>
          <w:w w:val="105"/>
        </w:rPr>
        <w:t xml:space="preserve"> </w:t>
      </w:r>
      <w:r>
        <w:rPr>
          <w:w w:val="105"/>
        </w:rPr>
        <w:t>post-infection.</w:t>
      </w:r>
      <w:r>
        <w:rPr>
          <w:spacing w:val="-8"/>
          <w:w w:val="105"/>
        </w:rPr>
        <w:t xml:space="preserve"> </w:t>
      </w:r>
      <w:r>
        <w:rPr>
          <w:w w:val="105"/>
        </w:rPr>
        <w:t>The</w:t>
      </w:r>
      <w:r>
        <w:rPr>
          <w:spacing w:val="-9"/>
          <w:w w:val="105"/>
        </w:rPr>
        <w:t xml:space="preserve"> </w:t>
      </w:r>
      <w:proofErr w:type="spellStart"/>
      <w:r>
        <w:rPr>
          <w:w w:val="105"/>
        </w:rPr>
        <w:t>GFP</w:t>
      </w:r>
      <w:proofErr w:type="spellEnd"/>
      <w:r>
        <w:rPr>
          <w:w w:val="105"/>
        </w:rPr>
        <w:t>-positive</w:t>
      </w:r>
      <w:r>
        <w:rPr>
          <w:spacing w:val="-9"/>
          <w:w w:val="105"/>
        </w:rPr>
        <w:t xml:space="preserve"> </w:t>
      </w:r>
      <w:r>
        <w:rPr>
          <w:w w:val="105"/>
        </w:rPr>
        <w:t>populations</w:t>
      </w:r>
      <w:r>
        <w:rPr>
          <w:spacing w:val="-8"/>
          <w:w w:val="105"/>
        </w:rPr>
        <w:t xml:space="preserve"> </w:t>
      </w:r>
      <w:r>
        <w:rPr>
          <w:w w:val="105"/>
        </w:rPr>
        <w:t>of</w:t>
      </w:r>
      <w:r>
        <w:rPr>
          <w:spacing w:val="-8"/>
          <w:w w:val="105"/>
        </w:rPr>
        <w:t xml:space="preserve"> </w:t>
      </w:r>
      <w:r>
        <w:rPr>
          <w:w w:val="105"/>
        </w:rPr>
        <w:t>HCT116</w:t>
      </w:r>
      <w:r>
        <w:rPr>
          <w:spacing w:val="-9"/>
          <w:w w:val="105"/>
        </w:rPr>
        <w:t xml:space="preserve"> </w:t>
      </w:r>
      <w:r>
        <w:rPr>
          <w:w w:val="105"/>
        </w:rPr>
        <w:t>cells</w:t>
      </w:r>
      <w:r>
        <w:rPr>
          <w:spacing w:val="-8"/>
          <w:w w:val="105"/>
        </w:rPr>
        <w:t xml:space="preserve"> </w:t>
      </w:r>
      <w:r>
        <w:rPr>
          <w:w w:val="105"/>
        </w:rPr>
        <w:t>were sorted using a flow cytometry-based sorter (FACS ARIA, BD Biosciences, San Jose, CA, USA; data not shown), and the efficiency of the knockdown of the desired gene was determined by treatment with 1 µM doxycycline (Dox) for 24-72 h. Prior to LTC</w:t>
      </w:r>
      <w:r>
        <w:rPr>
          <w:w w:val="105"/>
          <w:vertAlign w:val="subscript"/>
        </w:rPr>
        <w:t>4</w:t>
      </w:r>
      <w:r>
        <w:rPr>
          <w:w w:val="105"/>
        </w:rPr>
        <w:t xml:space="preserve"> stimulation,</w:t>
      </w:r>
      <w:r>
        <w:rPr>
          <w:spacing w:val="-7"/>
          <w:w w:val="105"/>
        </w:rPr>
        <w:t xml:space="preserve"> </w:t>
      </w:r>
      <w:r>
        <w:rPr>
          <w:w w:val="105"/>
        </w:rPr>
        <w:t>the</w:t>
      </w:r>
      <w:r>
        <w:rPr>
          <w:spacing w:val="-7"/>
          <w:w w:val="105"/>
        </w:rPr>
        <w:t xml:space="preserve"> </w:t>
      </w:r>
      <w:r>
        <w:rPr>
          <w:w w:val="105"/>
        </w:rPr>
        <w:t>cells</w:t>
      </w:r>
      <w:r>
        <w:rPr>
          <w:spacing w:val="-7"/>
          <w:w w:val="105"/>
        </w:rPr>
        <w:t xml:space="preserve"> </w:t>
      </w:r>
      <w:r>
        <w:rPr>
          <w:w w:val="105"/>
        </w:rPr>
        <w:t>were</w:t>
      </w:r>
      <w:r>
        <w:rPr>
          <w:spacing w:val="-7"/>
          <w:w w:val="105"/>
        </w:rPr>
        <w:t xml:space="preserve"> </w:t>
      </w:r>
      <w:r>
        <w:rPr>
          <w:w w:val="105"/>
        </w:rPr>
        <w:t>cultured</w:t>
      </w:r>
      <w:r>
        <w:rPr>
          <w:spacing w:val="-6"/>
          <w:w w:val="105"/>
        </w:rPr>
        <w:t xml:space="preserve"> </w:t>
      </w:r>
      <w:r>
        <w:rPr>
          <w:w w:val="105"/>
        </w:rPr>
        <w:t>in</w:t>
      </w:r>
      <w:r>
        <w:rPr>
          <w:spacing w:val="-7"/>
          <w:w w:val="105"/>
        </w:rPr>
        <w:t xml:space="preserve"> </w:t>
      </w:r>
      <w:r>
        <w:rPr>
          <w:w w:val="105"/>
        </w:rPr>
        <w:t>the</w:t>
      </w:r>
      <w:r>
        <w:rPr>
          <w:spacing w:val="-8"/>
          <w:w w:val="105"/>
        </w:rPr>
        <w:t xml:space="preserve"> </w:t>
      </w:r>
      <w:r>
        <w:rPr>
          <w:w w:val="105"/>
        </w:rPr>
        <w:t>presence</w:t>
      </w:r>
      <w:r>
        <w:rPr>
          <w:spacing w:val="-9"/>
          <w:w w:val="105"/>
        </w:rPr>
        <w:t xml:space="preserve"> </w:t>
      </w:r>
      <w:r>
        <w:rPr>
          <w:w w:val="105"/>
        </w:rPr>
        <w:t>or</w:t>
      </w:r>
      <w:r>
        <w:rPr>
          <w:spacing w:val="-7"/>
          <w:w w:val="105"/>
        </w:rPr>
        <w:t xml:space="preserve"> </w:t>
      </w:r>
      <w:r>
        <w:rPr>
          <w:w w:val="105"/>
        </w:rPr>
        <w:t>absence</w:t>
      </w:r>
      <w:r>
        <w:rPr>
          <w:spacing w:val="-8"/>
          <w:w w:val="105"/>
        </w:rPr>
        <w:t xml:space="preserve"> </w:t>
      </w:r>
      <w:r>
        <w:rPr>
          <w:w w:val="105"/>
        </w:rPr>
        <w:t>of</w:t>
      </w:r>
      <w:r>
        <w:rPr>
          <w:spacing w:val="-7"/>
          <w:w w:val="105"/>
        </w:rPr>
        <w:t xml:space="preserve"> </w:t>
      </w:r>
      <w:r>
        <w:rPr>
          <w:w w:val="105"/>
        </w:rPr>
        <w:t>1</w:t>
      </w:r>
      <w:r>
        <w:rPr>
          <w:spacing w:val="-8"/>
          <w:w w:val="105"/>
        </w:rPr>
        <w:t xml:space="preserve"> </w:t>
      </w:r>
      <w:r>
        <w:rPr>
          <w:w w:val="105"/>
        </w:rPr>
        <w:t>µM</w:t>
      </w:r>
      <w:r>
        <w:rPr>
          <w:spacing w:val="-7"/>
          <w:w w:val="105"/>
        </w:rPr>
        <w:t xml:space="preserve"> </w:t>
      </w:r>
      <w:r>
        <w:rPr>
          <w:w w:val="105"/>
        </w:rPr>
        <w:t>Dox</w:t>
      </w:r>
      <w:r>
        <w:rPr>
          <w:spacing w:val="-8"/>
          <w:w w:val="105"/>
        </w:rPr>
        <w:t xml:space="preserve"> </w:t>
      </w:r>
      <w:r>
        <w:rPr>
          <w:w w:val="105"/>
        </w:rPr>
        <w:t>for</w:t>
      </w:r>
      <w:r>
        <w:rPr>
          <w:spacing w:val="-7"/>
          <w:w w:val="105"/>
        </w:rPr>
        <w:t xml:space="preserve"> </w:t>
      </w:r>
      <w:r>
        <w:rPr>
          <w:w w:val="105"/>
        </w:rPr>
        <w:t>48</w:t>
      </w:r>
      <w:r>
        <w:rPr>
          <w:spacing w:val="-8"/>
          <w:w w:val="105"/>
        </w:rPr>
        <w:t xml:space="preserve"> </w:t>
      </w:r>
      <w:r>
        <w:rPr>
          <w:w w:val="105"/>
        </w:rPr>
        <w:t>h.</w:t>
      </w:r>
    </w:p>
    <w:p w:rsidR="00D33C05" w:rsidRDefault="00D33C05" w:rsidP="00D33C05">
      <w:pPr>
        <w:pStyle w:val="Brdtext"/>
        <w:spacing w:line="276" w:lineRule="auto"/>
        <w:rPr>
          <w:sz w:val="24"/>
        </w:rPr>
      </w:pPr>
    </w:p>
    <w:p w:rsidR="00D33C05" w:rsidRDefault="00D33C05" w:rsidP="00D33C05">
      <w:pPr>
        <w:pStyle w:val="Rubrik1"/>
        <w:spacing w:line="276" w:lineRule="auto"/>
        <w:ind w:left="0"/>
      </w:pPr>
      <w:r>
        <w:rPr>
          <w:w w:val="105"/>
        </w:rPr>
        <w:t>Western blot analysis</w:t>
      </w:r>
    </w:p>
    <w:p w:rsidR="00D33C05" w:rsidRDefault="00D33C05" w:rsidP="00D33C05">
      <w:pPr>
        <w:pStyle w:val="Brdtext"/>
        <w:spacing w:before="1" w:line="276" w:lineRule="auto"/>
        <w:rPr>
          <w:b/>
          <w:sz w:val="23"/>
        </w:rPr>
      </w:pPr>
    </w:p>
    <w:p w:rsidR="00D33C05" w:rsidRDefault="00D33C05" w:rsidP="00D33C05">
      <w:pPr>
        <w:pStyle w:val="Brdtext"/>
        <w:spacing w:line="276" w:lineRule="auto"/>
        <w:ind w:right="130"/>
        <w:jc w:val="both"/>
      </w:pPr>
      <w:r>
        <w:rPr>
          <w:w w:val="105"/>
        </w:rPr>
        <w:t xml:space="preserve">Proteins were isolated from whole-cell lysates and from the patient </w:t>
      </w:r>
      <w:proofErr w:type="spellStart"/>
      <w:r>
        <w:rPr>
          <w:w w:val="105"/>
        </w:rPr>
        <w:t>tumour</w:t>
      </w:r>
      <w:proofErr w:type="spellEnd"/>
      <w:r>
        <w:rPr>
          <w:w w:val="105"/>
        </w:rPr>
        <w:t xml:space="preserve"> and matched normal tissue as described previously </w:t>
      </w:r>
      <w:r w:rsidR="00A56177">
        <w:rPr>
          <w:w w:val="105"/>
          <w:vertAlign w:val="superscript"/>
        </w:rPr>
        <w:t>20</w:t>
      </w:r>
      <w:r>
        <w:rPr>
          <w:w w:val="105"/>
        </w:rPr>
        <w:t xml:space="preserve"> and </w:t>
      </w:r>
      <w:proofErr w:type="spellStart"/>
      <w:r>
        <w:rPr>
          <w:w w:val="105"/>
        </w:rPr>
        <w:t>analysed</w:t>
      </w:r>
      <w:proofErr w:type="spellEnd"/>
      <w:r>
        <w:rPr>
          <w:w w:val="105"/>
        </w:rPr>
        <w:t xml:space="preserve"> by sodium dodecyl sulfate- polyacrylamide gel electrophoresis (</w:t>
      </w:r>
      <w:proofErr w:type="spellStart"/>
      <w:r>
        <w:rPr>
          <w:w w:val="105"/>
        </w:rPr>
        <w:t>SDS</w:t>
      </w:r>
      <w:proofErr w:type="spellEnd"/>
      <w:r>
        <w:rPr>
          <w:w w:val="105"/>
        </w:rPr>
        <w:t>-PAGE) on 10% acrylamide gels. The separated proteins were then transferred to a polyvinylidene difluoride (PVDF) membrane and subjected to immunoblotting analysis according to the method described in a previous study</w:t>
      </w:r>
      <w:r w:rsidR="00A56177">
        <w:rPr>
          <w:w w:val="105"/>
          <w:vertAlign w:val="superscript"/>
        </w:rPr>
        <w:t>20</w:t>
      </w:r>
      <w:r>
        <w:rPr>
          <w:w w:val="105"/>
        </w:rPr>
        <w:t>.</w:t>
      </w:r>
      <w:r>
        <w:rPr>
          <w:position w:val="-9"/>
        </w:rPr>
        <w:t xml:space="preserve"> </w:t>
      </w:r>
    </w:p>
    <w:p w:rsidR="00D33C05" w:rsidRDefault="00D33C05" w:rsidP="00D33C05">
      <w:pPr>
        <w:pStyle w:val="Brdtext"/>
        <w:spacing w:line="276" w:lineRule="auto"/>
        <w:rPr>
          <w:sz w:val="28"/>
        </w:rPr>
      </w:pPr>
    </w:p>
    <w:p w:rsidR="00D33C05" w:rsidRDefault="00D33C05" w:rsidP="00D33C05">
      <w:pPr>
        <w:pStyle w:val="Rubrik1"/>
        <w:spacing w:before="218" w:line="276" w:lineRule="auto"/>
        <w:ind w:left="0"/>
      </w:pPr>
      <w:r>
        <w:rPr>
          <w:w w:val="105"/>
        </w:rPr>
        <w:t>Immunofluorescence analysis</w:t>
      </w:r>
    </w:p>
    <w:p w:rsidR="00D33C05" w:rsidRDefault="00D33C05" w:rsidP="00D33C05">
      <w:pPr>
        <w:pStyle w:val="Brdtext"/>
        <w:spacing w:before="1" w:line="276" w:lineRule="auto"/>
        <w:rPr>
          <w:b/>
          <w:sz w:val="23"/>
        </w:rPr>
      </w:pPr>
    </w:p>
    <w:p w:rsidR="00D33C05" w:rsidRPr="00B01619" w:rsidRDefault="00D33C05" w:rsidP="00D33C05">
      <w:pPr>
        <w:pStyle w:val="Brdtext"/>
        <w:spacing w:line="276" w:lineRule="auto"/>
        <w:ind w:right="131"/>
        <w:jc w:val="both"/>
        <w:sectPr w:rsidR="00D33C05" w:rsidRPr="00B01619" w:rsidSect="00D33C05">
          <w:pgSz w:w="12240" w:h="15840"/>
          <w:pgMar w:top="1260" w:right="1720" w:bottom="280" w:left="1720" w:header="720" w:footer="720" w:gutter="0"/>
          <w:cols w:space="720"/>
        </w:sectPr>
      </w:pPr>
      <w:r>
        <w:rPr>
          <w:w w:val="105"/>
        </w:rPr>
        <w:t xml:space="preserve">Immunofluorescence analysis was performed as previously described </w:t>
      </w:r>
      <w:r w:rsidR="00A56177">
        <w:rPr>
          <w:w w:val="105"/>
          <w:vertAlign w:val="superscript"/>
        </w:rPr>
        <w:t>20</w:t>
      </w:r>
      <w:r>
        <w:rPr>
          <w:w w:val="105"/>
        </w:rPr>
        <w:t xml:space="preserve"> with some modifications.</w:t>
      </w:r>
      <w:r>
        <w:rPr>
          <w:spacing w:val="-10"/>
          <w:w w:val="105"/>
        </w:rPr>
        <w:t xml:space="preserve"> </w:t>
      </w:r>
      <w:r>
        <w:rPr>
          <w:w w:val="105"/>
        </w:rPr>
        <w:t>The</w:t>
      </w:r>
      <w:r>
        <w:rPr>
          <w:spacing w:val="-9"/>
          <w:w w:val="105"/>
        </w:rPr>
        <w:t xml:space="preserve"> </w:t>
      </w:r>
      <w:r>
        <w:rPr>
          <w:w w:val="105"/>
        </w:rPr>
        <w:t>cells</w:t>
      </w:r>
      <w:r>
        <w:rPr>
          <w:spacing w:val="-7"/>
          <w:w w:val="105"/>
        </w:rPr>
        <w:t xml:space="preserve"> </w:t>
      </w:r>
      <w:r>
        <w:rPr>
          <w:w w:val="105"/>
        </w:rPr>
        <w:t>were</w:t>
      </w:r>
      <w:r>
        <w:rPr>
          <w:spacing w:val="-9"/>
          <w:w w:val="105"/>
        </w:rPr>
        <w:t xml:space="preserve"> </w:t>
      </w:r>
      <w:r>
        <w:rPr>
          <w:w w:val="105"/>
        </w:rPr>
        <w:t>cultured</w:t>
      </w:r>
      <w:r>
        <w:rPr>
          <w:spacing w:val="-10"/>
          <w:w w:val="105"/>
        </w:rPr>
        <w:t xml:space="preserve"> </w:t>
      </w:r>
      <w:r>
        <w:rPr>
          <w:w w:val="105"/>
        </w:rPr>
        <w:t>and</w:t>
      </w:r>
      <w:r>
        <w:rPr>
          <w:spacing w:val="-8"/>
          <w:w w:val="105"/>
        </w:rPr>
        <w:t xml:space="preserve"> </w:t>
      </w:r>
      <w:r>
        <w:rPr>
          <w:w w:val="105"/>
        </w:rPr>
        <w:t>transfected</w:t>
      </w:r>
      <w:r>
        <w:rPr>
          <w:spacing w:val="-9"/>
          <w:w w:val="105"/>
        </w:rPr>
        <w:t xml:space="preserve"> </w:t>
      </w:r>
      <w:r>
        <w:rPr>
          <w:w w:val="105"/>
        </w:rPr>
        <w:t>on</w:t>
      </w:r>
      <w:r>
        <w:rPr>
          <w:spacing w:val="-10"/>
          <w:w w:val="105"/>
        </w:rPr>
        <w:t xml:space="preserve"> </w:t>
      </w:r>
      <w:r>
        <w:rPr>
          <w:w w:val="105"/>
        </w:rPr>
        <w:t>12-mm</w:t>
      </w:r>
      <w:r>
        <w:rPr>
          <w:w w:val="105"/>
          <w:vertAlign w:val="superscript"/>
        </w:rPr>
        <w:t>2</w:t>
      </w:r>
      <w:r>
        <w:rPr>
          <w:spacing w:val="-7"/>
          <w:w w:val="105"/>
        </w:rPr>
        <w:t xml:space="preserve"> </w:t>
      </w:r>
      <w:r>
        <w:rPr>
          <w:w w:val="105"/>
        </w:rPr>
        <w:t>glass</w:t>
      </w:r>
      <w:r>
        <w:rPr>
          <w:spacing w:val="-9"/>
          <w:w w:val="105"/>
        </w:rPr>
        <w:t xml:space="preserve"> </w:t>
      </w:r>
      <w:r>
        <w:rPr>
          <w:w w:val="105"/>
        </w:rPr>
        <w:t>cover</w:t>
      </w:r>
      <w:r>
        <w:rPr>
          <w:spacing w:val="-10"/>
          <w:w w:val="105"/>
        </w:rPr>
        <w:t xml:space="preserve"> </w:t>
      </w:r>
      <w:r>
        <w:rPr>
          <w:w w:val="105"/>
        </w:rPr>
        <w:t>slips.</w:t>
      </w:r>
      <w:r>
        <w:rPr>
          <w:spacing w:val="-7"/>
          <w:w w:val="105"/>
        </w:rPr>
        <w:t xml:space="preserve"> </w:t>
      </w:r>
      <w:r>
        <w:rPr>
          <w:w w:val="105"/>
        </w:rPr>
        <w:t>After</w:t>
      </w:r>
      <w:r>
        <w:rPr>
          <w:spacing w:val="-10"/>
          <w:w w:val="105"/>
        </w:rPr>
        <w:t xml:space="preserve"> </w:t>
      </w:r>
      <w:r>
        <w:rPr>
          <w:w w:val="105"/>
        </w:rPr>
        <w:t xml:space="preserve">the </w:t>
      </w:r>
      <w:r w:rsidRPr="00B01619">
        <w:rPr>
          <w:w w:val="105"/>
        </w:rPr>
        <w:t>transfection</w:t>
      </w:r>
      <w:r w:rsidRPr="00B01619">
        <w:rPr>
          <w:spacing w:val="18"/>
          <w:w w:val="105"/>
        </w:rPr>
        <w:t xml:space="preserve"> </w:t>
      </w:r>
      <w:r w:rsidRPr="00B01619">
        <w:rPr>
          <w:w w:val="105"/>
        </w:rPr>
        <w:t>period,</w:t>
      </w:r>
      <w:r w:rsidRPr="00B01619">
        <w:rPr>
          <w:spacing w:val="17"/>
          <w:w w:val="105"/>
        </w:rPr>
        <w:t xml:space="preserve"> </w:t>
      </w:r>
      <w:r w:rsidRPr="00B01619">
        <w:rPr>
          <w:w w:val="105"/>
        </w:rPr>
        <w:t>the</w:t>
      </w:r>
      <w:r w:rsidRPr="00B01619">
        <w:rPr>
          <w:spacing w:val="18"/>
          <w:w w:val="105"/>
        </w:rPr>
        <w:t xml:space="preserve"> </w:t>
      </w:r>
      <w:r w:rsidRPr="00B01619">
        <w:rPr>
          <w:w w:val="105"/>
        </w:rPr>
        <w:t>cells</w:t>
      </w:r>
      <w:r w:rsidRPr="00B01619">
        <w:rPr>
          <w:spacing w:val="17"/>
          <w:w w:val="105"/>
        </w:rPr>
        <w:t xml:space="preserve"> </w:t>
      </w:r>
      <w:r w:rsidRPr="00B01619">
        <w:rPr>
          <w:w w:val="105"/>
        </w:rPr>
        <w:t>were</w:t>
      </w:r>
      <w:r w:rsidRPr="00B01619">
        <w:rPr>
          <w:spacing w:val="17"/>
          <w:w w:val="105"/>
        </w:rPr>
        <w:t xml:space="preserve"> </w:t>
      </w:r>
      <w:r w:rsidRPr="00B01619">
        <w:rPr>
          <w:w w:val="105"/>
        </w:rPr>
        <w:t>stimulated</w:t>
      </w:r>
      <w:r w:rsidRPr="00B01619">
        <w:rPr>
          <w:spacing w:val="17"/>
          <w:w w:val="105"/>
        </w:rPr>
        <w:t xml:space="preserve"> </w:t>
      </w:r>
      <w:r w:rsidRPr="00B01619">
        <w:rPr>
          <w:w w:val="105"/>
        </w:rPr>
        <w:t>with</w:t>
      </w:r>
      <w:r w:rsidRPr="00B01619">
        <w:rPr>
          <w:spacing w:val="18"/>
          <w:w w:val="105"/>
        </w:rPr>
        <w:t xml:space="preserve"> </w:t>
      </w:r>
      <w:r w:rsidRPr="00B01619">
        <w:rPr>
          <w:w w:val="105"/>
        </w:rPr>
        <w:t>40</w:t>
      </w:r>
      <w:r w:rsidRPr="00B01619">
        <w:rPr>
          <w:spacing w:val="16"/>
          <w:w w:val="105"/>
        </w:rPr>
        <w:t xml:space="preserve"> </w:t>
      </w:r>
      <w:proofErr w:type="spellStart"/>
      <w:r w:rsidRPr="00B01619">
        <w:rPr>
          <w:w w:val="105"/>
        </w:rPr>
        <w:t>nM</w:t>
      </w:r>
      <w:proofErr w:type="spellEnd"/>
      <w:r w:rsidRPr="00B01619">
        <w:rPr>
          <w:spacing w:val="18"/>
          <w:w w:val="105"/>
        </w:rPr>
        <w:t xml:space="preserve"> </w:t>
      </w:r>
      <w:r w:rsidRPr="00B01619">
        <w:rPr>
          <w:w w:val="105"/>
        </w:rPr>
        <w:t>LTC</w:t>
      </w:r>
      <w:r w:rsidRPr="00B01619">
        <w:rPr>
          <w:w w:val="105"/>
          <w:vertAlign w:val="subscript"/>
        </w:rPr>
        <w:t>4</w:t>
      </w:r>
      <w:r w:rsidRPr="00B01619">
        <w:rPr>
          <w:spacing w:val="16"/>
          <w:w w:val="105"/>
        </w:rPr>
        <w:t xml:space="preserve"> </w:t>
      </w:r>
      <w:r w:rsidRPr="00B01619">
        <w:rPr>
          <w:w w:val="105"/>
        </w:rPr>
        <w:t>for</w:t>
      </w:r>
      <w:r w:rsidRPr="00B01619">
        <w:rPr>
          <w:spacing w:val="17"/>
          <w:w w:val="105"/>
        </w:rPr>
        <w:t xml:space="preserve"> </w:t>
      </w:r>
      <w:r w:rsidRPr="00B01619">
        <w:rPr>
          <w:w w:val="105"/>
        </w:rPr>
        <w:t>48</w:t>
      </w:r>
      <w:r w:rsidRPr="00B01619">
        <w:rPr>
          <w:spacing w:val="17"/>
          <w:w w:val="105"/>
        </w:rPr>
        <w:t xml:space="preserve"> </w:t>
      </w:r>
      <w:r w:rsidRPr="00B01619">
        <w:rPr>
          <w:w w:val="105"/>
        </w:rPr>
        <w:t>h.</w:t>
      </w:r>
      <w:r w:rsidRPr="00B01619">
        <w:rPr>
          <w:spacing w:val="17"/>
          <w:w w:val="105"/>
        </w:rPr>
        <w:t xml:space="preserve"> </w:t>
      </w:r>
      <w:r w:rsidRPr="00B01619">
        <w:rPr>
          <w:w w:val="105"/>
        </w:rPr>
        <w:t>The</w:t>
      </w:r>
      <w:r w:rsidRPr="00B01619">
        <w:rPr>
          <w:spacing w:val="18"/>
          <w:w w:val="105"/>
        </w:rPr>
        <w:t xml:space="preserve"> </w:t>
      </w:r>
      <w:r w:rsidRPr="00B01619">
        <w:rPr>
          <w:w w:val="105"/>
        </w:rPr>
        <w:t>cells</w:t>
      </w:r>
      <w:r w:rsidRPr="00B01619">
        <w:rPr>
          <w:spacing w:val="17"/>
          <w:w w:val="105"/>
        </w:rPr>
        <w:t xml:space="preserve"> </w:t>
      </w:r>
      <w:r w:rsidRPr="00B01619">
        <w:rPr>
          <w:w w:val="105"/>
        </w:rPr>
        <w:t>on</w:t>
      </w:r>
      <w:r w:rsidRPr="00B01619">
        <w:rPr>
          <w:spacing w:val="18"/>
          <w:w w:val="105"/>
        </w:rPr>
        <w:t xml:space="preserve"> </w:t>
      </w:r>
      <w:r w:rsidRPr="00B01619">
        <w:rPr>
          <w:w w:val="105"/>
        </w:rPr>
        <w:t>the</w:t>
      </w:r>
    </w:p>
    <w:p w:rsidR="00D33C05" w:rsidRDefault="00D33C05" w:rsidP="00D33C05">
      <w:pPr>
        <w:pStyle w:val="Brdtext"/>
        <w:spacing w:before="76" w:line="276" w:lineRule="auto"/>
        <w:ind w:right="127"/>
        <w:jc w:val="both"/>
      </w:pPr>
      <w:r w:rsidRPr="00B01619">
        <w:rPr>
          <w:w w:val="105"/>
        </w:rPr>
        <w:t>cover</w:t>
      </w:r>
      <w:r>
        <w:rPr>
          <w:w w:val="105"/>
        </w:rPr>
        <w:t xml:space="preserve"> slips were fixed with 4% paraformaldehyde at room temperature for 10 min, washed twice with washing buffer (0.1% Tween-20 in phosphate-buffered saline [PBS]), permeabilized with 0.05% Triton-X 100/PBS for 15 min, and then washed twice with washing buffer. The cells were then blocked using 5% bovine serum albumin (</w:t>
      </w:r>
      <w:proofErr w:type="spellStart"/>
      <w:r>
        <w:rPr>
          <w:w w:val="105"/>
        </w:rPr>
        <w:t>BSA</w:t>
      </w:r>
      <w:proofErr w:type="spellEnd"/>
      <w:r>
        <w:rPr>
          <w:w w:val="105"/>
        </w:rPr>
        <w:t>)/0.05% PBS-Tween-20 for 1 h at room temperature and incubated overnight at 4 °C with primary antibodies targeting GLI1 (1:500) and Mucin-2 (1:750). The cells were then washed three times</w:t>
      </w:r>
      <w:r>
        <w:rPr>
          <w:spacing w:val="-10"/>
          <w:w w:val="105"/>
        </w:rPr>
        <w:t xml:space="preserve"> </w:t>
      </w:r>
      <w:r>
        <w:rPr>
          <w:w w:val="105"/>
        </w:rPr>
        <w:t>with</w:t>
      </w:r>
      <w:r>
        <w:rPr>
          <w:spacing w:val="-9"/>
          <w:w w:val="105"/>
        </w:rPr>
        <w:t xml:space="preserve"> </w:t>
      </w:r>
      <w:r>
        <w:rPr>
          <w:w w:val="105"/>
        </w:rPr>
        <w:t>washing</w:t>
      </w:r>
      <w:r>
        <w:rPr>
          <w:spacing w:val="-9"/>
          <w:w w:val="105"/>
        </w:rPr>
        <w:t xml:space="preserve"> </w:t>
      </w:r>
      <w:r>
        <w:rPr>
          <w:w w:val="105"/>
        </w:rPr>
        <w:t>buffer</w:t>
      </w:r>
      <w:r>
        <w:rPr>
          <w:spacing w:val="-8"/>
          <w:w w:val="105"/>
        </w:rPr>
        <w:t xml:space="preserve"> </w:t>
      </w:r>
      <w:r>
        <w:rPr>
          <w:w w:val="105"/>
        </w:rPr>
        <w:t>and</w:t>
      </w:r>
      <w:r>
        <w:rPr>
          <w:spacing w:val="-10"/>
          <w:w w:val="105"/>
        </w:rPr>
        <w:t xml:space="preserve"> </w:t>
      </w:r>
      <w:r>
        <w:rPr>
          <w:w w:val="105"/>
        </w:rPr>
        <w:t>incubated</w:t>
      </w:r>
      <w:r>
        <w:rPr>
          <w:spacing w:val="-8"/>
          <w:w w:val="105"/>
        </w:rPr>
        <w:t xml:space="preserve"> </w:t>
      </w:r>
      <w:r>
        <w:rPr>
          <w:w w:val="105"/>
        </w:rPr>
        <w:t>with</w:t>
      </w:r>
      <w:r>
        <w:rPr>
          <w:spacing w:val="-8"/>
          <w:w w:val="105"/>
        </w:rPr>
        <w:t xml:space="preserve"> </w:t>
      </w:r>
      <w:r>
        <w:rPr>
          <w:w w:val="105"/>
        </w:rPr>
        <w:t>a</w:t>
      </w:r>
      <w:r>
        <w:rPr>
          <w:spacing w:val="-9"/>
          <w:w w:val="105"/>
        </w:rPr>
        <w:t xml:space="preserve"> </w:t>
      </w:r>
      <w:r>
        <w:rPr>
          <w:w w:val="105"/>
        </w:rPr>
        <w:t>secondary</w:t>
      </w:r>
      <w:r>
        <w:rPr>
          <w:spacing w:val="-8"/>
          <w:w w:val="105"/>
        </w:rPr>
        <w:t xml:space="preserve"> </w:t>
      </w:r>
      <w:r>
        <w:rPr>
          <w:w w:val="105"/>
        </w:rPr>
        <w:t>antibody</w:t>
      </w:r>
      <w:r>
        <w:rPr>
          <w:spacing w:val="-8"/>
          <w:w w:val="105"/>
        </w:rPr>
        <w:t xml:space="preserve"> </w:t>
      </w:r>
      <w:r>
        <w:rPr>
          <w:w w:val="105"/>
        </w:rPr>
        <w:t>(Alexa</w:t>
      </w:r>
      <w:r>
        <w:rPr>
          <w:spacing w:val="-9"/>
          <w:w w:val="105"/>
        </w:rPr>
        <w:t xml:space="preserve"> </w:t>
      </w:r>
      <w:r>
        <w:rPr>
          <w:w w:val="105"/>
        </w:rPr>
        <w:t>Fluor-conjugated anti-rabbit or anti-goat, 1:1000 dilution) for 1 h at room temperature. Both the primary and secondary antibodies were diluted in blocking buffer. After incubation with the secondary antibodies, the cells were washed three times in washing buffer, incubated with phalloidin-Alexa Fluor-546-conjugated antibodies for 1 h at room temperature, and then washed once with washing buffer and stained with 4ʹ,6-diamidino-2-phenylindole (</w:t>
      </w:r>
      <w:proofErr w:type="spellStart"/>
      <w:r>
        <w:rPr>
          <w:w w:val="105"/>
        </w:rPr>
        <w:t>DAPI</w:t>
      </w:r>
      <w:proofErr w:type="spellEnd"/>
      <w:r>
        <w:rPr>
          <w:w w:val="105"/>
        </w:rPr>
        <w:t>) for 10 min at room</w:t>
      </w:r>
      <w:r>
        <w:rPr>
          <w:spacing w:val="-9"/>
          <w:w w:val="105"/>
        </w:rPr>
        <w:t xml:space="preserve"> </w:t>
      </w:r>
      <w:r>
        <w:rPr>
          <w:w w:val="105"/>
        </w:rPr>
        <w:t>temperature.</w:t>
      </w:r>
      <w:r>
        <w:rPr>
          <w:spacing w:val="-6"/>
          <w:w w:val="105"/>
        </w:rPr>
        <w:t xml:space="preserve"> </w:t>
      </w:r>
      <w:r>
        <w:rPr>
          <w:w w:val="105"/>
        </w:rPr>
        <w:t>Finally,</w:t>
      </w:r>
      <w:r>
        <w:rPr>
          <w:spacing w:val="-6"/>
          <w:w w:val="105"/>
        </w:rPr>
        <w:t xml:space="preserve"> </w:t>
      </w:r>
      <w:r>
        <w:rPr>
          <w:w w:val="105"/>
        </w:rPr>
        <w:t>the</w:t>
      </w:r>
      <w:r>
        <w:rPr>
          <w:spacing w:val="-6"/>
          <w:w w:val="105"/>
        </w:rPr>
        <w:t xml:space="preserve"> </w:t>
      </w:r>
      <w:r>
        <w:rPr>
          <w:w w:val="105"/>
        </w:rPr>
        <w:t>cells</w:t>
      </w:r>
      <w:r>
        <w:rPr>
          <w:spacing w:val="-8"/>
          <w:w w:val="105"/>
        </w:rPr>
        <w:t xml:space="preserve"> </w:t>
      </w:r>
      <w:r>
        <w:rPr>
          <w:w w:val="105"/>
        </w:rPr>
        <w:t>were</w:t>
      </w:r>
      <w:r>
        <w:rPr>
          <w:spacing w:val="-7"/>
          <w:w w:val="105"/>
        </w:rPr>
        <w:t xml:space="preserve"> </w:t>
      </w:r>
      <w:r>
        <w:rPr>
          <w:w w:val="105"/>
        </w:rPr>
        <w:t>washed</w:t>
      </w:r>
      <w:r>
        <w:rPr>
          <w:spacing w:val="-6"/>
          <w:w w:val="105"/>
        </w:rPr>
        <w:t xml:space="preserve"> </w:t>
      </w:r>
      <w:r>
        <w:rPr>
          <w:w w:val="105"/>
        </w:rPr>
        <w:t>twice</w:t>
      </w:r>
      <w:r>
        <w:rPr>
          <w:spacing w:val="-8"/>
          <w:w w:val="105"/>
        </w:rPr>
        <w:t xml:space="preserve"> </w:t>
      </w:r>
      <w:r>
        <w:rPr>
          <w:w w:val="105"/>
        </w:rPr>
        <w:t>in</w:t>
      </w:r>
      <w:r>
        <w:rPr>
          <w:spacing w:val="-7"/>
          <w:w w:val="105"/>
        </w:rPr>
        <w:t xml:space="preserve"> </w:t>
      </w:r>
      <w:r>
        <w:rPr>
          <w:w w:val="105"/>
        </w:rPr>
        <w:t>washing</w:t>
      </w:r>
      <w:r>
        <w:rPr>
          <w:spacing w:val="-7"/>
          <w:w w:val="105"/>
        </w:rPr>
        <w:t xml:space="preserve"> </w:t>
      </w:r>
      <w:r>
        <w:rPr>
          <w:w w:val="105"/>
        </w:rPr>
        <w:t>buffer,</w:t>
      </w:r>
      <w:r>
        <w:rPr>
          <w:spacing w:val="-6"/>
          <w:w w:val="105"/>
        </w:rPr>
        <w:t xml:space="preserve"> </w:t>
      </w:r>
      <w:r>
        <w:rPr>
          <w:w w:val="105"/>
        </w:rPr>
        <w:t>and</w:t>
      </w:r>
      <w:r>
        <w:rPr>
          <w:spacing w:val="-7"/>
          <w:w w:val="105"/>
        </w:rPr>
        <w:t xml:space="preserve"> </w:t>
      </w:r>
      <w:r>
        <w:rPr>
          <w:w w:val="105"/>
        </w:rPr>
        <w:t>the</w:t>
      </w:r>
      <w:r>
        <w:rPr>
          <w:spacing w:val="-7"/>
          <w:w w:val="105"/>
        </w:rPr>
        <w:t xml:space="preserve"> </w:t>
      </w:r>
      <w:r>
        <w:rPr>
          <w:w w:val="105"/>
        </w:rPr>
        <w:t xml:space="preserve">coverslips were mounted on glass slides using </w:t>
      </w:r>
      <w:proofErr w:type="spellStart"/>
      <w:r>
        <w:rPr>
          <w:w w:val="105"/>
        </w:rPr>
        <w:t>Fluoromount</w:t>
      </w:r>
      <w:proofErr w:type="spellEnd"/>
      <w:r>
        <w:rPr>
          <w:w w:val="105"/>
        </w:rPr>
        <w:t xml:space="preserve"> G mounting solution (Southern Biotech, Birmingham, AL, USA). Fluorescence images were captured using a Zeiss </w:t>
      </w:r>
      <w:proofErr w:type="spellStart"/>
      <w:r>
        <w:rPr>
          <w:w w:val="105"/>
        </w:rPr>
        <w:t>LSM</w:t>
      </w:r>
      <w:proofErr w:type="spellEnd"/>
      <w:r>
        <w:rPr>
          <w:w w:val="105"/>
        </w:rPr>
        <w:t xml:space="preserve"> 700 (Carl Zeiss</w:t>
      </w:r>
      <w:r>
        <w:rPr>
          <w:spacing w:val="-11"/>
          <w:w w:val="105"/>
        </w:rPr>
        <w:t xml:space="preserve"> </w:t>
      </w:r>
      <w:r>
        <w:rPr>
          <w:w w:val="105"/>
        </w:rPr>
        <w:t>Microscopy</w:t>
      </w:r>
      <w:r>
        <w:rPr>
          <w:spacing w:val="-10"/>
          <w:w w:val="105"/>
        </w:rPr>
        <w:t xml:space="preserve"> </w:t>
      </w:r>
      <w:r>
        <w:rPr>
          <w:w w:val="105"/>
        </w:rPr>
        <w:lastRenderedPageBreak/>
        <w:t>GmbH,</w:t>
      </w:r>
      <w:r>
        <w:rPr>
          <w:spacing w:val="-11"/>
          <w:w w:val="105"/>
        </w:rPr>
        <w:t xml:space="preserve"> </w:t>
      </w:r>
      <w:r>
        <w:rPr>
          <w:w w:val="105"/>
        </w:rPr>
        <w:t>Jena,</w:t>
      </w:r>
      <w:r>
        <w:rPr>
          <w:spacing w:val="-11"/>
          <w:w w:val="105"/>
        </w:rPr>
        <w:t xml:space="preserve"> </w:t>
      </w:r>
      <w:r>
        <w:rPr>
          <w:w w:val="105"/>
        </w:rPr>
        <w:t>Germany)</w:t>
      </w:r>
      <w:r>
        <w:rPr>
          <w:spacing w:val="-10"/>
          <w:w w:val="105"/>
        </w:rPr>
        <w:t xml:space="preserve"> </w:t>
      </w:r>
      <w:r>
        <w:rPr>
          <w:w w:val="105"/>
        </w:rPr>
        <w:t>confocal</w:t>
      </w:r>
      <w:r>
        <w:rPr>
          <w:spacing w:val="-9"/>
          <w:w w:val="105"/>
        </w:rPr>
        <w:t xml:space="preserve"> </w:t>
      </w:r>
      <w:r>
        <w:rPr>
          <w:w w:val="105"/>
        </w:rPr>
        <w:t>microscope</w:t>
      </w:r>
      <w:r>
        <w:rPr>
          <w:spacing w:val="-10"/>
          <w:w w:val="105"/>
        </w:rPr>
        <w:t xml:space="preserve"> </w:t>
      </w:r>
      <w:r>
        <w:rPr>
          <w:w w:val="105"/>
        </w:rPr>
        <w:t>with</w:t>
      </w:r>
      <w:r>
        <w:rPr>
          <w:spacing w:val="-11"/>
          <w:w w:val="105"/>
        </w:rPr>
        <w:t xml:space="preserve"> </w:t>
      </w:r>
      <w:r>
        <w:rPr>
          <w:w w:val="105"/>
        </w:rPr>
        <w:t>a</w:t>
      </w:r>
      <w:r>
        <w:rPr>
          <w:spacing w:val="-11"/>
          <w:w w:val="105"/>
        </w:rPr>
        <w:t xml:space="preserve"> </w:t>
      </w:r>
      <w:r>
        <w:rPr>
          <w:w w:val="105"/>
        </w:rPr>
        <w:t>63×</w:t>
      </w:r>
      <w:r>
        <w:rPr>
          <w:spacing w:val="-10"/>
          <w:w w:val="105"/>
        </w:rPr>
        <w:t xml:space="preserve"> </w:t>
      </w:r>
      <w:r>
        <w:rPr>
          <w:w w:val="105"/>
        </w:rPr>
        <w:t>oil</w:t>
      </w:r>
      <w:r>
        <w:rPr>
          <w:spacing w:val="-12"/>
          <w:w w:val="105"/>
        </w:rPr>
        <w:t xml:space="preserve"> </w:t>
      </w:r>
      <w:r>
        <w:rPr>
          <w:w w:val="105"/>
        </w:rPr>
        <w:t>objective</w:t>
      </w:r>
      <w:r>
        <w:rPr>
          <w:spacing w:val="-11"/>
          <w:w w:val="105"/>
        </w:rPr>
        <w:t xml:space="preserve"> </w:t>
      </w:r>
      <w:r>
        <w:rPr>
          <w:w w:val="105"/>
        </w:rPr>
        <w:t xml:space="preserve">lens. To obtain a uniform comparison, each group of images was captured using the same laser power and detector gain settings. The images were </w:t>
      </w:r>
      <w:proofErr w:type="spellStart"/>
      <w:r>
        <w:rPr>
          <w:w w:val="105"/>
        </w:rPr>
        <w:t>analysed</w:t>
      </w:r>
      <w:proofErr w:type="spellEnd"/>
      <w:r>
        <w:rPr>
          <w:w w:val="105"/>
        </w:rPr>
        <w:t xml:space="preserve"> and processed using </w:t>
      </w:r>
      <w:proofErr w:type="spellStart"/>
      <w:r>
        <w:rPr>
          <w:w w:val="105"/>
        </w:rPr>
        <w:t>LSM</w:t>
      </w:r>
      <w:proofErr w:type="spellEnd"/>
      <w:r>
        <w:rPr>
          <w:w w:val="105"/>
        </w:rPr>
        <w:t xml:space="preserve"> Zen (blue edition)</w:t>
      </w:r>
      <w:r>
        <w:rPr>
          <w:spacing w:val="-4"/>
          <w:w w:val="105"/>
        </w:rPr>
        <w:t xml:space="preserve"> </w:t>
      </w:r>
      <w:r>
        <w:rPr>
          <w:w w:val="105"/>
        </w:rPr>
        <w:t>software.</w:t>
      </w:r>
    </w:p>
    <w:p w:rsidR="00D33C05" w:rsidRDefault="00D33C05" w:rsidP="00D33C05">
      <w:pPr>
        <w:pStyle w:val="Brdtext"/>
        <w:spacing w:line="276" w:lineRule="auto"/>
        <w:ind w:left="142" w:right="128" w:hanging="7"/>
        <w:jc w:val="both"/>
      </w:pPr>
    </w:p>
    <w:p w:rsidR="00D33C05" w:rsidRDefault="00D33C05" w:rsidP="00D33C05">
      <w:pPr>
        <w:pStyle w:val="Rubrik1"/>
        <w:spacing w:line="276" w:lineRule="auto"/>
        <w:ind w:left="0"/>
      </w:pPr>
      <w:r>
        <w:rPr>
          <w:w w:val="105"/>
        </w:rPr>
        <w:t>Immunohistochemistry</w:t>
      </w:r>
    </w:p>
    <w:p w:rsidR="00D33C05" w:rsidRDefault="00D33C05" w:rsidP="00D33C05">
      <w:pPr>
        <w:pStyle w:val="Brdtext"/>
        <w:spacing w:before="1" w:line="276" w:lineRule="auto"/>
        <w:rPr>
          <w:b/>
          <w:sz w:val="23"/>
        </w:rPr>
      </w:pPr>
    </w:p>
    <w:p w:rsidR="00D33C05" w:rsidRDefault="00D33C05" w:rsidP="00D33C05">
      <w:pPr>
        <w:pStyle w:val="Brdtext"/>
        <w:spacing w:before="76" w:line="276" w:lineRule="auto"/>
      </w:pPr>
      <w:r>
        <w:rPr>
          <w:w w:val="105"/>
        </w:rPr>
        <w:t xml:space="preserve">Immunohistochemical analysis was performed according to a previous report </w:t>
      </w:r>
      <w:r w:rsidR="00A56177">
        <w:rPr>
          <w:w w:val="105"/>
          <w:vertAlign w:val="superscript"/>
        </w:rPr>
        <w:t>22</w:t>
      </w:r>
      <w:r>
        <w:rPr>
          <w:w w:val="105"/>
        </w:rPr>
        <w:t>. After the samples were stained with primary antibodies against GLI1 (1:1000 or 1:250), Mucin-2 (1:100), CysLT</w:t>
      </w:r>
      <w:r>
        <w:rPr>
          <w:w w:val="105"/>
          <w:vertAlign w:val="subscript"/>
        </w:rPr>
        <w:t>2</w:t>
      </w:r>
      <w:r>
        <w:rPr>
          <w:w w:val="105"/>
        </w:rPr>
        <w:t xml:space="preserve">R (1:50, overnight) or 15-PGDH (1:200), all the slides were counterstained with </w:t>
      </w:r>
      <w:proofErr w:type="spellStart"/>
      <w:r>
        <w:rPr>
          <w:w w:val="105"/>
        </w:rPr>
        <w:t>haematoxylin</w:t>
      </w:r>
      <w:proofErr w:type="spellEnd"/>
      <w:r>
        <w:rPr>
          <w:w w:val="105"/>
        </w:rPr>
        <w:t xml:space="preserve"> and eosin (</w:t>
      </w:r>
      <w:proofErr w:type="spellStart"/>
      <w:r>
        <w:rPr>
          <w:w w:val="105"/>
        </w:rPr>
        <w:t>H&amp;E</w:t>
      </w:r>
      <w:proofErr w:type="spellEnd"/>
      <w:r>
        <w:rPr>
          <w:w w:val="105"/>
        </w:rPr>
        <w:t xml:space="preserve">) and scanned using the </w:t>
      </w:r>
      <w:proofErr w:type="spellStart"/>
      <w:r>
        <w:rPr>
          <w:w w:val="105"/>
        </w:rPr>
        <w:t>Aperio</w:t>
      </w:r>
      <w:proofErr w:type="spellEnd"/>
      <w:r>
        <w:rPr>
          <w:w w:val="105"/>
        </w:rPr>
        <w:t xml:space="preserve"> </w:t>
      </w:r>
      <w:proofErr w:type="spellStart"/>
      <w:r>
        <w:rPr>
          <w:w w:val="105"/>
        </w:rPr>
        <w:t>Scanscope</w:t>
      </w:r>
      <w:proofErr w:type="spellEnd"/>
      <w:r>
        <w:rPr>
          <w:w w:val="105"/>
        </w:rPr>
        <w:t xml:space="preserve"> XT system</w:t>
      </w:r>
      <w:r>
        <w:t xml:space="preserve"> </w:t>
      </w:r>
      <w:r>
        <w:rPr>
          <w:w w:val="105"/>
        </w:rPr>
        <w:t xml:space="preserve">(Vista, CA, USA). Two independent investigators (GT and SRS) blindly from patient´s data or mice genotype, </w:t>
      </w:r>
      <w:r>
        <w:rPr>
          <w:w w:val="105"/>
          <w:shd w:val="clear" w:color="auto" w:fill="FFFFFF"/>
        </w:rPr>
        <w:t>assessed</w:t>
      </w:r>
      <w:r>
        <w:rPr>
          <w:spacing w:val="-5"/>
          <w:w w:val="105"/>
          <w:shd w:val="clear" w:color="auto" w:fill="FFFFFF"/>
        </w:rPr>
        <w:t xml:space="preserve"> </w:t>
      </w:r>
      <w:r>
        <w:rPr>
          <w:w w:val="105"/>
          <w:shd w:val="clear" w:color="auto" w:fill="FFFFFF"/>
        </w:rPr>
        <w:t>the</w:t>
      </w:r>
      <w:r>
        <w:rPr>
          <w:spacing w:val="-5"/>
          <w:w w:val="105"/>
          <w:shd w:val="clear" w:color="auto" w:fill="FFFFFF"/>
        </w:rPr>
        <w:t xml:space="preserve"> </w:t>
      </w:r>
      <w:r>
        <w:rPr>
          <w:w w:val="105"/>
          <w:shd w:val="clear" w:color="auto" w:fill="FFFFFF"/>
        </w:rPr>
        <w:t>immunoreactivity</w:t>
      </w:r>
      <w:r>
        <w:rPr>
          <w:spacing w:val="-5"/>
          <w:w w:val="105"/>
          <w:shd w:val="clear" w:color="auto" w:fill="FFFFFF"/>
        </w:rPr>
        <w:t xml:space="preserve"> </w:t>
      </w:r>
      <w:r>
        <w:rPr>
          <w:w w:val="105"/>
          <w:shd w:val="clear" w:color="auto" w:fill="FFFFFF"/>
        </w:rPr>
        <w:t>of</w:t>
      </w:r>
      <w:r>
        <w:rPr>
          <w:spacing w:val="-6"/>
          <w:w w:val="105"/>
          <w:shd w:val="clear" w:color="auto" w:fill="FFFFFF"/>
        </w:rPr>
        <w:t xml:space="preserve"> </w:t>
      </w:r>
      <w:r>
        <w:rPr>
          <w:w w:val="105"/>
          <w:shd w:val="clear" w:color="auto" w:fill="FFFFFF"/>
        </w:rPr>
        <w:t>Mucin-2</w:t>
      </w:r>
      <w:r>
        <w:rPr>
          <w:spacing w:val="-6"/>
          <w:w w:val="105"/>
          <w:shd w:val="clear" w:color="auto" w:fill="FFFFFF"/>
        </w:rPr>
        <w:t xml:space="preserve"> </w:t>
      </w:r>
      <w:r>
        <w:rPr>
          <w:w w:val="105"/>
          <w:shd w:val="clear" w:color="auto" w:fill="FFFFFF"/>
        </w:rPr>
        <w:t>and</w:t>
      </w:r>
      <w:r>
        <w:rPr>
          <w:spacing w:val="-5"/>
          <w:w w:val="105"/>
          <w:shd w:val="clear" w:color="auto" w:fill="FFFFFF"/>
        </w:rPr>
        <w:t xml:space="preserve"> </w:t>
      </w:r>
      <w:r>
        <w:rPr>
          <w:w w:val="105"/>
          <w:shd w:val="clear" w:color="auto" w:fill="FFFFFF"/>
        </w:rPr>
        <w:t>GLI1</w:t>
      </w:r>
      <w:r>
        <w:rPr>
          <w:spacing w:val="-6"/>
          <w:w w:val="105"/>
          <w:shd w:val="clear" w:color="auto" w:fill="FFFFFF"/>
        </w:rPr>
        <w:t xml:space="preserve"> </w:t>
      </w:r>
      <w:r>
        <w:rPr>
          <w:w w:val="105"/>
          <w:shd w:val="clear" w:color="auto" w:fill="FFFFFF"/>
        </w:rPr>
        <w:t>and</w:t>
      </w:r>
      <w:r>
        <w:rPr>
          <w:spacing w:val="-5"/>
          <w:w w:val="105"/>
          <w:shd w:val="clear" w:color="auto" w:fill="FFFFFF"/>
        </w:rPr>
        <w:t xml:space="preserve"> </w:t>
      </w:r>
      <w:r>
        <w:rPr>
          <w:w w:val="105"/>
          <w:shd w:val="clear" w:color="auto" w:fill="FFFFFF"/>
        </w:rPr>
        <w:t>scored</w:t>
      </w:r>
      <w:r>
        <w:rPr>
          <w:spacing w:val="-5"/>
          <w:w w:val="105"/>
          <w:shd w:val="clear" w:color="auto" w:fill="FFFFFF"/>
        </w:rPr>
        <w:t xml:space="preserve"> </w:t>
      </w:r>
      <w:r>
        <w:rPr>
          <w:w w:val="105"/>
          <w:shd w:val="clear" w:color="auto" w:fill="FFFFFF"/>
        </w:rPr>
        <w:t>the</w:t>
      </w:r>
      <w:r>
        <w:rPr>
          <w:spacing w:val="-6"/>
          <w:w w:val="105"/>
          <w:shd w:val="clear" w:color="auto" w:fill="FFFFFF"/>
        </w:rPr>
        <w:t xml:space="preserve"> </w:t>
      </w:r>
      <w:r>
        <w:rPr>
          <w:w w:val="105"/>
          <w:shd w:val="clear" w:color="auto" w:fill="FFFFFF"/>
        </w:rPr>
        <w:t>slides on</w:t>
      </w:r>
      <w:r>
        <w:rPr>
          <w:spacing w:val="-4"/>
          <w:w w:val="105"/>
          <w:shd w:val="clear" w:color="auto" w:fill="FFFFFF"/>
        </w:rPr>
        <w:t xml:space="preserve"> </w:t>
      </w:r>
      <w:r>
        <w:rPr>
          <w:w w:val="105"/>
          <w:shd w:val="clear" w:color="auto" w:fill="FFFFFF"/>
        </w:rPr>
        <w:t>a</w:t>
      </w:r>
      <w:r>
        <w:rPr>
          <w:spacing w:val="-5"/>
          <w:w w:val="105"/>
          <w:shd w:val="clear" w:color="auto" w:fill="FFFFFF"/>
        </w:rPr>
        <w:t xml:space="preserve"> </w:t>
      </w:r>
      <w:r>
        <w:rPr>
          <w:w w:val="105"/>
          <w:shd w:val="clear" w:color="auto" w:fill="FFFFFF"/>
        </w:rPr>
        <w:t>scale</w:t>
      </w:r>
      <w:r>
        <w:rPr>
          <w:spacing w:val="-5"/>
          <w:w w:val="105"/>
          <w:shd w:val="clear" w:color="auto" w:fill="FFFFFF"/>
        </w:rPr>
        <w:t xml:space="preserve"> </w:t>
      </w:r>
      <w:r>
        <w:rPr>
          <w:w w:val="105"/>
          <w:shd w:val="clear" w:color="auto" w:fill="FFFFFF"/>
        </w:rPr>
        <w:t>from</w:t>
      </w:r>
      <w:r>
        <w:rPr>
          <w:spacing w:val="-7"/>
          <w:w w:val="105"/>
          <w:shd w:val="clear" w:color="auto" w:fill="FFFFFF"/>
        </w:rPr>
        <w:t xml:space="preserve"> </w:t>
      </w:r>
      <w:r>
        <w:rPr>
          <w:w w:val="105"/>
          <w:shd w:val="clear" w:color="auto" w:fill="FFFFFF"/>
        </w:rPr>
        <w:t>0</w:t>
      </w:r>
      <w:r>
        <w:rPr>
          <w:spacing w:val="-4"/>
          <w:w w:val="105"/>
          <w:shd w:val="clear" w:color="auto" w:fill="FFFFFF"/>
        </w:rPr>
        <w:t xml:space="preserve"> </w:t>
      </w:r>
      <w:r>
        <w:rPr>
          <w:w w:val="105"/>
          <w:shd w:val="clear" w:color="auto" w:fill="FFFFFF"/>
        </w:rPr>
        <w:t>to</w:t>
      </w:r>
      <w:r>
        <w:rPr>
          <w:spacing w:val="-5"/>
          <w:w w:val="105"/>
          <w:shd w:val="clear" w:color="auto" w:fill="FFFFFF"/>
        </w:rPr>
        <w:t xml:space="preserve"> </w:t>
      </w:r>
      <w:r>
        <w:rPr>
          <w:w w:val="105"/>
          <w:shd w:val="clear" w:color="auto" w:fill="FFFFFF"/>
        </w:rPr>
        <w:t>3</w:t>
      </w:r>
      <w:r>
        <w:rPr>
          <w:spacing w:val="-3"/>
          <w:w w:val="105"/>
          <w:shd w:val="clear" w:color="auto" w:fill="FFFFFF"/>
        </w:rPr>
        <w:t xml:space="preserve"> </w:t>
      </w:r>
      <w:r>
        <w:rPr>
          <w:w w:val="105"/>
          <w:shd w:val="clear" w:color="auto" w:fill="FFFFFF"/>
        </w:rPr>
        <w:t>based</w:t>
      </w:r>
      <w:r>
        <w:rPr>
          <w:spacing w:val="-4"/>
          <w:w w:val="105"/>
          <w:shd w:val="clear" w:color="auto" w:fill="FFFFFF"/>
        </w:rPr>
        <w:t xml:space="preserve"> </w:t>
      </w:r>
      <w:r>
        <w:rPr>
          <w:w w:val="105"/>
          <w:shd w:val="clear" w:color="auto" w:fill="FFFFFF"/>
        </w:rPr>
        <w:t>on</w:t>
      </w:r>
      <w:r>
        <w:rPr>
          <w:spacing w:val="-4"/>
          <w:w w:val="105"/>
          <w:shd w:val="clear" w:color="auto" w:fill="FFFFFF"/>
        </w:rPr>
        <w:t xml:space="preserve"> </w:t>
      </w:r>
      <w:r>
        <w:rPr>
          <w:w w:val="105"/>
          <w:shd w:val="clear" w:color="auto" w:fill="FFFFFF"/>
        </w:rPr>
        <w:t>the</w:t>
      </w:r>
      <w:r>
        <w:rPr>
          <w:spacing w:val="-4"/>
          <w:w w:val="105"/>
          <w:shd w:val="clear" w:color="auto" w:fill="FFFFFF"/>
        </w:rPr>
        <w:t xml:space="preserve"> </w:t>
      </w:r>
      <w:r>
        <w:rPr>
          <w:w w:val="105"/>
          <w:shd w:val="clear" w:color="auto" w:fill="FFFFFF"/>
        </w:rPr>
        <w:t>staining</w:t>
      </w:r>
      <w:r>
        <w:rPr>
          <w:spacing w:val="-4"/>
          <w:w w:val="105"/>
          <w:shd w:val="clear" w:color="auto" w:fill="FFFFFF"/>
        </w:rPr>
        <w:t xml:space="preserve"> </w:t>
      </w:r>
      <w:r>
        <w:rPr>
          <w:w w:val="105"/>
          <w:shd w:val="clear" w:color="auto" w:fill="FFFFFF"/>
        </w:rPr>
        <w:t>intensity</w:t>
      </w:r>
      <w:r>
        <w:rPr>
          <w:spacing w:val="-3"/>
          <w:w w:val="105"/>
          <w:shd w:val="clear" w:color="auto" w:fill="FFFFFF"/>
        </w:rPr>
        <w:t xml:space="preserve"> </w:t>
      </w:r>
      <w:r>
        <w:rPr>
          <w:w w:val="105"/>
          <w:shd w:val="clear" w:color="auto" w:fill="FFFFFF"/>
        </w:rPr>
        <w:t>(SI)</w:t>
      </w:r>
      <w:r>
        <w:rPr>
          <w:spacing w:val="-4"/>
          <w:w w:val="105"/>
          <w:shd w:val="clear" w:color="auto" w:fill="FFFFFF"/>
        </w:rPr>
        <w:t xml:space="preserve"> </w:t>
      </w:r>
      <w:r>
        <w:rPr>
          <w:w w:val="105"/>
          <w:shd w:val="clear" w:color="auto" w:fill="FFFFFF"/>
        </w:rPr>
        <w:t>as</w:t>
      </w:r>
      <w:r>
        <w:rPr>
          <w:spacing w:val="-4"/>
          <w:w w:val="105"/>
          <w:shd w:val="clear" w:color="auto" w:fill="FFFFFF"/>
        </w:rPr>
        <w:t xml:space="preserve"> </w:t>
      </w:r>
      <w:r>
        <w:rPr>
          <w:w w:val="105"/>
          <w:shd w:val="clear" w:color="auto" w:fill="FFFFFF"/>
        </w:rPr>
        <w:t>follows:</w:t>
      </w:r>
      <w:r>
        <w:rPr>
          <w:spacing w:val="-3"/>
          <w:w w:val="105"/>
          <w:shd w:val="clear" w:color="auto" w:fill="FFFFFF"/>
        </w:rPr>
        <w:t xml:space="preserve"> </w:t>
      </w:r>
      <w:r>
        <w:rPr>
          <w:w w:val="105"/>
          <w:shd w:val="clear" w:color="auto" w:fill="FFFFFF"/>
        </w:rPr>
        <w:t>0</w:t>
      </w:r>
      <w:r>
        <w:rPr>
          <w:spacing w:val="-6"/>
          <w:w w:val="105"/>
          <w:shd w:val="clear" w:color="auto" w:fill="FFFFFF"/>
        </w:rPr>
        <w:t xml:space="preserve"> </w:t>
      </w:r>
      <w:r>
        <w:rPr>
          <w:w w:val="105"/>
          <w:shd w:val="clear" w:color="auto" w:fill="FFFFFF"/>
        </w:rPr>
        <w:t>=</w:t>
      </w:r>
      <w:r>
        <w:rPr>
          <w:spacing w:val="-4"/>
          <w:w w:val="105"/>
          <w:shd w:val="clear" w:color="auto" w:fill="FFFFFF"/>
        </w:rPr>
        <w:t xml:space="preserve"> </w:t>
      </w:r>
      <w:r>
        <w:rPr>
          <w:w w:val="105"/>
          <w:shd w:val="clear" w:color="auto" w:fill="FFFFFF"/>
        </w:rPr>
        <w:t>negative;</w:t>
      </w:r>
      <w:r>
        <w:rPr>
          <w:spacing w:val="-2"/>
          <w:w w:val="105"/>
          <w:shd w:val="clear" w:color="auto" w:fill="FFFFFF"/>
        </w:rPr>
        <w:t xml:space="preserve"> </w:t>
      </w:r>
      <w:r>
        <w:rPr>
          <w:w w:val="105"/>
          <w:shd w:val="clear" w:color="auto" w:fill="FFFFFF"/>
        </w:rPr>
        <w:t>1</w:t>
      </w:r>
      <w:r>
        <w:rPr>
          <w:spacing w:val="-5"/>
          <w:w w:val="105"/>
          <w:shd w:val="clear" w:color="auto" w:fill="FFFFFF"/>
        </w:rPr>
        <w:t xml:space="preserve"> </w:t>
      </w:r>
      <w:r>
        <w:rPr>
          <w:w w:val="105"/>
          <w:shd w:val="clear" w:color="auto" w:fill="FFFFFF"/>
        </w:rPr>
        <w:t>=</w:t>
      </w:r>
      <w:r>
        <w:rPr>
          <w:spacing w:val="-4"/>
          <w:w w:val="105"/>
          <w:shd w:val="clear" w:color="auto" w:fill="FFFFFF"/>
        </w:rPr>
        <w:t xml:space="preserve"> </w:t>
      </w:r>
      <w:r>
        <w:rPr>
          <w:w w:val="105"/>
          <w:shd w:val="clear" w:color="auto" w:fill="FFFFFF"/>
        </w:rPr>
        <w:t>weak; 2</w:t>
      </w:r>
      <w:r>
        <w:rPr>
          <w:spacing w:val="-6"/>
          <w:w w:val="105"/>
          <w:shd w:val="clear" w:color="auto" w:fill="FFFFFF"/>
        </w:rPr>
        <w:t xml:space="preserve"> </w:t>
      </w:r>
      <w:r>
        <w:rPr>
          <w:w w:val="105"/>
          <w:shd w:val="clear" w:color="auto" w:fill="FFFFFF"/>
        </w:rPr>
        <w:t>=</w:t>
      </w:r>
      <w:r>
        <w:rPr>
          <w:spacing w:val="-4"/>
          <w:w w:val="105"/>
          <w:shd w:val="clear" w:color="auto" w:fill="FFFFFF"/>
        </w:rPr>
        <w:t xml:space="preserve"> </w:t>
      </w:r>
      <w:r>
        <w:rPr>
          <w:w w:val="105"/>
          <w:shd w:val="clear" w:color="auto" w:fill="FFFFFF"/>
        </w:rPr>
        <w:t>moderate;</w:t>
      </w:r>
      <w:r>
        <w:rPr>
          <w:spacing w:val="-6"/>
          <w:w w:val="105"/>
          <w:shd w:val="clear" w:color="auto" w:fill="FFFFFF"/>
        </w:rPr>
        <w:t xml:space="preserve"> </w:t>
      </w:r>
      <w:r>
        <w:rPr>
          <w:w w:val="105"/>
          <w:shd w:val="clear" w:color="auto" w:fill="FFFFFF"/>
        </w:rPr>
        <w:t>and</w:t>
      </w:r>
      <w:r>
        <w:rPr>
          <w:spacing w:val="-5"/>
          <w:w w:val="105"/>
          <w:shd w:val="clear" w:color="auto" w:fill="FFFFFF"/>
        </w:rPr>
        <w:t xml:space="preserve"> </w:t>
      </w:r>
      <w:r>
        <w:rPr>
          <w:w w:val="105"/>
          <w:shd w:val="clear" w:color="auto" w:fill="FFFFFF"/>
        </w:rPr>
        <w:t>3</w:t>
      </w:r>
      <w:r>
        <w:rPr>
          <w:spacing w:val="-5"/>
          <w:w w:val="105"/>
          <w:shd w:val="clear" w:color="auto" w:fill="FFFFFF"/>
        </w:rPr>
        <w:t xml:space="preserve"> </w:t>
      </w:r>
      <w:r>
        <w:rPr>
          <w:w w:val="105"/>
          <w:shd w:val="clear" w:color="auto" w:fill="FFFFFF"/>
        </w:rPr>
        <w:t>=</w:t>
      </w:r>
      <w:r>
        <w:rPr>
          <w:spacing w:val="-5"/>
          <w:w w:val="105"/>
          <w:shd w:val="clear" w:color="auto" w:fill="FFFFFF"/>
        </w:rPr>
        <w:t xml:space="preserve"> </w:t>
      </w:r>
      <w:r>
        <w:rPr>
          <w:w w:val="105"/>
          <w:shd w:val="clear" w:color="auto" w:fill="FFFFFF"/>
        </w:rPr>
        <w:t>strong.</w:t>
      </w:r>
      <w:r>
        <w:rPr>
          <w:spacing w:val="-6"/>
          <w:w w:val="105"/>
          <w:shd w:val="clear" w:color="auto" w:fill="FFFFFF"/>
        </w:rPr>
        <w:t xml:space="preserve"> </w:t>
      </w:r>
      <w:r>
        <w:rPr>
          <w:w w:val="105"/>
          <w:shd w:val="clear" w:color="auto" w:fill="FFFFFF"/>
        </w:rPr>
        <w:t>The</w:t>
      </w:r>
      <w:r>
        <w:rPr>
          <w:spacing w:val="-5"/>
          <w:w w:val="105"/>
          <w:shd w:val="clear" w:color="auto" w:fill="FFFFFF"/>
        </w:rPr>
        <w:t xml:space="preserve"> </w:t>
      </w:r>
      <w:r>
        <w:rPr>
          <w:w w:val="105"/>
          <w:shd w:val="clear" w:color="auto" w:fill="FFFFFF"/>
        </w:rPr>
        <w:t>percentage</w:t>
      </w:r>
      <w:r>
        <w:rPr>
          <w:spacing w:val="-8"/>
          <w:w w:val="105"/>
          <w:shd w:val="clear" w:color="auto" w:fill="FFFFFF"/>
        </w:rPr>
        <w:t xml:space="preserve"> </w:t>
      </w:r>
      <w:r>
        <w:rPr>
          <w:w w:val="105"/>
          <w:shd w:val="clear" w:color="auto" w:fill="FFFFFF"/>
        </w:rPr>
        <w:t>of</w:t>
      </w:r>
      <w:r>
        <w:rPr>
          <w:spacing w:val="-4"/>
          <w:w w:val="105"/>
          <w:shd w:val="clear" w:color="auto" w:fill="FFFFFF"/>
        </w:rPr>
        <w:t xml:space="preserve"> </w:t>
      </w:r>
      <w:r>
        <w:rPr>
          <w:w w:val="105"/>
          <w:shd w:val="clear" w:color="auto" w:fill="FFFFFF"/>
        </w:rPr>
        <w:t>positive</w:t>
      </w:r>
      <w:r>
        <w:rPr>
          <w:spacing w:val="-5"/>
          <w:w w:val="105"/>
          <w:shd w:val="clear" w:color="auto" w:fill="FFFFFF"/>
        </w:rPr>
        <w:t xml:space="preserve"> </w:t>
      </w:r>
      <w:r>
        <w:rPr>
          <w:w w:val="105"/>
          <w:shd w:val="clear" w:color="auto" w:fill="FFFFFF"/>
        </w:rPr>
        <w:t>cells</w:t>
      </w:r>
      <w:r>
        <w:rPr>
          <w:spacing w:val="-6"/>
          <w:w w:val="105"/>
          <w:shd w:val="clear" w:color="auto" w:fill="FFFFFF"/>
        </w:rPr>
        <w:t xml:space="preserve"> </w:t>
      </w:r>
      <w:r>
        <w:rPr>
          <w:w w:val="105"/>
          <w:shd w:val="clear" w:color="auto" w:fill="FFFFFF"/>
        </w:rPr>
        <w:t>(PP)</w:t>
      </w:r>
      <w:r>
        <w:rPr>
          <w:spacing w:val="-5"/>
          <w:w w:val="105"/>
          <w:shd w:val="clear" w:color="auto" w:fill="FFFFFF"/>
        </w:rPr>
        <w:t xml:space="preserve"> </w:t>
      </w:r>
      <w:r>
        <w:rPr>
          <w:w w:val="105"/>
          <w:shd w:val="clear" w:color="auto" w:fill="FFFFFF"/>
        </w:rPr>
        <w:t>was</w:t>
      </w:r>
      <w:r>
        <w:rPr>
          <w:spacing w:val="-6"/>
          <w:w w:val="105"/>
          <w:shd w:val="clear" w:color="auto" w:fill="FFFFFF"/>
        </w:rPr>
        <w:t xml:space="preserve"> </w:t>
      </w:r>
      <w:r>
        <w:rPr>
          <w:w w:val="105"/>
          <w:shd w:val="clear" w:color="auto" w:fill="FFFFFF"/>
        </w:rPr>
        <w:t>scored</w:t>
      </w:r>
      <w:r>
        <w:rPr>
          <w:spacing w:val="-5"/>
          <w:w w:val="105"/>
          <w:shd w:val="clear" w:color="auto" w:fill="FFFFFF"/>
        </w:rPr>
        <w:t xml:space="preserve"> </w:t>
      </w:r>
      <w:r>
        <w:rPr>
          <w:w w:val="105"/>
          <w:shd w:val="clear" w:color="auto" w:fill="FFFFFF"/>
        </w:rPr>
        <w:t>as</w:t>
      </w:r>
      <w:r>
        <w:rPr>
          <w:spacing w:val="-5"/>
          <w:w w:val="105"/>
          <w:shd w:val="clear" w:color="auto" w:fill="FFFFFF"/>
        </w:rPr>
        <w:t xml:space="preserve"> </w:t>
      </w:r>
      <w:r>
        <w:rPr>
          <w:w w:val="105"/>
          <w:shd w:val="clear" w:color="auto" w:fill="FFFFFF"/>
        </w:rPr>
        <w:t>1,</w:t>
      </w:r>
      <w:r>
        <w:rPr>
          <w:spacing w:val="-5"/>
          <w:w w:val="105"/>
          <w:shd w:val="clear" w:color="auto" w:fill="FFFFFF"/>
        </w:rPr>
        <w:t xml:space="preserve"> </w:t>
      </w:r>
      <w:r>
        <w:rPr>
          <w:w w:val="105"/>
          <w:shd w:val="clear" w:color="auto" w:fill="FFFFFF"/>
        </w:rPr>
        <w:t>2,</w:t>
      </w:r>
      <w:r>
        <w:rPr>
          <w:spacing w:val="-5"/>
          <w:w w:val="105"/>
          <w:shd w:val="clear" w:color="auto" w:fill="FFFFFF"/>
        </w:rPr>
        <w:t xml:space="preserve"> </w:t>
      </w:r>
      <w:r>
        <w:rPr>
          <w:w w:val="105"/>
          <w:shd w:val="clear" w:color="auto" w:fill="FFFFFF"/>
        </w:rPr>
        <w:t>or</w:t>
      </w:r>
      <w:r>
        <w:rPr>
          <w:spacing w:val="-6"/>
          <w:w w:val="105"/>
          <w:shd w:val="clear" w:color="auto" w:fill="FFFFFF"/>
        </w:rPr>
        <w:t xml:space="preserve"> </w:t>
      </w:r>
      <w:r>
        <w:rPr>
          <w:w w:val="105"/>
          <w:shd w:val="clear" w:color="auto" w:fill="FFFFFF"/>
        </w:rPr>
        <w:t>3</w:t>
      </w:r>
      <w:r>
        <w:rPr>
          <w:spacing w:val="-6"/>
          <w:w w:val="105"/>
          <w:shd w:val="clear" w:color="auto" w:fill="FFFFFF"/>
        </w:rPr>
        <w:t xml:space="preserve"> </w:t>
      </w:r>
      <w:r>
        <w:rPr>
          <w:w w:val="105"/>
          <w:shd w:val="clear" w:color="auto" w:fill="FFFFFF"/>
        </w:rPr>
        <w:t>if the positively stained area was &lt;10%, 11-50%, or &gt;50%, respectively. The IRS was calculated</w:t>
      </w:r>
      <w:r>
        <w:rPr>
          <w:spacing w:val="-7"/>
          <w:w w:val="105"/>
          <w:shd w:val="clear" w:color="auto" w:fill="FFFFFF"/>
        </w:rPr>
        <w:t xml:space="preserve"> </w:t>
      </w:r>
      <w:r>
        <w:rPr>
          <w:w w:val="105"/>
          <w:shd w:val="clear" w:color="auto" w:fill="FFFFFF"/>
        </w:rPr>
        <w:t>according</w:t>
      </w:r>
      <w:r>
        <w:rPr>
          <w:spacing w:val="-7"/>
          <w:w w:val="105"/>
          <w:shd w:val="clear" w:color="auto" w:fill="FFFFFF"/>
        </w:rPr>
        <w:t xml:space="preserve"> </w:t>
      </w:r>
      <w:r>
        <w:rPr>
          <w:w w:val="105"/>
          <w:shd w:val="clear" w:color="auto" w:fill="FFFFFF"/>
        </w:rPr>
        <w:t>to</w:t>
      </w:r>
      <w:r>
        <w:rPr>
          <w:spacing w:val="-7"/>
          <w:w w:val="105"/>
          <w:shd w:val="clear" w:color="auto" w:fill="FFFFFF"/>
        </w:rPr>
        <w:t xml:space="preserve"> </w:t>
      </w:r>
      <w:r>
        <w:rPr>
          <w:w w:val="105"/>
          <w:shd w:val="clear" w:color="auto" w:fill="FFFFFF"/>
        </w:rPr>
        <w:t>the</w:t>
      </w:r>
      <w:r>
        <w:rPr>
          <w:spacing w:val="-7"/>
          <w:w w:val="105"/>
          <w:shd w:val="clear" w:color="auto" w:fill="FFFFFF"/>
        </w:rPr>
        <w:t xml:space="preserve"> </w:t>
      </w:r>
      <w:r>
        <w:rPr>
          <w:w w:val="105"/>
          <w:shd w:val="clear" w:color="auto" w:fill="FFFFFF"/>
        </w:rPr>
        <w:t>following</w:t>
      </w:r>
      <w:r>
        <w:rPr>
          <w:spacing w:val="-8"/>
          <w:w w:val="105"/>
          <w:shd w:val="clear" w:color="auto" w:fill="FFFFFF"/>
        </w:rPr>
        <w:t xml:space="preserve"> </w:t>
      </w:r>
      <w:r>
        <w:rPr>
          <w:w w:val="105"/>
          <w:shd w:val="clear" w:color="auto" w:fill="FFFFFF"/>
        </w:rPr>
        <w:t>equation:</w:t>
      </w:r>
      <w:r>
        <w:rPr>
          <w:spacing w:val="-6"/>
          <w:w w:val="105"/>
          <w:shd w:val="clear" w:color="auto" w:fill="FFFFFF"/>
        </w:rPr>
        <w:t xml:space="preserve"> </w:t>
      </w:r>
      <w:r>
        <w:rPr>
          <w:w w:val="105"/>
          <w:shd w:val="clear" w:color="auto" w:fill="FFFFFF"/>
        </w:rPr>
        <w:t>IRS</w:t>
      </w:r>
      <w:r>
        <w:rPr>
          <w:spacing w:val="-7"/>
          <w:w w:val="105"/>
          <w:shd w:val="clear" w:color="auto" w:fill="FFFFFF"/>
        </w:rPr>
        <w:t xml:space="preserve"> </w:t>
      </w:r>
      <w:r>
        <w:rPr>
          <w:w w:val="105"/>
          <w:shd w:val="clear" w:color="auto" w:fill="FFFFFF"/>
        </w:rPr>
        <w:t>=</w:t>
      </w:r>
      <w:r>
        <w:rPr>
          <w:spacing w:val="-8"/>
          <w:w w:val="105"/>
          <w:shd w:val="clear" w:color="auto" w:fill="FFFFFF"/>
        </w:rPr>
        <w:t xml:space="preserve"> </w:t>
      </w:r>
      <w:r>
        <w:rPr>
          <w:w w:val="105"/>
          <w:shd w:val="clear" w:color="auto" w:fill="FFFFFF"/>
        </w:rPr>
        <w:t>SI</w:t>
      </w:r>
      <w:r>
        <w:rPr>
          <w:spacing w:val="-7"/>
          <w:w w:val="105"/>
          <w:shd w:val="clear" w:color="auto" w:fill="FFFFFF"/>
        </w:rPr>
        <w:t xml:space="preserve"> </w:t>
      </w:r>
      <w:r>
        <w:rPr>
          <w:w w:val="105"/>
          <w:shd w:val="clear" w:color="auto" w:fill="FFFFFF"/>
        </w:rPr>
        <w:t>×</w:t>
      </w:r>
      <w:r>
        <w:rPr>
          <w:spacing w:val="-8"/>
          <w:w w:val="105"/>
          <w:shd w:val="clear" w:color="auto" w:fill="FFFFFF"/>
        </w:rPr>
        <w:t xml:space="preserve"> </w:t>
      </w:r>
      <w:r>
        <w:rPr>
          <w:w w:val="105"/>
          <w:shd w:val="clear" w:color="auto" w:fill="FFFFFF"/>
        </w:rPr>
        <w:t>PP,</w:t>
      </w:r>
      <w:r>
        <w:rPr>
          <w:spacing w:val="-8"/>
          <w:w w:val="105"/>
          <w:shd w:val="clear" w:color="auto" w:fill="FFFFFF"/>
        </w:rPr>
        <w:t xml:space="preserve"> </w:t>
      </w:r>
      <w:r>
        <w:rPr>
          <w:w w:val="105"/>
          <w:shd w:val="clear" w:color="auto" w:fill="FFFFFF"/>
        </w:rPr>
        <w:t>where</w:t>
      </w:r>
      <w:r>
        <w:rPr>
          <w:spacing w:val="-7"/>
          <w:w w:val="105"/>
          <w:shd w:val="clear" w:color="auto" w:fill="FFFFFF"/>
        </w:rPr>
        <w:t xml:space="preserve"> </w:t>
      </w:r>
      <w:r>
        <w:rPr>
          <w:w w:val="105"/>
          <w:shd w:val="clear" w:color="auto" w:fill="FFFFFF"/>
        </w:rPr>
        <w:t>the</w:t>
      </w:r>
      <w:r>
        <w:rPr>
          <w:spacing w:val="-7"/>
          <w:w w:val="105"/>
          <w:shd w:val="clear" w:color="auto" w:fill="FFFFFF"/>
        </w:rPr>
        <w:t xml:space="preserve"> </w:t>
      </w:r>
      <w:r>
        <w:rPr>
          <w:w w:val="105"/>
          <w:shd w:val="clear" w:color="auto" w:fill="FFFFFF"/>
        </w:rPr>
        <w:t>IRS</w:t>
      </w:r>
      <w:r>
        <w:rPr>
          <w:spacing w:val="-8"/>
          <w:w w:val="105"/>
          <w:shd w:val="clear" w:color="auto" w:fill="FFFFFF"/>
        </w:rPr>
        <w:t xml:space="preserve"> </w:t>
      </w:r>
      <w:r>
        <w:rPr>
          <w:w w:val="105"/>
          <w:shd w:val="clear" w:color="auto" w:fill="FFFFFF"/>
        </w:rPr>
        <w:t>ranged</w:t>
      </w:r>
      <w:r>
        <w:rPr>
          <w:spacing w:val="-7"/>
          <w:w w:val="105"/>
          <w:shd w:val="clear" w:color="auto" w:fill="FFFFFF"/>
        </w:rPr>
        <w:t xml:space="preserve"> </w:t>
      </w:r>
      <w:r>
        <w:rPr>
          <w:w w:val="105"/>
          <w:shd w:val="clear" w:color="auto" w:fill="FFFFFF"/>
        </w:rPr>
        <w:t>from</w:t>
      </w:r>
      <w:r>
        <w:rPr>
          <w:spacing w:val="-11"/>
          <w:w w:val="105"/>
          <w:shd w:val="clear" w:color="auto" w:fill="FFFFFF"/>
        </w:rPr>
        <w:t xml:space="preserve"> </w:t>
      </w:r>
      <w:r>
        <w:rPr>
          <w:w w:val="105"/>
          <w:shd w:val="clear" w:color="auto" w:fill="FFFFFF"/>
        </w:rPr>
        <w:t>0-</w:t>
      </w:r>
      <w:r>
        <w:rPr>
          <w:w w:val="105"/>
        </w:rPr>
        <w:t>9. Patients with missing or incomplete cores were excluded from the analysis.</w:t>
      </w:r>
    </w:p>
    <w:p w:rsidR="00D33C05" w:rsidRDefault="00D33C05" w:rsidP="00D33C05">
      <w:pPr>
        <w:pStyle w:val="Brdtext"/>
        <w:spacing w:line="276" w:lineRule="auto"/>
        <w:ind w:left="135" w:right="130"/>
        <w:jc w:val="both"/>
      </w:pPr>
    </w:p>
    <w:p w:rsidR="00D33C05" w:rsidRDefault="00D33C05" w:rsidP="00D33C05">
      <w:pPr>
        <w:pStyle w:val="Rubrik1"/>
        <w:spacing w:line="276" w:lineRule="auto"/>
        <w:ind w:left="0"/>
      </w:pPr>
      <w:r>
        <w:rPr>
          <w:w w:val="105"/>
        </w:rPr>
        <w:t>Patients</w:t>
      </w:r>
    </w:p>
    <w:p w:rsidR="00D33C05" w:rsidRDefault="00D33C05" w:rsidP="00D33C05">
      <w:pPr>
        <w:pStyle w:val="Brdtext"/>
        <w:spacing w:line="276" w:lineRule="auto"/>
        <w:rPr>
          <w:b/>
          <w:sz w:val="23"/>
        </w:rPr>
      </w:pPr>
    </w:p>
    <w:p w:rsidR="00D33C05" w:rsidRDefault="00D33C05" w:rsidP="00D33C05">
      <w:pPr>
        <w:pStyle w:val="Brdtext"/>
        <w:spacing w:line="276" w:lineRule="auto"/>
      </w:pPr>
      <w:r>
        <w:t>All</w:t>
      </w:r>
      <w:r>
        <w:rPr>
          <w:spacing w:val="34"/>
        </w:rPr>
        <w:t xml:space="preserve"> </w:t>
      </w:r>
      <w:r>
        <w:t>the</w:t>
      </w:r>
      <w:r>
        <w:rPr>
          <w:spacing w:val="32"/>
        </w:rPr>
        <w:t xml:space="preserve"> </w:t>
      </w:r>
      <w:r>
        <w:t>patients</w:t>
      </w:r>
      <w:r>
        <w:rPr>
          <w:spacing w:val="35"/>
        </w:rPr>
        <w:t xml:space="preserve"> </w:t>
      </w:r>
      <w:r>
        <w:t>involved</w:t>
      </w:r>
      <w:r>
        <w:rPr>
          <w:spacing w:val="34"/>
        </w:rPr>
        <w:t xml:space="preserve"> </w:t>
      </w:r>
      <w:r>
        <w:t>in</w:t>
      </w:r>
      <w:r>
        <w:rPr>
          <w:spacing w:val="35"/>
        </w:rPr>
        <w:t xml:space="preserve"> </w:t>
      </w:r>
      <w:r>
        <w:t>this</w:t>
      </w:r>
      <w:r>
        <w:rPr>
          <w:spacing w:val="34"/>
        </w:rPr>
        <w:t xml:space="preserve"> </w:t>
      </w:r>
      <w:r>
        <w:t>investigation</w:t>
      </w:r>
      <w:r>
        <w:rPr>
          <w:spacing w:val="35"/>
        </w:rPr>
        <w:t xml:space="preserve"> </w:t>
      </w:r>
      <w:r>
        <w:t>belonged</w:t>
      </w:r>
      <w:r>
        <w:rPr>
          <w:spacing w:val="35"/>
        </w:rPr>
        <w:t xml:space="preserve"> </w:t>
      </w:r>
      <w:r>
        <w:t>to</w:t>
      </w:r>
      <w:r>
        <w:rPr>
          <w:spacing w:val="35"/>
        </w:rPr>
        <w:t xml:space="preserve"> </w:t>
      </w:r>
      <w:r>
        <w:t>a</w:t>
      </w:r>
      <w:r>
        <w:rPr>
          <w:spacing w:val="35"/>
        </w:rPr>
        <w:t xml:space="preserve"> </w:t>
      </w:r>
      <w:r>
        <w:t>previously</w:t>
      </w:r>
      <w:r>
        <w:rPr>
          <w:spacing w:val="35"/>
        </w:rPr>
        <w:t xml:space="preserve"> </w:t>
      </w:r>
      <w:r>
        <w:t>described</w:t>
      </w:r>
      <w:r>
        <w:rPr>
          <w:spacing w:val="36"/>
        </w:rPr>
        <w:t xml:space="preserve"> </w:t>
      </w:r>
      <w:r>
        <w:t>cohort</w:t>
      </w:r>
      <w:r>
        <w:rPr>
          <w:spacing w:val="46"/>
        </w:rPr>
        <w:t xml:space="preserve"> </w:t>
      </w:r>
      <w:r w:rsidR="00A56177">
        <w:rPr>
          <w:vertAlign w:val="superscript"/>
        </w:rPr>
        <w:t>22</w:t>
      </w:r>
      <w:r>
        <w:t xml:space="preserve">. Patients operated for colorectal cancer during 2008-2012 were randomly chosen from four different hospitals in the southern part of Sweden, and the study had 80% sufficient power as calculated and reported in detail´s previously </w:t>
      </w:r>
      <w:r w:rsidR="00A56177">
        <w:rPr>
          <w:vertAlign w:val="superscript"/>
        </w:rPr>
        <w:t>22</w:t>
      </w:r>
      <w:r>
        <w:t xml:space="preserve">. The endpoint was overall survival (OS). </w:t>
      </w:r>
      <w:r>
        <w:rPr>
          <w:w w:val="105"/>
        </w:rPr>
        <w:t>The</w:t>
      </w:r>
      <w:r>
        <w:rPr>
          <w:spacing w:val="-14"/>
          <w:w w:val="105"/>
        </w:rPr>
        <w:t xml:space="preserve"> </w:t>
      </w:r>
      <w:r>
        <w:rPr>
          <w:w w:val="105"/>
        </w:rPr>
        <w:t>follow-up</w:t>
      </w:r>
      <w:r>
        <w:rPr>
          <w:spacing w:val="-14"/>
          <w:w w:val="105"/>
        </w:rPr>
        <w:t xml:space="preserve"> </w:t>
      </w:r>
      <w:r>
        <w:rPr>
          <w:w w:val="105"/>
        </w:rPr>
        <w:t>time</w:t>
      </w:r>
      <w:r>
        <w:rPr>
          <w:spacing w:val="-15"/>
          <w:w w:val="105"/>
        </w:rPr>
        <w:t xml:space="preserve"> </w:t>
      </w:r>
      <w:r>
        <w:rPr>
          <w:w w:val="105"/>
        </w:rPr>
        <w:t>started</w:t>
      </w:r>
      <w:r>
        <w:rPr>
          <w:spacing w:val="-13"/>
          <w:w w:val="105"/>
        </w:rPr>
        <w:t xml:space="preserve"> </w:t>
      </w:r>
      <w:r>
        <w:rPr>
          <w:w w:val="105"/>
        </w:rPr>
        <w:t>at</w:t>
      </w:r>
      <w:r>
        <w:rPr>
          <w:spacing w:val="-14"/>
          <w:w w:val="105"/>
        </w:rPr>
        <w:t xml:space="preserve"> </w:t>
      </w:r>
      <w:r>
        <w:rPr>
          <w:w w:val="105"/>
        </w:rPr>
        <w:t>the</w:t>
      </w:r>
      <w:r>
        <w:rPr>
          <w:spacing w:val="-13"/>
          <w:w w:val="105"/>
        </w:rPr>
        <w:t xml:space="preserve"> </w:t>
      </w:r>
      <w:r>
        <w:rPr>
          <w:w w:val="105"/>
        </w:rPr>
        <w:t>date</w:t>
      </w:r>
      <w:r>
        <w:rPr>
          <w:spacing w:val="-14"/>
          <w:w w:val="105"/>
        </w:rPr>
        <w:t xml:space="preserve"> </w:t>
      </w:r>
      <w:r>
        <w:rPr>
          <w:w w:val="105"/>
        </w:rPr>
        <w:t>of</w:t>
      </w:r>
      <w:r>
        <w:rPr>
          <w:spacing w:val="-14"/>
          <w:w w:val="105"/>
        </w:rPr>
        <w:t xml:space="preserve"> </w:t>
      </w:r>
      <w:r>
        <w:rPr>
          <w:w w:val="105"/>
        </w:rPr>
        <w:t>diagnosis</w:t>
      </w:r>
      <w:r>
        <w:rPr>
          <w:spacing w:val="-12"/>
          <w:w w:val="105"/>
        </w:rPr>
        <w:t xml:space="preserve"> </w:t>
      </w:r>
      <w:r>
        <w:rPr>
          <w:w w:val="105"/>
        </w:rPr>
        <w:t>and</w:t>
      </w:r>
      <w:r>
        <w:rPr>
          <w:spacing w:val="-13"/>
          <w:w w:val="105"/>
        </w:rPr>
        <w:t xml:space="preserve"> </w:t>
      </w:r>
      <w:r>
        <w:rPr>
          <w:w w:val="105"/>
        </w:rPr>
        <w:t>ended</w:t>
      </w:r>
      <w:r>
        <w:rPr>
          <w:spacing w:val="-14"/>
          <w:w w:val="105"/>
        </w:rPr>
        <w:t xml:space="preserve"> </w:t>
      </w:r>
      <w:r>
        <w:rPr>
          <w:w w:val="105"/>
        </w:rPr>
        <w:t>at</w:t>
      </w:r>
      <w:r>
        <w:rPr>
          <w:spacing w:val="-13"/>
          <w:w w:val="105"/>
        </w:rPr>
        <w:t xml:space="preserve"> </w:t>
      </w:r>
      <w:r>
        <w:rPr>
          <w:w w:val="105"/>
        </w:rPr>
        <w:t>the</w:t>
      </w:r>
      <w:r>
        <w:rPr>
          <w:spacing w:val="-13"/>
          <w:w w:val="105"/>
        </w:rPr>
        <w:t xml:space="preserve"> </w:t>
      </w:r>
      <w:r>
        <w:rPr>
          <w:w w:val="105"/>
        </w:rPr>
        <w:t>date</w:t>
      </w:r>
      <w:r>
        <w:rPr>
          <w:spacing w:val="-14"/>
          <w:w w:val="105"/>
        </w:rPr>
        <w:t xml:space="preserve"> </w:t>
      </w:r>
      <w:r>
        <w:rPr>
          <w:w w:val="105"/>
        </w:rPr>
        <w:t>of</w:t>
      </w:r>
      <w:r>
        <w:rPr>
          <w:spacing w:val="-14"/>
          <w:w w:val="105"/>
        </w:rPr>
        <w:t xml:space="preserve"> </w:t>
      </w:r>
      <w:r>
        <w:rPr>
          <w:w w:val="105"/>
        </w:rPr>
        <w:t>the</w:t>
      </w:r>
      <w:r>
        <w:rPr>
          <w:spacing w:val="-13"/>
          <w:w w:val="105"/>
        </w:rPr>
        <w:t xml:space="preserve"> </w:t>
      </w:r>
      <w:r>
        <w:rPr>
          <w:w w:val="105"/>
        </w:rPr>
        <w:t>indicated event</w:t>
      </w:r>
      <w:r>
        <w:rPr>
          <w:spacing w:val="-5"/>
          <w:w w:val="105"/>
        </w:rPr>
        <w:t xml:space="preserve"> </w:t>
      </w:r>
      <w:r>
        <w:rPr>
          <w:w w:val="105"/>
        </w:rPr>
        <w:t>(death</w:t>
      </w:r>
      <w:r>
        <w:rPr>
          <w:spacing w:val="-3"/>
          <w:w w:val="105"/>
        </w:rPr>
        <w:t xml:space="preserve"> </w:t>
      </w:r>
      <w:r>
        <w:rPr>
          <w:w w:val="105"/>
        </w:rPr>
        <w:t>due</w:t>
      </w:r>
      <w:r>
        <w:rPr>
          <w:spacing w:val="-5"/>
          <w:w w:val="105"/>
        </w:rPr>
        <w:t xml:space="preserve"> </w:t>
      </w:r>
      <w:r>
        <w:rPr>
          <w:w w:val="105"/>
        </w:rPr>
        <w:t>to</w:t>
      </w:r>
      <w:r>
        <w:rPr>
          <w:spacing w:val="-3"/>
          <w:w w:val="105"/>
        </w:rPr>
        <w:t xml:space="preserve"> </w:t>
      </w:r>
      <w:r>
        <w:rPr>
          <w:w w:val="105"/>
        </w:rPr>
        <w:t>any</w:t>
      </w:r>
      <w:r>
        <w:rPr>
          <w:spacing w:val="-3"/>
          <w:w w:val="105"/>
        </w:rPr>
        <w:t xml:space="preserve"> </w:t>
      </w:r>
      <w:r>
        <w:rPr>
          <w:w w:val="105"/>
        </w:rPr>
        <w:t>cause)</w:t>
      </w:r>
      <w:r>
        <w:rPr>
          <w:spacing w:val="-5"/>
          <w:w w:val="105"/>
        </w:rPr>
        <w:t xml:space="preserve"> </w:t>
      </w:r>
      <w:r>
        <w:rPr>
          <w:w w:val="105"/>
        </w:rPr>
        <w:t>or</w:t>
      </w:r>
      <w:r>
        <w:rPr>
          <w:spacing w:val="-4"/>
          <w:w w:val="105"/>
        </w:rPr>
        <w:t xml:space="preserve"> </w:t>
      </w:r>
      <w:r>
        <w:rPr>
          <w:w w:val="105"/>
        </w:rPr>
        <w:t>censoring</w:t>
      </w:r>
      <w:r>
        <w:rPr>
          <w:spacing w:val="-4"/>
          <w:w w:val="105"/>
        </w:rPr>
        <w:t xml:space="preserve"> </w:t>
      </w:r>
      <w:r>
        <w:rPr>
          <w:w w:val="105"/>
        </w:rPr>
        <w:t>(31</w:t>
      </w:r>
      <w:r>
        <w:rPr>
          <w:spacing w:val="-5"/>
          <w:w w:val="105"/>
        </w:rPr>
        <w:t xml:space="preserve"> </w:t>
      </w:r>
      <w:r>
        <w:rPr>
          <w:w w:val="105"/>
        </w:rPr>
        <w:t>August</w:t>
      </w:r>
      <w:r>
        <w:rPr>
          <w:spacing w:val="-4"/>
          <w:w w:val="105"/>
        </w:rPr>
        <w:t xml:space="preserve"> </w:t>
      </w:r>
      <w:r>
        <w:rPr>
          <w:w w:val="105"/>
        </w:rPr>
        <w:t>2016)</w:t>
      </w:r>
      <w:r>
        <w:rPr>
          <w:spacing w:val="-6"/>
          <w:w w:val="105"/>
        </w:rPr>
        <w:t xml:space="preserve"> </w:t>
      </w:r>
      <w:r w:rsidR="00A56177">
        <w:rPr>
          <w:w w:val="105"/>
          <w:vertAlign w:val="superscript"/>
        </w:rPr>
        <w:t>22</w:t>
      </w:r>
      <w:r>
        <w:rPr>
          <w:w w:val="105"/>
        </w:rPr>
        <w:t>.</w:t>
      </w:r>
    </w:p>
    <w:p w:rsidR="00D33C05" w:rsidRDefault="00D33C05" w:rsidP="00D33C05">
      <w:pPr>
        <w:pStyle w:val="Brdtext"/>
        <w:spacing w:line="276" w:lineRule="auto"/>
        <w:rPr>
          <w:sz w:val="28"/>
        </w:rPr>
      </w:pPr>
    </w:p>
    <w:p w:rsidR="00D33C05" w:rsidRDefault="00D33C05" w:rsidP="00D33C05">
      <w:pPr>
        <w:pStyle w:val="Rubrik1"/>
        <w:spacing w:before="201" w:line="276" w:lineRule="auto"/>
        <w:ind w:left="0"/>
      </w:pPr>
      <w:r>
        <w:rPr>
          <w:w w:val="105"/>
        </w:rPr>
        <w:t>Ethical statement</w:t>
      </w:r>
    </w:p>
    <w:p w:rsidR="00D33C05" w:rsidRDefault="00D33C05" w:rsidP="00D33C05">
      <w:pPr>
        <w:pStyle w:val="Brdtext"/>
        <w:spacing w:before="1" w:line="276" w:lineRule="auto"/>
        <w:rPr>
          <w:b/>
          <w:sz w:val="23"/>
        </w:rPr>
      </w:pPr>
    </w:p>
    <w:p w:rsidR="00D33C05" w:rsidRDefault="00D33C05" w:rsidP="00D33C05">
      <w:pPr>
        <w:pStyle w:val="Brdtext"/>
        <w:spacing w:line="276" w:lineRule="auto"/>
      </w:pPr>
      <w:r>
        <w:rPr>
          <w:w w:val="105"/>
        </w:rPr>
        <w:t>All participating patients gave their written informed consent, and sample collection was made with the approval of the regional research ethics board of Lund University, Sweden (</w:t>
      </w:r>
      <w:proofErr w:type="spellStart"/>
      <w:r>
        <w:rPr>
          <w:w w:val="105"/>
        </w:rPr>
        <w:t>Dnr</w:t>
      </w:r>
      <w:proofErr w:type="spellEnd"/>
      <w:r>
        <w:rPr>
          <w:spacing w:val="-16"/>
          <w:w w:val="105"/>
        </w:rPr>
        <w:t xml:space="preserve"> </w:t>
      </w:r>
      <w:r>
        <w:rPr>
          <w:w w:val="105"/>
        </w:rPr>
        <w:t>3/2006).</w:t>
      </w:r>
      <w:r>
        <w:rPr>
          <w:spacing w:val="-16"/>
          <w:w w:val="105"/>
        </w:rPr>
        <w:t xml:space="preserve"> </w:t>
      </w:r>
      <w:r>
        <w:rPr>
          <w:w w:val="105"/>
        </w:rPr>
        <w:t>The</w:t>
      </w:r>
      <w:r>
        <w:rPr>
          <w:spacing w:val="-15"/>
          <w:w w:val="105"/>
        </w:rPr>
        <w:t xml:space="preserve"> </w:t>
      </w:r>
      <w:r>
        <w:rPr>
          <w:w w:val="105"/>
        </w:rPr>
        <w:t>studies</w:t>
      </w:r>
      <w:r>
        <w:rPr>
          <w:spacing w:val="-16"/>
          <w:w w:val="105"/>
        </w:rPr>
        <w:t xml:space="preserve"> </w:t>
      </w:r>
      <w:r>
        <w:rPr>
          <w:w w:val="105"/>
        </w:rPr>
        <w:t>were</w:t>
      </w:r>
      <w:r>
        <w:rPr>
          <w:spacing w:val="-16"/>
          <w:w w:val="105"/>
        </w:rPr>
        <w:t xml:space="preserve"> </w:t>
      </w:r>
      <w:r>
        <w:rPr>
          <w:w w:val="105"/>
        </w:rPr>
        <w:t>per-formed</w:t>
      </w:r>
      <w:r>
        <w:rPr>
          <w:spacing w:val="-15"/>
          <w:w w:val="105"/>
        </w:rPr>
        <w:t xml:space="preserve"> </w:t>
      </w:r>
      <w:r>
        <w:rPr>
          <w:w w:val="105"/>
        </w:rPr>
        <w:t>in</w:t>
      </w:r>
      <w:r>
        <w:rPr>
          <w:spacing w:val="-15"/>
          <w:w w:val="105"/>
        </w:rPr>
        <w:t xml:space="preserve"> </w:t>
      </w:r>
      <w:r>
        <w:rPr>
          <w:w w:val="105"/>
        </w:rPr>
        <w:t>compliance</w:t>
      </w:r>
      <w:r>
        <w:rPr>
          <w:spacing w:val="-16"/>
          <w:w w:val="105"/>
        </w:rPr>
        <w:t xml:space="preserve"> </w:t>
      </w:r>
      <w:r>
        <w:rPr>
          <w:w w:val="105"/>
        </w:rPr>
        <w:t>with</w:t>
      </w:r>
      <w:r>
        <w:rPr>
          <w:spacing w:val="-15"/>
          <w:w w:val="105"/>
        </w:rPr>
        <w:t xml:space="preserve"> </w:t>
      </w:r>
      <w:r>
        <w:rPr>
          <w:w w:val="105"/>
        </w:rPr>
        <w:t>the</w:t>
      </w:r>
      <w:r>
        <w:rPr>
          <w:spacing w:val="-16"/>
          <w:w w:val="105"/>
        </w:rPr>
        <w:t xml:space="preserve"> </w:t>
      </w:r>
      <w:r>
        <w:rPr>
          <w:w w:val="105"/>
        </w:rPr>
        <w:t>1975</w:t>
      </w:r>
      <w:r>
        <w:rPr>
          <w:spacing w:val="-15"/>
          <w:w w:val="105"/>
        </w:rPr>
        <w:t xml:space="preserve"> </w:t>
      </w:r>
      <w:r>
        <w:rPr>
          <w:w w:val="105"/>
        </w:rPr>
        <w:t>Declaration</w:t>
      </w:r>
      <w:r>
        <w:rPr>
          <w:spacing w:val="-15"/>
          <w:w w:val="105"/>
        </w:rPr>
        <w:t xml:space="preserve"> </w:t>
      </w:r>
      <w:r>
        <w:rPr>
          <w:w w:val="105"/>
        </w:rPr>
        <w:t>of</w:t>
      </w:r>
      <w:r>
        <w:rPr>
          <w:spacing w:val="-15"/>
          <w:w w:val="105"/>
        </w:rPr>
        <w:t xml:space="preserve"> </w:t>
      </w:r>
      <w:r>
        <w:rPr>
          <w:w w:val="105"/>
        </w:rPr>
        <w:t>Helsinki,</w:t>
      </w:r>
      <w:r>
        <w:rPr>
          <w:spacing w:val="-15"/>
          <w:w w:val="105"/>
        </w:rPr>
        <w:t xml:space="preserve"> </w:t>
      </w:r>
      <w:r>
        <w:rPr>
          <w:w w:val="105"/>
        </w:rPr>
        <w:t>as</w:t>
      </w:r>
      <w:r>
        <w:rPr>
          <w:spacing w:val="-15"/>
          <w:w w:val="105"/>
        </w:rPr>
        <w:t xml:space="preserve"> </w:t>
      </w:r>
      <w:r>
        <w:rPr>
          <w:w w:val="105"/>
        </w:rPr>
        <w:t>revised</w:t>
      </w:r>
      <w:r>
        <w:rPr>
          <w:spacing w:val="-15"/>
          <w:w w:val="105"/>
        </w:rPr>
        <w:t xml:space="preserve"> </w:t>
      </w:r>
      <w:r>
        <w:rPr>
          <w:w w:val="105"/>
        </w:rPr>
        <w:t>in</w:t>
      </w:r>
      <w:r>
        <w:rPr>
          <w:spacing w:val="-16"/>
          <w:w w:val="105"/>
        </w:rPr>
        <w:t xml:space="preserve"> </w:t>
      </w:r>
      <w:r>
        <w:rPr>
          <w:w w:val="105"/>
        </w:rPr>
        <w:t>1983.</w:t>
      </w:r>
      <w:r>
        <w:rPr>
          <w:spacing w:val="-14"/>
          <w:w w:val="105"/>
        </w:rPr>
        <w:t xml:space="preserve"> </w:t>
      </w:r>
      <w:r>
        <w:rPr>
          <w:w w:val="105"/>
        </w:rPr>
        <w:t>The</w:t>
      </w:r>
      <w:r>
        <w:rPr>
          <w:spacing w:val="-14"/>
          <w:w w:val="105"/>
        </w:rPr>
        <w:t xml:space="preserve"> </w:t>
      </w:r>
      <w:r>
        <w:rPr>
          <w:w w:val="105"/>
        </w:rPr>
        <w:t>mouse</w:t>
      </w:r>
      <w:r>
        <w:rPr>
          <w:spacing w:val="-16"/>
          <w:w w:val="105"/>
        </w:rPr>
        <w:t xml:space="preserve"> </w:t>
      </w:r>
      <w:r>
        <w:rPr>
          <w:w w:val="105"/>
        </w:rPr>
        <w:t>model</w:t>
      </w:r>
      <w:r>
        <w:rPr>
          <w:spacing w:val="-15"/>
          <w:w w:val="105"/>
        </w:rPr>
        <w:t xml:space="preserve"> </w:t>
      </w:r>
      <w:r>
        <w:rPr>
          <w:w w:val="105"/>
        </w:rPr>
        <w:t>is</w:t>
      </w:r>
      <w:r>
        <w:rPr>
          <w:spacing w:val="-14"/>
          <w:w w:val="105"/>
        </w:rPr>
        <w:t xml:space="preserve"> </w:t>
      </w:r>
      <w:r>
        <w:rPr>
          <w:w w:val="105"/>
        </w:rPr>
        <w:t>approved</w:t>
      </w:r>
      <w:r>
        <w:rPr>
          <w:spacing w:val="-16"/>
          <w:w w:val="105"/>
        </w:rPr>
        <w:t xml:space="preserve"> </w:t>
      </w:r>
      <w:r>
        <w:rPr>
          <w:w w:val="105"/>
        </w:rPr>
        <w:t>by</w:t>
      </w:r>
      <w:r>
        <w:rPr>
          <w:spacing w:val="-13"/>
          <w:w w:val="105"/>
        </w:rPr>
        <w:t xml:space="preserve"> </w:t>
      </w:r>
      <w:r>
        <w:rPr>
          <w:w w:val="105"/>
        </w:rPr>
        <w:t>the</w:t>
      </w:r>
      <w:r>
        <w:rPr>
          <w:spacing w:val="-16"/>
          <w:w w:val="105"/>
        </w:rPr>
        <w:t xml:space="preserve"> </w:t>
      </w:r>
      <w:r>
        <w:rPr>
          <w:w w:val="105"/>
        </w:rPr>
        <w:t>regional</w:t>
      </w:r>
      <w:r>
        <w:rPr>
          <w:spacing w:val="-14"/>
          <w:w w:val="105"/>
        </w:rPr>
        <w:t xml:space="preserve"> </w:t>
      </w:r>
      <w:r>
        <w:rPr>
          <w:w w:val="105"/>
        </w:rPr>
        <w:t>ethical</w:t>
      </w:r>
      <w:r>
        <w:rPr>
          <w:spacing w:val="-15"/>
          <w:w w:val="105"/>
        </w:rPr>
        <w:t xml:space="preserve"> </w:t>
      </w:r>
      <w:r>
        <w:rPr>
          <w:w w:val="105"/>
        </w:rPr>
        <w:t>committee</w:t>
      </w:r>
      <w:r>
        <w:rPr>
          <w:spacing w:val="-16"/>
          <w:w w:val="105"/>
        </w:rPr>
        <w:t xml:space="preserve"> </w:t>
      </w:r>
      <w:r>
        <w:rPr>
          <w:w w:val="105"/>
        </w:rPr>
        <w:t>for animal</w:t>
      </w:r>
      <w:r>
        <w:rPr>
          <w:spacing w:val="-12"/>
          <w:w w:val="105"/>
        </w:rPr>
        <w:t xml:space="preserve"> </w:t>
      </w:r>
      <w:r>
        <w:rPr>
          <w:w w:val="105"/>
        </w:rPr>
        <w:t>research</w:t>
      </w:r>
      <w:r>
        <w:rPr>
          <w:spacing w:val="-12"/>
          <w:w w:val="105"/>
        </w:rPr>
        <w:t xml:space="preserve"> </w:t>
      </w:r>
      <w:r>
        <w:rPr>
          <w:w w:val="105"/>
        </w:rPr>
        <w:t>at</w:t>
      </w:r>
      <w:r>
        <w:rPr>
          <w:spacing w:val="-12"/>
          <w:w w:val="105"/>
        </w:rPr>
        <w:t xml:space="preserve"> </w:t>
      </w:r>
      <w:r>
        <w:rPr>
          <w:w w:val="105"/>
        </w:rPr>
        <w:t>Lund</w:t>
      </w:r>
      <w:r>
        <w:rPr>
          <w:spacing w:val="-11"/>
          <w:w w:val="105"/>
        </w:rPr>
        <w:t xml:space="preserve"> </w:t>
      </w:r>
      <w:r>
        <w:rPr>
          <w:w w:val="105"/>
        </w:rPr>
        <w:t>University,</w:t>
      </w:r>
      <w:r>
        <w:rPr>
          <w:spacing w:val="-13"/>
          <w:w w:val="105"/>
        </w:rPr>
        <w:t xml:space="preserve"> </w:t>
      </w:r>
      <w:r>
        <w:rPr>
          <w:w w:val="105"/>
        </w:rPr>
        <w:t>who</w:t>
      </w:r>
      <w:r>
        <w:rPr>
          <w:spacing w:val="-12"/>
          <w:w w:val="105"/>
        </w:rPr>
        <w:t xml:space="preserve"> </w:t>
      </w:r>
      <w:r>
        <w:rPr>
          <w:w w:val="105"/>
        </w:rPr>
        <w:t>approved</w:t>
      </w:r>
      <w:r>
        <w:rPr>
          <w:spacing w:val="-12"/>
          <w:w w:val="105"/>
        </w:rPr>
        <w:t xml:space="preserve"> </w:t>
      </w:r>
      <w:r>
        <w:rPr>
          <w:w w:val="105"/>
        </w:rPr>
        <w:t>the</w:t>
      </w:r>
      <w:r>
        <w:rPr>
          <w:spacing w:val="-11"/>
          <w:w w:val="105"/>
        </w:rPr>
        <w:t xml:space="preserve"> </w:t>
      </w:r>
      <w:r>
        <w:rPr>
          <w:w w:val="105"/>
        </w:rPr>
        <w:t>animal</w:t>
      </w:r>
      <w:r>
        <w:rPr>
          <w:spacing w:val="-14"/>
          <w:w w:val="105"/>
        </w:rPr>
        <w:t xml:space="preserve"> </w:t>
      </w:r>
      <w:r>
        <w:rPr>
          <w:w w:val="105"/>
        </w:rPr>
        <w:t>experiments</w:t>
      </w:r>
      <w:r>
        <w:rPr>
          <w:spacing w:val="-11"/>
          <w:w w:val="105"/>
        </w:rPr>
        <w:t xml:space="preserve"> </w:t>
      </w:r>
      <w:r>
        <w:rPr>
          <w:w w:val="105"/>
        </w:rPr>
        <w:t>(M-263-12).</w:t>
      </w:r>
    </w:p>
    <w:p w:rsidR="00D33C05" w:rsidRDefault="00D33C05" w:rsidP="00D33C05">
      <w:pPr>
        <w:pStyle w:val="Brdtext"/>
        <w:spacing w:line="276" w:lineRule="auto"/>
        <w:ind w:left="135" w:right="128"/>
        <w:jc w:val="both"/>
      </w:pPr>
    </w:p>
    <w:p w:rsidR="00D33C05" w:rsidRDefault="00D33C05" w:rsidP="00D33C05">
      <w:pPr>
        <w:pStyle w:val="Rubrik1"/>
        <w:spacing w:before="1" w:line="276" w:lineRule="auto"/>
        <w:ind w:left="0"/>
        <w:rPr>
          <w:w w:val="105"/>
        </w:rPr>
      </w:pPr>
      <w:r>
        <w:rPr>
          <w:w w:val="105"/>
        </w:rPr>
        <w:t>Public database</w:t>
      </w:r>
    </w:p>
    <w:p w:rsidR="00D33C05" w:rsidRDefault="00D33C05" w:rsidP="00D33C05">
      <w:pPr>
        <w:pStyle w:val="Brdtext"/>
        <w:spacing w:line="276" w:lineRule="auto"/>
        <w:ind w:left="135" w:right="128"/>
        <w:jc w:val="both"/>
      </w:pPr>
    </w:p>
    <w:p w:rsidR="00D33C05" w:rsidRDefault="00D33C05" w:rsidP="00D33C05">
      <w:pPr>
        <w:pStyle w:val="Brdtext"/>
        <w:spacing w:before="76" w:line="276" w:lineRule="auto"/>
        <w:ind w:right="133"/>
        <w:jc w:val="both"/>
      </w:pPr>
      <w:r>
        <w:rPr>
          <w:w w:val="105"/>
        </w:rPr>
        <w:t>To</w:t>
      </w:r>
      <w:r>
        <w:rPr>
          <w:spacing w:val="-6"/>
          <w:w w:val="105"/>
        </w:rPr>
        <w:t xml:space="preserve"> </w:t>
      </w:r>
      <w:r>
        <w:rPr>
          <w:w w:val="105"/>
        </w:rPr>
        <w:t>validate</w:t>
      </w:r>
      <w:r>
        <w:rPr>
          <w:spacing w:val="-6"/>
          <w:w w:val="105"/>
        </w:rPr>
        <w:t xml:space="preserve"> </w:t>
      </w:r>
      <w:r>
        <w:rPr>
          <w:w w:val="105"/>
        </w:rPr>
        <w:t>the</w:t>
      </w:r>
      <w:r>
        <w:rPr>
          <w:spacing w:val="-4"/>
          <w:w w:val="105"/>
        </w:rPr>
        <w:t xml:space="preserve"> </w:t>
      </w:r>
      <w:r>
        <w:rPr>
          <w:w w:val="105"/>
        </w:rPr>
        <w:t>correlations</w:t>
      </w:r>
      <w:r>
        <w:rPr>
          <w:spacing w:val="-5"/>
          <w:w w:val="105"/>
        </w:rPr>
        <w:t xml:space="preserve"> </w:t>
      </w:r>
      <w:r>
        <w:rPr>
          <w:w w:val="105"/>
        </w:rPr>
        <w:t>between</w:t>
      </w:r>
      <w:r>
        <w:rPr>
          <w:spacing w:val="-5"/>
          <w:w w:val="105"/>
        </w:rPr>
        <w:t xml:space="preserve"> </w:t>
      </w:r>
      <w:r>
        <w:rPr>
          <w:w w:val="105"/>
        </w:rPr>
        <w:t>GLI1</w:t>
      </w:r>
      <w:r>
        <w:rPr>
          <w:spacing w:val="-6"/>
          <w:w w:val="105"/>
        </w:rPr>
        <w:t xml:space="preserve"> </w:t>
      </w:r>
      <w:r>
        <w:rPr>
          <w:w w:val="105"/>
        </w:rPr>
        <w:t>and</w:t>
      </w:r>
      <w:r>
        <w:rPr>
          <w:spacing w:val="-6"/>
          <w:w w:val="105"/>
        </w:rPr>
        <w:t xml:space="preserve"> </w:t>
      </w:r>
      <w:r>
        <w:rPr>
          <w:w w:val="105"/>
        </w:rPr>
        <w:t>CysLT</w:t>
      </w:r>
      <w:r>
        <w:rPr>
          <w:w w:val="105"/>
          <w:vertAlign w:val="subscript"/>
        </w:rPr>
        <w:t>2</w:t>
      </w:r>
      <w:r>
        <w:rPr>
          <w:w w:val="105"/>
        </w:rPr>
        <w:t>R,</w:t>
      </w:r>
      <w:r>
        <w:rPr>
          <w:spacing w:val="-5"/>
          <w:w w:val="105"/>
        </w:rPr>
        <w:t xml:space="preserve"> </w:t>
      </w:r>
      <w:r>
        <w:rPr>
          <w:w w:val="105"/>
        </w:rPr>
        <w:t>15-PGDH</w:t>
      </w:r>
      <w:r>
        <w:rPr>
          <w:spacing w:val="-4"/>
          <w:w w:val="105"/>
        </w:rPr>
        <w:t xml:space="preserve"> </w:t>
      </w:r>
      <w:r>
        <w:rPr>
          <w:w w:val="105"/>
        </w:rPr>
        <w:t>or</w:t>
      </w:r>
      <w:r>
        <w:rPr>
          <w:spacing w:val="-5"/>
          <w:w w:val="105"/>
        </w:rPr>
        <w:t xml:space="preserve"> </w:t>
      </w:r>
      <w:r>
        <w:rPr>
          <w:w w:val="105"/>
        </w:rPr>
        <w:t>Mucin-2</w:t>
      </w:r>
      <w:r>
        <w:rPr>
          <w:spacing w:val="-6"/>
          <w:w w:val="105"/>
        </w:rPr>
        <w:t xml:space="preserve"> </w:t>
      </w:r>
      <w:r>
        <w:rPr>
          <w:w w:val="105"/>
        </w:rPr>
        <w:t>analyzed</w:t>
      </w:r>
      <w:r>
        <w:rPr>
          <w:spacing w:val="-5"/>
          <w:w w:val="105"/>
        </w:rPr>
        <w:t xml:space="preserve"> </w:t>
      </w:r>
      <w:r>
        <w:rPr>
          <w:w w:val="105"/>
        </w:rPr>
        <w:t xml:space="preserve">by </w:t>
      </w:r>
      <w:proofErr w:type="spellStart"/>
      <w:r>
        <w:rPr>
          <w:w w:val="105"/>
        </w:rPr>
        <w:t>IHC</w:t>
      </w:r>
      <w:proofErr w:type="spellEnd"/>
      <w:r>
        <w:rPr>
          <w:w w:val="105"/>
        </w:rPr>
        <w:t xml:space="preserve"> in patient tissues, public mRNA data from a CRC cohort comprising 333 patients were included in the current study </w:t>
      </w:r>
      <w:r w:rsidR="00A56177">
        <w:rPr>
          <w:w w:val="105"/>
          <w:vertAlign w:val="superscript"/>
        </w:rPr>
        <w:t>23</w:t>
      </w:r>
      <w:r>
        <w:rPr>
          <w:w w:val="105"/>
        </w:rPr>
        <w:t>. The analysis was performed using the electronic database ‘R2: Genomics Analysis and Visualization Platform</w:t>
      </w:r>
      <w:proofErr w:type="gramStart"/>
      <w:r w:rsidR="00AB4864">
        <w:rPr>
          <w:w w:val="105"/>
        </w:rPr>
        <w:t xml:space="preserve">’ </w:t>
      </w:r>
      <w:r>
        <w:rPr>
          <w:spacing w:val="-33"/>
          <w:w w:val="105"/>
        </w:rPr>
        <w:t xml:space="preserve"> </w:t>
      </w:r>
      <w:r>
        <w:rPr>
          <w:w w:val="105"/>
        </w:rPr>
        <w:t>(</w:t>
      </w:r>
      <w:proofErr w:type="gramEnd"/>
      <w:r>
        <w:rPr>
          <w:w w:val="105"/>
        </w:rPr>
        <w:t>hgserver1.amc.nl).</w:t>
      </w:r>
    </w:p>
    <w:p w:rsidR="00D33C05" w:rsidRDefault="00D33C05" w:rsidP="00D33C05">
      <w:pPr>
        <w:pStyle w:val="Brdtext"/>
        <w:spacing w:before="6" w:line="276" w:lineRule="auto"/>
        <w:rPr>
          <w:sz w:val="21"/>
        </w:rPr>
      </w:pPr>
    </w:p>
    <w:p w:rsidR="00D33C05" w:rsidRDefault="00D33C05" w:rsidP="008F7A42">
      <w:pPr>
        <w:pStyle w:val="Rubrik1"/>
        <w:spacing w:line="276" w:lineRule="auto"/>
        <w:ind w:left="0"/>
        <w:jc w:val="both"/>
      </w:pPr>
      <w:r>
        <w:rPr>
          <w:w w:val="105"/>
        </w:rPr>
        <w:t>Quantitative real-time PCR</w:t>
      </w:r>
    </w:p>
    <w:p w:rsidR="00D33C05" w:rsidRDefault="00D33C05" w:rsidP="00D33C05">
      <w:pPr>
        <w:pStyle w:val="Brdtext"/>
        <w:spacing w:before="1" w:line="276" w:lineRule="auto"/>
        <w:rPr>
          <w:b/>
          <w:sz w:val="23"/>
        </w:rPr>
      </w:pPr>
    </w:p>
    <w:p w:rsidR="00D33C05" w:rsidRPr="00D33C05" w:rsidRDefault="00D33C05" w:rsidP="008F7A42">
      <w:pPr>
        <w:pStyle w:val="Brdtext"/>
        <w:spacing w:line="276" w:lineRule="auto"/>
        <w:ind w:right="131"/>
        <w:jc w:val="both"/>
        <w:rPr>
          <w:i/>
          <w:w w:val="105"/>
        </w:rPr>
      </w:pPr>
      <w:r>
        <w:rPr>
          <w:w w:val="105"/>
        </w:rPr>
        <w:t xml:space="preserve">Quantitative real-time polymerase chain reaction (RT-PCR) was performed according to the protocol described in a previous study </w:t>
      </w:r>
      <w:r w:rsidR="00A56177">
        <w:rPr>
          <w:w w:val="105"/>
          <w:vertAlign w:val="superscript"/>
        </w:rPr>
        <w:t>20</w:t>
      </w:r>
      <w:r>
        <w:rPr>
          <w:w w:val="105"/>
        </w:rPr>
        <w:t xml:space="preserve">. Primers for the following genes were used: </w:t>
      </w:r>
      <w:r>
        <w:rPr>
          <w:i/>
          <w:w w:val="105"/>
        </w:rPr>
        <w:t xml:space="preserve">GLI1 </w:t>
      </w:r>
      <w:r>
        <w:rPr>
          <w:w w:val="105"/>
        </w:rPr>
        <w:t>(Hs00171790_m1)</w:t>
      </w:r>
      <w:r>
        <w:rPr>
          <w:i/>
          <w:w w:val="105"/>
        </w:rPr>
        <w:t xml:space="preserve">, SI </w:t>
      </w:r>
      <w:r>
        <w:rPr>
          <w:w w:val="105"/>
        </w:rPr>
        <w:t>(Sucrase-</w:t>
      </w:r>
      <w:proofErr w:type="spellStart"/>
      <w:r>
        <w:rPr>
          <w:w w:val="105"/>
        </w:rPr>
        <w:t>isomaltase</w:t>
      </w:r>
      <w:proofErr w:type="spellEnd"/>
      <w:r>
        <w:rPr>
          <w:w w:val="105"/>
        </w:rPr>
        <w:t>, Hs00356112_m1)</w:t>
      </w:r>
      <w:r>
        <w:rPr>
          <w:i/>
          <w:w w:val="105"/>
        </w:rPr>
        <w:t xml:space="preserve">, MUC2 </w:t>
      </w:r>
      <w:r>
        <w:rPr>
          <w:w w:val="105"/>
        </w:rPr>
        <w:t xml:space="preserve">(Mucin-2, Hs00159374_m1), </w:t>
      </w:r>
      <w:r>
        <w:rPr>
          <w:i/>
          <w:w w:val="105"/>
        </w:rPr>
        <w:t>CDHR2</w:t>
      </w:r>
      <w:r w:rsidRPr="00D33C05">
        <w:rPr>
          <w:i/>
          <w:w w:val="105"/>
        </w:rPr>
        <w:t xml:space="preserve"> </w:t>
      </w:r>
      <w:r w:rsidRPr="00D33C05">
        <w:rPr>
          <w:w w:val="105"/>
        </w:rPr>
        <w:t>(Protocadherin-24, Hs00263709_m1)</w:t>
      </w:r>
      <w:r w:rsidRPr="00D33C05">
        <w:rPr>
          <w:i/>
          <w:w w:val="105"/>
        </w:rPr>
        <w:t xml:space="preserve">, </w:t>
      </w:r>
      <w:proofErr w:type="spellStart"/>
      <w:r w:rsidRPr="00D33C05">
        <w:rPr>
          <w:i/>
          <w:w w:val="105"/>
        </w:rPr>
        <w:t>HPGD</w:t>
      </w:r>
      <w:proofErr w:type="spellEnd"/>
      <w:r w:rsidRPr="00D33C05">
        <w:rPr>
          <w:i/>
          <w:spacing w:val="50"/>
          <w:w w:val="105"/>
        </w:rPr>
        <w:t xml:space="preserve"> </w:t>
      </w:r>
      <w:r w:rsidRPr="00D33C05">
        <w:rPr>
          <w:w w:val="105"/>
        </w:rPr>
        <w:t>(15-PGDH</w:t>
      </w:r>
      <w:r w:rsidRPr="00D33C05">
        <w:rPr>
          <w:i/>
          <w:w w:val="105"/>
        </w:rPr>
        <w:t>,</w:t>
      </w:r>
    </w:p>
    <w:p w:rsidR="00D33C05" w:rsidRDefault="00D33C05" w:rsidP="007B1738">
      <w:pPr>
        <w:pStyle w:val="Brdtext"/>
        <w:spacing w:before="2" w:line="276" w:lineRule="auto"/>
        <w:ind w:right="131"/>
        <w:jc w:val="both"/>
        <w:rPr>
          <w:i/>
        </w:rPr>
      </w:pPr>
      <w:r>
        <w:rPr>
          <w:w w:val="105"/>
        </w:rPr>
        <w:lastRenderedPageBreak/>
        <w:t xml:space="preserve">Hs00168359_m1), </w:t>
      </w:r>
      <w:r>
        <w:rPr>
          <w:i/>
          <w:w w:val="105"/>
        </w:rPr>
        <w:t xml:space="preserve">AXIN2 </w:t>
      </w:r>
      <w:r>
        <w:rPr>
          <w:w w:val="105"/>
        </w:rPr>
        <w:t xml:space="preserve">(AXIS inhibition protein 2, Hs00610344_m1), </w:t>
      </w:r>
      <w:r>
        <w:rPr>
          <w:i/>
          <w:w w:val="105"/>
        </w:rPr>
        <w:t xml:space="preserve">CYSLTR2 </w:t>
      </w:r>
      <w:r>
        <w:rPr>
          <w:w w:val="105"/>
        </w:rPr>
        <w:t xml:space="preserve">(Hs00252658_s1), </w:t>
      </w:r>
      <w:r>
        <w:rPr>
          <w:i/>
          <w:w w:val="105"/>
        </w:rPr>
        <w:t xml:space="preserve">ALDH1A1 </w:t>
      </w:r>
      <w:r>
        <w:rPr>
          <w:w w:val="105"/>
        </w:rPr>
        <w:t xml:space="preserve">(Aldehyde dehydrogenase 1 A1, Hs00946916_m1), </w:t>
      </w:r>
      <w:r>
        <w:rPr>
          <w:i/>
          <w:w w:val="105"/>
        </w:rPr>
        <w:t xml:space="preserve">DCLK1 </w:t>
      </w:r>
      <w:r>
        <w:rPr>
          <w:w w:val="105"/>
        </w:rPr>
        <w:t xml:space="preserve">(Double </w:t>
      </w:r>
      <w:proofErr w:type="spellStart"/>
      <w:r>
        <w:rPr>
          <w:w w:val="105"/>
        </w:rPr>
        <w:t>cortin</w:t>
      </w:r>
      <w:proofErr w:type="spellEnd"/>
      <w:r>
        <w:rPr>
          <w:w w:val="105"/>
        </w:rPr>
        <w:t xml:space="preserve">-like kinase 1, Hs00178027_m1), </w:t>
      </w:r>
      <w:r>
        <w:rPr>
          <w:i/>
          <w:w w:val="105"/>
        </w:rPr>
        <w:t xml:space="preserve">LGR5 </w:t>
      </w:r>
      <w:r>
        <w:rPr>
          <w:w w:val="105"/>
        </w:rPr>
        <w:t xml:space="preserve">(Leucine-rich repeat-containing G-protein coupled receptor 5, Hs00969422_m1), </w:t>
      </w:r>
      <w:r>
        <w:rPr>
          <w:i/>
          <w:w w:val="105"/>
        </w:rPr>
        <w:t xml:space="preserve">CDX2 </w:t>
      </w:r>
      <w:r>
        <w:rPr>
          <w:w w:val="105"/>
        </w:rPr>
        <w:t>(Caudal type homeobox 2, Hs01078080_m1),</w:t>
      </w:r>
      <w:r>
        <w:rPr>
          <w:spacing w:val="-8"/>
          <w:w w:val="105"/>
        </w:rPr>
        <w:t xml:space="preserve"> </w:t>
      </w:r>
      <w:proofErr w:type="spellStart"/>
      <w:r>
        <w:rPr>
          <w:i/>
          <w:w w:val="105"/>
        </w:rPr>
        <w:t>MYC</w:t>
      </w:r>
      <w:proofErr w:type="spellEnd"/>
      <w:r>
        <w:rPr>
          <w:i/>
          <w:spacing w:val="-8"/>
          <w:w w:val="105"/>
        </w:rPr>
        <w:t xml:space="preserve"> </w:t>
      </w:r>
      <w:r>
        <w:rPr>
          <w:w w:val="105"/>
        </w:rPr>
        <w:t>(</w:t>
      </w:r>
      <w:proofErr w:type="spellStart"/>
      <w:r>
        <w:rPr>
          <w:i/>
          <w:w w:val="105"/>
        </w:rPr>
        <w:t>cMYC</w:t>
      </w:r>
      <w:proofErr w:type="spellEnd"/>
      <w:r>
        <w:rPr>
          <w:w w:val="105"/>
        </w:rPr>
        <w:t>,</w:t>
      </w:r>
      <w:r>
        <w:rPr>
          <w:spacing w:val="-8"/>
          <w:w w:val="105"/>
        </w:rPr>
        <w:t xml:space="preserve"> </w:t>
      </w:r>
      <w:r>
        <w:rPr>
          <w:w w:val="105"/>
        </w:rPr>
        <w:t>Hs00153408_m1),</w:t>
      </w:r>
      <w:r>
        <w:rPr>
          <w:spacing w:val="-7"/>
          <w:w w:val="105"/>
        </w:rPr>
        <w:t xml:space="preserve"> </w:t>
      </w:r>
      <w:r>
        <w:rPr>
          <w:i/>
          <w:w w:val="105"/>
        </w:rPr>
        <w:t>CCND1</w:t>
      </w:r>
      <w:r>
        <w:rPr>
          <w:i/>
          <w:spacing w:val="-7"/>
          <w:w w:val="105"/>
        </w:rPr>
        <w:t xml:space="preserve"> </w:t>
      </w:r>
      <w:r>
        <w:rPr>
          <w:w w:val="105"/>
        </w:rPr>
        <w:t>(Cyclin</w:t>
      </w:r>
      <w:r>
        <w:rPr>
          <w:spacing w:val="-8"/>
          <w:w w:val="105"/>
        </w:rPr>
        <w:t xml:space="preserve"> </w:t>
      </w:r>
      <w:r>
        <w:rPr>
          <w:w w:val="105"/>
        </w:rPr>
        <w:t>D1,</w:t>
      </w:r>
      <w:r>
        <w:rPr>
          <w:spacing w:val="-7"/>
          <w:w w:val="105"/>
        </w:rPr>
        <w:t xml:space="preserve"> </w:t>
      </w:r>
      <w:r>
        <w:rPr>
          <w:w w:val="105"/>
        </w:rPr>
        <w:t>Hs00765553_m1),</w:t>
      </w:r>
      <w:r w:rsidR="007B1738">
        <w:t xml:space="preserve"> </w:t>
      </w:r>
      <w:r>
        <w:rPr>
          <w:w w:val="105"/>
        </w:rPr>
        <w:t xml:space="preserve">and </w:t>
      </w:r>
      <w:r>
        <w:rPr>
          <w:i/>
          <w:w w:val="105"/>
        </w:rPr>
        <w:t xml:space="preserve">HPRT1 </w:t>
      </w:r>
      <w:r>
        <w:rPr>
          <w:w w:val="105"/>
        </w:rPr>
        <w:t xml:space="preserve">(Hs99999909_m1). The reactions were </w:t>
      </w:r>
      <w:proofErr w:type="spellStart"/>
      <w:r>
        <w:rPr>
          <w:w w:val="105"/>
        </w:rPr>
        <w:t>analysed</w:t>
      </w:r>
      <w:proofErr w:type="spellEnd"/>
      <w:r>
        <w:rPr>
          <w:w w:val="105"/>
        </w:rPr>
        <w:t xml:space="preserve"> using </w:t>
      </w:r>
      <w:proofErr w:type="spellStart"/>
      <w:r>
        <w:rPr>
          <w:w w:val="105"/>
        </w:rPr>
        <w:t>MxPro</w:t>
      </w:r>
      <w:proofErr w:type="spellEnd"/>
      <w:r>
        <w:rPr>
          <w:w w:val="105"/>
        </w:rPr>
        <w:t xml:space="preserve"> software on the Mx3005P system (Agilent Technologies, Inc., CA, USA) and normalized against the housekeeping gene </w:t>
      </w:r>
      <w:r>
        <w:rPr>
          <w:i/>
          <w:w w:val="105"/>
        </w:rPr>
        <w:t>HPRT1.</w:t>
      </w:r>
    </w:p>
    <w:p w:rsidR="00D33C05" w:rsidRDefault="00D33C05" w:rsidP="00D33C05">
      <w:pPr>
        <w:pStyle w:val="Brdtext"/>
        <w:spacing w:before="5" w:line="276" w:lineRule="auto"/>
        <w:rPr>
          <w:i/>
          <w:sz w:val="21"/>
        </w:rPr>
      </w:pPr>
    </w:p>
    <w:p w:rsidR="00D33C05" w:rsidRDefault="00D33C05" w:rsidP="008F7A42">
      <w:pPr>
        <w:pStyle w:val="Rubrik1"/>
        <w:spacing w:line="276" w:lineRule="auto"/>
        <w:ind w:left="0"/>
        <w:jc w:val="both"/>
      </w:pPr>
      <w:r>
        <w:rPr>
          <w:w w:val="105"/>
        </w:rPr>
        <w:t>Short-hairpin RNA (shRNA) and plasmid transfection</w:t>
      </w:r>
    </w:p>
    <w:p w:rsidR="00D33C05" w:rsidRDefault="00D33C05" w:rsidP="00D33C05">
      <w:pPr>
        <w:pStyle w:val="Brdtext"/>
        <w:spacing w:before="1" w:line="276" w:lineRule="auto"/>
        <w:rPr>
          <w:b/>
          <w:sz w:val="23"/>
        </w:rPr>
      </w:pPr>
    </w:p>
    <w:p w:rsidR="00D33C05" w:rsidRDefault="00D33C05" w:rsidP="00D33C05">
      <w:pPr>
        <w:pStyle w:val="Brdtext"/>
        <w:spacing w:before="76" w:line="276" w:lineRule="auto"/>
        <w:ind w:right="132"/>
        <w:jc w:val="both"/>
      </w:pPr>
      <w:r>
        <w:rPr>
          <w:w w:val="105"/>
        </w:rPr>
        <w:t xml:space="preserve">Short-hairpin RNA (shRNA) and plasmid transfections of the desired genes were performed as described for siRNA transfection in a previous report </w:t>
      </w:r>
      <w:r w:rsidR="00A56177">
        <w:rPr>
          <w:w w:val="105"/>
          <w:vertAlign w:val="superscript"/>
        </w:rPr>
        <w:t>20</w:t>
      </w:r>
      <w:r>
        <w:rPr>
          <w:w w:val="105"/>
        </w:rPr>
        <w:t xml:space="preserve">. shRNA molecules targeting </w:t>
      </w:r>
      <w:proofErr w:type="spellStart"/>
      <w:r>
        <w:rPr>
          <w:i/>
          <w:w w:val="105"/>
        </w:rPr>
        <w:t>PGDH</w:t>
      </w:r>
      <w:proofErr w:type="spellEnd"/>
      <w:r>
        <w:rPr>
          <w:i/>
          <w:spacing w:val="-22"/>
          <w:w w:val="105"/>
        </w:rPr>
        <w:t xml:space="preserve"> </w:t>
      </w:r>
      <w:r>
        <w:rPr>
          <w:w w:val="105"/>
        </w:rPr>
        <w:t>(sc-61330-SH)</w:t>
      </w:r>
      <w:r>
        <w:rPr>
          <w:spacing w:val="-22"/>
          <w:w w:val="105"/>
        </w:rPr>
        <w:t xml:space="preserve"> </w:t>
      </w:r>
      <w:r>
        <w:rPr>
          <w:w w:val="105"/>
        </w:rPr>
        <w:t>and</w:t>
      </w:r>
      <w:r>
        <w:rPr>
          <w:spacing w:val="-21"/>
          <w:w w:val="105"/>
        </w:rPr>
        <w:t xml:space="preserve"> </w:t>
      </w:r>
      <w:r>
        <w:rPr>
          <w:i/>
          <w:w w:val="105"/>
        </w:rPr>
        <w:t>GLI1</w:t>
      </w:r>
      <w:r>
        <w:rPr>
          <w:i/>
          <w:spacing w:val="-22"/>
          <w:w w:val="105"/>
        </w:rPr>
        <w:t xml:space="preserve"> </w:t>
      </w:r>
      <w:r>
        <w:rPr>
          <w:w w:val="105"/>
        </w:rPr>
        <w:t>(sc-37911-SH)</w:t>
      </w:r>
      <w:r>
        <w:rPr>
          <w:spacing w:val="-22"/>
          <w:w w:val="105"/>
        </w:rPr>
        <w:t xml:space="preserve"> </w:t>
      </w:r>
      <w:r>
        <w:rPr>
          <w:w w:val="105"/>
        </w:rPr>
        <w:t>and</w:t>
      </w:r>
      <w:r>
        <w:rPr>
          <w:spacing w:val="-22"/>
          <w:w w:val="105"/>
        </w:rPr>
        <w:t xml:space="preserve"> </w:t>
      </w:r>
      <w:r>
        <w:rPr>
          <w:w w:val="105"/>
        </w:rPr>
        <w:t>the</w:t>
      </w:r>
      <w:r>
        <w:rPr>
          <w:spacing w:val="-21"/>
          <w:w w:val="105"/>
        </w:rPr>
        <w:t xml:space="preserve"> </w:t>
      </w:r>
      <w:r>
        <w:rPr>
          <w:w w:val="105"/>
        </w:rPr>
        <w:t>control</w:t>
      </w:r>
      <w:r>
        <w:rPr>
          <w:spacing w:val="-22"/>
          <w:w w:val="105"/>
        </w:rPr>
        <w:t xml:space="preserve"> </w:t>
      </w:r>
      <w:r>
        <w:rPr>
          <w:w w:val="105"/>
        </w:rPr>
        <w:t>siRNA-A</w:t>
      </w:r>
      <w:r>
        <w:rPr>
          <w:spacing w:val="-21"/>
          <w:w w:val="105"/>
        </w:rPr>
        <w:t xml:space="preserve"> </w:t>
      </w:r>
      <w:r>
        <w:rPr>
          <w:w w:val="105"/>
        </w:rPr>
        <w:t>(sc-37007),</w:t>
      </w:r>
      <w:r>
        <w:rPr>
          <w:spacing w:val="-22"/>
          <w:w w:val="105"/>
        </w:rPr>
        <w:t xml:space="preserve"> </w:t>
      </w:r>
      <w:r>
        <w:rPr>
          <w:w w:val="105"/>
        </w:rPr>
        <w:t>siRNA-B</w:t>
      </w:r>
      <w:r>
        <w:rPr>
          <w:spacing w:val="45"/>
          <w:w w:val="105"/>
        </w:rPr>
        <w:t xml:space="preserve"> </w:t>
      </w:r>
      <w:r>
        <w:rPr>
          <w:w w:val="105"/>
        </w:rPr>
        <w:t>(sc-44230),</w:t>
      </w:r>
      <w:r>
        <w:rPr>
          <w:spacing w:val="45"/>
          <w:w w:val="105"/>
        </w:rPr>
        <w:t xml:space="preserve"> </w:t>
      </w:r>
      <w:r>
        <w:rPr>
          <w:w w:val="105"/>
        </w:rPr>
        <w:t>and</w:t>
      </w:r>
      <w:r>
        <w:rPr>
          <w:spacing w:val="45"/>
          <w:w w:val="105"/>
        </w:rPr>
        <w:t xml:space="preserve"> </w:t>
      </w:r>
      <w:r>
        <w:rPr>
          <w:w w:val="105"/>
        </w:rPr>
        <w:t>siRNA-C</w:t>
      </w:r>
      <w:r>
        <w:rPr>
          <w:spacing w:val="44"/>
          <w:w w:val="105"/>
        </w:rPr>
        <w:t xml:space="preserve"> </w:t>
      </w:r>
      <w:r>
        <w:rPr>
          <w:w w:val="105"/>
        </w:rPr>
        <w:t>(sc-44231)</w:t>
      </w:r>
      <w:r>
        <w:rPr>
          <w:spacing w:val="46"/>
          <w:w w:val="105"/>
        </w:rPr>
        <w:t xml:space="preserve"> </w:t>
      </w:r>
      <w:r>
        <w:rPr>
          <w:w w:val="105"/>
        </w:rPr>
        <w:t>were</w:t>
      </w:r>
      <w:r>
        <w:rPr>
          <w:spacing w:val="44"/>
          <w:w w:val="105"/>
        </w:rPr>
        <w:t xml:space="preserve"> </w:t>
      </w:r>
      <w:r>
        <w:rPr>
          <w:w w:val="105"/>
        </w:rPr>
        <w:t>procured</w:t>
      </w:r>
      <w:r>
        <w:rPr>
          <w:spacing w:val="46"/>
          <w:w w:val="105"/>
        </w:rPr>
        <w:t xml:space="preserve"> </w:t>
      </w:r>
      <w:r>
        <w:rPr>
          <w:w w:val="105"/>
        </w:rPr>
        <w:t>from</w:t>
      </w:r>
      <w:r>
        <w:rPr>
          <w:spacing w:val="42"/>
          <w:w w:val="105"/>
        </w:rPr>
        <w:t xml:space="preserve"> </w:t>
      </w:r>
      <w:r>
        <w:rPr>
          <w:w w:val="105"/>
        </w:rPr>
        <w:t>Santa</w:t>
      </w:r>
      <w:r>
        <w:rPr>
          <w:spacing w:val="45"/>
          <w:w w:val="105"/>
        </w:rPr>
        <w:t xml:space="preserve"> </w:t>
      </w:r>
      <w:r>
        <w:rPr>
          <w:w w:val="105"/>
        </w:rPr>
        <w:t>Cruz</w:t>
      </w:r>
      <w:r>
        <w:rPr>
          <w:spacing w:val="45"/>
          <w:w w:val="105"/>
        </w:rPr>
        <w:t xml:space="preserve"> </w:t>
      </w:r>
      <w:r>
        <w:rPr>
          <w:w w:val="105"/>
        </w:rPr>
        <w:t xml:space="preserve">Biotechnology </w:t>
      </w:r>
      <w:r>
        <w:t xml:space="preserve">(Dallas, TX, USA). The </w:t>
      </w:r>
      <w:r>
        <w:rPr>
          <w:i/>
        </w:rPr>
        <w:t xml:space="preserve">pEGFP-hGLI1 </w:t>
      </w:r>
      <w:r>
        <w:t xml:space="preserve">construct was a kind gift from Prof. Rune </w:t>
      </w:r>
      <w:proofErr w:type="spellStart"/>
      <w:r>
        <w:t>Toftgård</w:t>
      </w:r>
      <w:proofErr w:type="spellEnd"/>
      <w:r>
        <w:t xml:space="preserve"> at the Karolinska Institute, Stockholm, Sweden</w:t>
      </w:r>
      <w:r>
        <w:rPr>
          <w:spacing w:val="13"/>
        </w:rPr>
        <w:t xml:space="preserve"> </w:t>
      </w:r>
      <w:r w:rsidR="00A56177">
        <w:rPr>
          <w:vertAlign w:val="superscript"/>
        </w:rPr>
        <w:t>51</w:t>
      </w:r>
      <w:r>
        <w:t>.</w:t>
      </w:r>
    </w:p>
    <w:p w:rsidR="00D33C05" w:rsidRDefault="00D33C05" w:rsidP="00D33C05">
      <w:pPr>
        <w:pStyle w:val="Brdtext"/>
        <w:spacing w:before="76" w:line="276" w:lineRule="auto"/>
        <w:ind w:right="132"/>
        <w:jc w:val="both"/>
      </w:pPr>
    </w:p>
    <w:p w:rsidR="00D33C05" w:rsidRDefault="00D33C05" w:rsidP="00D33C05">
      <w:pPr>
        <w:pStyle w:val="Rubrik1"/>
        <w:spacing w:before="201" w:line="276" w:lineRule="auto"/>
        <w:ind w:left="0"/>
      </w:pPr>
      <w:r>
        <w:rPr>
          <w:w w:val="105"/>
        </w:rPr>
        <w:t>Zebrafish xenografts</w:t>
      </w:r>
    </w:p>
    <w:p w:rsidR="00D33C05" w:rsidRDefault="00D33C05" w:rsidP="00D33C05">
      <w:pPr>
        <w:pStyle w:val="Brdtext"/>
        <w:spacing w:line="276" w:lineRule="auto"/>
        <w:ind w:left="135" w:right="132"/>
        <w:jc w:val="both"/>
        <w:rPr>
          <w:b/>
          <w:sz w:val="23"/>
        </w:rPr>
      </w:pPr>
    </w:p>
    <w:p w:rsidR="00D33C05" w:rsidRDefault="00D33C05" w:rsidP="00D33C05">
      <w:pPr>
        <w:pStyle w:val="Brdtext"/>
        <w:spacing w:line="276" w:lineRule="auto"/>
        <w:ind w:right="132"/>
        <w:jc w:val="both"/>
      </w:pPr>
      <w:r>
        <w:rPr>
          <w:w w:val="105"/>
        </w:rPr>
        <w:t xml:space="preserve">Unstimulated and 40 </w:t>
      </w:r>
      <w:proofErr w:type="spellStart"/>
      <w:r>
        <w:rPr>
          <w:w w:val="105"/>
        </w:rPr>
        <w:t>nM</w:t>
      </w:r>
      <w:proofErr w:type="spellEnd"/>
      <w:r>
        <w:rPr>
          <w:w w:val="105"/>
        </w:rPr>
        <w:t xml:space="preserve"> LTC</w:t>
      </w:r>
      <w:r>
        <w:rPr>
          <w:w w:val="105"/>
          <w:vertAlign w:val="subscript"/>
        </w:rPr>
        <w:t>4</w:t>
      </w:r>
      <w:r>
        <w:rPr>
          <w:w w:val="105"/>
        </w:rPr>
        <w:t>-stimulated HT-29 cells were injected into the perivitelline space (PVS) of anaesthetized zebrafish (</w:t>
      </w:r>
      <w:proofErr w:type="spellStart"/>
      <w:r>
        <w:rPr>
          <w:i/>
          <w:w w:val="105"/>
        </w:rPr>
        <w:t>Tg</w:t>
      </w:r>
      <w:proofErr w:type="spellEnd"/>
      <w:r>
        <w:rPr>
          <w:w w:val="105"/>
        </w:rPr>
        <w:t>(</w:t>
      </w:r>
      <w:r>
        <w:rPr>
          <w:i/>
          <w:w w:val="105"/>
        </w:rPr>
        <w:t>fli</w:t>
      </w:r>
      <w:proofErr w:type="gramStart"/>
      <w:r>
        <w:rPr>
          <w:i/>
          <w:w w:val="105"/>
        </w:rPr>
        <w:t>1:EGFP</w:t>
      </w:r>
      <w:proofErr w:type="gramEnd"/>
      <w:r>
        <w:rPr>
          <w:w w:val="105"/>
        </w:rPr>
        <w:t>) embryos at 48 h post-fertilization (</w:t>
      </w:r>
      <w:proofErr w:type="spellStart"/>
      <w:r>
        <w:rPr>
          <w:w w:val="105"/>
        </w:rPr>
        <w:t>hpf</w:t>
      </w:r>
      <w:proofErr w:type="spellEnd"/>
      <w:r>
        <w:rPr>
          <w:w w:val="105"/>
        </w:rPr>
        <w:t>)</w:t>
      </w:r>
      <w:r w:rsidR="00A56177">
        <w:rPr>
          <w:w w:val="105"/>
          <w:vertAlign w:val="superscript"/>
        </w:rPr>
        <w:t>27</w:t>
      </w:r>
      <w:r>
        <w:rPr>
          <w:w w:val="105"/>
        </w:rPr>
        <w:t>. After injection, the embryos were incubated at 32°C until the end of the incubation period and then processed for immunofluorescence-based whole-mount staining.</w:t>
      </w:r>
    </w:p>
    <w:p w:rsidR="00D33C05" w:rsidRDefault="00D33C05" w:rsidP="00D33C05">
      <w:pPr>
        <w:pStyle w:val="Brdtext"/>
        <w:spacing w:before="5" w:line="276" w:lineRule="auto"/>
        <w:rPr>
          <w:sz w:val="21"/>
        </w:rPr>
      </w:pPr>
    </w:p>
    <w:p w:rsidR="00D33C05" w:rsidRDefault="00D33C05" w:rsidP="00D33C05">
      <w:pPr>
        <w:pStyle w:val="Rubrik1"/>
        <w:spacing w:line="276" w:lineRule="auto"/>
        <w:ind w:left="0"/>
      </w:pPr>
      <w:r>
        <w:rPr>
          <w:w w:val="105"/>
        </w:rPr>
        <w:t>Whole-mount staining of zebrafish embryos</w:t>
      </w:r>
    </w:p>
    <w:p w:rsidR="00D33C05" w:rsidRDefault="00D33C05" w:rsidP="00D33C05">
      <w:pPr>
        <w:pStyle w:val="Brdtext"/>
        <w:spacing w:before="1" w:line="276" w:lineRule="auto"/>
        <w:rPr>
          <w:b/>
          <w:sz w:val="23"/>
        </w:rPr>
      </w:pPr>
    </w:p>
    <w:p w:rsidR="00D33C05" w:rsidRDefault="00D33C05" w:rsidP="00D33C05">
      <w:pPr>
        <w:pStyle w:val="Brdtext"/>
        <w:spacing w:line="276" w:lineRule="auto"/>
        <w:ind w:right="135"/>
        <w:jc w:val="both"/>
      </w:pPr>
      <w:r>
        <w:t xml:space="preserve">Immunofluorescence-based whole-mount staining of zebrafish embryos was performed following a protocol described elsewhere </w:t>
      </w:r>
      <w:r w:rsidR="00A56177">
        <w:rPr>
          <w:vertAlign w:val="superscript"/>
        </w:rPr>
        <w:t>52</w:t>
      </w:r>
      <w:r>
        <w:t>.</w:t>
      </w:r>
    </w:p>
    <w:p w:rsidR="00D33C05" w:rsidRDefault="00D33C05" w:rsidP="00D33C05">
      <w:pPr>
        <w:pStyle w:val="Brdtext"/>
        <w:spacing w:line="276" w:lineRule="auto"/>
        <w:rPr>
          <w:sz w:val="28"/>
        </w:rPr>
      </w:pPr>
    </w:p>
    <w:p w:rsidR="00D33C05" w:rsidRDefault="00D33C05" w:rsidP="00D33C05">
      <w:pPr>
        <w:pStyle w:val="Rubrik1"/>
        <w:spacing w:before="199" w:line="276" w:lineRule="auto"/>
        <w:ind w:left="0"/>
      </w:pPr>
      <w:r>
        <w:rPr>
          <w:w w:val="105"/>
        </w:rPr>
        <w:t>Statistical analysis</w:t>
      </w:r>
    </w:p>
    <w:p w:rsidR="00D33C05" w:rsidRDefault="00D33C05" w:rsidP="00D33C05">
      <w:pPr>
        <w:pStyle w:val="Brdtext"/>
        <w:spacing w:before="1" w:line="276" w:lineRule="auto"/>
        <w:rPr>
          <w:b/>
          <w:sz w:val="23"/>
        </w:rPr>
      </w:pPr>
    </w:p>
    <w:p w:rsidR="00D33C05" w:rsidRDefault="00D33C05" w:rsidP="00D33C05">
      <w:pPr>
        <w:pStyle w:val="Brdtext"/>
        <w:spacing w:line="276" w:lineRule="auto"/>
        <w:ind w:right="133"/>
        <w:jc w:val="both"/>
      </w:pPr>
      <w:r>
        <w:rPr>
          <w:w w:val="105"/>
        </w:rPr>
        <w:t>Statistical analysis was performed using GraphPad Prism Version 7.0a (GraphPad</w:t>
      </w:r>
      <w:r>
        <w:rPr>
          <w:spacing w:val="-41"/>
          <w:w w:val="105"/>
        </w:rPr>
        <w:t xml:space="preserve"> </w:t>
      </w:r>
      <w:r>
        <w:rPr>
          <w:w w:val="105"/>
        </w:rPr>
        <w:t>Software, Inc.,</w:t>
      </w:r>
      <w:r>
        <w:rPr>
          <w:spacing w:val="30"/>
          <w:w w:val="105"/>
        </w:rPr>
        <w:t xml:space="preserve"> </w:t>
      </w:r>
      <w:r>
        <w:rPr>
          <w:w w:val="105"/>
        </w:rPr>
        <w:t>San</w:t>
      </w:r>
      <w:r>
        <w:rPr>
          <w:spacing w:val="31"/>
          <w:w w:val="105"/>
        </w:rPr>
        <w:t xml:space="preserve"> </w:t>
      </w:r>
      <w:r>
        <w:rPr>
          <w:w w:val="105"/>
        </w:rPr>
        <w:t>Diego,</w:t>
      </w:r>
      <w:r>
        <w:rPr>
          <w:spacing w:val="30"/>
          <w:w w:val="105"/>
        </w:rPr>
        <w:t xml:space="preserve"> </w:t>
      </w:r>
      <w:r>
        <w:rPr>
          <w:w w:val="105"/>
        </w:rPr>
        <w:t>CA,</w:t>
      </w:r>
      <w:r>
        <w:rPr>
          <w:spacing w:val="30"/>
          <w:w w:val="105"/>
        </w:rPr>
        <w:t xml:space="preserve"> </w:t>
      </w:r>
      <w:r>
        <w:rPr>
          <w:w w:val="105"/>
        </w:rPr>
        <w:t>USA).</w:t>
      </w:r>
      <w:r>
        <w:rPr>
          <w:spacing w:val="30"/>
          <w:w w:val="105"/>
        </w:rPr>
        <w:t xml:space="preserve"> </w:t>
      </w:r>
      <w:r>
        <w:rPr>
          <w:w w:val="105"/>
        </w:rPr>
        <w:t>The</w:t>
      </w:r>
      <w:r>
        <w:rPr>
          <w:spacing w:val="30"/>
          <w:w w:val="105"/>
        </w:rPr>
        <w:t xml:space="preserve"> </w:t>
      </w:r>
      <w:r>
        <w:rPr>
          <w:w w:val="105"/>
        </w:rPr>
        <w:t>mean</w:t>
      </w:r>
      <w:r>
        <w:rPr>
          <w:spacing w:val="30"/>
          <w:w w:val="105"/>
        </w:rPr>
        <w:t xml:space="preserve"> </w:t>
      </w:r>
      <w:r>
        <w:rPr>
          <w:w w:val="105"/>
        </w:rPr>
        <w:t>values</w:t>
      </w:r>
      <w:r>
        <w:rPr>
          <w:spacing w:val="30"/>
          <w:w w:val="105"/>
        </w:rPr>
        <w:t xml:space="preserve"> </w:t>
      </w:r>
      <w:r>
        <w:rPr>
          <w:w w:val="105"/>
        </w:rPr>
        <w:t>between</w:t>
      </w:r>
      <w:r>
        <w:rPr>
          <w:spacing w:val="32"/>
          <w:w w:val="105"/>
        </w:rPr>
        <w:t xml:space="preserve"> </w:t>
      </w:r>
      <w:r>
        <w:rPr>
          <w:w w:val="105"/>
        </w:rPr>
        <w:t>groups</w:t>
      </w:r>
      <w:r>
        <w:rPr>
          <w:spacing w:val="30"/>
          <w:w w:val="105"/>
        </w:rPr>
        <w:t xml:space="preserve"> </w:t>
      </w:r>
      <w:r>
        <w:rPr>
          <w:w w:val="105"/>
        </w:rPr>
        <w:t>were</w:t>
      </w:r>
      <w:r>
        <w:rPr>
          <w:spacing w:val="31"/>
          <w:w w:val="105"/>
        </w:rPr>
        <w:t xml:space="preserve"> </w:t>
      </w:r>
      <w:r>
        <w:rPr>
          <w:w w:val="105"/>
        </w:rPr>
        <w:t>compared</w:t>
      </w:r>
      <w:r>
        <w:rPr>
          <w:spacing w:val="32"/>
          <w:w w:val="105"/>
        </w:rPr>
        <w:t xml:space="preserve"> </w:t>
      </w:r>
      <w:r>
        <w:rPr>
          <w:w w:val="105"/>
        </w:rPr>
        <w:t>using</w:t>
      </w:r>
      <w:r>
        <w:rPr>
          <w:spacing w:val="30"/>
          <w:w w:val="105"/>
        </w:rPr>
        <w:t xml:space="preserve"> </w:t>
      </w:r>
      <w:r>
        <w:rPr>
          <w:w w:val="105"/>
        </w:rPr>
        <w:t>the</w:t>
      </w:r>
    </w:p>
    <w:p w:rsidR="008F7A42" w:rsidRDefault="00D33C05" w:rsidP="008F7A42">
      <w:pPr>
        <w:pStyle w:val="Brdtext"/>
        <w:spacing w:before="2" w:line="276" w:lineRule="auto"/>
        <w:ind w:right="130"/>
        <w:jc w:val="both"/>
        <w:rPr>
          <w:w w:val="105"/>
        </w:rPr>
      </w:pPr>
      <w:r>
        <w:rPr>
          <w:w w:val="105"/>
        </w:rPr>
        <w:t xml:space="preserve">unpaired Student’s </w:t>
      </w:r>
      <w:r>
        <w:rPr>
          <w:i/>
          <w:w w:val="105"/>
        </w:rPr>
        <w:t>t</w:t>
      </w:r>
      <w:r>
        <w:rPr>
          <w:w w:val="105"/>
        </w:rPr>
        <w:t>-test</w:t>
      </w:r>
      <w:r>
        <w:rPr>
          <w:w w:val="105"/>
          <w:shd w:val="clear" w:color="auto" w:fill="FFFFFF"/>
        </w:rPr>
        <w:t>, Chi-square test and Mann-Whitney U-test as indicated. For the patient</w:t>
      </w:r>
      <w:r>
        <w:rPr>
          <w:spacing w:val="-16"/>
          <w:w w:val="105"/>
          <w:shd w:val="clear" w:color="auto" w:fill="FFFFFF"/>
        </w:rPr>
        <w:t xml:space="preserve"> </w:t>
      </w:r>
      <w:r>
        <w:rPr>
          <w:w w:val="105"/>
          <w:shd w:val="clear" w:color="auto" w:fill="FFFFFF"/>
        </w:rPr>
        <w:t>results,</w:t>
      </w:r>
      <w:r>
        <w:rPr>
          <w:spacing w:val="-16"/>
          <w:w w:val="105"/>
          <w:shd w:val="clear" w:color="auto" w:fill="FFFFFF"/>
        </w:rPr>
        <w:t xml:space="preserve"> </w:t>
      </w:r>
      <w:r>
        <w:rPr>
          <w:w w:val="105"/>
          <w:shd w:val="clear" w:color="auto" w:fill="FFFFFF"/>
        </w:rPr>
        <w:t>the</w:t>
      </w:r>
      <w:r>
        <w:rPr>
          <w:spacing w:val="-15"/>
          <w:w w:val="105"/>
          <w:shd w:val="clear" w:color="auto" w:fill="FFFFFF"/>
        </w:rPr>
        <w:t xml:space="preserve"> </w:t>
      </w:r>
      <w:r>
        <w:rPr>
          <w:w w:val="105"/>
          <w:shd w:val="clear" w:color="auto" w:fill="FFFFFF"/>
        </w:rPr>
        <w:t>SPSS</w:t>
      </w:r>
      <w:r>
        <w:rPr>
          <w:spacing w:val="-16"/>
          <w:w w:val="105"/>
          <w:shd w:val="clear" w:color="auto" w:fill="FFFFFF"/>
        </w:rPr>
        <w:t xml:space="preserve"> </w:t>
      </w:r>
      <w:r>
        <w:rPr>
          <w:w w:val="105"/>
          <w:shd w:val="clear" w:color="auto" w:fill="FFFFFF"/>
        </w:rPr>
        <w:t>statistical</w:t>
      </w:r>
      <w:r>
        <w:rPr>
          <w:spacing w:val="-15"/>
          <w:w w:val="105"/>
          <w:shd w:val="clear" w:color="auto" w:fill="FFFFFF"/>
        </w:rPr>
        <w:t xml:space="preserve"> </w:t>
      </w:r>
      <w:r>
        <w:rPr>
          <w:w w:val="105"/>
          <w:shd w:val="clear" w:color="auto" w:fill="FFFFFF"/>
        </w:rPr>
        <w:t>program</w:t>
      </w:r>
      <w:r>
        <w:rPr>
          <w:spacing w:val="-18"/>
          <w:w w:val="105"/>
          <w:shd w:val="clear" w:color="auto" w:fill="FFFFFF"/>
        </w:rPr>
        <w:t xml:space="preserve"> </w:t>
      </w:r>
      <w:r>
        <w:rPr>
          <w:w w:val="105"/>
          <w:shd w:val="clear" w:color="auto" w:fill="FFFFFF"/>
        </w:rPr>
        <w:t>version</w:t>
      </w:r>
      <w:r>
        <w:rPr>
          <w:spacing w:val="-16"/>
          <w:w w:val="105"/>
          <w:shd w:val="clear" w:color="auto" w:fill="FFFFFF"/>
        </w:rPr>
        <w:t xml:space="preserve"> </w:t>
      </w:r>
      <w:r>
        <w:rPr>
          <w:w w:val="105"/>
          <w:shd w:val="clear" w:color="auto" w:fill="FFFFFF"/>
        </w:rPr>
        <w:t>23.0</w:t>
      </w:r>
      <w:r>
        <w:rPr>
          <w:spacing w:val="-15"/>
          <w:w w:val="105"/>
          <w:shd w:val="clear" w:color="auto" w:fill="FFFFFF"/>
        </w:rPr>
        <w:t xml:space="preserve"> </w:t>
      </w:r>
      <w:r>
        <w:rPr>
          <w:w w:val="105"/>
          <w:shd w:val="clear" w:color="auto" w:fill="FFFFFF"/>
        </w:rPr>
        <w:t>was</w:t>
      </w:r>
      <w:r>
        <w:rPr>
          <w:spacing w:val="-15"/>
          <w:w w:val="105"/>
          <w:shd w:val="clear" w:color="auto" w:fill="FFFFFF"/>
        </w:rPr>
        <w:t xml:space="preserve"> </w:t>
      </w:r>
      <w:r>
        <w:rPr>
          <w:w w:val="105"/>
          <w:shd w:val="clear" w:color="auto" w:fill="FFFFFF"/>
        </w:rPr>
        <w:t>used</w:t>
      </w:r>
      <w:r>
        <w:rPr>
          <w:spacing w:val="-16"/>
          <w:w w:val="105"/>
          <w:shd w:val="clear" w:color="auto" w:fill="FFFFFF"/>
        </w:rPr>
        <w:t xml:space="preserve"> </w:t>
      </w:r>
      <w:r>
        <w:rPr>
          <w:w w:val="105"/>
          <w:shd w:val="clear" w:color="auto" w:fill="FFFFFF"/>
        </w:rPr>
        <w:t>(SPSS,</w:t>
      </w:r>
      <w:r>
        <w:rPr>
          <w:spacing w:val="-16"/>
          <w:w w:val="105"/>
          <w:shd w:val="clear" w:color="auto" w:fill="FFFFFF"/>
        </w:rPr>
        <w:t xml:space="preserve"> </w:t>
      </w:r>
      <w:r>
        <w:rPr>
          <w:w w:val="105"/>
          <w:shd w:val="clear" w:color="auto" w:fill="FFFFFF"/>
        </w:rPr>
        <w:t>IBM,</w:t>
      </w:r>
      <w:r>
        <w:rPr>
          <w:spacing w:val="-16"/>
          <w:w w:val="105"/>
          <w:shd w:val="clear" w:color="auto" w:fill="FFFFFF"/>
        </w:rPr>
        <w:t xml:space="preserve"> </w:t>
      </w:r>
      <w:r>
        <w:rPr>
          <w:w w:val="105"/>
          <w:shd w:val="clear" w:color="auto" w:fill="FFFFFF"/>
        </w:rPr>
        <w:t>Armonk,</w:t>
      </w:r>
      <w:r>
        <w:rPr>
          <w:spacing w:val="-15"/>
          <w:w w:val="105"/>
          <w:shd w:val="clear" w:color="auto" w:fill="FFFFFF"/>
        </w:rPr>
        <w:t xml:space="preserve"> </w:t>
      </w:r>
      <w:r>
        <w:rPr>
          <w:w w:val="105"/>
          <w:shd w:val="clear" w:color="auto" w:fill="FFFFFF"/>
        </w:rPr>
        <w:t>NY, USA). The correlations between GLI1 and CysLT</w:t>
      </w:r>
      <w:r>
        <w:rPr>
          <w:w w:val="105"/>
          <w:shd w:val="clear" w:color="auto" w:fill="FFFFFF"/>
          <w:vertAlign w:val="subscript"/>
        </w:rPr>
        <w:t>2</w:t>
      </w:r>
      <w:r>
        <w:rPr>
          <w:w w:val="105"/>
          <w:shd w:val="clear" w:color="auto" w:fill="FFFFFF"/>
        </w:rPr>
        <w:t>R, 15-PGDH or Mucin-2 IRS were assessed using the Pearson correlation coefficient, and 95% confidence intervals (CIs) were reported.</w:t>
      </w:r>
      <w:r>
        <w:rPr>
          <w:spacing w:val="-8"/>
          <w:w w:val="105"/>
          <w:shd w:val="clear" w:color="auto" w:fill="FFFFFF"/>
        </w:rPr>
        <w:t xml:space="preserve"> </w:t>
      </w:r>
      <w:r>
        <w:rPr>
          <w:w w:val="105"/>
          <w:shd w:val="clear" w:color="auto" w:fill="FFFFFF"/>
        </w:rPr>
        <w:t>OS</w:t>
      </w:r>
      <w:r>
        <w:rPr>
          <w:spacing w:val="-6"/>
          <w:w w:val="105"/>
          <w:shd w:val="clear" w:color="auto" w:fill="FFFFFF"/>
        </w:rPr>
        <w:t xml:space="preserve"> </w:t>
      </w:r>
      <w:r>
        <w:rPr>
          <w:w w:val="105"/>
          <w:shd w:val="clear" w:color="auto" w:fill="FFFFFF"/>
        </w:rPr>
        <w:t>curves</w:t>
      </w:r>
      <w:r>
        <w:rPr>
          <w:spacing w:val="-7"/>
          <w:w w:val="105"/>
          <w:shd w:val="clear" w:color="auto" w:fill="FFFFFF"/>
        </w:rPr>
        <w:t xml:space="preserve"> </w:t>
      </w:r>
      <w:r>
        <w:rPr>
          <w:w w:val="105"/>
          <w:shd w:val="clear" w:color="auto" w:fill="FFFFFF"/>
        </w:rPr>
        <w:t>adjusted</w:t>
      </w:r>
      <w:r>
        <w:rPr>
          <w:spacing w:val="-8"/>
          <w:w w:val="105"/>
          <w:shd w:val="clear" w:color="auto" w:fill="FFFFFF"/>
        </w:rPr>
        <w:t xml:space="preserve"> </w:t>
      </w:r>
      <w:r>
        <w:rPr>
          <w:w w:val="105"/>
          <w:shd w:val="clear" w:color="auto" w:fill="FFFFFF"/>
        </w:rPr>
        <w:t>for</w:t>
      </w:r>
      <w:r>
        <w:rPr>
          <w:spacing w:val="-6"/>
          <w:w w:val="105"/>
          <w:shd w:val="clear" w:color="auto" w:fill="FFFFFF"/>
        </w:rPr>
        <w:t xml:space="preserve"> </w:t>
      </w:r>
      <w:r>
        <w:rPr>
          <w:w w:val="105"/>
          <w:shd w:val="clear" w:color="auto" w:fill="FFFFFF"/>
        </w:rPr>
        <w:t>age</w:t>
      </w:r>
      <w:r>
        <w:rPr>
          <w:spacing w:val="-8"/>
          <w:w w:val="105"/>
          <w:shd w:val="clear" w:color="auto" w:fill="FFFFFF"/>
        </w:rPr>
        <w:t xml:space="preserve"> </w:t>
      </w:r>
      <w:r>
        <w:rPr>
          <w:w w:val="105"/>
          <w:shd w:val="clear" w:color="auto" w:fill="FFFFFF"/>
        </w:rPr>
        <w:t>and</w:t>
      </w:r>
      <w:r>
        <w:rPr>
          <w:spacing w:val="-7"/>
          <w:w w:val="105"/>
          <w:shd w:val="clear" w:color="auto" w:fill="FFFFFF"/>
        </w:rPr>
        <w:t xml:space="preserve"> </w:t>
      </w:r>
      <w:proofErr w:type="spellStart"/>
      <w:r>
        <w:rPr>
          <w:w w:val="105"/>
          <w:shd w:val="clear" w:color="auto" w:fill="FFFFFF"/>
        </w:rPr>
        <w:t>TNM</w:t>
      </w:r>
      <w:proofErr w:type="spellEnd"/>
      <w:r>
        <w:rPr>
          <w:spacing w:val="-7"/>
          <w:w w:val="105"/>
          <w:shd w:val="clear" w:color="auto" w:fill="FFFFFF"/>
        </w:rPr>
        <w:t xml:space="preserve"> </w:t>
      </w:r>
      <w:r>
        <w:rPr>
          <w:w w:val="105"/>
          <w:shd w:val="clear" w:color="auto" w:fill="FFFFFF"/>
        </w:rPr>
        <w:t>stage</w:t>
      </w:r>
      <w:r>
        <w:rPr>
          <w:spacing w:val="-7"/>
          <w:w w:val="105"/>
          <w:shd w:val="clear" w:color="auto" w:fill="FFFFFF"/>
        </w:rPr>
        <w:t xml:space="preserve"> </w:t>
      </w:r>
      <w:r>
        <w:rPr>
          <w:w w:val="105"/>
          <w:shd w:val="clear" w:color="auto" w:fill="FFFFFF"/>
        </w:rPr>
        <w:t>were</w:t>
      </w:r>
      <w:r>
        <w:rPr>
          <w:spacing w:val="-7"/>
          <w:w w:val="105"/>
          <w:shd w:val="clear" w:color="auto" w:fill="FFFFFF"/>
        </w:rPr>
        <w:t xml:space="preserve"> </w:t>
      </w:r>
      <w:r>
        <w:rPr>
          <w:w w:val="105"/>
          <w:shd w:val="clear" w:color="auto" w:fill="FFFFFF"/>
        </w:rPr>
        <w:t>generated</w:t>
      </w:r>
      <w:r>
        <w:rPr>
          <w:spacing w:val="-7"/>
          <w:w w:val="105"/>
          <w:shd w:val="clear" w:color="auto" w:fill="FFFFFF"/>
        </w:rPr>
        <w:t xml:space="preserve"> </w:t>
      </w:r>
      <w:r>
        <w:rPr>
          <w:w w:val="105"/>
          <w:shd w:val="clear" w:color="auto" w:fill="FFFFFF"/>
        </w:rPr>
        <w:t>using</w:t>
      </w:r>
      <w:r>
        <w:rPr>
          <w:spacing w:val="-7"/>
          <w:w w:val="105"/>
          <w:shd w:val="clear" w:color="auto" w:fill="FFFFFF"/>
        </w:rPr>
        <w:t xml:space="preserve"> </w:t>
      </w:r>
      <w:r>
        <w:rPr>
          <w:w w:val="105"/>
          <w:shd w:val="clear" w:color="auto" w:fill="FFFFFF"/>
        </w:rPr>
        <w:t>the</w:t>
      </w:r>
      <w:r>
        <w:rPr>
          <w:spacing w:val="-6"/>
          <w:w w:val="105"/>
          <w:shd w:val="clear" w:color="auto" w:fill="FFFFFF"/>
        </w:rPr>
        <w:t xml:space="preserve"> </w:t>
      </w:r>
      <w:r>
        <w:rPr>
          <w:w w:val="105"/>
          <w:shd w:val="clear" w:color="auto" w:fill="FFFFFF"/>
        </w:rPr>
        <w:t>Kaplan-Meier method and compared using the log-rank test. The Cox regression model was used to determine the risk of death between patients with high GLI1 expression and those with low GLI1 expression, and the HR with 95% CI was presented. A P-value &lt; 0.05 was</w:t>
      </w:r>
      <w:r>
        <w:rPr>
          <w:spacing w:val="-4"/>
          <w:w w:val="105"/>
          <w:shd w:val="clear" w:color="auto" w:fill="FFFFFF"/>
        </w:rPr>
        <w:t xml:space="preserve"> </w:t>
      </w:r>
      <w:r>
        <w:rPr>
          <w:w w:val="105"/>
          <w:shd w:val="clear" w:color="auto" w:fill="FFFFFF"/>
        </w:rPr>
        <w:t>considered</w:t>
      </w:r>
      <w:r w:rsidR="008F7A42">
        <w:t xml:space="preserve"> </w:t>
      </w:r>
      <w:r>
        <w:rPr>
          <w:w w:val="105"/>
        </w:rPr>
        <w:t>statistically significant and all the tests performed were two sided</w:t>
      </w:r>
      <w:r w:rsidR="008F7A42">
        <w:rPr>
          <w:w w:val="105"/>
        </w:rPr>
        <w:t>.</w:t>
      </w:r>
    </w:p>
    <w:p w:rsidR="008F7A42" w:rsidRPr="008F7A42" w:rsidRDefault="008F7A42" w:rsidP="008F7A42">
      <w:pPr>
        <w:pStyle w:val="Brdtext"/>
        <w:spacing w:before="2" w:line="276" w:lineRule="auto"/>
        <w:ind w:right="130"/>
        <w:jc w:val="both"/>
        <w:sectPr w:rsidR="008F7A42" w:rsidRPr="008F7A42" w:rsidSect="00B01619">
          <w:type w:val="continuous"/>
          <w:pgSz w:w="12240" w:h="15840"/>
          <w:pgMar w:top="1260" w:right="1720" w:bottom="280" w:left="1720" w:header="720" w:footer="720" w:gutter="0"/>
          <w:cols w:space="720"/>
        </w:sectPr>
      </w:pPr>
    </w:p>
    <w:p w:rsidR="008F7A42" w:rsidRDefault="008F7A42" w:rsidP="008F7A42"/>
    <w:sectPr w:rsidR="008F7A42" w:rsidSect="00D5154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05"/>
    <w:rsid w:val="00011938"/>
    <w:rsid w:val="0002724B"/>
    <w:rsid w:val="00051265"/>
    <w:rsid w:val="00070984"/>
    <w:rsid w:val="000B539B"/>
    <w:rsid w:val="00136344"/>
    <w:rsid w:val="0019097C"/>
    <w:rsid w:val="001C2881"/>
    <w:rsid w:val="001C7429"/>
    <w:rsid w:val="002D6ED9"/>
    <w:rsid w:val="002F0EDB"/>
    <w:rsid w:val="002F23B0"/>
    <w:rsid w:val="00330987"/>
    <w:rsid w:val="003661E8"/>
    <w:rsid w:val="0038390F"/>
    <w:rsid w:val="003D37F9"/>
    <w:rsid w:val="00405821"/>
    <w:rsid w:val="004A3B6E"/>
    <w:rsid w:val="00516FA5"/>
    <w:rsid w:val="00536957"/>
    <w:rsid w:val="005E29B2"/>
    <w:rsid w:val="005E3B64"/>
    <w:rsid w:val="006D4863"/>
    <w:rsid w:val="00757C46"/>
    <w:rsid w:val="007956EE"/>
    <w:rsid w:val="007B1738"/>
    <w:rsid w:val="00847CD5"/>
    <w:rsid w:val="008D4A25"/>
    <w:rsid w:val="008F2A30"/>
    <w:rsid w:val="008F7A42"/>
    <w:rsid w:val="0090196A"/>
    <w:rsid w:val="009042B3"/>
    <w:rsid w:val="00910484"/>
    <w:rsid w:val="00962EBA"/>
    <w:rsid w:val="00965EE2"/>
    <w:rsid w:val="00970262"/>
    <w:rsid w:val="00971A9C"/>
    <w:rsid w:val="00977572"/>
    <w:rsid w:val="009A3451"/>
    <w:rsid w:val="009D2F1A"/>
    <w:rsid w:val="00A30E91"/>
    <w:rsid w:val="00A56177"/>
    <w:rsid w:val="00A93E00"/>
    <w:rsid w:val="00AB4864"/>
    <w:rsid w:val="00AD4263"/>
    <w:rsid w:val="00B07CB8"/>
    <w:rsid w:val="00B12873"/>
    <w:rsid w:val="00B440D0"/>
    <w:rsid w:val="00C66987"/>
    <w:rsid w:val="00C82F54"/>
    <w:rsid w:val="00CD0AA9"/>
    <w:rsid w:val="00D33C05"/>
    <w:rsid w:val="00D51542"/>
    <w:rsid w:val="00D853D1"/>
    <w:rsid w:val="00E253FF"/>
    <w:rsid w:val="00E771B8"/>
    <w:rsid w:val="00E7728E"/>
    <w:rsid w:val="00EB6AAA"/>
    <w:rsid w:val="00ED6C17"/>
    <w:rsid w:val="00EE3D17"/>
    <w:rsid w:val="00F2569D"/>
    <w:rsid w:val="00F26CB7"/>
    <w:rsid w:val="00F32E9C"/>
    <w:rsid w:val="00F66DF3"/>
    <w:rsid w:val="00FD47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7662D9-5431-0C43-9275-9BDAE13F8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C05"/>
    <w:pPr>
      <w:widowControl w:val="0"/>
      <w:autoSpaceDE w:val="0"/>
      <w:autoSpaceDN w:val="0"/>
    </w:pPr>
    <w:rPr>
      <w:rFonts w:ascii="Times New Roman" w:eastAsia="Times New Roman" w:hAnsi="Times New Roman" w:cs="Times New Roman"/>
      <w:sz w:val="22"/>
      <w:szCs w:val="22"/>
      <w:lang w:val="en-US"/>
    </w:rPr>
  </w:style>
  <w:style w:type="paragraph" w:styleId="Rubrik1">
    <w:name w:val="heading 1"/>
    <w:basedOn w:val="Normal"/>
    <w:link w:val="Rubrik1Char"/>
    <w:uiPriority w:val="9"/>
    <w:qFormat/>
    <w:rsid w:val="00D33C05"/>
    <w:pPr>
      <w:ind w:left="135"/>
      <w:outlineLvl w:val="0"/>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33C05"/>
    <w:rPr>
      <w:rFonts w:ascii="Times New Roman" w:eastAsia="Times New Roman" w:hAnsi="Times New Roman" w:cs="Times New Roman"/>
      <w:b/>
      <w:bCs/>
      <w:sz w:val="22"/>
      <w:szCs w:val="22"/>
      <w:lang w:val="en-US"/>
    </w:rPr>
  </w:style>
  <w:style w:type="paragraph" w:styleId="Brdtext">
    <w:name w:val="Body Text"/>
    <w:basedOn w:val="Normal"/>
    <w:link w:val="BrdtextChar"/>
    <w:uiPriority w:val="1"/>
    <w:qFormat/>
    <w:rsid w:val="00D33C05"/>
  </w:style>
  <w:style w:type="character" w:customStyle="1" w:styleId="BrdtextChar">
    <w:name w:val="Brödtext Char"/>
    <w:basedOn w:val="Standardstycketeckensnitt"/>
    <w:link w:val="Brdtext"/>
    <w:uiPriority w:val="1"/>
    <w:rsid w:val="00D33C05"/>
    <w:rPr>
      <w:rFonts w:ascii="Times New Roman" w:eastAsia="Times New Roman" w:hAnsi="Times New Roman" w:cs="Times New Roman"/>
      <w:sz w:val="22"/>
      <w:szCs w:val="22"/>
      <w:lang w:val="en-US"/>
    </w:rPr>
  </w:style>
  <w:style w:type="paragraph" w:styleId="Ballongtext">
    <w:name w:val="Balloon Text"/>
    <w:basedOn w:val="Normal"/>
    <w:link w:val="BallongtextChar"/>
    <w:uiPriority w:val="99"/>
    <w:semiHidden/>
    <w:unhideWhenUsed/>
    <w:rsid w:val="00A56177"/>
    <w:rPr>
      <w:sz w:val="18"/>
      <w:szCs w:val="18"/>
    </w:rPr>
  </w:style>
  <w:style w:type="character" w:customStyle="1" w:styleId="BallongtextChar">
    <w:name w:val="Ballongtext Char"/>
    <w:basedOn w:val="Standardstycketeckensnitt"/>
    <w:link w:val="Ballongtext"/>
    <w:uiPriority w:val="99"/>
    <w:semiHidden/>
    <w:rsid w:val="00A56177"/>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1895</Words>
  <Characters>10048</Characters>
  <Application>Microsoft Office Word</Application>
  <DocSecurity>0</DocSecurity>
  <Lines>83</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Sjölander</dc:creator>
  <cp:keywords/>
  <dc:description/>
  <cp:lastModifiedBy>Anita Sjölander</cp:lastModifiedBy>
  <cp:revision>2</cp:revision>
  <dcterms:created xsi:type="dcterms:W3CDTF">2020-08-11T15:44:00Z</dcterms:created>
  <dcterms:modified xsi:type="dcterms:W3CDTF">2020-08-11T15:44:00Z</dcterms:modified>
</cp:coreProperties>
</file>