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ED" w:rsidRPr="00C83222" w:rsidRDefault="008C58ED" w:rsidP="008C58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222">
        <w:rPr>
          <w:rFonts w:ascii="Times New Roman" w:hAnsi="Times New Roman" w:cs="Times New Roman"/>
          <w:b/>
          <w:sz w:val="24"/>
          <w:szCs w:val="24"/>
        </w:rPr>
        <w:t>Fig.S1</w:t>
      </w:r>
      <w:r w:rsidRPr="00C83222">
        <w:rPr>
          <w:rFonts w:ascii="Times New Roman" w:hAnsi="Times New Roman" w:cs="Times New Roman"/>
          <w:sz w:val="24"/>
          <w:szCs w:val="24"/>
        </w:rPr>
        <w:t xml:space="preserve">. (A, B, C) </w:t>
      </w:r>
      <w:proofErr w:type="gramStart"/>
      <w:r w:rsidRPr="00C8322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C83222">
        <w:rPr>
          <w:rFonts w:ascii="Times New Roman" w:hAnsi="Times New Roman" w:cs="Times New Roman"/>
          <w:sz w:val="24"/>
          <w:szCs w:val="24"/>
        </w:rPr>
        <w:t xml:space="preserve"> abilities of migration and invasion in PANC1, PaTu8988, SW1990 cells were detected. 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&lt;0.05. (D, E) MeCP2 protein and mRNA levels were reduced in shMeCP2-PANC1 and PaTu8988 cells. **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&lt;0.01. (F, G) MeCP2 protein and mRNA levels were increased in PaTu8988 and SW1990 cells transfected with Flag-MeCP2. ***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&lt;0.001.</w:t>
      </w:r>
    </w:p>
    <w:p w:rsidR="008C58ED" w:rsidRPr="00C83222" w:rsidRDefault="008C58ED" w:rsidP="008C58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222">
        <w:rPr>
          <w:rFonts w:ascii="Times New Roman" w:hAnsi="Times New Roman" w:cs="Times New Roman"/>
          <w:b/>
          <w:sz w:val="24"/>
          <w:szCs w:val="24"/>
        </w:rPr>
        <w:t>Fig.S2</w:t>
      </w:r>
      <w:r w:rsidRPr="00C83222">
        <w:rPr>
          <w:rFonts w:ascii="Times New Roman" w:hAnsi="Times New Roman" w:cs="Times New Roman"/>
          <w:sz w:val="24"/>
          <w:szCs w:val="24"/>
        </w:rPr>
        <w:t>. (A, B) MMP2 and MMP9 mRNA levels were reduced in shMeCP2-PANC1 and PaTu8988 cells. 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&lt;0.05, **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&lt;0.01. (C, D) MMP2 and MMP9 mRNA levels were increased in PaTu8988 and SW1990 cells transfected with Flag-MeCP2. 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&lt;0.05, **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&lt;0.01. (E-H) The quantification of MMP2/MMP9 (pro- and totals) is shown. 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&lt;0.05, **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&lt;0.01.</w:t>
      </w:r>
    </w:p>
    <w:p w:rsidR="008C58ED" w:rsidRPr="00C83222" w:rsidRDefault="008C58ED" w:rsidP="008C58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222">
        <w:rPr>
          <w:rFonts w:ascii="Times New Roman" w:hAnsi="Times New Roman" w:cs="Times New Roman"/>
          <w:b/>
          <w:sz w:val="24"/>
          <w:szCs w:val="24"/>
        </w:rPr>
        <w:t>Fig.S3</w:t>
      </w:r>
      <w:r w:rsidRPr="00C83222">
        <w:rPr>
          <w:rFonts w:ascii="Times New Roman" w:hAnsi="Times New Roman" w:cs="Times New Roman"/>
          <w:sz w:val="24"/>
          <w:szCs w:val="24"/>
        </w:rPr>
        <w:t xml:space="preserve">. (A) </w:t>
      </w:r>
      <w:proofErr w:type="gramStart"/>
      <w:r w:rsidRPr="00C8322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C83222">
        <w:rPr>
          <w:rFonts w:ascii="Times New Roman" w:hAnsi="Times New Roman" w:cs="Times New Roman"/>
          <w:sz w:val="24"/>
          <w:szCs w:val="24"/>
        </w:rPr>
        <w:t xml:space="preserve"> cells acquired a spindle-shaped morphology characteristic of EMT in PANC1, PaTu8988 and SW1990 cells after overexpression of MeCP2. (B) At 1, 2, 3, 4 and 5 days after exogenous TGF-β1, SW1990 cell proliferation was determined by CCK8 assays. 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>&lt;0.05. (C) At 1, 2, 3, 4 and 5 days after exogenous TGF-β1, PaTu8988 cell proliferation was determined by CCK8 assays. *</w:t>
      </w:r>
      <w:r w:rsidRPr="00C83222">
        <w:rPr>
          <w:rFonts w:ascii="Times New Roman" w:hAnsi="Times New Roman" w:cs="Times New Roman"/>
          <w:i/>
          <w:sz w:val="24"/>
          <w:szCs w:val="24"/>
        </w:rPr>
        <w:t>P</w:t>
      </w:r>
      <w:r w:rsidRPr="00C83222">
        <w:rPr>
          <w:rFonts w:ascii="Times New Roman" w:hAnsi="Times New Roman" w:cs="Times New Roman"/>
          <w:sz w:val="24"/>
          <w:szCs w:val="24"/>
        </w:rPr>
        <w:t xml:space="preserve">&lt;0.05. (D) </w:t>
      </w:r>
      <w:proofErr w:type="spellStart"/>
      <w:r w:rsidRPr="00C83222">
        <w:rPr>
          <w:rFonts w:ascii="Times New Roman" w:hAnsi="Times New Roman" w:cs="Times New Roman"/>
          <w:sz w:val="24"/>
          <w:szCs w:val="24"/>
        </w:rPr>
        <w:t>Furin</w:t>
      </w:r>
      <w:proofErr w:type="spellEnd"/>
      <w:r w:rsidRPr="00C83222">
        <w:rPr>
          <w:rFonts w:ascii="Times New Roman" w:hAnsi="Times New Roman" w:cs="Times New Roman"/>
          <w:sz w:val="24"/>
          <w:szCs w:val="24"/>
        </w:rPr>
        <w:t xml:space="preserve"> was identified using western blotting. (E) </w:t>
      </w:r>
      <w:proofErr w:type="spellStart"/>
      <w:proofErr w:type="gramStart"/>
      <w:r w:rsidRPr="00C83222">
        <w:rPr>
          <w:rFonts w:ascii="Times New Roman" w:hAnsi="Times New Roman" w:cs="Times New Roman" w:hint="eastAsia"/>
          <w:i/>
          <w:sz w:val="24"/>
          <w:szCs w:val="24"/>
        </w:rPr>
        <w:t>furin</w:t>
      </w:r>
      <w:proofErr w:type="spellEnd"/>
      <w:proofErr w:type="gramEnd"/>
      <w:r w:rsidRPr="00C83222">
        <w:rPr>
          <w:rFonts w:ascii="Times New Roman" w:hAnsi="Times New Roman" w:cs="Times New Roman"/>
          <w:sz w:val="24"/>
          <w:szCs w:val="24"/>
        </w:rPr>
        <w:t xml:space="preserve"> was identified using RT-PCR.</w:t>
      </w:r>
    </w:p>
    <w:p w:rsidR="008C58ED" w:rsidRPr="00C83222" w:rsidRDefault="008C58ED" w:rsidP="008C58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222">
        <w:rPr>
          <w:rFonts w:ascii="Times New Roman" w:hAnsi="Times New Roman" w:cs="Times New Roman"/>
          <w:b/>
          <w:sz w:val="24"/>
          <w:szCs w:val="24"/>
        </w:rPr>
        <w:t>Fig.S4</w:t>
      </w:r>
      <w:r w:rsidRPr="00C83222">
        <w:rPr>
          <w:rFonts w:ascii="Times New Roman" w:hAnsi="Times New Roman" w:cs="Times New Roman"/>
          <w:sz w:val="24"/>
          <w:szCs w:val="24"/>
        </w:rPr>
        <w:t>. (A-F) Using immunofluorescence studies, we found that MeCP2 could promote Vimentin and N-cadherin, while inhibit E-cadherin. Also, the cells acquired a spindle-shaped morphology characteristic of EMT after MeCP2 overexpression.</w:t>
      </w:r>
    </w:p>
    <w:p w:rsidR="005026B6" w:rsidRPr="008C58ED" w:rsidRDefault="008C58ED" w:rsidP="008C58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222">
        <w:rPr>
          <w:rFonts w:ascii="Times New Roman" w:hAnsi="Times New Roman" w:cs="Times New Roman"/>
          <w:b/>
          <w:sz w:val="24"/>
          <w:szCs w:val="24"/>
        </w:rPr>
        <w:t>Fig.S5</w:t>
      </w:r>
      <w:r w:rsidRPr="00C83222">
        <w:rPr>
          <w:rFonts w:ascii="Times New Roman" w:hAnsi="Times New Roman" w:cs="Times New Roman"/>
          <w:sz w:val="24"/>
          <w:szCs w:val="24"/>
        </w:rPr>
        <w:t xml:space="preserve">. (A, B) Active-TGF-β1 in the culture supernatants was detected by western bolt. (C, D) MeCP2 has no effect on TGF-β2 or TGF-β3 in pancreatic cancer cells. (E, F, G) Cross-linked chromatins from pancreatic cancer cells were incubated with antiserum against IgG, Smad2. DNA extracted from each </w:t>
      </w:r>
      <w:proofErr w:type="spellStart"/>
      <w:r w:rsidRPr="00C83222">
        <w:rPr>
          <w:rFonts w:ascii="Times New Roman" w:hAnsi="Times New Roman" w:cs="Times New Roman"/>
          <w:sz w:val="24"/>
          <w:szCs w:val="24"/>
        </w:rPr>
        <w:t>immunopecipitate</w:t>
      </w:r>
      <w:proofErr w:type="spellEnd"/>
      <w:r w:rsidRPr="00C83222">
        <w:rPr>
          <w:rFonts w:ascii="Times New Roman" w:hAnsi="Times New Roman" w:cs="Times New Roman"/>
          <w:sz w:val="24"/>
          <w:szCs w:val="24"/>
        </w:rPr>
        <w:t xml:space="preserve"> was analyzed by standard PCR with three primers specific for </w:t>
      </w:r>
      <w:proofErr w:type="spellStart"/>
      <w:r w:rsidRPr="00C83222">
        <w:rPr>
          <w:rFonts w:ascii="Times New Roman" w:hAnsi="Times New Roman" w:cs="Times New Roman" w:hint="eastAsia"/>
          <w:sz w:val="24"/>
          <w:szCs w:val="24"/>
        </w:rPr>
        <w:t>furin</w:t>
      </w:r>
      <w:proofErr w:type="spellEnd"/>
      <w:r w:rsidRPr="00C83222">
        <w:rPr>
          <w:rFonts w:ascii="Times New Roman" w:hAnsi="Times New Roman" w:cs="Times New Roman"/>
          <w:sz w:val="24"/>
          <w:szCs w:val="24"/>
        </w:rPr>
        <w:t xml:space="preserve"> promoter.</w:t>
      </w:r>
      <w:bookmarkStart w:id="0" w:name="_GoBack"/>
      <w:bookmarkEnd w:id="0"/>
    </w:p>
    <w:sectPr w:rsidR="005026B6" w:rsidRPr="008C58ED" w:rsidSect="007436EE">
      <w:footerReference w:type="default" r:id="rId5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8775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D405B" w:rsidRDefault="008C58ED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4C20" w:rsidRDefault="008C58E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8ED"/>
    <w:rsid w:val="008C58ED"/>
    <w:rsid w:val="009A3FD6"/>
    <w:rsid w:val="00FE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C58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C58ED"/>
    <w:rPr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8C5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C58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C58ED"/>
    <w:rPr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8C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>Microsoft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2020-07-14T01:31:00Z</dcterms:created>
  <dcterms:modified xsi:type="dcterms:W3CDTF">2020-07-14T01:31:00Z</dcterms:modified>
</cp:coreProperties>
</file>