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3FCA8" w14:textId="77777777" w:rsidR="00F622D7" w:rsidRPr="004A70C8" w:rsidRDefault="00F622D7" w:rsidP="00F622D7">
      <w:pPr>
        <w:spacing w:line="480" w:lineRule="auto"/>
        <w:jc w:val="both"/>
        <w:rPr>
          <w:rFonts w:ascii="Arial" w:eastAsiaTheme="minorEastAsia" w:hAnsi="Arial" w:cs="Arial"/>
          <w:b/>
          <w:caps/>
          <w:sz w:val="22"/>
          <w:szCs w:val="22"/>
        </w:rPr>
      </w:pPr>
      <w:r w:rsidRPr="004A70C8">
        <w:rPr>
          <w:rFonts w:ascii="Arial" w:eastAsiaTheme="minorEastAsia" w:hAnsi="Arial" w:cs="Arial"/>
          <w:b/>
          <w:caps/>
          <w:sz w:val="22"/>
          <w:szCs w:val="22"/>
        </w:rPr>
        <w:t>Supplementary figure legends</w:t>
      </w:r>
    </w:p>
    <w:p w14:paraId="42217E6E" w14:textId="30D1132D" w:rsidR="0076691E" w:rsidRPr="004A70C8" w:rsidRDefault="0076691E" w:rsidP="0076691E">
      <w:pPr>
        <w:spacing w:line="480" w:lineRule="auto"/>
        <w:jc w:val="both"/>
        <w:rPr>
          <w:rFonts w:ascii="Arial" w:eastAsiaTheme="minorEastAsia" w:hAnsi="Arial" w:cs="Arial"/>
          <w:sz w:val="22"/>
          <w:szCs w:val="22"/>
        </w:rPr>
      </w:pPr>
      <w:r w:rsidRPr="004A70C8">
        <w:rPr>
          <w:rFonts w:ascii="Arial" w:eastAsiaTheme="minorEastAsia" w:hAnsi="Arial" w:cs="Arial"/>
          <w:b/>
          <w:bCs/>
          <w:sz w:val="22"/>
          <w:szCs w:val="22"/>
        </w:rPr>
        <w:t>Supplementary figure 1. Workflow of the study.</w:t>
      </w:r>
      <w:r w:rsidRPr="004A70C8">
        <w:rPr>
          <w:rFonts w:ascii="Arial" w:eastAsiaTheme="minorEastAsia" w:hAnsi="Arial" w:cs="Arial"/>
          <w:sz w:val="22"/>
          <w:szCs w:val="22"/>
        </w:rPr>
        <w:t xml:space="preserve"> a. Heterozygotic </w:t>
      </w:r>
      <w:r w:rsidRPr="004A70C8">
        <w:rPr>
          <w:rFonts w:ascii="Arial" w:eastAsiaTheme="minorEastAsia" w:hAnsi="Arial" w:cs="Arial"/>
          <w:i/>
          <w:sz w:val="22"/>
          <w:szCs w:val="22"/>
        </w:rPr>
        <w:t>Brca1</w:t>
      </w:r>
      <w:r w:rsidRPr="004A70C8">
        <w:rPr>
          <w:rFonts w:ascii="Arial" w:eastAsiaTheme="minorEastAsia" w:hAnsi="Arial" w:cs="Arial"/>
          <w:sz w:val="22"/>
          <w:szCs w:val="22"/>
        </w:rPr>
        <w:t xml:space="preserve"> knockout mouse was generated by Cre-LoxP recombination system. </w:t>
      </w:r>
      <w:r w:rsidRPr="004A70C8">
        <w:rPr>
          <w:rFonts w:ascii="Arial" w:eastAsiaTheme="minorEastAsia" w:hAnsi="Arial" w:cs="Arial"/>
          <w:i/>
          <w:sz w:val="22"/>
          <w:szCs w:val="22"/>
        </w:rPr>
        <w:t>Brca1</w:t>
      </w:r>
      <w:r w:rsidRPr="004A70C8">
        <w:rPr>
          <w:rFonts w:ascii="Arial" w:eastAsiaTheme="minorEastAsia" w:hAnsi="Arial" w:cs="Arial"/>
          <w:sz w:val="22"/>
          <w:szCs w:val="22"/>
        </w:rPr>
        <w:t xml:space="preserve">+/- </w:t>
      </w:r>
      <w:r w:rsidRPr="004A70C8">
        <w:rPr>
          <w:rFonts w:ascii="Arial" w:eastAsiaTheme="minorEastAsia" w:hAnsi="Arial" w:cs="Arial"/>
          <w:i/>
          <w:sz w:val="22"/>
          <w:szCs w:val="22"/>
        </w:rPr>
        <w:t>Trp53</w:t>
      </w:r>
      <w:r w:rsidRPr="004A70C8">
        <w:rPr>
          <w:rFonts w:ascii="Arial" w:eastAsiaTheme="minorEastAsia" w:hAnsi="Arial" w:cs="Arial"/>
          <w:sz w:val="22"/>
          <w:szCs w:val="22"/>
        </w:rPr>
        <w:t xml:space="preserve">+/- mouse was generated by crossing </w:t>
      </w:r>
      <w:r w:rsidRPr="004A70C8">
        <w:rPr>
          <w:rFonts w:ascii="Arial" w:eastAsiaTheme="minorEastAsia" w:hAnsi="Arial" w:cs="Arial"/>
          <w:i/>
          <w:sz w:val="22"/>
          <w:szCs w:val="22"/>
        </w:rPr>
        <w:t>Brca1</w:t>
      </w:r>
      <w:r w:rsidRPr="004A70C8">
        <w:rPr>
          <w:rFonts w:ascii="Arial" w:eastAsiaTheme="minorEastAsia" w:hAnsi="Arial" w:cs="Arial"/>
          <w:sz w:val="22"/>
          <w:szCs w:val="22"/>
        </w:rPr>
        <w:t xml:space="preserve">+/- mouse with </w:t>
      </w:r>
      <w:r w:rsidRPr="004A70C8">
        <w:rPr>
          <w:rFonts w:ascii="Arial" w:eastAsiaTheme="minorEastAsia" w:hAnsi="Arial" w:cs="Arial"/>
          <w:i/>
          <w:sz w:val="22"/>
          <w:szCs w:val="22"/>
        </w:rPr>
        <w:t>Trp53</w:t>
      </w:r>
      <w:r w:rsidRPr="004A70C8">
        <w:rPr>
          <w:rFonts w:ascii="Arial" w:eastAsiaTheme="minorEastAsia" w:hAnsi="Arial" w:cs="Arial"/>
          <w:sz w:val="22"/>
          <w:szCs w:val="22"/>
        </w:rPr>
        <w:t xml:space="preserve"> exon 5-deleted mouse. DNA was collected at given time points (10.5 embryonic day, 16.5 embryonic day, 1</w:t>
      </w:r>
      <w:r w:rsidRPr="004A70C8">
        <w:rPr>
          <w:rFonts w:ascii="Arial" w:eastAsiaTheme="minorEastAsia" w:hAnsi="Arial" w:cs="Arial"/>
          <w:sz w:val="22"/>
          <w:szCs w:val="22"/>
          <w:vertAlign w:val="superscript"/>
        </w:rPr>
        <w:t>st</w:t>
      </w:r>
      <w:r w:rsidRPr="004A70C8">
        <w:rPr>
          <w:rFonts w:ascii="Arial" w:eastAsiaTheme="minorEastAsia" w:hAnsi="Arial" w:cs="Arial"/>
          <w:sz w:val="22"/>
          <w:szCs w:val="22"/>
        </w:rPr>
        <w:t xml:space="preserve"> month, 4</w:t>
      </w:r>
      <w:r w:rsidRPr="004A70C8">
        <w:rPr>
          <w:rFonts w:ascii="Arial" w:eastAsiaTheme="minorEastAsia" w:hAnsi="Arial" w:cs="Arial"/>
          <w:sz w:val="22"/>
          <w:szCs w:val="22"/>
          <w:vertAlign w:val="superscript"/>
        </w:rPr>
        <w:t>th</w:t>
      </w:r>
      <w:r w:rsidRPr="004A70C8">
        <w:rPr>
          <w:rFonts w:ascii="Arial" w:eastAsiaTheme="minorEastAsia" w:hAnsi="Arial" w:cs="Arial"/>
          <w:sz w:val="22"/>
          <w:szCs w:val="22"/>
        </w:rPr>
        <w:t xml:space="preserve"> month, 8</w:t>
      </w:r>
      <w:r w:rsidRPr="004A70C8">
        <w:rPr>
          <w:rFonts w:ascii="Arial" w:eastAsiaTheme="minorEastAsia" w:hAnsi="Arial" w:cs="Arial"/>
          <w:sz w:val="22"/>
          <w:szCs w:val="22"/>
          <w:vertAlign w:val="superscript"/>
        </w:rPr>
        <w:t>th</w:t>
      </w:r>
      <w:r w:rsidRPr="004A70C8">
        <w:rPr>
          <w:rFonts w:ascii="Arial" w:eastAsiaTheme="minorEastAsia" w:hAnsi="Arial" w:cs="Arial"/>
          <w:sz w:val="22"/>
          <w:szCs w:val="22"/>
        </w:rPr>
        <w:t xml:space="preserve"> month, and 12</w:t>
      </w:r>
      <w:r w:rsidRPr="004A70C8">
        <w:rPr>
          <w:rFonts w:ascii="Arial" w:eastAsiaTheme="minorEastAsia" w:hAnsi="Arial" w:cs="Arial"/>
          <w:sz w:val="22"/>
          <w:szCs w:val="22"/>
          <w:vertAlign w:val="superscript"/>
        </w:rPr>
        <w:t>th</w:t>
      </w:r>
      <w:r w:rsidRPr="004A70C8">
        <w:rPr>
          <w:rFonts w:ascii="Arial" w:eastAsiaTheme="minorEastAsia" w:hAnsi="Arial" w:cs="Arial"/>
          <w:sz w:val="22"/>
          <w:szCs w:val="22"/>
        </w:rPr>
        <w:t xml:space="preserve"> month after birth). </w:t>
      </w:r>
      <w:r w:rsidRPr="004A70C8">
        <w:rPr>
          <w:rFonts w:ascii="Arial" w:eastAsiaTheme="minorEastAsia" w:hAnsi="Arial" w:cs="Arial"/>
          <w:bCs/>
          <w:sz w:val="22"/>
          <w:szCs w:val="22"/>
        </w:rPr>
        <w:t>b.</w:t>
      </w:r>
      <w:r w:rsidRPr="004A70C8">
        <w:rPr>
          <w:rFonts w:ascii="Arial" w:eastAsiaTheme="minorEastAsia" w:hAnsi="Arial" w:cs="Arial"/>
          <w:sz w:val="22"/>
          <w:szCs w:val="22"/>
        </w:rPr>
        <w:t xml:space="preserve"> Scheme of data analysis. Whole genome sequences were collected from each sample. SVs, CNVs, and Indels were identified from the sequences.</w:t>
      </w:r>
    </w:p>
    <w:p w14:paraId="19FC2924" w14:textId="77777777" w:rsidR="0076691E" w:rsidRPr="004A70C8" w:rsidRDefault="0076691E" w:rsidP="0076691E">
      <w:pPr>
        <w:spacing w:line="480" w:lineRule="auto"/>
        <w:jc w:val="both"/>
        <w:rPr>
          <w:rFonts w:ascii="Arial" w:eastAsiaTheme="minorEastAsia" w:hAnsi="Arial" w:cs="Arial"/>
          <w:sz w:val="22"/>
          <w:szCs w:val="22"/>
        </w:rPr>
      </w:pPr>
    </w:p>
    <w:p w14:paraId="79C3021F" w14:textId="77777777" w:rsidR="0076691E" w:rsidRPr="004A70C8" w:rsidRDefault="0076691E" w:rsidP="0076691E">
      <w:pPr>
        <w:spacing w:line="480" w:lineRule="auto"/>
        <w:jc w:val="both"/>
        <w:rPr>
          <w:rFonts w:ascii="Arial" w:eastAsiaTheme="minorEastAsia" w:hAnsi="Arial" w:cs="Arial"/>
          <w:sz w:val="22"/>
          <w:szCs w:val="22"/>
        </w:rPr>
      </w:pPr>
      <w:r w:rsidRPr="004A70C8">
        <w:rPr>
          <w:rFonts w:ascii="Arial" w:eastAsiaTheme="minorEastAsia" w:hAnsi="Arial" w:cs="Arial"/>
          <w:b/>
          <w:bCs/>
          <w:sz w:val="22"/>
          <w:szCs w:val="22"/>
        </w:rPr>
        <w:t>Supplementary figure</w:t>
      </w:r>
      <w:r w:rsidRPr="004A70C8">
        <w:rPr>
          <w:rFonts w:ascii="Arial" w:eastAsiaTheme="minorEastAsia" w:hAnsi="Arial" w:cs="Arial"/>
          <w:sz w:val="22"/>
          <w:szCs w:val="22"/>
        </w:rPr>
        <w:t xml:space="preserve"> </w:t>
      </w:r>
      <w:r w:rsidRPr="004A70C8">
        <w:rPr>
          <w:rFonts w:ascii="Arial" w:eastAsiaTheme="minorEastAsia" w:hAnsi="Arial" w:cs="Arial"/>
          <w:b/>
          <w:bCs/>
          <w:sz w:val="22"/>
          <w:szCs w:val="22"/>
        </w:rPr>
        <w:t>2. Circos plots showing SVs, CNVs, and Indels in wildtype mice.</w:t>
      </w:r>
      <w:r w:rsidRPr="004A70C8">
        <w:rPr>
          <w:rFonts w:ascii="Arial" w:eastAsiaTheme="minorEastAsia" w:hAnsi="Arial" w:cs="Arial"/>
          <w:sz w:val="22"/>
          <w:szCs w:val="22"/>
        </w:rPr>
        <w:t xml:space="preserve"> It shows the background variation in the wildtype mice and decreased variation alone the developmental process.</w:t>
      </w:r>
    </w:p>
    <w:p w14:paraId="49355A5E" w14:textId="77777777" w:rsidR="0076691E" w:rsidRPr="004A70C8" w:rsidRDefault="0076691E" w:rsidP="0076691E">
      <w:pPr>
        <w:spacing w:line="480" w:lineRule="auto"/>
        <w:jc w:val="both"/>
        <w:rPr>
          <w:rFonts w:ascii="Arial" w:eastAsiaTheme="minorEastAsia" w:hAnsi="Arial" w:cs="Arial"/>
          <w:sz w:val="22"/>
          <w:szCs w:val="22"/>
        </w:rPr>
      </w:pPr>
    </w:p>
    <w:p w14:paraId="1ED8B2C6" w14:textId="77777777" w:rsidR="0076691E" w:rsidRPr="004A70C8" w:rsidRDefault="0076691E" w:rsidP="0076691E">
      <w:pPr>
        <w:spacing w:line="480" w:lineRule="auto"/>
        <w:jc w:val="both"/>
        <w:rPr>
          <w:rFonts w:ascii="Arial" w:eastAsiaTheme="minorEastAsia" w:hAnsi="Arial" w:cs="Arial"/>
          <w:sz w:val="22"/>
          <w:szCs w:val="22"/>
        </w:rPr>
      </w:pPr>
      <w:r w:rsidRPr="004A70C8">
        <w:rPr>
          <w:rFonts w:ascii="Arial" w:eastAsiaTheme="minorEastAsia" w:hAnsi="Arial" w:cs="Arial"/>
          <w:b/>
          <w:bCs/>
          <w:sz w:val="22"/>
          <w:szCs w:val="22"/>
        </w:rPr>
        <w:t>Supplementary figure 3. Top 50 pathways affected by variation through KEGG analysis.</w:t>
      </w:r>
      <w:r w:rsidRPr="004A70C8">
        <w:rPr>
          <w:rFonts w:ascii="Arial" w:eastAsiaTheme="minorEastAsia" w:hAnsi="Arial" w:cs="Arial"/>
          <w:sz w:val="22"/>
          <w:szCs w:val="22"/>
        </w:rPr>
        <w:t xml:space="preserve"> Black: numbers of genes enriched; Blue: Significance at -log10 scale (adjusted P-value).</w:t>
      </w:r>
    </w:p>
    <w:p w14:paraId="38EEE5E3" w14:textId="77777777" w:rsidR="00F622D7" w:rsidRPr="004A70C8" w:rsidRDefault="00F622D7" w:rsidP="00F622D7">
      <w:pPr>
        <w:spacing w:line="480" w:lineRule="auto"/>
        <w:jc w:val="both"/>
        <w:rPr>
          <w:rFonts w:ascii="Arial" w:eastAsiaTheme="minorEastAsia" w:hAnsi="Arial" w:cs="Arial"/>
          <w:sz w:val="22"/>
          <w:szCs w:val="22"/>
        </w:rPr>
      </w:pPr>
    </w:p>
    <w:p w14:paraId="3FF60C02" w14:textId="5899AA72" w:rsidR="00F622D7" w:rsidRPr="004A70C8" w:rsidRDefault="00F622D7" w:rsidP="00F622D7">
      <w:pPr>
        <w:spacing w:line="480" w:lineRule="auto"/>
        <w:jc w:val="both"/>
        <w:rPr>
          <w:rFonts w:ascii="Arial" w:eastAsiaTheme="minorEastAsia" w:hAnsi="Arial" w:cs="Arial"/>
          <w:b/>
          <w:bCs/>
          <w:sz w:val="22"/>
          <w:szCs w:val="22"/>
        </w:rPr>
      </w:pPr>
      <w:r w:rsidRPr="004A70C8">
        <w:rPr>
          <w:rFonts w:ascii="Arial" w:eastAsiaTheme="minorEastAsia" w:hAnsi="Arial" w:cs="Arial"/>
          <w:b/>
          <w:caps/>
          <w:sz w:val="22"/>
          <w:szCs w:val="22"/>
        </w:rPr>
        <w:t xml:space="preserve">Supplementary </w:t>
      </w:r>
      <w:r w:rsidRPr="004A70C8">
        <w:rPr>
          <w:rFonts w:ascii="Arial" w:eastAsiaTheme="minorEastAsia" w:hAnsi="Arial" w:cs="Arial"/>
          <w:b/>
          <w:bCs/>
          <w:sz w:val="22"/>
          <w:szCs w:val="22"/>
        </w:rPr>
        <w:t>TABLE</w:t>
      </w:r>
      <w:r w:rsidR="004A70C8">
        <w:rPr>
          <w:rFonts w:ascii="Arial" w:eastAsiaTheme="minorEastAsia" w:hAnsi="Arial" w:cs="Arial"/>
          <w:b/>
          <w:bCs/>
          <w:sz w:val="22"/>
          <w:szCs w:val="22"/>
        </w:rPr>
        <w:t>S</w:t>
      </w:r>
      <w:bookmarkStart w:id="0" w:name="_GoBack"/>
      <w:bookmarkEnd w:id="0"/>
    </w:p>
    <w:p w14:paraId="364CBA88" w14:textId="77777777" w:rsidR="0076691E" w:rsidRPr="004A70C8" w:rsidRDefault="0076691E" w:rsidP="0076691E">
      <w:pPr>
        <w:spacing w:line="480" w:lineRule="auto"/>
        <w:rPr>
          <w:rFonts w:ascii="Arial" w:eastAsiaTheme="minorEastAsia" w:hAnsi="Arial" w:cs="Arial"/>
          <w:b/>
          <w:bCs/>
          <w:sz w:val="22"/>
          <w:szCs w:val="22"/>
        </w:rPr>
      </w:pPr>
      <w:r w:rsidRPr="004A70C8">
        <w:rPr>
          <w:rFonts w:ascii="Arial" w:eastAsiaTheme="minorEastAsia" w:hAnsi="Arial" w:cs="Arial"/>
          <w:b/>
          <w:bCs/>
          <w:sz w:val="22"/>
          <w:szCs w:val="22"/>
        </w:rPr>
        <w:t xml:space="preserve">Supplementary table 1. Genotype validation of </w:t>
      </w:r>
      <w:r w:rsidRPr="004A70C8">
        <w:rPr>
          <w:rFonts w:ascii="Arial" w:eastAsiaTheme="minorEastAsia" w:hAnsi="Arial" w:cs="Arial"/>
          <w:b/>
          <w:bCs/>
          <w:i/>
          <w:sz w:val="22"/>
          <w:szCs w:val="22"/>
        </w:rPr>
        <w:t>Brca1</w:t>
      </w:r>
      <w:r w:rsidRPr="004A70C8">
        <w:rPr>
          <w:rFonts w:ascii="Arial" w:eastAsiaTheme="minorEastAsia" w:hAnsi="Arial" w:cs="Arial"/>
          <w:b/>
          <w:bCs/>
          <w:sz w:val="22"/>
          <w:szCs w:val="22"/>
        </w:rPr>
        <w:t xml:space="preserve"> and </w:t>
      </w:r>
      <w:r w:rsidRPr="004A70C8">
        <w:rPr>
          <w:rFonts w:ascii="Arial" w:eastAsiaTheme="minorEastAsia" w:hAnsi="Arial" w:cs="Arial"/>
          <w:b/>
          <w:bCs/>
          <w:i/>
          <w:sz w:val="22"/>
          <w:szCs w:val="22"/>
        </w:rPr>
        <w:t>Trp53</w:t>
      </w:r>
      <w:r w:rsidRPr="004A70C8">
        <w:rPr>
          <w:rFonts w:ascii="Arial" w:eastAsiaTheme="minorEastAsia" w:hAnsi="Arial" w:cs="Arial"/>
          <w:b/>
          <w:bCs/>
          <w:sz w:val="22"/>
          <w:szCs w:val="22"/>
        </w:rPr>
        <w:t xml:space="preserve"> deletion in all samples</w:t>
      </w:r>
    </w:p>
    <w:p w14:paraId="389CCAC6" w14:textId="2C65E64D" w:rsidR="0076691E" w:rsidRPr="004A70C8" w:rsidRDefault="0076691E" w:rsidP="0076691E">
      <w:pPr>
        <w:spacing w:line="480" w:lineRule="auto"/>
        <w:rPr>
          <w:rFonts w:ascii="Arial" w:eastAsiaTheme="minorEastAsia" w:hAnsi="Arial" w:cs="Arial"/>
          <w:b/>
          <w:bCs/>
          <w:sz w:val="22"/>
          <w:szCs w:val="22"/>
        </w:rPr>
      </w:pPr>
      <w:r w:rsidRPr="004A70C8">
        <w:rPr>
          <w:rFonts w:ascii="Arial" w:eastAsiaTheme="minorEastAsia" w:hAnsi="Arial" w:cs="Arial"/>
          <w:b/>
          <w:bCs/>
          <w:sz w:val="22"/>
          <w:szCs w:val="22"/>
        </w:rPr>
        <w:t xml:space="preserve">Supplementary table 2. SVs, Indels and CNVs in </w:t>
      </w:r>
      <w:r w:rsidRPr="004A70C8">
        <w:rPr>
          <w:rFonts w:ascii="Arial" w:eastAsiaTheme="minorEastAsia" w:hAnsi="Arial" w:cs="Arial"/>
          <w:b/>
          <w:bCs/>
          <w:i/>
          <w:sz w:val="22"/>
          <w:szCs w:val="22"/>
        </w:rPr>
        <w:t>Brca1</w:t>
      </w:r>
      <w:r w:rsidRPr="004A70C8">
        <w:rPr>
          <w:rFonts w:ascii="Arial" w:eastAsiaTheme="minorEastAsia" w:hAnsi="Arial" w:cs="Arial"/>
          <w:b/>
          <w:bCs/>
          <w:sz w:val="22"/>
          <w:szCs w:val="22"/>
        </w:rPr>
        <w:t xml:space="preserve"> mutant </w:t>
      </w:r>
    </w:p>
    <w:p w14:paraId="721BDFD3" w14:textId="4763EAE5" w:rsidR="0076691E" w:rsidRPr="004A70C8" w:rsidRDefault="0076691E" w:rsidP="0076691E">
      <w:pPr>
        <w:spacing w:line="480" w:lineRule="auto"/>
        <w:rPr>
          <w:rFonts w:ascii="Arial" w:eastAsiaTheme="minorEastAsia" w:hAnsi="Arial" w:cs="Arial"/>
          <w:b/>
          <w:bCs/>
          <w:sz w:val="22"/>
          <w:szCs w:val="22"/>
        </w:rPr>
      </w:pPr>
      <w:r w:rsidRPr="004A70C8">
        <w:rPr>
          <w:rFonts w:ascii="Arial" w:eastAsiaTheme="minorEastAsia" w:hAnsi="Arial" w:cs="Arial"/>
          <w:b/>
          <w:bCs/>
          <w:sz w:val="22"/>
          <w:szCs w:val="22"/>
        </w:rPr>
        <w:t xml:space="preserve">Supplementary table 3. Summary of SVs in each </w:t>
      </w:r>
      <w:r w:rsidRPr="004A70C8">
        <w:rPr>
          <w:rFonts w:ascii="Arial" w:eastAsiaTheme="minorEastAsia" w:hAnsi="Arial" w:cs="Arial"/>
          <w:b/>
          <w:bCs/>
          <w:i/>
          <w:sz w:val="22"/>
          <w:szCs w:val="22"/>
        </w:rPr>
        <w:t>Brca1</w:t>
      </w:r>
      <w:r w:rsidRPr="004A70C8">
        <w:rPr>
          <w:rFonts w:ascii="Arial" w:eastAsiaTheme="minorEastAsia" w:hAnsi="Arial" w:cs="Arial"/>
          <w:b/>
          <w:bCs/>
          <w:sz w:val="22"/>
          <w:szCs w:val="22"/>
        </w:rPr>
        <w:t xml:space="preserve"> mutant </w:t>
      </w:r>
    </w:p>
    <w:p w14:paraId="32668FF3" w14:textId="77777777" w:rsidR="0076691E" w:rsidRPr="004A70C8" w:rsidRDefault="0076691E" w:rsidP="0076691E">
      <w:pPr>
        <w:spacing w:line="480" w:lineRule="auto"/>
        <w:rPr>
          <w:rFonts w:ascii="Arial" w:eastAsiaTheme="minorEastAsia" w:hAnsi="Arial" w:cs="Arial"/>
          <w:b/>
          <w:bCs/>
          <w:sz w:val="22"/>
          <w:szCs w:val="22"/>
        </w:rPr>
      </w:pPr>
      <w:r w:rsidRPr="004A70C8">
        <w:rPr>
          <w:rFonts w:ascii="Arial" w:eastAsiaTheme="minorEastAsia" w:hAnsi="Arial" w:cs="Arial"/>
          <w:b/>
          <w:bCs/>
          <w:sz w:val="22"/>
          <w:szCs w:val="22"/>
        </w:rPr>
        <w:t>Supplementary table 4.</w:t>
      </w:r>
      <w:r w:rsidRPr="004A70C8">
        <w:rPr>
          <w:rFonts w:ascii="Arial" w:hAnsi="Arial" w:cs="Arial"/>
          <w:b/>
          <w:bCs/>
          <w:sz w:val="22"/>
          <w:szCs w:val="22"/>
        </w:rPr>
        <w:t xml:space="preserve"> </w:t>
      </w:r>
      <w:r w:rsidRPr="004A70C8">
        <w:rPr>
          <w:rFonts w:ascii="Arial" w:eastAsiaTheme="minorEastAsia" w:hAnsi="Arial" w:cs="Arial"/>
          <w:b/>
          <w:bCs/>
          <w:sz w:val="22"/>
          <w:szCs w:val="22"/>
        </w:rPr>
        <w:t>SVs in wildtype mice</w:t>
      </w:r>
    </w:p>
    <w:p w14:paraId="23AD1F24" w14:textId="35FC17C6" w:rsidR="0076691E" w:rsidRPr="004A70C8" w:rsidRDefault="0076691E" w:rsidP="0076691E">
      <w:pPr>
        <w:spacing w:line="480" w:lineRule="auto"/>
        <w:rPr>
          <w:rFonts w:ascii="Arial" w:eastAsiaTheme="minorEastAsia" w:hAnsi="Arial" w:cs="Arial"/>
          <w:b/>
          <w:bCs/>
          <w:sz w:val="22"/>
          <w:szCs w:val="22"/>
        </w:rPr>
      </w:pPr>
      <w:r w:rsidRPr="004A70C8">
        <w:rPr>
          <w:rFonts w:ascii="Arial" w:eastAsiaTheme="minorEastAsia" w:hAnsi="Arial" w:cs="Arial"/>
          <w:b/>
          <w:bCs/>
          <w:sz w:val="22"/>
          <w:szCs w:val="22"/>
        </w:rPr>
        <w:t>Supplementary table 5. Repetitive sequences and fragile sites at SVs breaking sites</w:t>
      </w:r>
    </w:p>
    <w:p w14:paraId="72C5B6D1" w14:textId="77777777" w:rsidR="00873A4C" w:rsidRPr="004A70C8" w:rsidRDefault="00873A4C" w:rsidP="00873A4C">
      <w:pPr>
        <w:spacing w:line="480" w:lineRule="auto"/>
        <w:rPr>
          <w:rFonts w:ascii="Arial" w:eastAsiaTheme="minorEastAsia" w:hAnsi="Arial" w:cs="Arial"/>
          <w:b/>
          <w:bCs/>
          <w:sz w:val="22"/>
          <w:szCs w:val="22"/>
        </w:rPr>
      </w:pPr>
      <w:r w:rsidRPr="004A70C8">
        <w:rPr>
          <w:rFonts w:ascii="Arial" w:eastAsiaTheme="minorEastAsia" w:hAnsi="Arial" w:cs="Arial"/>
          <w:b/>
          <w:bCs/>
          <w:sz w:val="22"/>
          <w:szCs w:val="22"/>
        </w:rPr>
        <w:t>Supplementary table 6. SV</w:t>
      </w:r>
      <w:r w:rsidRPr="004A70C8">
        <w:rPr>
          <w:rFonts w:ascii="Arial" w:eastAsiaTheme="minorEastAsia" w:hAnsi="Arial" w:cs="Arial"/>
          <w:b/>
          <w:bCs/>
          <w:strike/>
          <w:sz w:val="22"/>
          <w:szCs w:val="22"/>
        </w:rPr>
        <w:t>s</w:t>
      </w:r>
      <w:r w:rsidRPr="004A70C8">
        <w:rPr>
          <w:rFonts w:ascii="Arial" w:eastAsiaTheme="minorEastAsia" w:hAnsi="Arial" w:cs="Arial"/>
          <w:b/>
          <w:bCs/>
          <w:sz w:val="22"/>
          <w:szCs w:val="22"/>
        </w:rPr>
        <w:t xml:space="preserve"> breaking sites repaired by different non-homologous repair pathways</w:t>
      </w:r>
    </w:p>
    <w:p w14:paraId="439074F4" w14:textId="5B5F1BD0" w:rsidR="0076691E" w:rsidRPr="004A70C8" w:rsidRDefault="0076691E" w:rsidP="0076691E">
      <w:pPr>
        <w:spacing w:line="480" w:lineRule="auto"/>
        <w:rPr>
          <w:rFonts w:ascii="Arial" w:eastAsiaTheme="minorEastAsia" w:hAnsi="Arial" w:cs="Arial"/>
          <w:b/>
          <w:bCs/>
          <w:sz w:val="22"/>
          <w:szCs w:val="22"/>
        </w:rPr>
      </w:pPr>
      <w:r w:rsidRPr="004A70C8">
        <w:rPr>
          <w:rFonts w:ascii="Arial" w:eastAsiaTheme="minorEastAsia" w:hAnsi="Arial" w:cs="Arial"/>
          <w:b/>
          <w:bCs/>
          <w:sz w:val="22"/>
          <w:szCs w:val="22"/>
        </w:rPr>
        <w:t xml:space="preserve">Supplementary table </w:t>
      </w:r>
      <w:r w:rsidR="00873A4C" w:rsidRPr="004A70C8">
        <w:rPr>
          <w:rFonts w:ascii="Arial" w:eastAsiaTheme="minorEastAsia" w:hAnsi="Arial" w:cs="Arial"/>
          <w:b/>
          <w:bCs/>
          <w:sz w:val="22"/>
          <w:szCs w:val="22"/>
        </w:rPr>
        <w:t>7</w:t>
      </w:r>
      <w:r w:rsidRPr="004A70C8">
        <w:rPr>
          <w:rFonts w:ascii="Arial" w:eastAsiaTheme="minorEastAsia" w:hAnsi="Arial" w:cs="Arial"/>
          <w:b/>
          <w:bCs/>
          <w:sz w:val="22"/>
          <w:szCs w:val="22"/>
        </w:rPr>
        <w:t xml:space="preserve">. Genome instability-affected genes. It shows three Pax7 intron SVs in </w:t>
      </w:r>
      <w:r w:rsidRPr="004A70C8">
        <w:rPr>
          <w:rFonts w:ascii="Arial" w:eastAsiaTheme="minorEastAsia" w:hAnsi="Arial" w:cs="Arial"/>
          <w:b/>
          <w:bCs/>
          <w:i/>
          <w:sz w:val="22"/>
          <w:szCs w:val="22"/>
        </w:rPr>
        <w:t>Brca1</w:t>
      </w:r>
      <w:r w:rsidRPr="004A70C8">
        <w:rPr>
          <w:rFonts w:ascii="Arial" w:eastAsiaTheme="minorEastAsia" w:hAnsi="Arial" w:cs="Arial"/>
          <w:b/>
          <w:bCs/>
          <w:sz w:val="22"/>
          <w:szCs w:val="22"/>
        </w:rPr>
        <w:t xml:space="preserve"> mutant, and KEGG classification of genome instability-affected genes </w:t>
      </w:r>
    </w:p>
    <w:p w14:paraId="11F47E4E" w14:textId="2BCBBAC2" w:rsidR="0076691E" w:rsidRPr="004A70C8" w:rsidRDefault="0076691E" w:rsidP="0076691E">
      <w:pPr>
        <w:spacing w:line="480" w:lineRule="auto"/>
        <w:rPr>
          <w:rFonts w:ascii="Arial" w:eastAsiaTheme="minorEastAsia" w:hAnsi="Arial" w:cs="Arial"/>
          <w:b/>
          <w:bCs/>
          <w:sz w:val="22"/>
          <w:szCs w:val="22"/>
        </w:rPr>
      </w:pPr>
      <w:r w:rsidRPr="004A70C8">
        <w:rPr>
          <w:rFonts w:ascii="Arial" w:eastAsiaTheme="minorEastAsia" w:hAnsi="Arial" w:cs="Arial"/>
          <w:b/>
          <w:bCs/>
          <w:sz w:val="22"/>
          <w:szCs w:val="22"/>
        </w:rPr>
        <w:t xml:space="preserve">Supplementary table 8. de novo SVs, Indels and CNVs in </w:t>
      </w:r>
      <w:r w:rsidRPr="004A70C8">
        <w:rPr>
          <w:rFonts w:ascii="Arial" w:eastAsiaTheme="minorEastAsia" w:hAnsi="Arial" w:cs="Arial"/>
          <w:b/>
          <w:bCs/>
          <w:i/>
          <w:sz w:val="22"/>
          <w:szCs w:val="22"/>
        </w:rPr>
        <w:t>Brca1</w:t>
      </w:r>
      <w:r w:rsidRPr="004A70C8">
        <w:rPr>
          <w:rFonts w:ascii="Arial" w:eastAsiaTheme="minorEastAsia" w:hAnsi="Arial" w:cs="Arial"/>
          <w:b/>
          <w:bCs/>
          <w:sz w:val="22"/>
          <w:szCs w:val="22"/>
        </w:rPr>
        <w:t xml:space="preserve"> mutant mice</w:t>
      </w:r>
    </w:p>
    <w:p w14:paraId="6B9E2A1C" w14:textId="77777777" w:rsidR="0076691E" w:rsidRPr="004A70C8" w:rsidRDefault="0076691E" w:rsidP="0076691E">
      <w:pPr>
        <w:spacing w:line="480" w:lineRule="auto"/>
        <w:rPr>
          <w:rFonts w:ascii="Arial" w:eastAsiaTheme="minorEastAsia" w:hAnsi="Arial" w:cs="Arial"/>
          <w:b/>
          <w:bCs/>
          <w:sz w:val="22"/>
          <w:szCs w:val="22"/>
        </w:rPr>
      </w:pPr>
      <w:r w:rsidRPr="004A70C8">
        <w:rPr>
          <w:rFonts w:ascii="Arial" w:eastAsiaTheme="minorEastAsia" w:hAnsi="Arial" w:cs="Arial"/>
          <w:b/>
          <w:bCs/>
          <w:sz w:val="22"/>
          <w:szCs w:val="22"/>
        </w:rPr>
        <w:lastRenderedPageBreak/>
        <w:t>Supplementary table 9. Repetitive sequences and fragile sites at SV breaking sites of the de novo mutation</w:t>
      </w:r>
    </w:p>
    <w:p w14:paraId="2DC261B8" w14:textId="568BEAB0" w:rsidR="0076691E" w:rsidRPr="004A70C8" w:rsidRDefault="0076691E" w:rsidP="0076691E">
      <w:pPr>
        <w:spacing w:line="480" w:lineRule="auto"/>
        <w:rPr>
          <w:rFonts w:ascii="Arial" w:eastAsiaTheme="minorEastAsia" w:hAnsi="Arial" w:cs="Arial"/>
          <w:b/>
          <w:bCs/>
          <w:sz w:val="22"/>
          <w:szCs w:val="22"/>
        </w:rPr>
      </w:pPr>
      <w:r w:rsidRPr="004A70C8">
        <w:rPr>
          <w:rFonts w:ascii="Arial" w:eastAsiaTheme="minorEastAsia" w:hAnsi="Arial" w:cs="Arial"/>
          <w:b/>
          <w:bCs/>
          <w:sz w:val="22"/>
          <w:szCs w:val="22"/>
        </w:rPr>
        <w:t xml:space="preserve">Supplementary table 10. KEGG classification of genome instability-affected genes </w:t>
      </w:r>
      <w:r w:rsidR="00D735D3" w:rsidRPr="004A70C8">
        <w:rPr>
          <w:rFonts w:ascii="Arial" w:eastAsiaTheme="minorEastAsia" w:hAnsi="Arial" w:cs="Arial"/>
          <w:b/>
          <w:bCs/>
          <w:sz w:val="22"/>
          <w:szCs w:val="22"/>
        </w:rPr>
        <w:t xml:space="preserve">by </w:t>
      </w:r>
      <w:r w:rsidRPr="004A70C8">
        <w:rPr>
          <w:rFonts w:ascii="Arial" w:eastAsiaTheme="minorEastAsia" w:hAnsi="Arial" w:cs="Arial"/>
          <w:b/>
          <w:bCs/>
          <w:sz w:val="22"/>
          <w:szCs w:val="22"/>
        </w:rPr>
        <w:t>de novo mutation</w:t>
      </w:r>
    </w:p>
    <w:p w14:paraId="152B98E7" w14:textId="4CF81581" w:rsidR="0076691E" w:rsidRPr="004A70C8" w:rsidRDefault="0076691E" w:rsidP="0076691E">
      <w:pPr>
        <w:spacing w:line="480" w:lineRule="auto"/>
        <w:rPr>
          <w:rFonts w:ascii="Arial" w:eastAsiaTheme="minorEastAsia" w:hAnsi="Arial" w:cs="Arial"/>
          <w:b/>
          <w:bCs/>
          <w:sz w:val="22"/>
          <w:szCs w:val="22"/>
        </w:rPr>
      </w:pPr>
      <w:r w:rsidRPr="004A70C8">
        <w:rPr>
          <w:rFonts w:ascii="Arial" w:eastAsiaTheme="minorEastAsia" w:hAnsi="Arial" w:cs="Arial"/>
          <w:b/>
          <w:bCs/>
          <w:sz w:val="22"/>
          <w:szCs w:val="22"/>
        </w:rPr>
        <w:t>Supplementary table 11. de novo SV breaking sites repaired by different non-homologous pathways</w:t>
      </w:r>
    </w:p>
    <w:p w14:paraId="58DAB560" w14:textId="77730879" w:rsidR="00F622D7" w:rsidRPr="004A70C8" w:rsidRDefault="0076691E" w:rsidP="0076691E">
      <w:pPr>
        <w:spacing w:line="480" w:lineRule="auto"/>
        <w:rPr>
          <w:rFonts w:ascii="Arial" w:eastAsiaTheme="minorEastAsia" w:hAnsi="Arial" w:cs="Arial"/>
          <w:b/>
          <w:bCs/>
          <w:strike/>
          <w:sz w:val="22"/>
          <w:szCs w:val="22"/>
        </w:rPr>
      </w:pPr>
      <w:r w:rsidRPr="004A70C8">
        <w:rPr>
          <w:rFonts w:ascii="Arial" w:eastAsiaTheme="minorEastAsia" w:hAnsi="Arial" w:cs="Arial"/>
          <w:b/>
          <w:bCs/>
          <w:sz w:val="22"/>
          <w:szCs w:val="22"/>
        </w:rPr>
        <w:t xml:space="preserve">Supplementary table 12. Comparison of mutations between </w:t>
      </w:r>
      <w:r w:rsidRPr="004A70C8">
        <w:rPr>
          <w:rFonts w:ascii="Arial" w:eastAsiaTheme="minorEastAsia" w:hAnsi="Arial" w:cs="Arial"/>
          <w:b/>
          <w:bCs/>
          <w:i/>
          <w:sz w:val="22"/>
          <w:szCs w:val="22"/>
        </w:rPr>
        <w:t>Brca1</w:t>
      </w:r>
      <w:r w:rsidRPr="004A70C8">
        <w:rPr>
          <w:rFonts w:ascii="Arial" w:eastAsiaTheme="minorEastAsia" w:hAnsi="Arial" w:cs="Arial"/>
          <w:b/>
          <w:bCs/>
          <w:sz w:val="22"/>
          <w:szCs w:val="22"/>
        </w:rPr>
        <w:t xml:space="preserve"> mutant and </w:t>
      </w:r>
      <w:r w:rsidRPr="004A70C8">
        <w:rPr>
          <w:rFonts w:ascii="Arial" w:eastAsiaTheme="minorEastAsia" w:hAnsi="Arial" w:cs="Arial"/>
          <w:b/>
          <w:bCs/>
          <w:i/>
          <w:sz w:val="22"/>
          <w:szCs w:val="22"/>
        </w:rPr>
        <w:t>Brca1/Trp53</w:t>
      </w:r>
      <w:r w:rsidRPr="004A70C8">
        <w:rPr>
          <w:rFonts w:ascii="Arial" w:eastAsiaTheme="minorEastAsia" w:hAnsi="Arial" w:cs="Arial"/>
          <w:b/>
          <w:bCs/>
          <w:sz w:val="22"/>
          <w:szCs w:val="22"/>
        </w:rPr>
        <w:t xml:space="preserve"> mutant groups</w:t>
      </w:r>
    </w:p>
    <w:sectPr w:rsidR="00F622D7" w:rsidRPr="004A70C8" w:rsidSect="00AB04A6">
      <w:footerReference w:type="even" r:id="rId6"/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57ECB" w14:textId="77777777" w:rsidR="00506BD1" w:rsidRDefault="00506BD1" w:rsidP="00F622D7">
      <w:r>
        <w:separator/>
      </w:r>
    </w:p>
  </w:endnote>
  <w:endnote w:type="continuationSeparator" w:id="0">
    <w:p w14:paraId="363D388B" w14:textId="77777777" w:rsidR="00506BD1" w:rsidRDefault="00506BD1" w:rsidP="00F62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CF8D8" w14:textId="77777777" w:rsidR="00AF06AC" w:rsidRDefault="008C1B1D" w:rsidP="0010511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934F8F" w14:textId="77777777" w:rsidR="00AF06AC" w:rsidRDefault="00506BD1" w:rsidP="0010511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9CAFF" w14:textId="77777777" w:rsidR="00AF06AC" w:rsidRDefault="008C1B1D" w:rsidP="0010511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07ED631F" w14:textId="77777777" w:rsidR="00AF06AC" w:rsidRDefault="00506BD1" w:rsidP="0010511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06E45" w14:textId="77777777" w:rsidR="00506BD1" w:rsidRDefault="00506BD1" w:rsidP="00F622D7">
      <w:r>
        <w:separator/>
      </w:r>
    </w:p>
  </w:footnote>
  <w:footnote w:type="continuationSeparator" w:id="0">
    <w:p w14:paraId="1E7B352C" w14:textId="77777777" w:rsidR="00506BD1" w:rsidRDefault="00506BD1" w:rsidP="00F622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A9"/>
    <w:rsid w:val="00014242"/>
    <w:rsid w:val="00047FA9"/>
    <w:rsid w:val="001A2803"/>
    <w:rsid w:val="003B728F"/>
    <w:rsid w:val="004A70C8"/>
    <w:rsid w:val="00506BD1"/>
    <w:rsid w:val="00763F54"/>
    <w:rsid w:val="0076691E"/>
    <w:rsid w:val="00873A4C"/>
    <w:rsid w:val="008B7845"/>
    <w:rsid w:val="008C1B1D"/>
    <w:rsid w:val="009C3404"/>
    <w:rsid w:val="00A52370"/>
    <w:rsid w:val="00AE573A"/>
    <w:rsid w:val="00CC3C97"/>
    <w:rsid w:val="00D14757"/>
    <w:rsid w:val="00D4128A"/>
    <w:rsid w:val="00D735D3"/>
    <w:rsid w:val="00DE58F3"/>
    <w:rsid w:val="00E27677"/>
    <w:rsid w:val="00F6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B4862C"/>
  <w15:chartTrackingRefBased/>
  <w15:docId w15:val="{7608B3DE-7F7E-4C1E-AB1F-B3D6A640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22D7"/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2D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622D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622D7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622D7"/>
    <w:rPr>
      <w:sz w:val="18"/>
      <w:szCs w:val="18"/>
    </w:rPr>
  </w:style>
  <w:style w:type="character" w:styleId="PageNumber">
    <w:name w:val="page number"/>
    <w:basedOn w:val="DefaultParagraphFont"/>
    <w:unhideWhenUsed/>
    <w:rsid w:val="00F622D7"/>
  </w:style>
  <w:style w:type="character" w:styleId="LineNumber">
    <w:name w:val="line number"/>
    <w:basedOn w:val="DefaultParagraphFont"/>
    <w:uiPriority w:val="99"/>
    <w:semiHidden/>
    <w:unhideWhenUsed/>
    <w:rsid w:val="00F62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Xiaobing</dc:creator>
  <cp:keywords/>
  <dc:description/>
  <cp:lastModifiedBy>san wang</cp:lastModifiedBy>
  <cp:revision>9</cp:revision>
  <dcterms:created xsi:type="dcterms:W3CDTF">2021-10-12T11:57:00Z</dcterms:created>
  <dcterms:modified xsi:type="dcterms:W3CDTF">2022-07-07T14:41:00Z</dcterms:modified>
</cp:coreProperties>
</file>