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5EE" w:rsidRPr="00B70C7F" w:rsidRDefault="005F55EE" w:rsidP="005F55EE">
      <w:pPr>
        <w:spacing w:after="0" w:line="480" w:lineRule="auto"/>
        <w:jc w:val="both"/>
        <w:rPr>
          <w:rFonts w:cs="Arial"/>
        </w:rPr>
      </w:pPr>
      <w:r w:rsidRPr="00B70C7F">
        <w:rPr>
          <w:b/>
        </w:rPr>
        <w:t>Supplementary Figure S</w:t>
      </w:r>
      <w:r>
        <w:rPr>
          <w:b/>
        </w:rPr>
        <w:t>1</w:t>
      </w:r>
    </w:p>
    <w:p w:rsidR="005F55EE" w:rsidRDefault="005F55EE" w:rsidP="005F55EE">
      <w:pPr>
        <w:spacing w:after="0" w:line="480" w:lineRule="auto"/>
        <w:jc w:val="both"/>
        <w:rPr>
          <w:rFonts w:cs="Arial"/>
        </w:rPr>
      </w:pPr>
      <w:proofErr w:type="gramStart"/>
      <w:r>
        <w:rPr>
          <w:rFonts w:cs="Arial"/>
          <w:b/>
          <w:color w:val="000000" w:themeColor="text1"/>
          <w:kern w:val="24"/>
        </w:rPr>
        <w:t>Correlation between platforms and tumor purity.</w:t>
      </w:r>
      <w:proofErr w:type="gramEnd"/>
      <w:r>
        <w:rPr>
          <w:rFonts w:cs="Arial"/>
          <w:b/>
          <w:color w:val="000000" w:themeColor="text1"/>
          <w:kern w:val="24"/>
        </w:rPr>
        <w:t xml:space="preserve"> </w:t>
      </w:r>
      <w:proofErr w:type="gramStart"/>
      <w:r>
        <w:rPr>
          <w:rFonts w:cs="Arial"/>
          <w:b/>
          <w:color w:val="000000" w:themeColor="text1"/>
          <w:kern w:val="24"/>
        </w:rPr>
        <w:t xml:space="preserve">A, </w:t>
      </w:r>
      <w:r w:rsidRPr="007D7338">
        <w:rPr>
          <w:rFonts w:cs="Arial"/>
          <w:color w:val="000000" w:themeColor="text1"/>
          <w:kern w:val="24"/>
        </w:rPr>
        <w:t xml:space="preserve">Correlation of the </w:t>
      </w:r>
      <w:r>
        <w:rPr>
          <w:rFonts w:cs="Arial"/>
          <w:color w:val="000000" w:themeColor="text1"/>
          <w:kern w:val="24"/>
        </w:rPr>
        <w:t>fold change</w:t>
      </w:r>
      <w:r w:rsidRPr="007D7338">
        <w:rPr>
          <w:rFonts w:cs="Arial"/>
          <w:color w:val="000000" w:themeColor="text1"/>
          <w:kern w:val="24"/>
        </w:rPr>
        <w:t xml:space="preserve"> of ETS-regulated genes in </w:t>
      </w:r>
      <w:proofErr w:type="spellStart"/>
      <w:r w:rsidRPr="007D7338">
        <w:rPr>
          <w:rFonts w:cs="Arial"/>
          <w:color w:val="000000" w:themeColor="text1"/>
          <w:kern w:val="24"/>
        </w:rPr>
        <w:t>PCa</w:t>
      </w:r>
      <w:proofErr w:type="spellEnd"/>
      <w:r w:rsidRPr="007D7338">
        <w:rPr>
          <w:rFonts w:cs="Arial"/>
          <w:color w:val="000000" w:themeColor="text1"/>
          <w:kern w:val="24"/>
        </w:rPr>
        <w:t xml:space="preserve"> </w:t>
      </w:r>
      <w:r>
        <w:rPr>
          <w:rFonts w:cs="Arial"/>
          <w:color w:val="000000" w:themeColor="text1"/>
          <w:kern w:val="24"/>
        </w:rPr>
        <w:t>between</w:t>
      </w:r>
      <w:r w:rsidRPr="007D7338">
        <w:rPr>
          <w:rFonts w:cs="Arial"/>
          <w:color w:val="000000" w:themeColor="text1"/>
          <w:kern w:val="24"/>
        </w:rPr>
        <w:t xml:space="preserve"> the TCGA dataset and the GRID-prospective dataset.</w:t>
      </w:r>
      <w:proofErr w:type="gramEnd"/>
      <w:r w:rsidRPr="007D7338">
        <w:rPr>
          <w:rFonts w:cs="Arial"/>
          <w:color w:val="000000" w:themeColor="text1"/>
          <w:kern w:val="24"/>
        </w:rPr>
        <w:t xml:space="preserve"> </w:t>
      </w:r>
      <w:r w:rsidRPr="007D7338">
        <w:rPr>
          <w:rFonts w:cs="Arial"/>
          <w:b/>
          <w:bCs/>
          <w:color w:val="000000" w:themeColor="text1"/>
          <w:kern w:val="24"/>
        </w:rPr>
        <w:t>C</w:t>
      </w:r>
      <w:r w:rsidRPr="007D7338">
        <w:rPr>
          <w:rFonts w:cs="Arial"/>
          <w:color w:val="000000" w:themeColor="text1"/>
          <w:kern w:val="24"/>
        </w:rPr>
        <w:t xml:space="preserve">, Correlation of the </w:t>
      </w:r>
      <w:r>
        <w:rPr>
          <w:rFonts w:cs="Arial"/>
          <w:color w:val="000000" w:themeColor="text1"/>
          <w:kern w:val="24"/>
        </w:rPr>
        <w:t>fold change</w:t>
      </w:r>
      <w:r w:rsidRPr="007D7338">
        <w:rPr>
          <w:rFonts w:cs="Arial"/>
          <w:color w:val="000000" w:themeColor="text1"/>
          <w:kern w:val="24"/>
        </w:rPr>
        <w:t xml:space="preserve"> of ETS-regulated genes in </w:t>
      </w:r>
      <w:proofErr w:type="spellStart"/>
      <w:r w:rsidRPr="007D7338">
        <w:rPr>
          <w:rFonts w:cs="Arial"/>
          <w:color w:val="000000" w:themeColor="text1"/>
          <w:kern w:val="24"/>
        </w:rPr>
        <w:t>PCa</w:t>
      </w:r>
      <w:proofErr w:type="spellEnd"/>
      <w:r w:rsidRPr="007D7338">
        <w:rPr>
          <w:rFonts w:cs="Arial"/>
          <w:color w:val="000000" w:themeColor="text1"/>
          <w:kern w:val="24"/>
        </w:rPr>
        <w:t xml:space="preserve"> </w:t>
      </w:r>
      <w:r>
        <w:rPr>
          <w:rFonts w:cs="Arial"/>
          <w:color w:val="000000" w:themeColor="text1"/>
          <w:kern w:val="24"/>
        </w:rPr>
        <w:t>between</w:t>
      </w:r>
      <w:r w:rsidRPr="007D7338">
        <w:rPr>
          <w:rFonts w:cs="Arial"/>
          <w:color w:val="000000" w:themeColor="text1"/>
          <w:kern w:val="24"/>
        </w:rPr>
        <w:t xml:space="preserve"> the </w:t>
      </w:r>
      <w:r>
        <w:rPr>
          <w:rFonts w:cs="Arial"/>
          <w:color w:val="000000" w:themeColor="text1"/>
          <w:kern w:val="24"/>
        </w:rPr>
        <w:t>GRID</w:t>
      </w:r>
      <w:r w:rsidRPr="007D7338">
        <w:rPr>
          <w:rFonts w:cs="Arial"/>
          <w:color w:val="000000" w:themeColor="text1"/>
          <w:kern w:val="24"/>
        </w:rPr>
        <w:t xml:space="preserve"> and the GRID-prospective dataset</w:t>
      </w:r>
      <w:r>
        <w:rPr>
          <w:rFonts w:cs="Arial"/>
          <w:color w:val="000000" w:themeColor="text1"/>
          <w:kern w:val="24"/>
        </w:rPr>
        <w:t>s</w:t>
      </w:r>
      <w:r w:rsidRPr="007D7338">
        <w:rPr>
          <w:rFonts w:cs="Arial"/>
          <w:color w:val="000000" w:themeColor="text1"/>
          <w:kern w:val="24"/>
        </w:rPr>
        <w:t>, which used the same microarray platform for expression analysis. The color indicates relative sample density.</w:t>
      </w:r>
      <w:r w:rsidRPr="00B70C7F">
        <w:rPr>
          <w:rFonts w:cs="Arial"/>
        </w:rPr>
        <w:t xml:space="preserve"> </w:t>
      </w:r>
      <w:r>
        <w:rPr>
          <w:rFonts w:cs="Arial"/>
        </w:rPr>
        <w:t xml:space="preserve">There is a small difference in tumor purity between ETS- and ETS+ tumors. </w:t>
      </w:r>
      <w:r w:rsidRPr="00B70C7F">
        <w:rPr>
          <w:rFonts w:cs="Arial"/>
        </w:rPr>
        <w:t>The median difference in tumor purity between ETS- and ETS+ tumors is only</w:t>
      </w:r>
      <w:r>
        <w:rPr>
          <w:rFonts w:cs="Arial"/>
        </w:rPr>
        <w:t xml:space="preserve"> 2.17% for GRID (</w:t>
      </w:r>
      <w:r w:rsidRPr="005B46AC">
        <w:rPr>
          <w:rFonts w:cs="Arial"/>
          <w:b/>
        </w:rPr>
        <w:t>C</w:t>
      </w:r>
      <w:r>
        <w:rPr>
          <w:rFonts w:cs="Arial"/>
        </w:rPr>
        <w:t>)</w:t>
      </w:r>
      <w:r w:rsidRPr="00B70C7F">
        <w:rPr>
          <w:rFonts w:cs="Arial"/>
        </w:rPr>
        <w:t xml:space="preserve"> </w:t>
      </w:r>
      <w:r>
        <w:rPr>
          <w:rFonts w:cs="Arial"/>
        </w:rPr>
        <w:t xml:space="preserve">and </w:t>
      </w:r>
      <w:r w:rsidRPr="00B70C7F">
        <w:rPr>
          <w:rFonts w:cs="Arial"/>
        </w:rPr>
        <w:t>1.7%</w:t>
      </w:r>
      <w:r>
        <w:rPr>
          <w:rFonts w:cs="Arial"/>
        </w:rPr>
        <w:t xml:space="preserve"> for TCGA (</w:t>
      </w:r>
      <w:r w:rsidRPr="005B46AC">
        <w:rPr>
          <w:rFonts w:cs="Arial"/>
          <w:b/>
        </w:rPr>
        <w:t>D</w:t>
      </w:r>
      <w:r>
        <w:rPr>
          <w:rFonts w:cs="Arial"/>
        </w:rPr>
        <w:t>)</w:t>
      </w:r>
      <w:r w:rsidRPr="00B70C7F">
        <w:rPr>
          <w:rFonts w:cs="Arial"/>
        </w:rPr>
        <w:t xml:space="preserve">. </w:t>
      </w:r>
    </w:p>
    <w:p w:rsidR="005F55EE" w:rsidRPr="00B70C7F" w:rsidRDefault="005F55EE" w:rsidP="005F55EE">
      <w:pPr>
        <w:spacing w:after="0" w:line="480" w:lineRule="auto"/>
        <w:jc w:val="both"/>
        <w:rPr>
          <w:rFonts w:cs="Arial"/>
        </w:rPr>
      </w:pPr>
    </w:p>
    <w:p w:rsidR="005F55EE" w:rsidRDefault="005F55EE" w:rsidP="005F55EE">
      <w:pPr>
        <w:spacing w:after="0" w:line="480" w:lineRule="auto"/>
        <w:jc w:val="both"/>
        <w:rPr>
          <w:rFonts w:cs="Arial"/>
          <w:b/>
          <w:sz w:val="24"/>
          <w:szCs w:val="24"/>
        </w:rPr>
      </w:pPr>
      <w:r w:rsidRPr="00B70C7F">
        <w:rPr>
          <w:rFonts w:cs="Arial"/>
          <w:b/>
        </w:rPr>
        <w:t>Supplementary</w:t>
      </w:r>
      <w:r w:rsidRPr="007D7338">
        <w:rPr>
          <w:rFonts w:cs="Arial"/>
          <w:b/>
          <w:sz w:val="24"/>
          <w:szCs w:val="24"/>
        </w:rPr>
        <w:t xml:space="preserve"> Figure </w:t>
      </w:r>
      <w:r>
        <w:rPr>
          <w:rFonts w:cs="Arial"/>
          <w:b/>
          <w:sz w:val="24"/>
          <w:szCs w:val="24"/>
        </w:rPr>
        <w:t>S2</w:t>
      </w:r>
    </w:p>
    <w:p w:rsidR="005F55EE" w:rsidRPr="008C2823" w:rsidRDefault="005F55EE" w:rsidP="005F55EE">
      <w:pPr>
        <w:spacing w:after="0" w:line="480" w:lineRule="auto"/>
        <w:jc w:val="both"/>
        <w:rPr>
          <w:rFonts w:cs="Arial"/>
        </w:rPr>
      </w:pPr>
      <w:proofErr w:type="gramStart"/>
      <w:r w:rsidRPr="008C2823">
        <w:rPr>
          <w:rFonts w:cs="Arial"/>
          <w:b/>
        </w:rPr>
        <w:t>Individual genes from GSEA analysis</w:t>
      </w:r>
      <w:r w:rsidRPr="008C2823">
        <w:rPr>
          <w:rFonts w:cs="Arial"/>
        </w:rPr>
        <w:t>.</w:t>
      </w:r>
      <w:proofErr w:type="gramEnd"/>
      <w:r w:rsidRPr="008C2823">
        <w:rPr>
          <w:rFonts w:cs="Arial"/>
        </w:rPr>
        <w:t xml:space="preserve"> The individual overexpressed genes for each </w:t>
      </w:r>
      <w:r>
        <w:rPr>
          <w:rFonts w:cs="Arial"/>
        </w:rPr>
        <w:t xml:space="preserve">of </w:t>
      </w:r>
      <w:proofErr w:type="spellStart"/>
      <w:r>
        <w:rPr>
          <w:rFonts w:cs="Arial"/>
        </w:rPr>
        <w:t>thje</w:t>
      </w:r>
      <w:proofErr w:type="spellEnd"/>
      <w:r>
        <w:rPr>
          <w:rFonts w:cs="Arial"/>
        </w:rPr>
        <w:t xml:space="preserve"> </w:t>
      </w:r>
      <w:r w:rsidRPr="008C2823">
        <w:rPr>
          <w:rFonts w:cs="Arial"/>
        </w:rPr>
        <w:t xml:space="preserve">Hallmark </w:t>
      </w:r>
      <w:r>
        <w:rPr>
          <w:rFonts w:cs="Arial"/>
        </w:rPr>
        <w:t>G</w:t>
      </w:r>
      <w:r w:rsidRPr="008C2823">
        <w:rPr>
          <w:rFonts w:cs="Arial"/>
        </w:rPr>
        <w:t>ene-</w:t>
      </w:r>
      <w:r>
        <w:rPr>
          <w:rFonts w:cs="Arial"/>
        </w:rPr>
        <w:t>S</w:t>
      </w:r>
      <w:r w:rsidRPr="008C2823">
        <w:rPr>
          <w:rFonts w:cs="Arial"/>
        </w:rPr>
        <w:t xml:space="preserve">ets are shown in </w:t>
      </w:r>
      <w:r w:rsidRPr="008C2823">
        <w:rPr>
          <w:rFonts w:cs="Arial"/>
          <w:b/>
        </w:rPr>
        <w:t>A</w:t>
      </w:r>
      <w:r w:rsidRPr="008C2823">
        <w:rPr>
          <w:rFonts w:cs="Arial"/>
        </w:rPr>
        <w:t xml:space="preserve"> for ETS+ and in </w:t>
      </w:r>
      <w:r w:rsidRPr="008C2823">
        <w:rPr>
          <w:rFonts w:cs="Arial"/>
          <w:b/>
          <w:bCs/>
        </w:rPr>
        <w:t>B</w:t>
      </w:r>
      <w:r w:rsidRPr="008C2823">
        <w:rPr>
          <w:rFonts w:cs="Arial"/>
        </w:rPr>
        <w:t xml:space="preserve"> for ETS-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PCa</w:t>
      </w:r>
      <w:proofErr w:type="spellEnd"/>
      <w:r>
        <w:rPr>
          <w:rFonts w:cs="Arial"/>
        </w:rPr>
        <w:t>.</w:t>
      </w:r>
    </w:p>
    <w:p w:rsidR="005F55EE" w:rsidRDefault="005F55EE" w:rsidP="005F55EE">
      <w:pPr>
        <w:spacing w:after="0" w:line="480" w:lineRule="auto"/>
        <w:jc w:val="both"/>
        <w:rPr>
          <w:rFonts w:cs="Arial"/>
          <w:b/>
        </w:rPr>
      </w:pPr>
    </w:p>
    <w:p w:rsidR="005F55EE" w:rsidRPr="00B70C7F" w:rsidRDefault="005F55EE" w:rsidP="005F55EE">
      <w:pPr>
        <w:spacing w:after="0" w:line="480" w:lineRule="auto"/>
        <w:jc w:val="both"/>
        <w:rPr>
          <w:rFonts w:cs="Arial"/>
        </w:rPr>
      </w:pPr>
      <w:r w:rsidRPr="00B70C7F">
        <w:rPr>
          <w:rFonts w:cs="Arial"/>
          <w:b/>
        </w:rPr>
        <w:t>Supplementary Figure S3</w:t>
      </w:r>
    </w:p>
    <w:p w:rsidR="005F55EE" w:rsidRPr="008C2823" w:rsidRDefault="005F55EE" w:rsidP="005F55EE">
      <w:pPr>
        <w:spacing w:after="0" w:line="480" w:lineRule="auto"/>
        <w:jc w:val="both"/>
        <w:rPr>
          <w:rFonts w:cs="Arial"/>
        </w:rPr>
      </w:pPr>
      <w:proofErr w:type="gramStart"/>
      <w:r w:rsidRPr="00751898">
        <w:rPr>
          <w:rFonts w:cs="Arial"/>
          <w:b/>
        </w:rPr>
        <w:t xml:space="preserve">Validation </w:t>
      </w:r>
      <w:proofErr w:type="spellStart"/>
      <w:r w:rsidRPr="00751898">
        <w:rPr>
          <w:rFonts w:cs="Arial"/>
          <w:b/>
        </w:rPr>
        <w:t>heatmap</w:t>
      </w:r>
      <w:proofErr w:type="spellEnd"/>
      <w:r w:rsidRPr="00751898">
        <w:rPr>
          <w:rFonts w:cs="Arial"/>
          <w:b/>
        </w:rPr>
        <w:t xml:space="preserve"> of 131 ETS-dependent AR-target genes in the GRID-prospective samples.</w:t>
      </w:r>
      <w:proofErr w:type="gramEnd"/>
      <w:r w:rsidRPr="00751898">
        <w:rPr>
          <w:rFonts w:cs="Arial"/>
        </w:rPr>
        <w:t xml:space="preserve"> Each row/gene is normalized to median gene expression from non-adjacent normal tissue. The 4 subtypes of ETS+ and ETS- </w:t>
      </w:r>
      <w:proofErr w:type="spellStart"/>
      <w:r w:rsidRPr="00751898">
        <w:rPr>
          <w:rFonts w:cs="Arial"/>
        </w:rPr>
        <w:t>PCa</w:t>
      </w:r>
      <w:proofErr w:type="spellEnd"/>
      <w:r w:rsidRPr="00751898">
        <w:rPr>
          <w:rFonts w:cs="Arial"/>
        </w:rPr>
        <w:t>, as defined by their expression of ERG, ETV1</w:t>
      </w:r>
      <w:r w:rsidRPr="008C2823">
        <w:rPr>
          <w:rFonts w:cs="Arial"/>
        </w:rPr>
        <w:t xml:space="preserve">, ETV4, FLI1, SPINK1, Triple Negative (ERG-, ETS- and SPINK1-), and “other” (shown beneath the </w:t>
      </w:r>
      <w:proofErr w:type="spellStart"/>
      <w:r w:rsidRPr="008C2823">
        <w:rPr>
          <w:rFonts w:cs="Arial"/>
        </w:rPr>
        <w:t>heatmap</w:t>
      </w:r>
      <w:proofErr w:type="spellEnd"/>
      <w:r w:rsidRPr="008C2823">
        <w:rPr>
          <w:rFonts w:cs="Arial"/>
        </w:rPr>
        <w:t>).</w:t>
      </w:r>
    </w:p>
    <w:p w:rsidR="005F55EE" w:rsidRDefault="005F55EE" w:rsidP="005F55EE">
      <w:pPr>
        <w:spacing w:after="0" w:line="480" w:lineRule="auto"/>
        <w:jc w:val="both"/>
        <w:rPr>
          <w:rFonts w:cs="Arial"/>
          <w:b/>
        </w:rPr>
      </w:pPr>
    </w:p>
    <w:p w:rsidR="005F55EE" w:rsidRPr="008C2823" w:rsidRDefault="005F55EE" w:rsidP="005F55EE">
      <w:pPr>
        <w:spacing w:after="0" w:line="480" w:lineRule="auto"/>
        <w:jc w:val="both"/>
        <w:rPr>
          <w:rFonts w:cs="Arial"/>
          <w:b/>
        </w:rPr>
      </w:pPr>
      <w:r w:rsidRPr="00751898">
        <w:rPr>
          <w:rFonts w:cs="Arial"/>
          <w:b/>
        </w:rPr>
        <w:t>Supplementary</w:t>
      </w:r>
      <w:r w:rsidRPr="008C2823">
        <w:rPr>
          <w:rFonts w:cs="Arial"/>
          <w:b/>
        </w:rPr>
        <w:t xml:space="preserve"> Figure S4</w:t>
      </w:r>
    </w:p>
    <w:p w:rsidR="005F55EE" w:rsidRPr="008C2823" w:rsidRDefault="005F55EE" w:rsidP="005F55EE">
      <w:pPr>
        <w:spacing w:after="0" w:line="480" w:lineRule="auto"/>
        <w:jc w:val="both"/>
        <w:rPr>
          <w:rFonts w:cs="Arial"/>
        </w:rPr>
      </w:pPr>
      <w:proofErr w:type="gramStart"/>
      <w:r w:rsidRPr="008C2823">
        <w:rPr>
          <w:rFonts w:cs="Arial"/>
          <w:b/>
        </w:rPr>
        <w:t>BCR in ETS- tumors</w:t>
      </w:r>
      <w:r w:rsidRPr="008C2823">
        <w:rPr>
          <w:rFonts w:cs="Arial"/>
        </w:rPr>
        <w:t>.</w:t>
      </w:r>
      <w:proofErr w:type="gramEnd"/>
      <w:r w:rsidRPr="008C2823">
        <w:rPr>
          <w:rFonts w:cs="Arial"/>
        </w:rPr>
        <w:t xml:space="preserve"> </w:t>
      </w:r>
      <w:r w:rsidRPr="00751898">
        <w:rPr>
          <w:rFonts w:cs="Arial"/>
        </w:rPr>
        <w:t>Kaplan-Meier curves for Metabolic (A) and non-canonical WNT (B) genes show no significance to BCR in the ETS- cohort.</w:t>
      </w:r>
    </w:p>
    <w:p w:rsidR="005F55EE" w:rsidRDefault="005F55EE" w:rsidP="005F55EE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5F55EE" w:rsidRDefault="005F55EE" w:rsidP="005F55EE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5F55EE" w:rsidRPr="007D7338" w:rsidRDefault="005F55EE" w:rsidP="005F55EE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r w:rsidRPr="00751898">
        <w:rPr>
          <w:b/>
        </w:rPr>
        <w:lastRenderedPageBreak/>
        <w:t>Supplementary Table S1</w:t>
      </w:r>
    </w:p>
    <w:p w:rsidR="005F55EE" w:rsidRPr="00751898" w:rsidRDefault="005F55EE" w:rsidP="005F55EE">
      <w:pPr>
        <w:spacing w:after="0" w:line="480" w:lineRule="auto"/>
        <w:jc w:val="both"/>
      </w:pPr>
      <w:r w:rsidRPr="00751898">
        <w:t>Clinical, demographic, and pathological characteristics - TCGA and GRID cohorts</w:t>
      </w: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proofErr w:type="gramStart"/>
      <w:r w:rsidRPr="00751898">
        <w:rPr>
          <w:b/>
        </w:rPr>
        <w:t>Supplementary Table S2.</w:t>
      </w:r>
      <w:proofErr w:type="gramEnd"/>
    </w:p>
    <w:p w:rsidR="005F55EE" w:rsidRPr="008C2823" w:rsidRDefault="005F55EE" w:rsidP="005F55EE">
      <w:pPr>
        <w:spacing w:after="0" w:line="480" w:lineRule="auto"/>
        <w:jc w:val="both"/>
        <w:rPr>
          <w:rFonts w:cs="Arial"/>
        </w:rPr>
      </w:pPr>
      <w:r w:rsidRPr="008C2823">
        <w:rPr>
          <w:rFonts w:cs="Arial"/>
        </w:rPr>
        <w:t xml:space="preserve">1432 Genes that are significantly differentially expressed between ETS- and ETS+ </w:t>
      </w:r>
      <w:proofErr w:type="spellStart"/>
      <w:r w:rsidRPr="008C2823">
        <w:rPr>
          <w:rFonts w:cs="Arial"/>
        </w:rPr>
        <w:t>PCa</w:t>
      </w:r>
      <w:proofErr w:type="spellEnd"/>
      <w:r w:rsidRPr="008C2823">
        <w:rPr>
          <w:rFonts w:cs="Arial"/>
        </w:rPr>
        <w:t xml:space="preserve"> tumors in the TCGA </w:t>
      </w:r>
      <w:proofErr w:type="gramStart"/>
      <w:r w:rsidRPr="008C2823">
        <w:rPr>
          <w:rFonts w:cs="Arial"/>
        </w:rPr>
        <w:t>dataset .</w:t>
      </w:r>
      <w:proofErr w:type="gramEnd"/>
      <w:r w:rsidRPr="008C2823">
        <w:rPr>
          <w:rFonts w:cs="Arial"/>
        </w:rPr>
        <w:t xml:space="preserve"> </w:t>
      </w: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bookmarkStart w:id="0" w:name="_GoBack"/>
      <w:bookmarkEnd w:id="0"/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proofErr w:type="gramStart"/>
      <w:r w:rsidRPr="00751898">
        <w:rPr>
          <w:b/>
        </w:rPr>
        <w:t>Supplementary Table S3.</w:t>
      </w:r>
      <w:proofErr w:type="gramEnd"/>
    </w:p>
    <w:p w:rsidR="005F55EE" w:rsidRPr="008C2823" w:rsidRDefault="005F55EE" w:rsidP="005F55EE">
      <w:pPr>
        <w:spacing w:after="0" w:line="480" w:lineRule="auto"/>
        <w:jc w:val="both"/>
        <w:rPr>
          <w:rFonts w:cs="Arial"/>
        </w:rPr>
      </w:pPr>
      <w:r w:rsidRPr="008C2823">
        <w:rPr>
          <w:rFonts w:cs="Arial"/>
        </w:rPr>
        <w:t xml:space="preserve">3047 Genes that are significantly differentially expressed between ETS- and ETS+ </w:t>
      </w:r>
      <w:proofErr w:type="spellStart"/>
      <w:r w:rsidRPr="008C2823">
        <w:rPr>
          <w:rFonts w:cs="Arial"/>
        </w:rPr>
        <w:t>PCa</w:t>
      </w:r>
      <w:proofErr w:type="spellEnd"/>
      <w:r w:rsidRPr="008C2823">
        <w:rPr>
          <w:rFonts w:cs="Arial"/>
        </w:rPr>
        <w:t xml:space="preserve"> tumors in GRID dataset.</w:t>
      </w:r>
    </w:p>
    <w:p w:rsidR="005F55EE" w:rsidRDefault="005F55EE" w:rsidP="005F55EE">
      <w:pPr>
        <w:spacing w:after="0" w:line="480" w:lineRule="auto"/>
        <w:jc w:val="both"/>
        <w:rPr>
          <w:b/>
        </w:rPr>
      </w:pP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proofErr w:type="gramStart"/>
      <w:r w:rsidRPr="00751898">
        <w:rPr>
          <w:b/>
        </w:rPr>
        <w:t>Supplementary Table S4.</w:t>
      </w:r>
      <w:proofErr w:type="gramEnd"/>
    </w:p>
    <w:p w:rsidR="005F55EE" w:rsidRPr="00751898" w:rsidRDefault="005F55EE" w:rsidP="005F55EE">
      <w:pPr>
        <w:spacing w:after="0" w:line="480" w:lineRule="auto"/>
        <w:jc w:val="both"/>
      </w:pPr>
      <w:r w:rsidRPr="00751898">
        <w:t xml:space="preserve">ETS dependent genes that are differentially expressed in both the TCGA and GRID datasets. </w:t>
      </w:r>
    </w:p>
    <w:p w:rsidR="005F55EE" w:rsidRDefault="005F55EE" w:rsidP="005F55EE">
      <w:pPr>
        <w:spacing w:after="0" w:line="480" w:lineRule="auto"/>
        <w:jc w:val="both"/>
        <w:rPr>
          <w:b/>
        </w:rPr>
      </w:pPr>
    </w:p>
    <w:p w:rsidR="005F55EE" w:rsidRPr="00751898" w:rsidRDefault="005F55EE" w:rsidP="005F55EE">
      <w:pPr>
        <w:spacing w:after="0" w:line="480" w:lineRule="auto"/>
        <w:jc w:val="both"/>
        <w:rPr>
          <w:b/>
        </w:rPr>
      </w:pPr>
      <w:r w:rsidRPr="00751898">
        <w:rPr>
          <w:b/>
        </w:rPr>
        <w:t>Supplementary Table S5</w:t>
      </w:r>
    </w:p>
    <w:p w:rsidR="005F55EE" w:rsidRPr="00751898" w:rsidRDefault="005F55EE" w:rsidP="005F55EE">
      <w:pPr>
        <w:spacing w:after="0" w:line="480" w:lineRule="auto"/>
        <w:jc w:val="both"/>
      </w:pPr>
      <w:r w:rsidRPr="00751898">
        <w:rPr>
          <w:b/>
        </w:rPr>
        <w:t>Five categories of ETS dependent AR target genes</w:t>
      </w:r>
      <w:r w:rsidRPr="00751898">
        <w:t xml:space="preserve">. Direct AR target genes that are differentially regulated in ETS- and ETS+ </w:t>
      </w:r>
      <w:proofErr w:type="spellStart"/>
      <w:r w:rsidRPr="00751898">
        <w:t>PCa</w:t>
      </w:r>
      <w:proofErr w:type="spellEnd"/>
      <w:r w:rsidRPr="00751898">
        <w:t xml:space="preserve"> tumors </w:t>
      </w:r>
      <w:r>
        <w:t xml:space="preserve">are </w:t>
      </w:r>
      <w:r w:rsidRPr="00751898">
        <w:t xml:space="preserve">enriched for distinct AR-dependent pathways, including metabolic, differentiation, </w:t>
      </w:r>
      <w:proofErr w:type="gramStart"/>
      <w:r w:rsidRPr="00751898">
        <w:t>chemotaxis</w:t>
      </w:r>
      <w:proofErr w:type="gramEnd"/>
      <w:r w:rsidRPr="00751898">
        <w:t xml:space="preserve"> and signal transduction. </w:t>
      </w:r>
    </w:p>
    <w:p w:rsidR="00EA66BD" w:rsidRDefault="00EA66BD"/>
    <w:sectPr w:rsidR="00EA6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EC"/>
    <w:rsid w:val="005F55EE"/>
    <w:rsid w:val="00D926EC"/>
    <w:rsid w:val="00EA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5EE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5EE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Yamoah, Kosj</dc:creator>
  <cp:lastModifiedBy>Yamoah, Kosj</cp:lastModifiedBy>
  <cp:revision>2</cp:revision>
  <dcterms:created xsi:type="dcterms:W3CDTF">2018-08-28T16:42:00Z</dcterms:created>
  <dcterms:modified xsi:type="dcterms:W3CDTF">2018-08-28T16:47:00Z</dcterms:modified>
</cp:coreProperties>
</file>