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1"/>
        <w:tblpPr w:leftFromText="180" w:rightFromText="180" w:vertAnchor="text" w:horzAnchor="page" w:tblpXSpec="center" w:tblpY="2162"/>
        <w:tblW w:w="100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1134"/>
        <w:gridCol w:w="236"/>
        <w:gridCol w:w="567"/>
        <w:gridCol w:w="1134"/>
        <w:gridCol w:w="236"/>
        <w:gridCol w:w="567"/>
        <w:gridCol w:w="1134"/>
        <w:gridCol w:w="236"/>
        <w:gridCol w:w="567"/>
        <w:gridCol w:w="1134"/>
      </w:tblGrid>
      <w:tr w:rsidR="00B42DB1" w:rsidRPr="00180DAF" w:rsidTr="00B42DB1">
        <w:trPr>
          <w:trHeight w:hRule="exact" w:val="227"/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  <w:lang w:val="en-GB"/>
              </w:rPr>
              <w:t>Unadjusted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57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Adjusted</w:t>
            </w:r>
          </w:p>
        </w:tc>
      </w:tr>
      <w:tr w:rsidR="00B42DB1" w:rsidRPr="00180DAF" w:rsidTr="00B42DB1">
        <w:trPr>
          <w:trHeight w:hRule="exact"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Urgency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Frequency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Nocturia</w:t>
            </w:r>
          </w:p>
        </w:tc>
      </w:tr>
      <w:tr w:rsidR="00B42DB1" w:rsidRPr="00180DAF" w:rsidTr="00B42DB1">
        <w:trPr>
          <w:trHeight w:hRule="exact" w:val="227"/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  <w:lang w:val="en-GB"/>
              </w:rPr>
              <w:t>HR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80DAF">
              <w:rPr>
                <w:b/>
                <w:color w:val="000000" w:themeColor="text1"/>
                <w:sz w:val="20"/>
                <w:szCs w:val="20"/>
              </w:rPr>
              <w:t>95% CI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Urgency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  <w:lang w:val="en-GB"/>
              </w:rPr>
              <w:t>1.71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  <w:lang w:val="en-GB"/>
              </w:rPr>
              <w:t>1.36-2.14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1.19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0.94-1.50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8521CD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Frequency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  <w:lang w:val="en-GB"/>
              </w:rPr>
              <w:t>1.95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  <w:lang w:val="en-GB"/>
              </w:rPr>
              <w:t>1.52-2.49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1.42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1.11-1.83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Nocturia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  <w:lang w:val="en-GB"/>
              </w:rPr>
              <w:t>2.31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  <w:lang w:val="en-GB"/>
              </w:rPr>
              <w:t>1.79-2.98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1.38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1.07-1.79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 xml:space="preserve">Age in 1994 (vs. 50 </w:t>
            </w:r>
            <w:proofErr w:type="spellStart"/>
            <w:r w:rsidRPr="00180DAF">
              <w:rPr>
                <w:color w:val="000000" w:themeColor="text1"/>
                <w:sz w:val="20"/>
                <w:szCs w:val="20"/>
              </w:rPr>
              <w:t>yrs</w:t>
            </w:r>
            <w:proofErr w:type="spellEnd"/>
            <w:r w:rsidRPr="00180DA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 xml:space="preserve">60 </w:t>
            </w:r>
            <w:proofErr w:type="spellStart"/>
            <w:r w:rsidRPr="00180DAF">
              <w:rPr>
                <w:color w:val="000000" w:themeColor="text1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1.93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FF0000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1.52-2.47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1.80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1.40-2.32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1.82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1.41-2.34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1.79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1.38-2.30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 xml:space="preserve">70 </w:t>
            </w:r>
            <w:proofErr w:type="spellStart"/>
            <w:r w:rsidRPr="00180DAF">
              <w:rPr>
                <w:color w:val="000000" w:themeColor="text1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7.14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5.67-8.99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6.81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5.23-8.88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6.83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5.25-8.90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6.69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5.13-8.73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Marital status (vs. married)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Single/divorced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1.98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1.60-2.46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2.39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1.91-2.98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2.38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1.90-2.98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2.35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1.88-2.94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Widowed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2.31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1.72-2.46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1.20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0.89-1.63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1.21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0.90-1.64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1.21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0.90-1.64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BMI (vs. ≤25)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25-30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0.58-0.85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0.64-0.94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0.63-0.93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0.63-0.94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&gt;30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0.67-1.09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0.74-1.26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0.72-1.23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0.74-1.25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Current smoking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1.51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1.22-1.86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1.98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1.58-2.49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1.95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1.56-2.45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2.01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1.60-2.52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 xml:space="preserve">Alcohol intake &gt;150 g/week 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0.65-1.09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1.16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0.89-1.52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1.17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0.90-1.54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1.16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0.89-1.53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Diabetes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1.90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1.51-2.38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1.66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1.31-2.11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1.66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1.31-2.10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1.68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1.33-2.13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1.20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1.01-1.43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1.12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0.93-1.34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1.11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0.92-1.34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1.11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0.93-1.34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Cardiac disease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2.58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2.16-3.08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1.54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1.27-1.86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1.52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1.26-1.84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1.54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1.27-1.86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Pulmonary disease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1.78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1.42-2.24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1.35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1.07-1.70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1.33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1.06-1.68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1.34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1.06-1.68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1.96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1.45-2.64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1.43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1.05-1.93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1.42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1.04-1.92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1.43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1.06-1.94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Cancer</w:t>
            </w: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2.37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1.87-3.02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1.77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1.38-2.27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1.76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1.37-2.25</w:t>
            </w:r>
          </w:p>
        </w:tc>
        <w:tc>
          <w:tcPr>
            <w:tcW w:w="236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1.73</w:t>
            </w:r>
          </w:p>
        </w:tc>
        <w:tc>
          <w:tcPr>
            <w:tcW w:w="1134" w:type="dxa"/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1.35-2.22</w:t>
            </w:r>
          </w:p>
        </w:tc>
      </w:tr>
      <w:tr w:rsidR="00B42DB1" w:rsidRPr="00180DAF" w:rsidTr="00B42DB1">
        <w:trPr>
          <w:trHeight w:val="227"/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Neurological disease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2.00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1.43-2.80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1.17-2.33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1.21-2.39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2DB1" w:rsidRPr="00180DAF" w:rsidRDefault="00B42DB1" w:rsidP="00B42D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80DAF">
              <w:rPr>
                <w:color w:val="000000" w:themeColor="text1"/>
                <w:sz w:val="20"/>
                <w:szCs w:val="20"/>
              </w:rPr>
              <w:t>1.18-2.35</w:t>
            </w:r>
          </w:p>
        </w:tc>
      </w:tr>
    </w:tbl>
    <w:p w:rsidR="00B42DB1" w:rsidRDefault="00B42DB1" w:rsidP="00B42DB1">
      <w:pPr>
        <w:spacing w:line="480" w:lineRule="auto"/>
        <w:rPr>
          <w:noProof/>
        </w:rPr>
      </w:pPr>
      <w:bookmarkStart w:id="0" w:name="_GoBack"/>
      <w:bookmarkEnd w:id="0"/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126AE" wp14:editId="20858E65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6057900" cy="11430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DB1" w:rsidRPr="001F4ED3" w:rsidRDefault="006B4299" w:rsidP="00B42DB1">
                            <w:pPr>
                              <w:spacing w:line="480" w:lineRule="auto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Suppl. Tab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le 2</w:t>
                            </w:r>
                            <w:r w:rsidR="00B42DB1" w:rsidRPr="001F4ED3">
                              <w:rPr>
                                <w:b/>
                              </w:rPr>
                              <w:t xml:space="preserve">. </w:t>
                            </w:r>
                            <w:r w:rsidR="00B42DB1" w:rsidRPr="001F4ED3">
                              <w:t>Unadjusted and adjusted association of</w:t>
                            </w:r>
                            <w:r w:rsidR="00B42DB1" w:rsidRPr="001F4ED3">
                              <w:rPr>
                                <w:b/>
                              </w:rPr>
                              <w:t xml:space="preserve"> </w:t>
                            </w:r>
                            <w:r w:rsidR="00B42DB1" w:rsidRPr="001F4ED3">
                              <w:t>LUTS and covariables with all-cause mortality in the follow-up of 21 years – Cox regression analyses with variable values updated every five years (time-dependent analysis).</w:t>
                            </w:r>
                          </w:p>
                          <w:p w:rsidR="00B42DB1" w:rsidRDefault="00B42DB1" w:rsidP="00B42D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126A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18pt;width:477pt;height:90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" filled="f" stroked="f">
                <v:textbox>
                  <w:txbxContent>
                    <w:p w:rsidR="00B42DB1" w:rsidRPr="001F4ED3" w:rsidRDefault="006B4299" w:rsidP="00B42DB1">
                      <w:pPr>
                        <w:spacing w:line="480" w:lineRule="auto"/>
                      </w:pPr>
                      <w:r>
                        <w:rPr>
                          <w:b/>
                          <w:color w:val="000000" w:themeColor="text1"/>
                        </w:rPr>
                        <w:t>Suppl. Tab</w:t>
                      </w:r>
                      <w:r>
                        <w:rPr>
                          <w:b/>
                          <w:color w:val="000000" w:themeColor="text1"/>
                        </w:rPr>
                        <w:t>le 2</w:t>
                      </w:r>
                      <w:r w:rsidR="00B42DB1" w:rsidRPr="001F4ED3">
                        <w:rPr>
                          <w:b/>
                        </w:rPr>
                        <w:t xml:space="preserve">. </w:t>
                      </w:r>
                      <w:r w:rsidR="00B42DB1" w:rsidRPr="001F4ED3">
                        <w:t>Unadjusted and adjusted association of</w:t>
                      </w:r>
                      <w:r w:rsidR="00B42DB1" w:rsidRPr="001F4ED3">
                        <w:rPr>
                          <w:b/>
                        </w:rPr>
                        <w:t xml:space="preserve"> </w:t>
                      </w:r>
                      <w:r w:rsidR="00B42DB1" w:rsidRPr="001F4ED3">
                        <w:t>LUTS and covariables with all-cause mortality in the follow-up of 21 years – Cox regression analyses with variable values updated every five years (time-dependent analysis).</w:t>
                      </w:r>
                    </w:p>
                    <w:p w:rsidR="00B42DB1" w:rsidRDefault="00B42DB1" w:rsidP="00B42DB1"/>
                  </w:txbxContent>
                </v:textbox>
                <w10:wrap type="square" anchorx="margin"/>
              </v:shape>
            </w:pict>
          </mc:Fallback>
        </mc:AlternateContent>
      </w:r>
    </w:p>
    <w:p w:rsidR="0075299F" w:rsidRDefault="006B4299"/>
    <w:sectPr w:rsidR="0075299F" w:rsidSect="00F553AC"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B1"/>
    <w:rsid w:val="00043CD7"/>
    <w:rsid w:val="002216C1"/>
    <w:rsid w:val="00381215"/>
    <w:rsid w:val="005D5960"/>
    <w:rsid w:val="006B4299"/>
    <w:rsid w:val="008A38E8"/>
    <w:rsid w:val="008D6F5A"/>
    <w:rsid w:val="00B42DB1"/>
    <w:rsid w:val="00B64BB3"/>
    <w:rsid w:val="00CB270B"/>
    <w:rsid w:val="00D545D2"/>
    <w:rsid w:val="00F553AC"/>
    <w:rsid w:val="00FC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D572"/>
  <w14:defaultImageDpi w14:val="32767"/>
  <w15:chartTrackingRefBased/>
  <w15:docId w15:val="{7C31BA39-54BB-1949-BA77-7C0B82DF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  <w:rsid w:val="00B42DB1"/>
    <w:pPr>
      <w:suppressAutoHyphens/>
    </w:pPr>
    <w:rPr>
      <w:rFonts w:ascii="Times New Roman" w:eastAsia="MS ??" w:hAnsi="Times New Roman" w:cs="Times New Roman"/>
      <w:lang w:val="en-US" w:eastAsia="ar-S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GridLight1">
    <w:name w:val="Table Grid Light1"/>
    <w:basedOn w:val="Normaalitaulukko"/>
    <w:uiPriority w:val="40"/>
    <w:rsid w:val="00B42DB1"/>
    <w:rPr>
      <w:rFonts w:eastAsiaTheme="minorEastAsia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Jonne Åkerla</dc:creator>
  <cp:keywords/>
  <dc:description/>
  <cp:lastModifiedBy>Jonne Åkerla</cp:lastModifiedBy>
  <cp:revision>2</cp:revision>
  <dcterms:created xsi:type="dcterms:W3CDTF">2018-08-03T20:13:00Z</dcterms:created>
  <dcterms:modified xsi:type="dcterms:W3CDTF">2018-08-25T04:09:00Z</dcterms:modified>
</cp:coreProperties>
</file>