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10F09" w14:textId="2E38FB91" w:rsidR="006C60E8" w:rsidRDefault="006C60E8" w:rsidP="00251861">
      <w:pPr>
        <w:spacing w:line="480" w:lineRule="auto"/>
        <w:jc w:val="both"/>
        <w:rPr>
          <w:rFonts w:ascii="Arial" w:hAnsi="Arial" w:cs="Arial"/>
          <w:b/>
          <w:bCs/>
          <w:color w:val="000000" w:themeColor="text1"/>
        </w:rPr>
      </w:pPr>
      <w:r>
        <w:rPr>
          <w:rFonts w:ascii="Arial" w:hAnsi="Arial" w:cs="Arial"/>
          <w:b/>
          <w:bCs/>
          <w:color w:val="000000" w:themeColor="text1"/>
        </w:rPr>
        <w:t>Supplementary Figures</w:t>
      </w:r>
    </w:p>
    <w:p w14:paraId="07FD97D6" w14:textId="77777777" w:rsidR="006C60E8" w:rsidRDefault="006C60E8" w:rsidP="00251861">
      <w:pPr>
        <w:spacing w:line="480" w:lineRule="auto"/>
        <w:jc w:val="both"/>
        <w:rPr>
          <w:rFonts w:ascii="Arial" w:hAnsi="Arial" w:cs="Arial"/>
          <w:b/>
          <w:bCs/>
          <w:color w:val="000000" w:themeColor="text1"/>
        </w:rPr>
      </w:pPr>
    </w:p>
    <w:p w14:paraId="6EF80677" w14:textId="38E969C8" w:rsidR="006C60E8" w:rsidRPr="006C60E8" w:rsidRDefault="006C60E8" w:rsidP="006C60E8">
      <w:pPr>
        <w:spacing w:line="480" w:lineRule="auto"/>
        <w:jc w:val="both"/>
        <w:rPr>
          <w:rFonts w:ascii="Arial" w:hAnsi="Arial" w:cs="Arial"/>
          <w:bCs/>
          <w:color w:val="000000" w:themeColor="text1"/>
        </w:rPr>
      </w:pPr>
      <w:r w:rsidRPr="006C60E8">
        <w:rPr>
          <w:rFonts w:ascii="Arial" w:hAnsi="Arial" w:cs="Arial"/>
          <w:b/>
          <w:bCs/>
          <w:color w:val="000000" w:themeColor="text1"/>
        </w:rPr>
        <w:t>Suppl. Fig. 1. T-</w:t>
      </w:r>
      <w:r w:rsidRPr="006C60E8">
        <w:rPr>
          <w:rFonts w:ascii="Arial" w:hAnsi="Arial" w:cs="Arial"/>
          <w:b/>
          <w:bCs/>
          <w:color w:val="000000" w:themeColor="text1"/>
        </w:rPr>
        <w:sym w:font="Symbol" w:char="F044"/>
      </w:r>
      <w:r w:rsidRPr="006C60E8">
        <w:rPr>
          <w:rFonts w:ascii="Arial" w:hAnsi="Arial" w:cs="Arial"/>
          <w:b/>
          <w:bCs/>
          <w:color w:val="000000" w:themeColor="text1"/>
        </w:rPr>
        <w:t xml:space="preserve">N2A clones 1 and 2 do not express AR, and express the p63 basal cell marker.  A </w:t>
      </w:r>
      <w:r w:rsidRPr="006C60E8">
        <w:rPr>
          <w:rFonts w:ascii="Arial" w:hAnsi="Arial" w:cs="Arial"/>
          <w:bCs/>
          <w:color w:val="000000" w:themeColor="text1"/>
        </w:rPr>
        <w:t>T-</w:t>
      </w:r>
      <w:r w:rsidRPr="006C60E8">
        <w:rPr>
          <w:rFonts w:ascii="Arial" w:hAnsi="Arial" w:cs="Arial"/>
          <w:bCs/>
          <w:color w:val="000000" w:themeColor="text1"/>
        </w:rPr>
        <w:sym w:font="Symbol" w:char="F044"/>
      </w:r>
      <w:r w:rsidRPr="006C60E8">
        <w:rPr>
          <w:rFonts w:ascii="Arial" w:hAnsi="Arial" w:cs="Arial"/>
          <w:bCs/>
          <w:color w:val="000000" w:themeColor="text1"/>
        </w:rPr>
        <w:t>N2A clones 1 and 2 grown on coverslips dot not express AR. LNCa</w:t>
      </w:r>
      <w:r w:rsidR="00CC0381">
        <w:rPr>
          <w:rFonts w:ascii="Arial" w:hAnsi="Arial" w:cs="Arial"/>
          <w:bCs/>
          <w:color w:val="000000" w:themeColor="text1"/>
        </w:rPr>
        <w:t>P</w:t>
      </w:r>
      <w:r w:rsidRPr="006C60E8">
        <w:rPr>
          <w:rFonts w:ascii="Arial" w:hAnsi="Arial" w:cs="Arial"/>
          <w:bCs/>
          <w:color w:val="000000" w:themeColor="text1"/>
        </w:rPr>
        <w:t xml:space="preserve"> and PC3 PCa cells were used as positive and negative controls, respectively. </w:t>
      </w:r>
      <w:r w:rsidRPr="006C60E8">
        <w:rPr>
          <w:rFonts w:ascii="Arial" w:hAnsi="Arial" w:cs="Arial"/>
          <w:b/>
          <w:bCs/>
          <w:color w:val="000000" w:themeColor="text1"/>
        </w:rPr>
        <w:t>B</w:t>
      </w:r>
      <w:r w:rsidRPr="006C60E8">
        <w:rPr>
          <w:rFonts w:ascii="Arial" w:hAnsi="Arial" w:cs="Arial"/>
          <w:bCs/>
          <w:color w:val="000000" w:themeColor="text1"/>
        </w:rPr>
        <w:t>, Additional characterization of T-</w:t>
      </w:r>
      <w:r w:rsidRPr="006C60E8">
        <w:rPr>
          <w:rFonts w:ascii="Arial" w:hAnsi="Arial" w:cs="Arial"/>
          <w:bCs/>
          <w:color w:val="000000" w:themeColor="text1"/>
        </w:rPr>
        <w:sym w:font="Symbol" w:char="F044"/>
      </w:r>
      <w:r w:rsidRPr="006C60E8">
        <w:rPr>
          <w:rFonts w:ascii="Arial" w:hAnsi="Arial" w:cs="Arial"/>
          <w:bCs/>
          <w:color w:val="000000" w:themeColor="text1"/>
        </w:rPr>
        <w:t>N2A clones 1 and 2 showing pRB and p63 status.</w:t>
      </w:r>
    </w:p>
    <w:p w14:paraId="2AE97365" w14:textId="77777777" w:rsidR="006C60E8" w:rsidRDefault="006C60E8" w:rsidP="00251861">
      <w:pPr>
        <w:spacing w:line="480" w:lineRule="auto"/>
        <w:jc w:val="both"/>
        <w:rPr>
          <w:rFonts w:ascii="Arial" w:hAnsi="Arial" w:cs="Arial"/>
          <w:b/>
          <w:bCs/>
          <w:color w:val="000000" w:themeColor="text1"/>
        </w:rPr>
      </w:pPr>
    </w:p>
    <w:p w14:paraId="24114327" w14:textId="114EBE43" w:rsidR="006C60E8" w:rsidRDefault="006C60E8" w:rsidP="006C60E8">
      <w:pPr>
        <w:spacing w:line="480" w:lineRule="auto"/>
        <w:jc w:val="both"/>
        <w:rPr>
          <w:rFonts w:ascii="Arial" w:hAnsi="Arial" w:cs="Arial"/>
          <w:bCs/>
          <w:color w:val="000000" w:themeColor="text1"/>
        </w:rPr>
      </w:pPr>
      <w:r w:rsidRPr="006C60E8">
        <w:rPr>
          <w:rFonts w:ascii="Arial" w:hAnsi="Arial" w:cs="Arial"/>
          <w:b/>
          <w:bCs/>
          <w:color w:val="000000" w:themeColor="text1"/>
        </w:rPr>
        <w:t>Suppl. Fig. 2. CMA of T-</w:t>
      </w:r>
      <w:r w:rsidRPr="006C60E8">
        <w:rPr>
          <w:rFonts w:ascii="Arial" w:hAnsi="Arial" w:cs="Arial"/>
          <w:b/>
          <w:bCs/>
          <w:color w:val="000000" w:themeColor="text1"/>
        </w:rPr>
        <w:sym w:font="Symbol" w:char="F044"/>
      </w:r>
      <w:r w:rsidRPr="006C60E8">
        <w:rPr>
          <w:rFonts w:ascii="Arial" w:hAnsi="Arial" w:cs="Arial"/>
          <w:b/>
          <w:bCs/>
          <w:color w:val="000000" w:themeColor="text1"/>
        </w:rPr>
        <w:t xml:space="preserve">N2A Clone 1. </w:t>
      </w:r>
      <w:r w:rsidRPr="006C60E8">
        <w:rPr>
          <w:rFonts w:ascii="Arial" w:hAnsi="Arial" w:cs="Arial"/>
          <w:bCs/>
          <w:color w:val="000000" w:themeColor="text1"/>
        </w:rPr>
        <w:t>CMA was performed as described in materials and methods. Blue arrows indicate gain and loses presumably occurring during clone selection.  Green arrows indicate likely polymorphisms, as they are detected in both clones. The CDKN2A deletion is indicated by an orange arrow. r[hg19]: 5q23.2q35.3(121,598,528-180,719,789)x3, 9p21.3(21,976,765-22,005,191)x1, 19p13.3(1-683,931)x1.</w:t>
      </w:r>
    </w:p>
    <w:p w14:paraId="14E5CC10" w14:textId="1F356E63" w:rsidR="006C60E8" w:rsidRDefault="006C60E8" w:rsidP="006C60E8">
      <w:pPr>
        <w:spacing w:line="480" w:lineRule="auto"/>
        <w:jc w:val="both"/>
        <w:rPr>
          <w:rFonts w:ascii="Arial" w:hAnsi="Arial" w:cs="Arial"/>
          <w:bCs/>
          <w:color w:val="000000" w:themeColor="text1"/>
        </w:rPr>
      </w:pPr>
    </w:p>
    <w:p w14:paraId="7DF42E39" w14:textId="74D36805" w:rsidR="006C60E8" w:rsidRDefault="006C60E8" w:rsidP="006C60E8">
      <w:pPr>
        <w:spacing w:line="480" w:lineRule="auto"/>
        <w:jc w:val="both"/>
        <w:rPr>
          <w:rFonts w:ascii="Arial" w:hAnsi="Arial" w:cs="Arial"/>
          <w:bCs/>
          <w:color w:val="000000" w:themeColor="text1"/>
        </w:rPr>
      </w:pPr>
      <w:r w:rsidRPr="006C60E8">
        <w:rPr>
          <w:rFonts w:ascii="Arial" w:hAnsi="Arial" w:cs="Arial"/>
          <w:b/>
          <w:bCs/>
          <w:color w:val="000000" w:themeColor="text1"/>
        </w:rPr>
        <w:t>Suppl. Fig. 3. CMA of T-</w:t>
      </w:r>
      <w:r w:rsidRPr="006C60E8">
        <w:rPr>
          <w:rFonts w:ascii="Arial" w:hAnsi="Arial" w:cs="Arial"/>
          <w:b/>
          <w:bCs/>
          <w:color w:val="000000" w:themeColor="text1"/>
        </w:rPr>
        <w:sym w:font="Symbol" w:char="F044"/>
      </w:r>
      <w:r w:rsidRPr="006C60E8">
        <w:rPr>
          <w:rFonts w:ascii="Arial" w:hAnsi="Arial" w:cs="Arial"/>
          <w:b/>
          <w:bCs/>
          <w:color w:val="000000" w:themeColor="text1"/>
        </w:rPr>
        <w:t xml:space="preserve">N2A Clone 2. </w:t>
      </w:r>
      <w:r w:rsidRPr="006C60E8">
        <w:rPr>
          <w:rFonts w:ascii="Arial" w:hAnsi="Arial" w:cs="Arial"/>
          <w:bCs/>
          <w:color w:val="000000" w:themeColor="text1"/>
        </w:rPr>
        <w:t>CMA was performed as described in materials and methods. Blue arrows indicate gain and loses presumably occurring during clone selection.  Green arrows indicate likely polymorphisms, as they are detected in both clones. The CDKN2A deletion is indicated by an orange arrow. arr[hg19]: (2p)x3, 4q34.3q35.2(181,652,075-190,957,473)x1, 9p21.3(21,976,285-22,006,225)x0, 9q31.1q34.3(105,593,380-141,020,389)x3, (20q)x3</w:t>
      </w:r>
      <w:r>
        <w:rPr>
          <w:rFonts w:ascii="Arial" w:hAnsi="Arial" w:cs="Arial"/>
          <w:bCs/>
          <w:color w:val="000000" w:themeColor="text1"/>
        </w:rPr>
        <w:t>.</w:t>
      </w:r>
    </w:p>
    <w:p w14:paraId="6D4A8B9D" w14:textId="2EE5173D" w:rsidR="006C60E8" w:rsidRDefault="006C60E8" w:rsidP="006C60E8">
      <w:pPr>
        <w:spacing w:line="480" w:lineRule="auto"/>
        <w:jc w:val="both"/>
        <w:rPr>
          <w:rFonts w:ascii="Arial" w:hAnsi="Arial" w:cs="Arial"/>
          <w:bCs/>
          <w:color w:val="000000" w:themeColor="text1"/>
        </w:rPr>
      </w:pPr>
    </w:p>
    <w:p w14:paraId="50C627F4" w14:textId="44A17C3B" w:rsidR="006C60E8" w:rsidRPr="006C60E8" w:rsidRDefault="006C60E8" w:rsidP="006C60E8">
      <w:pPr>
        <w:spacing w:line="480" w:lineRule="auto"/>
        <w:jc w:val="both"/>
        <w:rPr>
          <w:rFonts w:ascii="Arial" w:hAnsi="Arial" w:cs="Arial"/>
          <w:bCs/>
          <w:color w:val="000000" w:themeColor="text1"/>
        </w:rPr>
      </w:pPr>
      <w:r w:rsidRPr="006C60E8">
        <w:rPr>
          <w:rFonts w:ascii="Arial" w:hAnsi="Arial" w:cs="Arial"/>
          <w:b/>
          <w:bCs/>
          <w:color w:val="000000" w:themeColor="text1"/>
        </w:rPr>
        <w:t xml:space="preserve">Suppl. Fig 4.  </w:t>
      </w:r>
      <w:r w:rsidRPr="006C60E8">
        <w:rPr>
          <w:rFonts w:ascii="Arial" w:hAnsi="Arial" w:cs="Arial"/>
          <w:bCs/>
          <w:color w:val="000000" w:themeColor="text1"/>
        </w:rPr>
        <w:t xml:space="preserve">Fluorescence in situ hybridization (FISH) analysis of multiple subclones from Clone 1 of human prostate epithelial cells (hPrEC) that originally exhibited a mosaic </w:t>
      </w:r>
      <w:r w:rsidRPr="006C60E8">
        <w:rPr>
          <w:rFonts w:ascii="Arial" w:hAnsi="Arial" w:cs="Arial"/>
          <w:bCs/>
          <w:color w:val="000000" w:themeColor="text1"/>
        </w:rPr>
        <w:lastRenderedPageBreak/>
        <w:t xml:space="preserve">karyotype, 46,XY,der(19)t(5;19)(q23.2;p13.3)[7]/46,XY[4]. Since Clone 1 had a significant proportion of karyotypically normal cells, a chromosome 5q32 </w:t>
      </w:r>
      <w:r w:rsidRPr="006C60E8">
        <w:rPr>
          <w:rFonts w:ascii="Arial" w:hAnsi="Arial" w:cs="Arial"/>
          <w:bCs/>
          <w:i/>
          <w:iCs/>
          <w:color w:val="000000" w:themeColor="text1"/>
        </w:rPr>
        <w:t>PDGFRB</w:t>
      </w:r>
      <w:r w:rsidRPr="006C60E8">
        <w:rPr>
          <w:rFonts w:ascii="Arial" w:hAnsi="Arial" w:cs="Arial"/>
          <w:bCs/>
          <w:color w:val="000000" w:themeColor="text1"/>
        </w:rPr>
        <w:t xml:space="preserve"> break apart FISH probe was used to screen 11 subclones of Clone 1 to identify a karyotypically normal subclone. </w:t>
      </w:r>
      <w:r w:rsidRPr="006C60E8">
        <w:rPr>
          <w:rFonts w:ascii="Arial" w:hAnsi="Arial" w:cs="Arial"/>
          <w:b/>
          <w:bCs/>
          <w:color w:val="000000" w:themeColor="text1"/>
        </w:rPr>
        <w:t>A</w:t>
      </w:r>
      <w:r w:rsidRPr="006C60E8">
        <w:rPr>
          <w:rFonts w:ascii="Arial" w:hAnsi="Arial" w:cs="Arial"/>
          <w:bCs/>
          <w:color w:val="000000" w:themeColor="text1"/>
        </w:rPr>
        <w:t xml:space="preserve">, Gallery of 18 nuclei from representative subclone (#11), each showing 3 fused orange-green signals, indicating three copies of the </w:t>
      </w:r>
      <w:r w:rsidRPr="006C60E8">
        <w:rPr>
          <w:rFonts w:ascii="Arial" w:hAnsi="Arial" w:cs="Arial"/>
          <w:bCs/>
          <w:i/>
          <w:iCs/>
          <w:color w:val="000000" w:themeColor="text1"/>
        </w:rPr>
        <w:t>PDGFRB</w:t>
      </w:r>
      <w:r w:rsidRPr="006C60E8">
        <w:rPr>
          <w:rFonts w:ascii="Arial" w:hAnsi="Arial" w:cs="Arial"/>
          <w:bCs/>
          <w:color w:val="000000" w:themeColor="text1"/>
        </w:rPr>
        <w:t xml:space="preserve"> locus at 5q32.  </w:t>
      </w:r>
      <w:r w:rsidRPr="006C60E8">
        <w:rPr>
          <w:rFonts w:ascii="Arial" w:hAnsi="Arial" w:cs="Arial"/>
          <w:b/>
          <w:bCs/>
          <w:color w:val="000000" w:themeColor="text1"/>
        </w:rPr>
        <w:t>B</w:t>
      </w:r>
      <w:r w:rsidRPr="006C60E8">
        <w:rPr>
          <w:rFonts w:ascii="Arial" w:hAnsi="Arial" w:cs="Arial"/>
          <w:bCs/>
          <w:color w:val="000000" w:themeColor="text1"/>
        </w:rPr>
        <w:t xml:space="preserve">, </w:t>
      </w:r>
      <w:r w:rsidR="00513036" w:rsidRPr="006C60E8">
        <w:rPr>
          <w:rFonts w:ascii="Arial" w:hAnsi="Arial" w:cs="Arial"/>
          <w:bCs/>
          <w:color w:val="000000" w:themeColor="text1"/>
        </w:rPr>
        <w:t>Three representative nuclei from each of 10 of the 11 subclones screened by FISH</w:t>
      </w:r>
      <w:r w:rsidRPr="006C60E8">
        <w:rPr>
          <w:rFonts w:ascii="Arial" w:hAnsi="Arial" w:cs="Arial"/>
          <w:bCs/>
          <w:color w:val="000000" w:themeColor="text1"/>
        </w:rPr>
        <w:t xml:space="preserve">, along with a summary showing a high percentage of nuclei with three copies of </w:t>
      </w:r>
      <w:r w:rsidRPr="006C60E8">
        <w:rPr>
          <w:rFonts w:ascii="Arial" w:hAnsi="Arial" w:cs="Arial"/>
          <w:bCs/>
          <w:i/>
          <w:iCs/>
          <w:color w:val="000000" w:themeColor="text1"/>
        </w:rPr>
        <w:t>PDGFRB</w:t>
      </w:r>
      <w:r w:rsidRPr="006C60E8">
        <w:rPr>
          <w:rFonts w:ascii="Arial" w:hAnsi="Arial" w:cs="Arial"/>
          <w:bCs/>
          <w:color w:val="000000" w:themeColor="text1"/>
        </w:rPr>
        <w:t xml:space="preserve"> in each subclone (200 nuclei scored per subclone).  Note: to more readily count FISH signals, DAPI staining is not superimposed here, and instead a blue line encircles the area encompassed by each nucleus.</w:t>
      </w:r>
    </w:p>
    <w:p w14:paraId="25B957BA" w14:textId="7EDE132A" w:rsidR="006C60E8" w:rsidRDefault="006C60E8" w:rsidP="006C60E8">
      <w:pPr>
        <w:spacing w:line="480" w:lineRule="auto"/>
        <w:jc w:val="both"/>
        <w:rPr>
          <w:rFonts w:ascii="Arial" w:hAnsi="Arial" w:cs="Arial"/>
          <w:bCs/>
          <w:color w:val="000000" w:themeColor="text1"/>
        </w:rPr>
      </w:pPr>
    </w:p>
    <w:p w14:paraId="796C81CD" w14:textId="06211706" w:rsidR="006002B7" w:rsidRPr="003A0891" w:rsidRDefault="006C60E8" w:rsidP="003A0891">
      <w:pPr>
        <w:spacing w:line="480" w:lineRule="auto"/>
        <w:jc w:val="both"/>
        <w:rPr>
          <w:rFonts w:ascii="Arial" w:hAnsi="Arial" w:cs="Arial"/>
          <w:bCs/>
          <w:color w:val="000000" w:themeColor="text1"/>
        </w:rPr>
      </w:pPr>
      <w:r w:rsidRPr="006C60E8">
        <w:rPr>
          <w:rFonts w:ascii="Arial" w:hAnsi="Arial" w:cs="Arial"/>
          <w:b/>
          <w:bCs/>
          <w:color w:val="000000" w:themeColor="text1"/>
        </w:rPr>
        <w:t xml:space="preserve">Suppl. Fig. 5. The immortalized human prostate epithelial cell lines have intact p53 pathway and normal contact inhibition. </w:t>
      </w:r>
      <w:r w:rsidRPr="006C60E8">
        <w:rPr>
          <w:rFonts w:ascii="Arial" w:hAnsi="Arial" w:cs="Arial"/>
          <w:bCs/>
          <w:color w:val="000000" w:themeColor="text1"/>
        </w:rPr>
        <w:t>Upregulation of p53 in immortalized hPrEC-</w:t>
      </w:r>
      <w:r w:rsidRPr="006C60E8">
        <w:rPr>
          <w:rFonts w:ascii="Arial" w:hAnsi="Arial" w:cs="Arial"/>
          <w:bCs/>
          <w:i/>
          <w:iCs/>
          <w:color w:val="000000" w:themeColor="text1"/>
        </w:rPr>
        <w:t>T-</w:t>
      </w:r>
      <w:r w:rsidRPr="006C60E8">
        <w:rPr>
          <w:rFonts w:ascii="Arial" w:hAnsi="Arial" w:cs="Arial"/>
          <w:bCs/>
          <w:i/>
          <w:iCs/>
          <w:color w:val="000000" w:themeColor="text1"/>
        </w:rPr>
        <w:sym w:font="Symbol" w:char="F044"/>
      </w:r>
      <w:r w:rsidRPr="006C60E8">
        <w:rPr>
          <w:rFonts w:ascii="Arial" w:hAnsi="Arial" w:cs="Arial"/>
          <w:bCs/>
          <w:i/>
          <w:iCs/>
          <w:color w:val="000000" w:themeColor="text1"/>
        </w:rPr>
        <w:t xml:space="preserve">N2A </w:t>
      </w:r>
      <w:r w:rsidRPr="006C60E8">
        <w:rPr>
          <w:rFonts w:ascii="Arial" w:hAnsi="Arial" w:cs="Arial"/>
          <w:bCs/>
          <w:color w:val="000000" w:themeColor="text1"/>
        </w:rPr>
        <w:t xml:space="preserve">clones upon flavopiridol treatment. </w:t>
      </w:r>
      <w:bookmarkStart w:id="0" w:name="_GoBack"/>
      <w:bookmarkEnd w:id="0"/>
    </w:p>
    <w:sectPr w:rsidR="006002B7" w:rsidRPr="003A0891" w:rsidSect="00350F74">
      <w:footerReference w:type="even" r:id="rId6"/>
      <w:footerReference w:type="default" r:id="rId7"/>
      <w:pgSz w:w="12240" w:h="15840"/>
      <w:pgMar w:top="1440" w:right="1440" w:bottom="1440" w:left="1440" w:header="720" w:footer="720" w:gutter="0"/>
      <w:lnNumType w:countBy="1" w:restart="continuou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188B5" w16cex:dateUtc="2020-07-21T19:31:00Z"/>
  <w16cex:commentExtensible w16cex:durableId="22C2EA0D" w16cex:dateUtc="2020-07-22T20:38:00Z"/>
  <w16cex:commentExtensible w16cex:durableId="22C99611" w16cex:dateUtc="2020-07-27T22:0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72D1B" w14:textId="77777777" w:rsidR="00A605AC" w:rsidRDefault="00A605AC" w:rsidP="004D795F">
      <w:r>
        <w:separator/>
      </w:r>
    </w:p>
  </w:endnote>
  <w:endnote w:type="continuationSeparator" w:id="0">
    <w:p w14:paraId="1F9FE50A" w14:textId="77777777" w:rsidR="00A605AC" w:rsidRDefault="00A605AC" w:rsidP="004D7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49886566"/>
      <w:docPartObj>
        <w:docPartGallery w:val="Page Numbers (Bottom of Page)"/>
        <w:docPartUnique/>
      </w:docPartObj>
    </w:sdtPr>
    <w:sdtEndPr>
      <w:rPr>
        <w:rStyle w:val="PageNumber"/>
      </w:rPr>
    </w:sdtEndPr>
    <w:sdtContent>
      <w:p w14:paraId="6F5379F2" w14:textId="18773D95" w:rsidR="00840E05" w:rsidRDefault="00840E05" w:rsidP="007877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3C2491" w14:textId="77777777" w:rsidR="00840E05" w:rsidRDefault="00840E05">
    <w:pPr>
      <w:pStyle w:val="Footer"/>
      <w:ind w:right="360"/>
      <w:pPrChange w:id="1" w:author="Xavier Graña" w:date="2020-03-24T10:15:00Z">
        <w:pPr>
          <w:pStyle w:val="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08803266"/>
      <w:docPartObj>
        <w:docPartGallery w:val="Page Numbers (Bottom of Page)"/>
        <w:docPartUnique/>
      </w:docPartObj>
    </w:sdtPr>
    <w:sdtEndPr>
      <w:rPr>
        <w:rStyle w:val="PageNumber"/>
      </w:rPr>
    </w:sdtEndPr>
    <w:sdtContent>
      <w:p w14:paraId="157D6957" w14:textId="016EA297" w:rsidR="00840E05" w:rsidRDefault="00840E05" w:rsidP="007877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sdtContent>
  </w:sdt>
  <w:p w14:paraId="27D79BB6" w14:textId="77777777" w:rsidR="00840E05" w:rsidRDefault="00840E05" w:rsidP="003249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E053A" w14:textId="77777777" w:rsidR="00A605AC" w:rsidRDefault="00A605AC" w:rsidP="004D795F">
      <w:r>
        <w:separator/>
      </w:r>
    </w:p>
  </w:footnote>
  <w:footnote w:type="continuationSeparator" w:id="0">
    <w:p w14:paraId="1D41F6D4" w14:textId="77777777" w:rsidR="00A605AC" w:rsidRDefault="00A605AC" w:rsidP="004D79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rostate Cancer Prost Di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744049"/>
    <w:rsid w:val="00001A66"/>
    <w:rsid w:val="000048BC"/>
    <w:rsid w:val="00006081"/>
    <w:rsid w:val="00014487"/>
    <w:rsid w:val="00021F78"/>
    <w:rsid w:val="00022B0A"/>
    <w:rsid w:val="00022BDA"/>
    <w:rsid w:val="00032F75"/>
    <w:rsid w:val="00043015"/>
    <w:rsid w:val="00044672"/>
    <w:rsid w:val="00057FB3"/>
    <w:rsid w:val="000623ED"/>
    <w:rsid w:val="00064ACF"/>
    <w:rsid w:val="00066D95"/>
    <w:rsid w:val="00076E39"/>
    <w:rsid w:val="000A41E7"/>
    <w:rsid w:val="000B6B04"/>
    <w:rsid w:val="000C74E6"/>
    <w:rsid w:val="000D75A0"/>
    <w:rsid w:val="000E2328"/>
    <w:rsid w:val="000E2B75"/>
    <w:rsid w:val="000E65CD"/>
    <w:rsid w:val="000F19A4"/>
    <w:rsid w:val="000F6CCF"/>
    <w:rsid w:val="0010030C"/>
    <w:rsid w:val="00101403"/>
    <w:rsid w:val="001151D4"/>
    <w:rsid w:val="0012054E"/>
    <w:rsid w:val="0013339E"/>
    <w:rsid w:val="001343A9"/>
    <w:rsid w:val="001462A4"/>
    <w:rsid w:val="00166E42"/>
    <w:rsid w:val="00167412"/>
    <w:rsid w:val="00173862"/>
    <w:rsid w:val="00184D9F"/>
    <w:rsid w:val="00187E3C"/>
    <w:rsid w:val="001A03AC"/>
    <w:rsid w:val="001B1161"/>
    <w:rsid w:val="001B5285"/>
    <w:rsid w:val="001B7352"/>
    <w:rsid w:val="001C2583"/>
    <w:rsid w:val="001C5071"/>
    <w:rsid w:val="001E0E18"/>
    <w:rsid w:val="001F70E6"/>
    <w:rsid w:val="0020051E"/>
    <w:rsid w:val="002046CA"/>
    <w:rsid w:val="00213FCC"/>
    <w:rsid w:val="002166D5"/>
    <w:rsid w:val="00217E21"/>
    <w:rsid w:val="00221228"/>
    <w:rsid w:val="00221635"/>
    <w:rsid w:val="002219E3"/>
    <w:rsid w:val="0022548C"/>
    <w:rsid w:val="00232F15"/>
    <w:rsid w:val="00233022"/>
    <w:rsid w:val="00240558"/>
    <w:rsid w:val="00247867"/>
    <w:rsid w:val="00251861"/>
    <w:rsid w:val="00252DB8"/>
    <w:rsid w:val="00252EA4"/>
    <w:rsid w:val="00264F0F"/>
    <w:rsid w:val="00267E97"/>
    <w:rsid w:val="002734ED"/>
    <w:rsid w:val="00274AFC"/>
    <w:rsid w:val="00276411"/>
    <w:rsid w:val="002768A2"/>
    <w:rsid w:val="00277321"/>
    <w:rsid w:val="00284BA9"/>
    <w:rsid w:val="00293317"/>
    <w:rsid w:val="002A5786"/>
    <w:rsid w:val="002B3274"/>
    <w:rsid w:val="002D37B9"/>
    <w:rsid w:val="002E27DD"/>
    <w:rsid w:val="002E75CB"/>
    <w:rsid w:val="002F3A1E"/>
    <w:rsid w:val="00303045"/>
    <w:rsid w:val="003031EB"/>
    <w:rsid w:val="00304142"/>
    <w:rsid w:val="0030507C"/>
    <w:rsid w:val="00305CFF"/>
    <w:rsid w:val="003135C4"/>
    <w:rsid w:val="003141F1"/>
    <w:rsid w:val="003153B1"/>
    <w:rsid w:val="00321494"/>
    <w:rsid w:val="003249EE"/>
    <w:rsid w:val="003334BE"/>
    <w:rsid w:val="00342FA8"/>
    <w:rsid w:val="00345ECC"/>
    <w:rsid w:val="00350F74"/>
    <w:rsid w:val="00362451"/>
    <w:rsid w:val="00367873"/>
    <w:rsid w:val="00370F17"/>
    <w:rsid w:val="003768B9"/>
    <w:rsid w:val="0038535B"/>
    <w:rsid w:val="00391ECC"/>
    <w:rsid w:val="0039697B"/>
    <w:rsid w:val="003A0217"/>
    <w:rsid w:val="003A0891"/>
    <w:rsid w:val="003A168D"/>
    <w:rsid w:val="003A477D"/>
    <w:rsid w:val="003B1DD2"/>
    <w:rsid w:val="003B4D10"/>
    <w:rsid w:val="003B7C08"/>
    <w:rsid w:val="003E1D1F"/>
    <w:rsid w:val="003E73EF"/>
    <w:rsid w:val="003F34B9"/>
    <w:rsid w:val="003F54E4"/>
    <w:rsid w:val="0040298B"/>
    <w:rsid w:val="00404E9A"/>
    <w:rsid w:val="00405D91"/>
    <w:rsid w:val="0041585B"/>
    <w:rsid w:val="00420FF2"/>
    <w:rsid w:val="00421730"/>
    <w:rsid w:val="00423CE2"/>
    <w:rsid w:val="00431232"/>
    <w:rsid w:val="00436D12"/>
    <w:rsid w:val="0044085D"/>
    <w:rsid w:val="0044605D"/>
    <w:rsid w:val="00446CA3"/>
    <w:rsid w:val="00450A51"/>
    <w:rsid w:val="00457D82"/>
    <w:rsid w:val="00460729"/>
    <w:rsid w:val="00460BD4"/>
    <w:rsid w:val="00465046"/>
    <w:rsid w:val="0046545B"/>
    <w:rsid w:val="0046651C"/>
    <w:rsid w:val="00466B74"/>
    <w:rsid w:val="00482B3C"/>
    <w:rsid w:val="004849E3"/>
    <w:rsid w:val="00491A07"/>
    <w:rsid w:val="00492868"/>
    <w:rsid w:val="004A5A71"/>
    <w:rsid w:val="004A5ED6"/>
    <w:rsid w:val="004B32CB"/>
    <w:rsid w:val="004B35C6"/>
    <w:rsid w:val="004B45F2"/>
    <w:rsid w:val="004D2C63"/>
    <w:rsid w:val="004D3254"/>
    <w:rsid w:val="004D68A1"/>
    <w:rsid w:val="004D71D1"/>
    <w:rsid w:val="004D795F"/>
    <w:rsid w:val="004E4C38"/>
    <w:rsid w:val="004E7AF7"/>
    <w:rsid w:val="004F3F58"/>
    <w:rsid w:val="004F5A4E"/>
    <w:rsid w:val="005013DF"/>
    <w:rsid w:val="0050489B"/>
    <w:rsid w:val="005053D5"/>
    <w:rsid w:val="00510E08"/>
    <w:rsid w:val="0051187E"/>
    <w:rsid w:val="00513036"/>
    <w:rsid w:val="005155FF"/>
    <w:rsid w:val="00524409"/>
    <w:rsid w:val="00531702"/>
    <w:rsid w:val="0053440E"/>
    <w:rsid w:val="00550EF3"/>
    <w:rsid w:val="00557990"/>
    <w:rsid w:val="00567313"/>
    <w:rsid w:val="0058064E"/>
    <w:rsid w:val="0058562A"/>
    <w:rsid w:val="0058659E"/>
    <w:rsid w:val="00593A57"/>
    <w:rsid w:val="005A2CA9"/>
    <w:rsid w:val="005A3512"/>
    <w:rsid w:val="005A4648"/>
    <w:rsid w:val="005A625B"/>
    <w:rsid w:val="005B0ED5"/>
    <w:rsid w:val="005B297D"/>
    <w:rsid w:val="005C3B4A"/>
    <w:rsid w:val="005D4E7D"/>
    <w:rsid w:val="005D4F2B"/>
    <w:rsid w:val="005E45F9"/>
    <w:rsid w:val="005E6A2B"/>
    <w:rsid w:val="005F7DFF"/>
    <w:rsid w:val="006002B7"/>
    <w:rsid w:val="00600C34"/>
    <w:rsid w:val="00601353"/>
    <w:rsid w:val="00604AC7"/>
    <w:rsid w:val="006060D9"/>
    <w:rsid w:val="006063C6"/>
    <w:rsid w:val="0061066A"/>
    <w:rsid w:val="006109CF"/>
    <w:rsid w:val="00611B6D"/>
    <w:rsid w:val="00611E9D"/>
    <w:rsid w:val="00615196"/>
    <w:rsid w:val="00617B21"/>
    <w:rsid w:val="00620CDC"/>
    <w:rsid w:val="006341E5"/>
    <w:rsid w:val="00636ABA"/>
    <w:rsid w:val="006432C0"/>
    <w:rsid w:val="00653A2D"/>
    <w:rsid w:val="00657B32"/>
    <w:rsid w:val="00667379"/>
    <w:rsid w:val="00667D99"/>
    <w:rsid w:val="00673B16"/>
    <w:rsid w:val="00675ACC"/>
    <w:rsid w:val="00676745"/>
    <w:rsid w:val="00685708"/>
    <w:rsid w:val="00695E54"/>
    <w:rsid w:val="006A2C80"/>
    <w:rsid w:val="006A4FE5"/>
    <w:rsid w:val="006B391B"/>
    <w:rsid w:val="006C60E8"/>
    <w:rsid w:val="006C6BA1"/>
    <w:rsid w:val="006C7C8E"/>
    <w:rsid w:val="006D7019"/>
    <w:rsid w:val="006E5B82"/>
    <w:rsid w:val="006F7301"/>
    <w:rsid w:val="00701A50"/>
    <w:rsid w:val="007164F3"/>
    <w:rsid w:val="00725A7F"/>
    <w:rsid w:val="00730F4E"/>
    <w:rsid w:val="0073421F"/>
    <w:rsid w:val="00744049"/>
    <w:rsid w:val="007511CB"/>
    <w:rsid w:val="007511F1"/>
    <w:rsid w:val="0075350E"/>
    <w:rsid w:val="00754397"/>
    <w:rsid w:val="0075477D"/>
    <w:rsid w:val="00755444"/>
    <w:rsid w:val="007612F7"/>
    <w:rsid w:val="007711CE"/>
    <w:rsid w:val="00781241"/>
    <w:rsid w:val="007867EC"/>
    <w:rsid w:val="007877C5"/>
    <w:rsid w:val="00787B7E"/>
    <w:rsid w:val="00792050"/>
    <w:rsid w:val="00792376"/>
    <w:rsid w:val="00797420"/>
    <w:rsid w:val="007A0793"/>
    <w:rsid w:val="007A0F1D"/>
    <w:rsid w:val="007A3A1E"/>
    <w:rsid w:val="007B459A"/>
    <w:rsid w:val="007B7999"/>
    <w:rsid w:val="007C3E77"/>
    <w:rsid w:val="007F1318"/>
    <w:rsid w:val="007F61C2"/>
    <w:rsid w:val="00800E00"/>
    <w:rsid w:val="0080530B"/>
    <w:rsid w:val="0081131E"/>
    <w:rsid w:val="00815B5C"/>
    <w:rsid w:val="00822223"/>
    <w:rsid w:val="008251F3"/>
    <w:rsid w:val="00826BA5"/>
    <w:rsid w:val="00830159"/>
    <w:rsid w:val="00835329"/>
    <w:rsid w:val="00840E05"/>
    <w:rsid w:val="00846549"/>
    <w:rsid w:val="00850567"/>
    <w:rsid w:val="008513A0"/>
    <w:rsid w:val="00853721"/>
    <w:rsid w:val="00860654"/>
    <w:rsid w:val="0086091F"/>
    <w:rsid w:val="00870DE4"/>
    <w:rsid w:val="008716E7"/>
    <w:rsid w:val="008909B7"/>
    <w:rsid w:val="00896075"/>
    <w:rsid w:val="00897C0D"/>
    <w:rsid w:val="008A37A6"/>
    <w:rsid w:val="008A6F88"/>
    <w:rsid w:val="008C7671"/>
    <w:rsid w:val="008D2E48"/>
    <w:rsid w:val="008D38C0"/>
    <w:rsid w:val="008E3964"/>
    <w:rsid w:val="008E7FC4"/>
    <w:rsid w:val="008F606C"/>
    <w:rsid w:val="00903781"/>
    <w:rsid w:val="00904DA5"/>
    <w:rsid w:val="00912F50"/>
    <w:rsid w:val="009131D7"/>
    <w:rsid w:val="00914C8E"/>
    <w:rsid w:val="00921D67"/>
    <w:rsid w:val="00940E36"/>
    <w:rsid w:val="009434D1"/>
    <w:rsid w:val="00944CA1"/>
    <w:rsid w:val="009558D7"/>
    <w:rsid w:val="0096534F"/>
    <w:rsid w:val="009663AD"/>
    <w:rsid w:val="00970325"/>
    <w:rsid w:val="009728BD"/>
    <w:rsid w:val="00980C78"/>
    <w:rsid w:val="00981B34"/>
    <w:rsid w:val="00985448"/>
    <w:rsid w:val="00991CAB"/>
    <w:rsid w:val="009A080D"/>
    <w:rsid w:val="009A111C"/>
    <w:rsid w:val="009A2531"/>
    <w:rsid w:val="009A7E1D"/>
    <w:rsid w:val="009C5481"/>
    <w:rsid w:val="009C57BC"/>
    <w:rsid w:val="009C7D16"/>
    <w:rsid w:val="009E409D"/>
    <w:rsid w:val="009F1B9E"/>
    <w:rsid w:val="009F2ED4"/>
    <w:rsid w:val="009F6D0A"/>
    <w:rsid w:val="00A01748"/>
    <w:rsid w:val="00A01C64"/>
    <w:rsid w:val="00A022F3"/>
    <w:rsid w:val="00A04A68"/>
    <w:rsid w:val="00A06F60"/>
    <w:rsid w:val="00A07DF5"/>
    <w:rsid w:val="00A12EA6"/>
    <w:rsid w:val="00A13AB8"/>
    <w:rsid w:val="00A253CC"/>
    <w:rsid w:val="00A27330"/>
    <w:rsid w:val="00A326EF"/>
    <w:rsid w:val="00A457D0"/>
    <w:rsid w:val="00A46505"/>
    <w:rsid w:val="00A529B7"/>
    <w:rsid w:val="00A54786"/>
    <w:rsid w:val="00A55227"/>
    <w:rsid w:val="00A605AC"/>
    <w:rsid w:val="00A60C98"/>
    <w:rsid w:val="00A64A97"/>
    <w:rsid w:val="00A71FC0"/>
    <w:rsid w:val="00A81FF2"/>
    <w:rsid w:val="00A83F5D"/>
    <w:rsid w:val="00A87A30"/>
    <w:rsid w:val="00A9024D"/>
    <w:rsid w:val="00A91281"/>
    <w:rsid w:val="00AA2642"/>
    <w:rsid w:val="00AA475B"/>
    <w:rsid w:val="00AA6656"/>
    <w:rsid w:val="00AB04BB"/>
    <w:rsid w:val="00AB2FB5"/>
    <w:rsid w:val="00AB328E"/>
    <w:rsid w:val="00AC0F8F"/>
    <w:rsid w:val="00AD2E7D"/>
    <w:rsid w:val="00AD5D99"/>
    <w:rsid w:val="00AE1B62"/>
    <w:rsid w:val="00AE504A"/>
    <w:rsid w:val="00B114CE"/>
    <w:rsid w:val="00B15B86"/>
    <w:rsid w:val="00B3726E"/>
    <w:rsid w:val="00B37DC1"/>
    <w:rsid w:val="00B40524"/>
    <w:rsid w:val="00B4193D"/>
    <w:rsid w:val="00B43630"/>
    <w:rsid w:val="00B56238"/>
    <w:rsid w:val="00B56875"/>
    <w:rsid w:val="00B578E2"/>
    <w:rsid w:val="00B57AEE"/>
    <w:rsid w:val="00B60C47"/>
    <w:rsid w:val="00B65850"/>
    <w:rsid w:val="00B714DF"/>
    <w:rsid w:val="00B7409E"/>
    <w:rsid w:val="00B92DF3"/>
    <w:rsid w:val="00B972E6"/>
    <w:rsid w:val="00BA4413"/>
    <w:rsid w:val="00BA5AFC"/>
    <w:rsid w:val="00BB61CC"/>
    <w:rsid w:val="00BB7684"/>
    <w:rsid w:val="00BC6FF9"/>
    <w:rsid w:val="00BC71EB"/>
    <w:rsid w:val="00BD36C0"/>
    <w:rsid w:val="00BD4E06"/>
    <w:rsid w:val="00BD5081"/>
    <w:rsid w:val="00BD69FA"/>
    <w:rsid w:val="00BD72AD"/>
    <w:rsid w:val="00BE2E12"/>
    <w:rsid w:val="00BE53C9"/>
    <w:rsid w:val="00BE5A83"/>
    <w:rsid w:val="00BE632E"/>
    <w:rsid w:val="00BE72C1"/>
    <w:rsid w:val="00BE730D"/>
    <w:rsid w:val="00BE78BF"/>
    <w:rsid w:val="00BF79F6"/>
    <w:rsid w:val="00C10C7B"/>
    <w:rsid w:val="00C12D06"/>
    <w:rsid w:val="00C12DAD"/>
    <w:rsid w:val="00C345F3"/>
    <w:rsid w:val="00C35299"/>
    <w:rsid w:val="00C3688E"/>
    <w:rsid w:val="00C625B3"/>
    <w:rsid w:val="00C6356E"/>
    <w:rsid w:val="00C7188D"/>
    <w:rsid w:val="00C74093"/>
    <w:rsid w:val="00C8313F"/>
    <w:rsid w:val="00C86B19"/>
    <w:rsid w:val="00C94393"/>
    <w:rsid w:val="00CA023B"/>
    <w:rsid w:val="00CA0A27"/>
    <w:rsid w:val="00CB47DF"/>
    <w:rsid w:val="00CB740A"/>
    <w:rsid w:val="00CC0381"/>
    <w:rsid w:val="00CC4319"/>
    <w:rsid w:val="00CC5E32"/>
    <w:rsid w:val="00CD05F8"/>
    <w:rsid w:val="00CD601C"/>
    <w:rsid w:val="00CE1767"/>
    <w:rsid w:val="00CE2346"/>
    <w:rsid w:val="00D20719"/>
    <w:rsid w:val="00D31737"/>
    <w:rsid w:val="00D336A5"/>
    <w:rsid w:val="00D34C8A"/>
    <w:rsid w:val="00D360EA"/>
    <w:rsid w:val="00D364ED"/>
    <w:rsid w:val="00D4201D"/>
    <w:rsid w:val="00D51FC8"/>
    <w:rsid w:val="00D52B78"/>
    <w:rsid w:val="00D63154"/>
    <w:rsid w:val="00D63BA7"/>
    <w:rsid w:val="00D63EF8"/>
    <w:rsid w:val="00D746D2"/>
    <w:rsid w:val="00D81517"/>
    <w:rsid w:val="00D84FB3"/>
    <w:rsid w:val="00D870C4"/>
    <w:rsid w:val="00D9394A"/>
    <w:rsid w:val="00DA4CA1"/>
    <w:rsid w:val="00DA61AA"/>
    <w:rsid w:val="00DA747E"/>
    <w:rsid w:val="00DB6CC9"/>
    <w:rsid w:val="00DC3C20"/>
    <w:rsid w:val="00DD0A82"/>
    <w:rsid w:val="00DD102A"/>
    <w:rsid w:val="00DE249F"/>
    <w:rsid w:val="00DF1ECA"/>
    <w:rsid w:val="00DF1EDF"/>
    <w:rsid w:val="00DF71FB"/>
    <w:rsid w:val="00E10DE6"/>
    <w:rsid w:val="00E1335F"/>
    <w:rsid w:val="00E2633B"/>
    <w:rsid w:val="00E42437"/>
    <w:rsid w:val="00E45931"/>
    <w:rsid w:val="00E5753E"/>
    <w:rsid w:val="00E619AF"/>
    <w:rsid w:val="00E679BF"/>
    <w:rsid w:val="00E67BC9"/>
    <w:rsid w:val="00E7030A"/>
    <w:rsid w:val="00E713B7"/>
    <w:rsid w:val="00E743CE"/>
    <w:rsid w:val="00E800B4"/>
    <w:rsid w:val="00E820FD"/>
    <w:rsid w:val="00E90565"/>
    <w:rsid w:val="00E92E81"/>
    <w:rsid w:val="00EB220A"/>
    <w:rsid w:val="00EB4952"/>
    <w:rsid w:val="00EB6D24"/>
    <w:rsid w:val="00EC0081"/>
    <w:rsid w:val="00EC5C8E"/>
    <w:rsid w:val="00ED6866"/>
    <w:rsid w:val="00EF046C"/>
    <w:rsid w:val="00EF5E05"/>
    <w:rsid w:val="00F02187"/>
    <w:rsid w:val="00F11ED3"/>
    <w:rsid w:val="00F13607"/>
    <w:rsid w:val="00F13AB5"/>
    <w:rsid w:val="00F2530B"/>
    <w:rsid w:val="00F26EB4"/>
    <w:rsid w:val="00F33AE0"/>
    <w:rsid w:val="00F61FFD"/>
    <w:rsid w:val="00F7058F"/>
    <w:rsid w:val="00F73B04"/>
    <w:rsid w:val="00F74160"/>
    <w:rsid w:val="00F75856"/>
    <w:rsid w:val="00F805F8"/>
    <w:rsid w:val="00F86826"/>
    <w:rsid w:val="00F87DFA"/>
    <w:rsid w:val="00F9309B"/>
    <w:rsid w:val="00FA0220"/>
    <w:rsid w:val="00FA161D"/>
    <w:rsid w:val="00FA47A1"/>
    <w:rsid w:val="00FA6830"/>
    <w:rsid w:val="00FA7546"/>
    <w:rsid w:val="00FB2637"/>
    <w:rsid w:val="00FB7965"/>
    <w:rsid w:val="00FC0651"/>
    <w:rsid w:val="00FF3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D0610"/>
  <w15:chartTrackingRefBased/>
  <w15:docId w15:val="{41D751FF-A248-7248-8BA3-4F35FCCE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1EDF"/>
    <w:rPr>
      <w:rFonts w:ascii="Times New Roman" w:eastAsia="Times New Roman" w:hAnsi="Times New Roman" w:cs="Times New Roman"/>
    </w:rPr>
  </w:style>
  <w:style w:type="paragraph" w:styleId="Heading1">
    <w:name w:val="heading 1"/>
    <w:basedOn w:val="Normal"/>
    <w:next w:val="Normal"/>
    <w:link w:val="Heading1Char"/>
    <w:uiPriority w:val="9"/>
    <w:qFormat/>
    <w:rsid w:val="00744049"/>
    <w:pPr>
      <w:overflowPunct w:val="0"/>
      <w:autoSpaceDE w:val="0"/>
      <w:autoSpaceDN w:val="0"/>
      <w:adjustRightInd w:val="0"/>
      <w:spacing w:after="480" w:line="480" w:lineRule="auto"/>
      <w:jc w:val="center"/>
      <w:textAlignment w:val="baseline"/>
      <w:outlineLvl w:val="0"/>
    </w:pPr>
    <w:rPr>
      <w:rFonts w:eastAsia="SimSun"/>
      <w:b/>
      <w:caps/>
      <w:szCs w:val="20"/>
    </w:rPr>
  </w:style>
  <w:style w:type="paragraph" w:styleId="Heading2">
    <w:name w:val="heading 2"/>
    <w:basedOn w:val="Normal"/>
    <w:next w:val="Normal"/>
    <w:link w:val="Heading2Char"/>
    <w:uiPriority w:val="9"/>
    <w:qFormat/>
    <w:rsid w:val="00744049"/>
    <w:pPr>
      <w:overflowPunct w:val="0"/>
      <w:autoSpaceDE w:val="0"/>
      <w:autoSpaceDN w:val="0"/>
      <w:adjustRightInd w:val="0"/>
      <w:spacing w:after="240" w:line="480" w:lineRule="auto"/>
      <w:textAlignment w:val="baseline"/>
      <w:outlineLvl w:val="1"/>
    </w:pPr>
    <w:rPr>
      <w:rFonts w:ascii="Times New Roman Bold" w:eastAsia="SimSun" w:hAnsi="Times New Roman Bold"/>
      <w:b/>
      <w:szCs w:val="20"/>
    </w:rPr>
  </w:style>
  <w:style w:type="paragraph" w:styleId="Heading3">
    <w:name w:val="heading 3"/>
    <w:basedOn w:val="Normal"/>
    <w:next w:val="Normal"/>
    <w:link w:val="Heading3Char"/>
    <w:uiPriority w:val="9"/>
    <w:qFormat/>
    <w:rsid w:val="00744049"/>
    <w:pPr>
      <w:keepNext/>
      <w:overflowPunct w:val="0"/>
      <w:autoSpaceDE w:val="0"/>
      <w:autoSpaceDN w:val="0"/>
      <w:adjustRightInd w:val="0"/>
      <w:spacing w:before="240" w:after="240" w:line="480" w:lineRule="auto"/>
      <w:ind w:left="720"/>
      <w:textAlignment w:val="baseline"/>
      <w:outlineLvl w:val="2"/>
    </w:pPr>
    <w:rPr>
      <w:rFonts w:eastAsia="SimSu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049"/>
    <w:rPr>
      <w:rFonts w:ascii="Times New Roman" w:eastAsia="SimSun" w:hAnsi="Times New Roman" w:cs="Times New Roman"/>
      <w:b/>
      <w:caps/>
      <w:szCs w:val="20"/>
    </w:rPr>
  </w:style>
  <w:style w:type="character" w:customStyle="1" w:styleId="Heading2Char">
    <w:name w:val="Heading 2 Char"/>
    <w:basedOn w:val="DefaultParagraphFont"/>
    <w:link w:val="Heading2"/>
    <w:uiPriority w:val="9"/>
    <w:rsid w:val="00744049"/>
    <w:rPr>
      <w:rFonts w:ascii="Times New Roman Bold" w:eastAsia="SimSun" w:hAnsi="Times New Roman Bold" w:cs="Times New Roman"/>
      <w:b/>
      <w:szCs w:val="20"/>
    </w:rPr>
  </w:style>
  <w:style w:type="character" w:customStyle="1" w:styleId="Heading3Char">
    <w:name w:val="Heading 3 Char"/>
    <w:basedOn w:val="DefaultParagraphFont"/>
    <w:link w:val="Heading3"/>
    <w:uiPriority w:val="9"/>
    <w:rsid w:val="00744049"/>
    <w:rPr>
      <w:rFonts w:ascii="Times New Roman" w:eastAsia="SimSun" w:hAnsi="Times New Roman" w:cs="Times New Roman"/>
      <w:b/>
      <w:szCs w:val="20"/>
    </w:rPr>
  </w:style>
  <w:style w:type="paragraph" w:styleId="NormalWeb">
    <w:name w:val="Normal (Web)"/>
    <w:basedOn w:val="Normal"/>
    <w:uiPriority w:val="99"/>
    <w:unhideWhenUsed/>
    <w:rsid w:val="00744049"/>
    <w:pPr>
      <w:spacing w:before="100" w:beforeAutospacing="1" w:after="100" w:afterAutospacing="1"/>
    </w:pPr>
    <w:rPr>
      <w:lang w:eastAsia="zh-CN"/>
    </w:rPr>
  </w:style>
  <w:style w:type="character" w:styleId="Hyperlink">
    <w:name w:val="Hyperlink"/>
    <w:basedOn w:val="DefaultParagraphFont"/>
    <w:uiPriority w:val="99"/>
    <w:unhideWhenUsed/>
    <w:rsid w:val="003B7C08"/>
    <w:rPr>
      <w:color w:val="0563C1" w:themeColor="hyperlink"/>
      <w:u w:val="single"/>
    </w:rPr>
  </w:style>
  <w:style w:type="character" w:customStyle="1" w:styleId="UnresolvedMention1">
    <w:name w:val="Unresolved Mention1"/>
    <w:basedOn w:val="DefaultParagraphFont"/>
    <w:uiPriority w:val="99"/>
    <w:rsid w:val="00781241"/>
    <w:rPr>
      <w:color w:val="605E5C"/>
      <w:shd w:val="clear" w:color="auto" w:fill="E1DFDD"/>
    </w:rPr>
  </w:style>
  <w:style w:type="paragraph" w:customStyle="1" w:styleId="EndNoteBibliographyTitle">
    <w:name w:val="EndNote Bibliography Title"/>
    <w:basedOn w:val="Normal"/>
    <w:link w:val="EndNoteBibliographyTitleChar"/>
    <w:rsid w:val="004D68A1"/>
    <w:pPr>
      <w:overflowPunct w:val="0"/>
      <w:autoSpaceDE w:val="0"/>
      <w:autoSpaceDN w:val="0"/>
      <w:adjustRightInd w:val="0"/>
      <w:spacing w:line="480" w:lineRule="atLeast"/>
      <w:ind w:firstLine="720"/>
      <w:jc w:val="center"/>
      <w:textAlignment w:val="baseline"/>
    </w:pPr>
    <w:rPr>
      <w:rFonts w:eastAsia="SimSun"/>
      <w:szCs w:val="20"/>
    </w:rPr>
  </w:style>
  <w:style w:type="character" w:customStyle="1" w:styleId="EndNoteBibliographyTitleChar">
    <w:name w:val="EndNote Bibliography Title Char"/>
    <w:basedOn w:val="DefaultParagraphFont"/>
    <w:link w:val="EndNoteBibliographyTitle"/>
    <w:rsid w:val="004D68A1"/>
    <w:rPr>
      <w:rFonts w:ascii="Times New Roman" w:eastAsia="SimSun" w:hAnsi="Times New Roman" w:cs="Times New Roman"/>
      <w:szCs w:val="20"/>
    </w:rPr>
  </w:style>
  <w:style w:type="paragraph" w:customStyle="1" w:styleId="EndNoteBibliography">
    <w:name w:val="EndNote Bibliography"/>
    <w:basedOn w:val="Normal"/>
    <w:link w:val="EndNoteBibliographyChar"/>
    <w:rsid w:val="004D68A1"/>
    <w:pPr>
      <w:overflowPunct w:val="0"/>
      <w:autoSpaceDE w:val="0"/>
      <w:autoSpaceDN w:val="0"/>
      <w:adjustRightInd w:val="0"/>
      <w:spacing w:line="240" w:lineRule="atLeast"/>
      <w:ind w:firstLine="720"/>
      <w:textAlignment w:val="baseline"/>
    </w:pPr>
    <w:rPr>
      <w:rFonts w:eastAsia="SimSun"/>
      <w:szCs w:val="20"/>
    </w:rPr>
  </w:style>
  <w:style w:type="character" w:customStyle="1" w:styleId="EndNoteBibliographyChar">
    <w:name w:val="EndNote Bibliography Char"/>
    <w:basedOn w:val="DefaultParagraphFont"/>
    <w:link w:val="EndNoteBibliography"/>
    <w:rsid w:val="004D68A1"/>
    <w:rPr>
      <w:rFonts w:ascii="Times New Roman" w:eastAsia="SimSun" w:hAnsi="Times New Roman" w:cs="Times New Roman"/>
      <w:szCs w:val="20"/>
    </w:rPr>
  </w:style>
  <w:style w:type="character" w:styleId="CommentReference">
    <w:name w:val="annotation reference"/>
    <w:basedOn w:val="DefaultParagraphFont"/>
    <w:uiPriority w:val="99"/>
    <w:semiHidden/>
    <w:unhideWhenUsed/>
    <w:rsid w:val="00022B0A"/>
    <w:rPr>
      <w:sz w:val="16"/>
      <w:szCs w:val="16"/>
    </w:rPr>
  </w:style>
  <w:style w:type="paragraph" w:styleId="CommentText">
    <w:name w:val="annotation text"/>
    <w:basedOn w:val="Normal"/>
    <w:link w:val="CommentTextChar"/>
    <w:uiPriority w:val="99"/>
    <w:semiHidden/>
    <w:unhideWhenUsed/>
    <w:rsid w:val="00022B0A"/>
    <w:pPr>
      <w:overflowPunct w:val="0"/>
      <w:autoSpaceDE w:val="0"/>
      <w:autoSpaceDN w:val="0"/>
      <w:adjustRightInd w:val="0"/>
      <w:ind w:firstLine="720"/>
      <w:textAlignment w:val="baseline"/>
    </w:pPr>
    <w:rPr>
      <w:rFonts w:eastAsia="SimSun"/>
      <w:sz w:val="20"/>
      <w:szCs w:val="20"/>
    </w:rPr>
  </w:style>
  <w:style w:type="character" w:customStyle="1" w:styleId="CommentTextChar">
    <w:name w:val="Comment Text Char"/>
    <w:basedOn w:val="DefaultParagraphFont"/>
    <w:link w:val="CommentText"/>
    <w:uiPriority w:val="99"/>
    <w:semiHidden/>
    <w:rsid w:val="00022B0A"/>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2B0A"/>
    <w:rPr>
      <w:b/>
      <w:bCs/>
    </w:rPr>
  </w:style>
  <w:style w:type="character" w:customStyle="1" w:styleId="CommentSubjectChar">
    <w:name w:val="Comment Subject Char"/>
    <w:basedOn w:val="CommentTextChar"/>
    <w:link w:val="CommentSubject"/>
    <w:uiPriority w:val="99"/>
    <w:semiHidden/>
    <w:rsid w:val="00022B0A"/>
    <w:rPr>
      <w:rFonts w:ascii="Times New Roman" w:eastAsia="SimSun" w:hAnsi="Times New Roman" w:cs="Times New Roman"/>
      <w:b/>
      <w:bCs/>
      <w:sz w:val="20"/>
      <w:szCs w:val="20"/>
    </w:rPr>
  </w:style>
  <w:style w:type="paragraph" w:styleId="BalloonText">
    <w:name w:val="Balloon Text"/>
    <w:basedOn w:val="Normal"/>
    <w:link w:val="BalloonTextChar"/>
    <w:uiPriority w:val="99"/>
    <w:semiHidden/>
    <w:unhideWhenUsed/>
    <w:rsid w:val="00022B0A"/>
    <w:pPr>
      <w:overflowPunct w:val="0"/>
      <w:autoSpaceDE w:val="0"/>
      <w:autoSpaceDN w:val="0"/>
      <w:adjustRightInd w:val="0"/>
      <w:ind w:firstLine="720"/>
      <w:textAlignment w:val="baseline"/>
    </w:pPr>
    <w:rPr>
      <w:rFonts w:eastAsia="SimSun"/>
      <w:sz w:val="18"/>
      <w:szCs w:val="18"/>
    </w:rPr>
  </w:style>
  <w:style w:type="character" w:customStyle="1" w:styleId="BalloonTextChar">
    <w:name w:val="Balloon Text Char"/>
    <w:basedOn w:val="DefaultParagraphFont"/>
    <w:link w:val="BalloonText"/>
    <w:uiPriority w:val="99"/>
    <w:semiHidden/>
    <w:rsid w:val="00022B0A"/>
    <w:rPr>
      <w:rFonts w:ascii="Times New Roman" w:eastAsia="SimSun" w:hAnsi="Times New Roman" w:cs="Times New Roman"/>
      <w:sz w:val="18"/>
      <w:szCs w:val="18"/>
    </w:rPr>
  </w:style>
  <w:style w:type="paragraph" w:styleId="Footer">
    <w:name w:val="footer"/>
    <w:basedOn w:val="Normal"/>
    <w:link w:val="FooterChar"/>
    <w:uiPriority w:val="99"/>
    <w:unhideWhenUsed/>
    <w:rsid w:val="004D795F"/>
    <w:pPr>
      <w:tabs>
        <w:tab w:val="center" w:pos="4680"/>
        <w:tab w:val="right" w:pos="9360"/>
      </w:tabs>
    </w:pPr>
  </w:style>
  <w:style w:type="character" w:customStyle="1" w:styleId="FooterChar">
    <w:name w:val="Footer Char"/>
    <w:basedOn w:val="DefaultParagraphFont"/>
    <w:link w:val="Footer"/>
    <w:uiPriority w:val="99"/>
    <w:rsid w:val="004D795F"/>
    <w:rPr>
      <w:rFonts w:ascii="Times New Roman" w:eastAsia="Times New Roman" w:hAnsi="Times New Roman" w:cs="Times New Roman"/>
    </w:rPr>
  </w:style>
  <w:style w:type="character" w:styleId="PageNumber">
    <w:name w:val="page number"/>
    <w:basedOn w:val="DefaultParagraphFont"/>
    <w:uiPriority w:val="99"/>
    <w:semiHidden/>
    <w:unhideWhenUsed/>
    <w:rsid w:val="004D795F"/>
  </w:style>
  <w:style w:type="paragraph" w:styleId="Revision">
    <w:name w:val="Revision"/>
    <w:hidden/>
    <w:uiPriority w:val="99"/>
    <w:semiHidden/>
    <w:rsid w:val="004D795F"/>
    <w:rPr>
      <w:rFonts w:ascii="Times New Roman" w:eastAsia="Times New Roman" w:hAnsi="Times New Roman" w:cs="Times New Roman"/>
    </w:rPr>
  </w:style>
  <w:style w:type="paragraph" w:styleId="Header">
    <w:name w:val="header"/>
    <w:basedOn w:val="Normal"/>
    <w:link w:val="HeaderChar"/>
    <w:uiPriority w:val="99"/>
    <w:unhideWhenUsed/>
    <w:rsid w:val="004D795F"/>
    <w:pPr>
      <w:tabs>
        <w:tab w:val="center" w:pos="4680"/>
        <w:tab w:val="right" w:pos="9360"/>
      </w:tabs>
    </w:pPr>
  </w:style>
  <w:style w:type="character" w:customStyle="1" w:styleId="HeaderChar">
    <w:name w:val="Header Char"/>
    <w:basedOn w:val="DefaultParagraphFont"/>
    <w:link w:val="Header"/>
    <w:uiPriority w:val="99"/>
    <w:rsid w:val="004D795F"/>
    <w:rPr>
      <w:rFonts w:ascii="Times New Roman" w:eastAsia="Times New Roman" w:hAnsi="Times New Roman" w:cs="Times New Roman"/>
    </w:rPr>
  </w:style>
  <w:style w:type="character" w:styleId="PlaceholderText">
    <w:name w:val="Placeholder Text"/>
    <w:basedOn w:val="DefaultParagraphFont"/>
    <w:uiPriority w:val="99"/>
    <w:semiHidden/>
    <w:rsid w:val="005A2CA9"/>
    <w:rPr>
      <w:color w:val="808080"/>
    </w:rPr>
  </w:style>
  <w:style w:type="paragraph" w:customStyle="1" w:styleId="NormalRight-013">
    <w:name w:val="Normal + Right:  -0.13&quot;"/>
    <w:aliases w:val="Line spacing:  1.5 lines"/>
    <w:basedOn w:val="Normal"/>
    <w:rsid w:val="00792376"/>
    <w:pPr>
      <w:autoSpaceDE w:val="0"/>
      <w:autoSpaceDN w:val="0"/>
      <w:adjustRightInd w:val="0"/>
      <w:spacing w:line="360" w:lineRule="auto"/>
      <w:ind w:right="-180"/>
    </w:pPr>
    <w:rPr>
      <w:rFonts w:ascii="Times" w:eastAsia="Times" w:hAnsi="Times" w:cs="Times"/>
      <w:lang w:eastAsia="zh-CN"/>
    </w:rPr>
  </w:style>
  <w:style w:type="character" w:styleId="LineNumber">
    <w:name w:val="line number"/>
    <w:basedOn w:val="DefaultParagraphFont"/>
    <w:uiPriority w:val="99"/>
    <w:semiHidden/>
    <w:unhideWhenUsed/>
    <w:rsid w:val="00350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639">
      <w:bodyDiv w:val="1"/>
      <w:marLeft w:val="0"/>
      <w:marRight w:val="0"/>
      <w:marTop w:val="0"/>
      <w:marBottom w:val="0"/>
      <w:divBdr>
        <w:top w:val="none" w:sz="0" w:space="0" w:color="auto"/>
        <w:left w:val="none" w:sz="0" w:space="0" w:color="auto"/>
        <w:bottom w:val="none" w:sz="0" w:space="0" w:color="auto"/>
        <w:right w:val="none" w:sz="0" w:space="0" w:color="auto"/>
      </w:divBdr>
    </w:div>
    <w:div w:id="14044502">
      <w:bodyDiv w:val="1"/>
      <w:marLeft w:val="0"/>
      <w:marRight w:val="0"/>
      <w:marTop w:val="0"/>
      <w:marBottom w:val="0"/>
      <w:divBdr>
        <w:top w:val="none" w:sz="0" w:space="0" w:color="auto"/>
        <w:left w:val="none" w:sz="0" w:space="0" w:color="auto"/>
        <w:bottom w:val="none" w:sz="0" w:space="0" w:color="auto"/>
        <w:right w:val="none" w:sz="0" w:space="0" w:color="auto"/>
      </w:divBdr>
    </w:div>
    <w:div w:id="92168430">
      <w:bodyDiv w:val="1"/>
      <w:marLeft w:val="0"/>
      <w:marRight w:val="0"/>
      <w:marTop w:val="0"/>
      <w:marBottom w:val="0"/>
      <w:divBdr>
        <w:top w:val="none" w:sz="0" w:space="0" w:color="auto"/>
        <w:left w:val="none" w:sz="0" w:space="0" w:color="auto"/>
        <w:bottom w:val="none" w:sz="0" w:space="0" w:color="auto"/>
        <w:right w:val="none" w:sz="0" w:space="0" w:color="auto"/>
      </w:divBdr>
    </w:div>
    <w:div w:id="114912305">
      <w:bodyDiv w:val="1"/>
      <w:marLeft w:val="0"/>
      <w:marRight w:val="0"/>
      <w:marTop w:val="0"/>
      <w:marBottom w:val="0"/>
      <w:divBdr>
        <w:top w:val="none" w:sz="0" w:space="0" w:color="auto"/>
        <w:left w:val="none" w:sz="0" w:space="0" w:color="auto"/>
        <w:bottom w:val="none" w:sz="0" w:space="0" w:color="auto"/>
        <w:right w:val="none" w:sz="0" w:space="0" w:color="auto"/>
      </w:divBdr>
    </w:div>
    <w:div w:id="316568172">
      <w:bodyDiv w:val="1"/>
      <w:marLeft w:val="0"/>
      <w:marRight w:val="0"/>
      <w:marTop w:val="0"/>
      <w:marBottom w:val="0"/>
      <w:divBdr>
        <w:top w:val="none" w:sz="0" w:space="0" w:color="auto"/>
        <w:left w:val="none" w:sz="0" w:space="0" w:color="auto"/>
        <w:bottom w:val="none" w:sz="0" w:space="0" w:color="auto"/>
        <w:right w:val="none" w:sz="0" w:space="0" w:color="auto"/>
      </w:divBdr>
    </w:div>
    <w:div w:id="469513971">
      <w:bodyDiv w:val="1"/>
      <w:marLeft w:val="0"/>
      <w:marRight w:val="0"/>
      <w:marTop w:val="0"/>
      <w:marBottom w:val="0"/>
      <w:divBdr>
        <w:top w:val="none" w:sz="0" w:space="0" w:color="auto"/>
        <w:left w:val="none" w:sz="0" w:space="0" w:color="auto"/>
        <w:bottom w:val="none" w:sz="0" w:space="0" w:color="auto"/>
        <w:right w:val="none" w:sz="0" w:space="0" w:color="auto"/>
      </w:divBdr>
    </w:div>
    <w:div w:id="518206728">
      <w:bodyDiv w:val="1"/>
      <w:marLeft w:val="0"/>
      <w:marRight w:val="0"/>
      <w:marTop w:val="0"/>
      <w:marBottom w:val="0"/>
      <w:divBdr>
        <w:top w:val="none" w:sz="0" w:space="0" w:color="auto"/>
        <w:left w:val="none" w:sz="0" w:space="0" w:color="auto"/>
        <w:bottom w:val="none" w:sz="0" w:space="0" w:color="auto"/>
        <w:right w:val="none" w:sz="0" w:space="0" w:color="auto"/>
      </w:divBdr>
    </w:div>
    <w:div w:id="526068847">
      <w:bodyDiv w:val="1"/>
      <w:marLeft w:val="0"/>
      <w:marRight w:val="0"/>
      <w:marTop w:val="0"/>
      <w:marBottom w:val="0"/>
      <w:divBdr>
        <w:top w:val="none" w:sz="0" w:space="0" w:color="auto"/>
        <w:left w:val="none" w:sz="0" w:space="0" w:color="auto"/>
        <w:bottom w:val="none" w:sz="0" w:space="0" w:color="auto"/>
        <w:right w:val="none" w:sz="0" w:space="0" w:color="auto"/>
      </w:divBdr>
    </w:div>
    <w:div w:id="530070391">
      <w:bodyDiv w:val="1"/>
      <w:marLeft w:val="0"/>
      <w:marRight w:val="0"/>
      <w:marTop w:val="0"/>
      <w:marBottom w:val="0"/>
      <w:divBdr>
        <w:top w:val="none" w:sz="0" w:space="0" w:color="auto"/>
        <w:left w:val="none" w:sz="0" w:space="0" w:color="auto"/>
        <w:bottom w:val="none" w:sz="0" w:space="0" w:color="auto"/>
        <w:right w:val="none" w:sz="0" w:space="0" w:color="auto"/>
      </w:divBdr>
    </w:div>
    <w:div w:id="656693911">
      <w:bodyDiv w:val="1"/>
      <w:marLeft w:val="0"/>
      <w:marRight w:val="0"/>
      <w:marTop w:val="0"/>
      <w:marBottom w:val="0"/>
      <w:divBdr>
        <w:top w:val="none" w:sz="0" w:space="0" w:color="auto"/>
        <w:left w:val="none" w:sz="0" w:space="0" w:color="auto"/>
        <w:bottom w:val="none" w:sz="0" w:space="0" w:color="auto"/>
        <w:right w:val="none" w:sz="0" w:space="0" w:color="auto"/>
      </w:divBdr>
    </w:div>
    <w:div w:id="720053926">
      <w:bodyDiv w:val="1"/>
      <w:marLeft w:val="0"/>
      <w:marRight w:val="0"/>
      <w:marTop w:val="0"/>
      <w:marBottom w:val="0"/>
      <w:divBdr>
        <w:top w:val="none" w:sz="0" w:space="0" w:color="auto"/>
        <w:left w:val="none" w:sz="0" w:space="0" w:color="auto"/>
        <w:bottom w:val="none" w:sz="0" w:space="0" w:color="auto"/>
        <w:right w:val="none" w:sz="0" w:space="0" w:color="auto"/>
      </w:divBdr>
    </w:div>
    <w:div w:id="804860677">
      <w:bodyDiv w:val="1"/>
      <w:marLeft w:val="0"/>
      <w:marRight w:val="0"/>
      <w:marTop w:val="0"/>
      <w:marBottom w:val="0"/>
      <w:divBdr>
        <w:top w:val="none" w:sz="0" w:space="0" w:color="auto"/>
        <w:left w:val="none" w:sz="0" w:space="0" w:color="auto"/>
        <w:bottom w:val="none" w:sz="0" w:space="0" w:color="auto"/>
        <w:right w:val="none" w:sz="0" w:space="0" w:color="auto"/>
      </w:divBdr>
    </w:div>
    <w:div w:id="848301335">
      <w:bodyDiv w:val="1"/>
      <w:marLeft w:val="0"/>
      <w:marRight w:val="0"/>
      <w:marTop w:val="0"/>
      <w:marBottom w:val="0"/>
      <w:divBdr>
        <w:top w:val="none" w:sz="0" w:space="0" w:color="auto"/>
        <w:left w:val="none" w:sz="0" w:space="0" w:color="auto"/>
        <w:bottom w:val="none" w:sz="0" w:space="0" w:color="auto"/>
        <w:right w:val="none" w:sz="0" w:space="0" w:color="auto"/>
      </w:divBdr>
    </w:div>
    <w:div w:id="1071125774">
      <w:bodyDiv w:val="1"/>
      <w:marLeft w:val="0"/>
      <w:marRight w:val="0"/>
      <w:marTop w:val="0"/>
      <w:marBottom w:val="0"/>
      <w:divBdr>
        <w:top w:val="none" w:sz="0" w:space="0" w:color="auto"/>
        <w:left w:val="none" w:sz="0" w:space="0" w:color="auto"/>
        <w:bottom w:val="none" w:sz="0" w:space="0" w:color="auto"/>
        <w:right w:val="none" w:sz="0" w:space="0" w:color="auto"/>
      </w:divBdr>
    </w:div>
    <w:div w:id="1129544706">
      <w:bodyDiv w:val="1"/>
      <w:marLeft w:val="0"/>
      <w:marRight w:val="0"/>
      <w:marTop w:val="0"/>
      <w:marBottom w:val="0"/>
      <w:divBdr>
        <w:top w:val="none" w:sz="0" w:space="0" w:color="auto"/>
        <w:left w:val="none" w:sz="0" w:space="0" w:color="auto"/>
        <w:bottom w:val="none" w:sz="0" w:space="0" w:color="auto"/>
        <w:right w:val="none" w:sz="0" w:space="0" w:color="auto"/>
      </w:divBdr>
    </w:div>
    <w:div w:id="1132939253">
      <w:bodyDiv w:val="1"/>
      <w:marLeft w:val="0"/>
      <w:marRight w:val="0"/>
      <w:marTop w:val="0"/>
      <w:marBottom w:val="0"/>
      <w:divBdr>
        <w:top w:val="none" w:sz="0" w:space="0" w:color="auto"/>
        <w:left w:val="none" w:sz="0" w:space="0" w:color="auto"/>
        <w:bottom w:val="none" w:sz="0" w:space="0" w:color="auto"/>
        <w:right w:val="none" w:sz="0" w:space="0" w:color="auto"/>
      </w:divBdr>
    </w:div>
    <w:div w:id="1133059468">
      <w:bodyDiv w:val="1"/>
      <w:marLeft w:val="0"/>
      <w:marRight w:val="0"/>
      <w:marTop w:val="0"/>
      <w:marBottom w:val="0"/>
      <w:divBdr>
        <w:top w:val="none" w:sz="0" w:space="0" w:color="auto"/>
        <w:left w:val="none" w:sz="0" w:space="0" w:color="auto"/>
        <w:bottom w:val="none" w:sz="0" w:space="0" w:color="auto"/>
        <w:right w:val="none" w:sz="0" w:space="0" w:color="auto"/>
      </w:divBdr>
    </w:div>
    <w:div w:id="1243300736">
      <w:bodyDiv w:val="1"/>
      <w:marLeft w:val="0"/>
      <w:marRight w:val="0"/>
      <w:marTop w:val="0"/>
      <w:marBottom w:val="0"/>
      <w:divBdr>
        <w:top w:val="none" w:sz="0" w:space="0" w:color="auto"/>
        <w:left w:val="none" w:sz="0" w:space="0" w:color="auto"/>
        <w:bottom w:val="none" w:sz="0" w:space="0" w:color="auto"/>
        <w:right w:val="none" w:sz="0" w:space="0" w:color="auto"/>
      </w:divBdr>
      <w:divsChild>
        <w:div w:id="938559675">
          <w:marLeft w:val="0"/>
          <w:marRight w:val="0"/>
          <w:marTop w:val="0"/>
          <w:marBottom w:val="0"/>
          <w:divBdr>
            <w:top w:val="none" w:sz="0" w:space="0" w:color="auto"/>
            <w:left w:val="none" w:sz="0" w:space="0" w:color="auto"/>
            <w:bottom w:val="none" w:sz="0" w:space="0" w:color="auto"/>
            <w:right w:val="none" w:sz="0" w:space="0" w:color="auto"/>
          </w:divBdr>
          <w:divsChild>
            <w:div w:id="1621103282">
              <w:marLeft w:val="0"/>
              <w:marRight w:val="0"/>
              <w:marTop w:val="0"/>
              <w:marBottom w:val="0"/>
              <w:divBdr>
                <w:top w:val="none" w:sz="0" w:space="0" w:color="auto"/>
                <w:left w:val="none" w:sz="0" w:space="0" w:color="auto"/>
                <w:bottom w:val="none" w:sz="0" w:space="0" w:color="auto"/>
                <w:right w:val="none" w:sz="0" w:space="0" w:color="auto"/>
              </w:divBdr>
              <w:divsChild>
                <w:div w:id="188652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574376">
      <w:bodyDiv w:val="1"/>
      <w:marLeft w:val="0"/>
      <w:marRight w:val="0"/>
      <w:marTop w:val="0"/>
      <w:marBottom w:val="0"/>
      <w:divBdr>
        <w:top w:val="none" w:sz="0" w:space="0" w:color="auto"/>
        <w:left w:val="none" w:sz="0" w:space="0" w:color="auto"/>
        <w:bottom w:val="none" w:sz="0" w:space="0" w:color="auto"/>
        <w:right w:val="none" w:sz="0" w:space="0" w:color="auto"/>
      </w:divBdr>
    </w:div>
    <w:div w:id="1293169245">
      <w:bodyDiv w:val="1"/>
      <w:marLeft w:val="0"/>
      <w:marRight w:val="0"/>
      <w:marTop w:val="0"/>
      <w:marBottom w:val="0"/>
      <w:divBdr>
        <w:top w:val="none" w:sz="0" w:space="0" w:color="auto"/>
        <w:left w:val="none" w:sz="0" w:space="0" w:color="auto"/>
        <w:bottom w:val="none" w:sz="0" w:space="0" w:color="auto"/>
        <w:right w:val="none" w:sz="0" w:space="0" w:color="auto"/>
      </w:divBdr>
    </w:div>
    <w:div w:id="1471050347">
      <w:bodyDiv w:val="1"/>
      <w:marLeft w:val="0"/>
      <w:marRight w:val="0"/>
      <w:marTop w:val="0"/>
      <w:marBottom w:val="0"/>
      <w:divBdr>
        <w:top w:val="none" w:sz="0" w:space="0" w:color="auto"/>
        <w:left w:val="none" w:sz="0" w:space="0" w:color="auto"/>
        <w:bottom w:val="none" w:sz="0" w:space="0" w:color="auto"/>
        <w:right w:val="none" w:sz="0" w:space="0" w:color="auto"/>
      </w:divBdr>
    </w:div>
    <w:div w:id="1553543628">
      <w:bodyDiv w:val="1"/>
      <w:marLeft w:val="0"/>
      <w:marRight w:val="0"/>
      <w:marTop w:val="0"/>
      <w:marBottom w:val="0"/>
      <w:divBdr>
        <w:top w:val="none" w:sz="0" w:space="0" w:color="auto"/>
        <w:left w:val="none" w:sz="0" w:space="0" w:color="auto"/>
        <w:bottom w:val="none" w:sz="0" w:space="0" w:color="auto"/>
        <w:right w:val="none" w:sz="0" w:space="0" w:color="auto"/>
      </w:divBdr>
    </w:div>
    <w:div w:id="1616862982">
      <w:bodyDiv w:val="1"/>
      <w:marLeft w:val="0"/>
      <w:marRight w:val="0"/>
      <w:marTop w:val="0"/>
      <w:marBottom w:val="0"/>
      <w:divBdr>
        <w:top w:val="none" w:sz="0" w:space="0" w:color="auto"/>
        <w:left w:val="none" w:sz="0" w:space="0" w:color="auto"/>
        <w:bottom w:val="none" w:sz="0" w:space="0" w:color="auto"/>
        <w:right w:val="none" w:sz="0" w:space="0" w:color="auto"/>
      </w:divBdr>
    </w:div>
    <w:div w:id="1685859845">
      <w:bodyDiv w:val="1"/>
      <w:marLeft w:val="0"/>
      <w:marRight w:val="0"/>
      <w:marTop w:val="0"/>
      <w:marBottom w:val="0"/>
      <w:divBdr>
        <w:top w:val="none" w:sz="0" w:space="0" w:color="auto"/>
        <w:left w:val="none" w:sz="0" w:space="0" w:color="auto"/>
        <w:bottom w:val="none" w:sz="0" w:space="0" w:color="auto"/>
        <w:right w:val="none" w:sz="0" w:space="0" w:color="auto"/>
      </w:divBdr>
    </w:div>
    <w:div w:id="1881897648">
      <w:bodyDiv w:val="1"/>
      <w:marLeft w:val="0"/>
      <w:marRight w:val="0"/>
      <w:marTop w:val="0"/>
      <w:marBottom w:val="0"/>
      <w:divBdr>
        <w:top w:val="none" w:sz="0" w:space="0" w:color="auto"/>
        <w:left w:val="none" w:sz="0" w:space="0" w:color="auto"/>
        <w:bottom w:val="none" w:sz="0" w:space="0" w:color="auto"/>
        <w:right w:val="none" w:sz="0" w:space="0" w:color="auto"/>
      </w:divBdr>
    </w:div>
    <w:div w:id="1904674163">
      <w:bodyDiv w:val="1"/>
      <w:marLeft w:val="0"/>
      <w:marRight w:val="0"/>
      <w:marTop w:val="0"/>
      <w:marBottom w:val="0"/>
      <w:divBdr>
        <w:top w:val="none" w:sz="0" w:space="0" w:color="auto"/>
        <w:left w:val="none" w:sz="0" w:space="0" w:color="auto"/>
        <w:bottom w:val="none" w:sz="0" w:space="0" w:color="auto"/>
        <w:right w:val="none" w:sz="0" w:space="0" w:color="auto"/>
      </w:divBdr>
    </w:div>
    <w:div w:id="1922983686">
      <w:bodyDiv w:val="1"/>
      <w:marLeft w:val="0"/>
      <w:marRight w:val="0"/>
      <w:marTop w:val="0"/>
      <w:marBottom w:val="0"/>
      <w:divBdr>
        <w:top w:val="none" w:sz="0" w:space="0" w:color="auto"/>
        <w:left w:val="none" w:sz="0" w:space="0" w:color="auto"/>
        <w:bottom w:val="none" w:sz="0" w:space="0" w:color="auto"/>
        <w:right w:val="none" w:sz="0" w:space="0" w:color="auto"/>
      </w:divBdr>
    </w:div>
    <w:div w:id="213020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Graña</dc:creator>
  <cp:keywords/>
  <dc:description/>
  <cp:lastModifiedBy>Xavier Graña</cp:lastModifiedBy>
  <cp:revision>2</cp:revision>
  <dcterms:created xsi:type="dcterms:W3CDTF">2020-08-10T15:23:00Z</dcterms:created>
  <dcterms:modified xsi:type="dcterms:W3CDTF">2020-08-10T15:23:00Z</dcterms:modified>
</cp:coreProperties>
</file>