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20E3E" w14:textId="532BB811" w:rsidR="00E15702" w:rsidRPr="00E15702" w:rsidRDefault="00E15702" w:rsidP="00E15702">
      <w:pPr>
        <w:suppressLineNumbers/>
        <w:spacing w:after="0" w:line="480" w:lineRule="auto"/>
        <w:rPr>
          <w:rFonts w:eastAsia="Batang" w:cs="Arial"/>
          <w:b/>
          <w:bCs/>
          <w:szCs w:val="20"/>
          <w:lang w:val="en-US"/>
        </w:rPr>
      </w:pPr>
      <w:r w:rsidRPr="00E15702">
        <w:rPr>
          <w:rFonts w:eastAsia="Batang" w:cs="Arial"/>
          <w:b/>
          <w:bCs/>
          <w:szCs w:val="20"/>
          <w:lang w:val="en-US"/>
        </w:rPr>
        <w:t>Real-world patient characteristics associated with prolonged survival after radium-223 treatment for metastatic castration-resistant prostate cancer (EPIX study)</w:t>
      </w:r>
    </w:p>
    <w:p w14:paraId="059EF94B" w14:textId="73FC33BF" w:rsidR="00E15702" w:rsidRPr="00E15702" w:rsidRDefault="00E15702" w:rsidP="00E15702">
      <w:pPr>
        <w:suppressLineNumbers/>
        <w:spacing w:after="0" w:line="480" w:lineRule="auto"/>
        <w:rPr>
          <w:rFonts w:eastAsia="Batang" w:cs="Arial"/>
          <w:szCs w:val="20"/>
          <w:highlight w:val="yellow"/>
          <w:lang w:val="en-US"/>
        </w:rPr>
      </w:pPr>
      <w:r w:rsidRPr="00E15702">
        <w:rPr>
          <w:rFonts w:eastAsia="Batang" w:cs="Arial"/>
          <w:szCs w:val="20"/>
          <w:lang w:val="en-US"/>
        </w:rPr>
        <w:t>Daniel J. George, Neeraj Agarwal, Oliver Sartor, Cora N. Sternberg, Bertrand Tombal, Fred Saad, Kurt</w:t>
      </w:r>
      <w:r>
        <w:rPr>
          <w:rFonts w:eastAsia="Batang" w:cs="Arial"/>
          <w:szCs w:val="20"/>
          <w:lang w:val="en-US"/>
        </w:rPr>
        <w:t> </w:t>
      </w:r>
      <w:r w:rsidRPr="00E15702">
        <w:rPr>
          <w:rFonts w:eastAsia="Batang" w:cs="Arial"/>
          <w:szCs w:val="20"/>
          <w:lang w:val="en-US"/>
        </w:rPr>
        <w:t xml:space="preserve">Miller, </w:t>
      </w:r>
      <w:bookmarkStart w:id="0" w:name="_Hlk66442284"/>
      <w:r w:rsidRPr="00E15702">
        <w:rPr>
          <w:rFonts w:eastAsia="Batang" w:cs="Arial"/>
          <w:szCs w:val="20"/>
          <w:lang w:val="en-US"/>
        </w:rPr>
        <w:t>Niculae Constantinovici, Helen Guo, John Reeves, XiaoLong Jiao, Per Sandström, Frank</w:t>
      </w:r>
      <w:r>
        <w:rPr>
          <w:rFonts w:eastAsia="Batang" w:cs="Arial"/>
          <w:szCs w:val="20"/>
          <w:lang w:val="en-US"/>
        </w:rPr>
        <w:t> </w:t>
      </w:r>
      <w:r w:rsidRPr="00E15702">
        <w:rPr>
          <w:rFonts w:eastAsia="Batang" w:cs="Arial"/>
          <w:szCs w:val="20"/>
          <w:lang w:val="en-US"/>
        </w:rPr>
        <w:t>Verholen</w:t>
      </w:r>
      <w:bookmarkEnd w:id="0"/>
      <w:r w:rsidRPr="00E15702">
        <w:rPr>
          <w:rFonts w:eastAsia="Batang" w:cs="Arial"/>
          <w:szCs w:val="20"/>
          <w:lang w:val="en-US"/>
        </w:rPr>
        <w:t>, Celestia S. Higano, Neal Shore</w:t>
      </w:r>
    </w:p>
    <w:p w14:paraId="234F1057" w14:textId="5C03347D" w:rsidR="00E15702" w:rsidRDefault="00E15702" w:rsidP="00E15702">
      <w:pPr>
        <w:suppressLineNumbers/>
        <w:spacing w:after="0" w:line="480" w:lineRule="auto"/>
        <w:rPr>
          <w:rFonts w:eastAsia="Batang" w:cs="Arial"/>
          <w:b/>
          <w:bCs/>
          <w:szCs w:val="20"/>
          <w:lang w:val="en-US"/>
        </w:rPr>
      </w:pPr>
    </w:p>
    <w:p w14:paraId="3FFF0B00" w14:textId="59B8D84E" w:rsidR="00E15702" w:rsidRPr="00E15702" w:rsidRDefault="00E15702" w:rsidP="00E15702">
      <w:pPr>
        <w:suppressLineNumbers/>
        <w:spacing w:after="0" w:line="480" w:lineRule="auto"/>
        <w:rPr>
          <w:rFonts w:eastAsia="Batang" w:cs="Arial"/>
          <w:szCs w:val="20"/>
          <w:lang w:val="en-US"/>
        </w:rPr>
      </w:pPr>
      <w:r w:rsidRPr="00E15702">
        <w:rPr>
          <w:rFonts w:eastAsia="Batang" w:cs="Arial"/>
          <w:b/>
          <w:bCs/>
          <w:szCs w:val="20"/>
          <w:lang w:val="en-US"/>
        </w:rPr>
        <w:t xml:space="preserve">Supplementary Table S1 </w:t>
      </w:r>
      <w:r w:rsidRPr="00E15702">
        <w:rPr>
          <w:rFonts w:eastAsia="Batang" w:cs="Arial"/>
          <w:szCs w:val="20"/>
          <w:lang w:val="en-US"/>
        </w:rPr>
        <w:t>Overall survival: standard univariate Cox proportional hazards models (full-analysis set).</w:t>
      </w:r>
      <w:r w:rsidRPr="00E15702">
        <w:rPr>
          <w:rFonts w:eastAsia="Batang" w:cs="Arial"/>
          <w:szCs w:val="20"/>
          <w:vertAlign w:val="superscript"/>
          <w:lang w:val="en-US"/>
        </w:rPr>
        <w:t>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8"/>
        <w:gridCol w:w="1418"/>
        <w:gridCol w:w="1459"/>
        <w:gridCol w:w="1375"/>
      </w:tblGrid>
      <w:tr w:rsidR="00E15702" w:rsidRPr="00E15702" w14:paraId="19C7D7F8" w14:textId="77777777" w:rsidTr="001836F2">
        <w:trPr>
          <w:cantSplit/>
        </w:trPr>
        <w:tc>
          <w:tcPr>
            <w:tcW w:w="5098" w:type="dxa"/>
            <w:tcBorders>
              <w:bottom w:val="single" w:sz="4" w:space="0" w:color="auto"/>
            </w:tcBorders>
            <w:tcMar>
              <w:left w:w="80" w:type="dxa"/>
              <w:right w:w="80" w:type="dxa"/>
            </w:tcMar>
            <w:vAlign w:val="bottom"/>
          </w:tcPr>
          <w:p w14:paraId="3655E700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  <w:t>Characteristics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left w:w="80" w:type="dxa"/>
              <w:right w:w="80" w:type="dxa"/>
            </w:tcMar>
            <w:vAlign w:val="bottom"/>
          </w:tcPr>
          <w:p w14:paraId="188BC956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  <w:t>Hazard ratio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tcMar>
              <w:left w:w="80" w:type="dxa"/>
              <w:right w:w="80" w:type="dxa"/>
            </w:tcMar>
            <w:vAlign w:val="bottom"/>
          </w:tcPr>
          <w:p w14:paraId="45B7B60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  <w:t>95% CI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tcMar>
              <w:left w:w="80" w:type="dxa"/>
              <w:right w:w="80" w:type="dxa"/>
            </w:tcMar>
            <w:vAlign w:val="bottom"/>
          </w:tcPr>
          <w:p w14:paraId="33CEA620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b/>
                <w:bCs/>
                <w:spacing w:val="-4"/>
                <w:szCs w:val="20"/>
                <w:lang w:val="en-US"/>
              </w:rPr>
              <w:t>P value</w:t>
            </w:r>
          </w:p>
        </w:tc>
      </w:tr>
      <w:tr w:rsidR="00E15702" w:rsidRPr="00E15702" w14:paraId="798BD381" w14:textId="77777777" w:rsidTr="001836F2">
        <w:trPr>
          <w:cantSplit/>
        </w:trPr>
        <w:tc>
          <w:tcPr>
            <w:tcW w:w="509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22B4FD5E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Age at start of radium-223 (reference: &lt;65 years)</w:t>
            </w:r>
          </w:p>
        </w:tc>
        <w:tc>
          <w:tcPr>
            <w:tcW w:w="141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468C270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459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1F7FA83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375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7152336D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</w:tr>
      <w:tr w:rsidR="00E15702" w:rsidRPr="00E15702" w14:paraId="32B8A9F7" w14:textId="77777777" w:rsidTr="001836F2">
        <w:trPr>
          <w:cantSplit/>
        </w:trPr>
        <w:tc>
          <w:tcPr>
            <w:tcW w:w="509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043E0643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65–75 years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5A82D85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0.99</w:t>
            </w:r>
          </w:p>
        </w:tc>
        <w:tc>
          <w:tcPr>
            <w:tcW w:w="1459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68B22438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0.82–1.18</w:t>
            </w:r>
          </w:p>
        </w:tc>
        <w:tc>
          <w:tcPr>
            <w:tcW w:w="1375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1524756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0.8732</w:t>
            </w:r>
          </w:p>
        </w:tc>
      </w:tr>
      <w:tr w:rsidR="00E15702" w:rsidRPr="00E15702" w14:paraId="3A35DB5D" w14:textId="77777777" w:rsidTr="001836F2">
        <w:trPr>
          <w:cantSplit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715D2F63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&gt;75 years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1EEFCDD2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1.32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70B7B7A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1.10–1.58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530D2449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0.0031</w:t>
            </w:r>
          </w:p>
        </w:tc>
      </w:tr>
      <w:tr w:rsidR="00E15702" w:rsidRPr="00E15702" w14:paraId="7F13EBEA" w14:textId="77777777" w:rsidTr="001836F2">
        <w:trPr>
          <w:cantSplit/>
        </w:trPr>
        <w:tc>
          <w:tcPr>
            <w:tcW w:w="509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3F2D4644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Race (reference: white)</w:t>
            </w:r>
          </w:p>
        </w:tc>
        <w:tc>
          <w:tcPr>
            <w:tcW w:w="141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46ED837B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459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20D9EB4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375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6324350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</w:tr>
      <w:tr w:rsidR="00E15702" w:rsidRPr="00E15702" w14:paraId="0CB33A88" w14:textId="77777777" w:rsidTr="001836F2">
        <w:trPr>
          <w:cantSplit/>
        </w:trPr>
        <w:tc>
          <w:tcPr>
            <w:tcW w:w="509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3A4E790D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Black or African American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6F86CA1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0.97</w:t>
            </w:r>
          </w:p>
        </w:tc>
        <w:tc>
          <w:tcPr>
            <w:tcW w:w="1459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2104343E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0.74–1.26</w:t>
            </w:r>
          </w:p>
        </w:tc>
        <w:tc>
          <w:tcPr>
            <w:tcW w:w="1375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3954FE79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0.8033</w:t>
            </w:r>
          </w:p>
        </w:tc>
      </w:tr>
      <w:tr w:rsidR="00E15702" w:rsidRPr="00E15702" w14:paraId="598D34CF" w14:textId="77777777" w:rsidTr="001836F2">
        <w:trPr>
          <w:cantSplit/>
        </w:trPr>
        <w:tc>
          <w:tcPr>
            <w:tcW w:w="509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52D92D53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Missing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70ACB2A6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1.09</w:t>
            </w:r>
          </w:p>
        </w:tc>
        <w:tc>
          <w:tcPr>
            <w:tcW w:w="1459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2C4E80EB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0.82–1.44</w:t>
            </w:r>
          </w:p>
        </w:tc>
        <w:tc>
          <w:tcPr>
            <w:tcW w:w="1375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5AB47F8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0.5619</w:t>
            </w:r>
          </w:p>
        </w:tc>
      </w:tr>
      <w:tr w:rsidR="00E15702" w:rsidRPr="00E15702" w14:paraId="3F5DF211" w14:textId="77777777" w:rsidTr="001836F2">
        <w:trPr>
          <w:cantSplit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192FD014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Other</w:t>
            </w:r>
            <w:r w:rsidRPr="00E15702">
              <w:rPr>
                <w:rFonts w:eastAsia="Batang" w:cs="Arial"/>
                <w:spacing w:val="-4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5A4E51CD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0.69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09A50AB4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0.56–0.85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1B985E14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0.0006</w:t>
            </w:r>
          </w:p>
        </w:tc>
      </w:tr>
      <w:tr w:rsidR="00E15702" w:rsidRPr="00E15702" w14:paraId="18917B48" w14:textId="77777777" w:rsidTr="001836F2">
        <w:trPr>
          <w:cantSplit/>
        </w:trPr>
        <w:tc>
          <w:tcPr>
            <w:tcW w:w="509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21C56F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Baseline ECOG performance status (reference 0)</w:t>
            </w:r>
          </w:p>
        </w:tc>
        <w:tc>
          <w:tcPr>
            <w:tcW w:w="141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6441CF19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459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4BB2CBD9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375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25430E8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</w:tr>
      <w:tr w:rsidR="00E15702" w:rsidRPr="00E15702" w14:paraId="33790ED8" w14:textId="77777777" w:rsidTr="001836F2">
        <w:trPr>
          <w:cantSplit/>
        </w:trPr>
        <w:tc>
          <w:tcPr>
            <w:tcW w:w="509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20334702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6A37E700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1.22</w:t>
            </w:r>
          </w:p>
        </w:tc>
        <w:tc>
          <w:tcPr>
            <w:tcW w:w="1459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7DA5CB94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0.99–1.51</w:t>
            </w:r>
          </w:p>
        </w:tc>
        <w:tc>
          <w:tcPr>
            <w:tcW w:w="1375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5C7FF223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0.0560</w:t>
            </w:r>
          </w:p>
        </w:tc>
      </w:tr>
      <w:tr w:rsidR="00E15702" w:rsidRPr="00E15702" w14:paraId="0E4A7720" w14:textId="77777777" w:rsidTr="001836F2">
        <w:trPr>
          <w:cantSplit/>
        </w:trPr>
        <w:tc>
          <w:tcPr>
            <w:tcW w:w="509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463B3E0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2–4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69C83A6F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2.17</w:t>
            </w:r>
          </w:p>
        </w:tc>
        <w:tc>
          <w:tcPr>
            <w:tcW w:w="1459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417699A1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1.70–2.77</w:t>
            </w:r>
          </w:p>
        </w:tc>
        <w:tc>
          <w:tcPr>
            <w:tcW w:w="1375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7DF07F24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  <w:tr w:rsidR="00E15702" w:rsidRPr="00E15702" w14:paraId="0728D4D4" w14:textId="77777777" w:rsidTr="001836F2">
        <w:trPr>
          <w:cantSplit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59C8C198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Missing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05B7BC30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1.00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74BB3A5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0.82–1.22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4DBA8262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0.9852</w:t>
            </w:r>
          </w:p>
        </w:tc>
      </w:tr>
      <w:tr w:rsidR="00E15702" w:rsidRPr="00E15702" w14:paraId="121A99EB" w14:textId="77777777" w:rsidTr="001836F2">
        <w:trPr>
          <w:cantSplit/>
        </w:trPr>
        <w:tc>
          <w:tcPr>
            <w:tcW w:w="509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447979B8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Site of metastasis (reference: bone only)</w:t>
            </w:r>
          </w:p>
        </w:tc>
        <w:tc>
          <w:tcPr>
            <w:tcW w:w="141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033F643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459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31F503D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375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FA18290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</w:tr>
      <w:tr w:rsidR="00E15702" w:rsidRPr="00E15702" w14:paraId="29229CF7" w14:textId="77777777" w:rsidTr="001836F2">
        <w:trPr>
          <w:cantSplit/>
        </w:trPr>
        <w:tc>
          <w:tcPr>
            <w:tcW w:w="509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218F8A6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Distant lymph node ± bone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1ABDC746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1.23</w:t>
            </w:r>
          </w:p>
        </w:tc>
        <w:tc>
          <w:tcPr>
            <w:tcW w:w="1459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7D9275D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1.00–1.52</w:t>
            </w:r>
          </w:p>
        </w:tc>
        <w:tc>
          <w:tcPr>
            <w:tcW w:w="1375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76BF6F6D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0.0499</w:t>
            </w:r>
          </w:p>
        </w:tc>
      </w:tr>
      <w:tr w:rsidR="00E15702" w:rsidRPr="00E15702" w14:paraId="064252F2" w14:textId="77777777" w:rsidTr="001836F2">
        <w:trPr>
          <w:cantSplit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2FEC66A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Visceral ± lymph node/bone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1B2AF3FB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1.74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59DE997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1.38–2.19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4BB1FCF6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  <w:tr w:rsidR="00E15702" w:rsidRPr="00E15702" w14:paraId="58F7FB6C" w14:textId="77777777" w:rsidTr="001836F2">
        <w:trPr>
          <w:cantSplit/>
        </w:trPr>
        <w:tc>
          <w:tcPr>
            <w:tcW w:w="5098" w:type="dxa"/>
            <w:tcMar>
              <w:left w:w="80" w:type="dxa"/>
              <w:right w:w="80" w:type="dxa"/>
            </w:tcMar>
          </w:tcPr>
          <w:p w14:paraId="3974BEC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Log-transformed baseline alkaline phosphatase, U/L</w:t>
            </w:r>
          </w:p>
        </w:tc>
        <w:tc>
          <w:tcPr>
            <w:tcW w:w="1418" w:type="dxa"/>
            <w:tcMar>
              <w:left w:w="80" w:type="dxa"/>
              <w:right w:w="80" w:type="dxa"/>
            </w:tcMar>
          </w:tcPr>
          <w:p w14:paraId="4EC74F8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1.60</w:t>
            </w:r>
          </w:p>
        </w:tc>
        <w:tc>
          <w:tcPr>
            <w:tcW w:w="1459" w:type="dxa"/>
            <w:tcMar>
              <w:left w:w="80" w:type="dxa"/>
              <w:right w:w="80" w:type="dxa"/>
            </w:tcMar>
          </w:tcPr>
          <w:p w14:paraId="4F42BE3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1.45–1.75</w:t>
            </w:r>
          </w:p>
        </w:tc>
        <w:tc>
          <w:tcPr>
            <w:tcW w:w="1375" w:type="dxa"/>
            <w:tcMar>
              <w:left w:w="80" w:type="dxa"/>
              <w:right w:w="80" w:type="dxa"/>
            </w:tcMar>
          </w:tcPr>
          <w:p w14:paraId="4E882B7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  <w:tr w:rsidR="00E15702" w:rsidRPr="00E15702" w14:paraId="46360DBC" w14:textId="77777777" w:rsidTr="001836F2">
        <w:trPr>
          <w:cantSplit/>
        </w:trPr>
        <w:tc>
          <w:tcPr>
            <w:tcW w:w="5098" w:type="dxa"/>
            <w:tcMar>
              <w:left w:w="80" w:type="dxa"/>
              <w:right w:w="80" w:type="dxa"/>
            </w:tcMar>
          </w:tcPr>
          <w:p w14:paraId="3C7548D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Baseline hemoglobin, g/dL</w:t>
            </w:r>
          </w:p>
        </w:tc>
        <w:tc>
          <w:tcPr>
            <w:tcW w:w="1418" w:type="dxa"/>
            <w:tcMar>
              <w:left w:w="80" w:type="dxa"/>
              <w:right w:w="80" w:type="dxa"/>
            </w:tcMar>
          </w:tcPr>
          <w:p w14:paraId="7A78E59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0.75</w:t>
            </w:r>
          </w:p>
        </w:tc>
        <w:tc>
          <w:tcPr>
            <w:tcW w:w="1459" w:type="dxa"/>
            <w:tcMar>
              <w:left w:w="80" w:type="dxa"/>
              <w:right w:w="80" w:type="dxa"/>
            </w:tcMar>
          </w:tcPr>
          <w:p w14:paraId="0B0D424E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0.71–0.79</w:t>
            </w:r>
          </w:p>
        </w:tc>
        <w:tc>
          <w:tcPr>
            <w:tcW w:w="1375" w:type="dxa"/>
            <w:tcMar>
              <w:left w:w="80" w:type="dxa"/>
              <w:right w:w="80" w:type="dxa"/>
            </w:tcMar>
          </w:tcPr>
          <w:p w14:paraId="16B55978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  <w:tr w:rsidR="00E15702" w:rsidRPr="00E15702" w14:paraId="5A1EA899" w14:textId="77777777" w:rsidTr="001836F2">
        <w:trPr>
          <w:cantSplit/>
          <w:trHeight w:val="398"/>
        </w:trPr>
        <w:tc>
          <w:tcPr>
            <w:tcW w:w="5098" w:type="dxa"/>
            <w:tcMar>
              <w:left w:w="80" w:type="dxa"/>
              <w:right w:w="80" w:type="dxa"/>
            </w:tcMar>
          </w:tcPr>
          <w:p w14:paraId="22B9C788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Log-transformed baseline lactate dehydrogenase, U/L</w:t>
            </w:r>
          </w:p>
        </w:tc>
        <w:tc>
          <w:tcPr>
            <w:tcW w:w="1418" w:type="dxa"/>
            <w:tcMar>
              <w:left w:w="80" w:type="dxa"/>
              <w:right w:w="80" w:type="dxa"/>
            </w:tcMar>
          </w:tcPr>
          <w:p w14:paraId="4C2864E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1.85</w:t>
            </w:r>
          </w:p>
        </w:tc>
        <w:tc>
          <w:tcPr>
            <w:tcW w:w="1459" w:type="dxa"/>
            <w:tcMar>
              <w:left w:w="80" w:type="dxa"/>
              <w:right w:w="80" w:type="dxa"/>
            </w:tcMar>
          </w:tcPr>
          <w:p w14:paraId="44B3CA1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1.41–2.42</w:t>
            </w:r>
          </w:p>
        </w:tc>
        <w:tc>
          <w:tcPr>
            <w:tcW w:w="1375" w:type="dxa"/>
            <w:tcMar>
              <w:left w:w="80" w:type="dxa"/>
              <w:right w:w="80" w:type="dxa"/>
            </w:tcMar>
          </w:tcPr>
          <w:p w14:paraId="405D65FE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  <w:tr w:rsidR="00E15702" w:rsidRPr="00E15702" w14:paraId="7837E602" w14:textId="77777777" w:rsidTr="001836F2">
        <w:trPr>
          <w:cantSplit/>
          <w:trHeight w:val="349"/>
        </w:trPr>
        <w:tc>
          <w:tcPr>
            <w:tcW w:w="5098" w:type="dxa"/>
            <w:tcMar>
              <w:left w:w="80" w:type="dxa"/>
              <w:right w:w="80" w:type="dxa"/>
            </w:tcMar>
          </w:tcPr>
          <w:p w14:paraId="6536E1ED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Log-transformed baseline prostate-specific antigen, μg/L</w:t>
            </w:r>
            <w:r w:rsidRPr="00E15702">
              <w:rPr>
                <w:rFonts w:eastAsia="Batang" w:cs="Arial"/>
                <w:spacing w:val="-4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418" w:type="dxa"/>
            <w:tcMar>
              <w:left w:w="80" w:type="dxa"/>
              <w:right w:w="80" w:type="dxa"/>
            </w:tcMar>
          </w:tcPr>
          <w:p w14:paraId="058633F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1.23</w:t>
            </w:r>
          </w:p>
        </w:tc>
        <w:tc>
          <w:tcPr>
            <w:tcW w:w="1459" w:type="dxa"/>
            <w:tcMar>
              <w:left w:w="80" w:type="dxa"/>
              <w:right w:w="80" w:type="dxa"/>
            </w:tcMar>
          </w:tcPr>
          <w:p w14:paraId="08844FAB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1.19–1.28</w:t>
            </w:r>
          </w:p>
        </w:tc>
        <w:tc>
          <w:tcPr>
            <w:tcW w:w="1375" w:type="dxa"/>
            <w:tcMar>
              <w:left w:w="80" w:type="dxa"/>
              <w:right w:w="80" w:type="dxa"/>
            </w:tcMar>
          </w:tcPr>
          <w:p w14:paraId="56F10ACB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  <w:tr w:rsidR="00E15702" w:rsidRPr="00E15702" w14:paraId="480C561D" w14:textId="77777777" w:rsidTr="001836F2">
        <w:trPr>
          <w:cantSplit/>
        </w:trPr>
        <w:tc>
          <w:tcPr>
            <w:tcW w:w="509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37FD9E2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lastRenderedPageBreak/>
              <w:t>Prior symptomatic skeletal event (reference: no)</w:t>
            </w:r>
          </w:p>
        </w:tc>
        <w:tc>
          <w:tcPr>
            <w:tcW w:w="141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2AD6700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459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7F943D24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375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74FA794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</w:tr>
      <w:tr w:rsidR="00E15702" w:rsidRPr="00E15702" w14:paraId="27A25C4E" w14:textId="77777777" w:rsidTr="001836F2">
        <w:trPr>
          <w:cantSplit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1C5079F8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5663D3FE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1.23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4EC89A41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1.08–1.40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00D2876F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0.0024</w:t>
            </w:r>
          </w:p>
        </w:tc>
      </w:tr>
      <w:tr w:rsidR="00E15702" w:rsidRPr="00E15702" w14:paraId="68651797" w14:textId="77777777" w:rsidTr="001836F2">
        <w:trPr>
          <w:cantSplit/>
        </w:trPr>
        <w:tc>
          <w:tcPr>
            <w:tcW w:w="509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ABBF1E8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Prior chemotherapy (reference: no)</w:t>
            </w:r>
          </w:p>
        </w:tc>
        <w:tc>
          <w:tcPr>
            <w:tcW w:w="141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373C20E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459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8C6B797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375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1A7DD51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</w:tr>
      <w:tr w:rsidR="00E15702" w:rsidRPr="00E15702" w14:paraId="72F82F0D" w14:textId="77777777" w:rsidTr="001836F2">
        <w:trPr>
          <w:cantSplit/>
        </w:trPr>
        <w:tc>
          <w:tcPr>
            <w:tcW w:w="509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0946F132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019FCFE1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1.59</w:t>
            </w:r>
          </w:p>
        </w:tc>
        <w:tc>
          <w:tcPr>
            <w:tcW w:w="1459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6AF68D81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1.37–1.83</w:t>
            </w:r>
          </w:p>
        </w:tc>
        <w:tc>
          <w:tcPr>
            <w:tcW w:w="1375" w:type="dxa"/>
            <w:tcBorders>
              <w:top w:val="nil"/>
              <w:bottom w:val="nil"/>
            </w:tcBorders>
            <w:tcMar>
              <w:left w:w="80" w:type="dxa"/>
              <w:right w:w="80" w:type="dxa"/>
            </w:tcMar>
          </w:tcPr>
          <w:p w14:paraId="0F9F727F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  <w:tr w:rsidR="00E15702" w:rsidRPr="00E15702" w14:paraId="18C101A4" w14:textId="77777777" w:rsidTr="001836F2">
        <w:trPr>
          <w:cantSplit/>
        </w:trPr>
        <w:tc>
          <w:tcPr>
            <w:tcW w:w="509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3631F96A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Prior bone health agent (reference: no)</w:t>
            </w:r>
          </w:p>
        </w:tc>
        <w:tc>
          <w:tcPr>
            <w:tcW w:w="1418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363A1C5E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459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6E5F1936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  <w:tc>
          <w:tcPr>
            <w:tcW w:w="1375" w:type="dxa"/>
            <w:tcBorders>
              <w:bottom w:val="nil"/>
            </w:tcBorders>
            <w:tcMar>
              <w:left w:w="80" w:type="dxa"/>
              <w:right w:w="80" w:type="dxa"/>
            </w:tcMar>
          </w:tcPr>
          <w:p w14:paraId="51572F5E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</w:p>
        </w:tc>
      </w:tr>
      <w:tr w:rsidR="00E15702" w:rsidRPr="00E15702" w14:paraId="3402D0EA" w14:textId="77777777" w:rsidTr="001836F2">
        <w:trPr>
          <w:cantSplit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3F68B7E9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Yes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2F643C7D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1.41</w:t>
            </w: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33714EE5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1.23–1.61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  <w:tcMar>
              <w:left w:w="80" w:type="dxa"/>
              <w:right w:w="80" w:type="dxa"/>
            </w:tcMar>
          </w:tcPr>
          <w:p w14:paraId="1CEC659C" w14:textId="77777777" w:rsidR="00E15702" w:rsidRPr="00E15702" w:rsidRDefault="00E15702" w:rsidP="00E15702">
            <w:pPr>
              <w:suppressLineNumbers/>
              <w:spacing w:after="0" w:line="480" w:lineRule="auto"/>
              <w:rPr>
                <w:rFonts w:eastAsia="Batang" w:cs="Arial"/>
                <w:spacing w:val="-4"/>
                <w:szCs w:val="20"/>
                <w:lang w:val="en-US"/>
              </w:rPr>
            </w:pPr>
            <w:r w:rsidRPr="00E15702">
              <w:rPr>
                <w:rFonts w:eastAsia="Batang" w:cs="Arial"/>
                <w:spacing w:val="-4"/>
                <w:szCs w:val="20"/>
                <w:lang w:val="en-US"/>
              </w:rPr>
              <w:t>&lt;0.0001</w:t>
            </w:r>
          </w:p>
        </w:tc>
      </w:tr>
    </w:tbl>
    <w:p w14:paraId="6B15602C" w14:textId="77777777" w:rsidR="00E15702" w:rsidRPr="00E15702" w:rsidRDefault="00E15702" w:rsidP="00E15702">
      <w:pPr>
        <w:suppressLineNumbers/>
        <w:spacing w:before="60" w:after="0" w:line="480" w:lineRule="auto"/>
        <w:rPr>
          <w:rFonts w:eastAsia="Batang" w:cs="Arial"/>
          <w:szCs w:val="20"/>
          <w:lang w:val="en-US"/>
        </w:rPr>
      </w:pPr>
      <w:r w:rsidRPr="00E15702">
        <w:rPr>
          <w:rFonts w:eastAsia="Batang" w:cs="Arial"/>
          <w:szCs w:val="20"/>
          <w:vertAlign w:val="superscript"/>
          <w:lang w:val="en-US"/>
        </w:rPr>
        <w:t xml:space="preserve">a </w:t>
      </w:r>
      <w:r w:rsidRPr="00E15702">
        <w:rPr>
          <w:rFonts w:eastAsia="Batang" w:cs="Arial"/>
          <w:szCs w:val="20"/>
          <w:lang w:val="en-US"/>
        </w:rPr>
        <w:t>Univariate models of site of metastasis, baseline alkaline phosphatase (U/L), baseline hemoglobin (g/dL), baseline lactate dehydrogenase (U/L), baseline prostate-specific antigen (μg/L) only include non-missing values.</w:t>
      </w:r>
    </w:p>
    <w:p w14:paraId="2E17568C" w14:textId="77777777" w:rsidR="00E15702" w:rsidRPr="00E15702" w:rsidRDefault="00E15702" w:rsidP="00E15702">
      <w:pPr>
        <w:suppressLineNumbers/>
        <w:spacing w:after="0" w:line="480" w:lineRule="auto"/>
        <w:rPr>
          <w:rFonts w:eastAsia="Batang" w:cs="Arial"/>
          <w:szCs w:val="20"/>
          <w:lang w:val="en-US"/>
        </w:rPr>
      </w:pPr>
      <w:r w:rsidRPr="00E15702">
        <w:rPr>
          <w:rFonts w:eastAsia="Batang" w:cs="Arial"/>
          <w:szCs w:val="20"/>
          <w:vertAlign w:val="superscript"/>
          <w:lang w:val="en-US"/>
        </w:rPr>
        <w:t xml:space="preserve">b </w:t>
      </w:r>
      <w:r w:rsidRPr="00E15702">
        <w:rPr>
          <w:rFonts w:eastAsia="Batang" w:cs="Arial"/>
          <w:szCs w:val="20"/>
          <w:lang w:val="en-US"/>
        </w:rPr>
        <w:t>Other race includes patients who identified as Asian, Hispanic, Latino, or “Other”.</w:t>
      </w:r>
    </w:p>
    <w:p w14:paraId="505FF553" w14:textId="77777777" w:rsidR="00E15702" w:rsidRPr="00E15702" w:rsidRDefault="00E15702" w:rsidP="00E15702">
      <w:pPr>
        <w:suppressLineNumbers/>
        <w:spacing w:after="0" w:line="480" w:lineRule="auto"/>
        <w:rPr>
          <w:rFonts w:eastAsia="Batang" w:cs="Arial"/>
          <w:szCs w:val="20"/>
          <w:lang w:val="en-US"/>
        </w:rPr>
      </w:pPr>
      <w:r w:rsidRPr="00E15702">
        <w:rPr>
          <w:rFonts w:eastAsia="Batang" w:cs="Arial"/>
          <w:szCs w:val="20"/>
          <w:vertAlign w:val="superscript"/>
          <w:lang w:val="en-US"/>
        </w:rPr>
        <w:t xml:space="preserve">c </w:t>
      </w:r>
      <w:r w:rsidRPr="00E15702">
        <w:rPr>
          <w:rFonts w:eastAsia="Batang" w:cs="Arial"/>
          <w:szCs w:val="20"/>
          <w:lang w:val="en-US"/>
        </w:rPr>
        <w:t>Prostate-specific antigen is set to 30 000 μg/L if the original value is &gt;30 000 μg/L.</w:t>
      </w:r>
    </w:p>
    <w:p w14:paraId="4A38A3AC" w14:textId="54E83C3C" w:rsidR="000E0CAB" w:rsidRPr="00E15702" w:rsidRDefault="00E15702" w:rsidP="00E15702">
      <w:pPr>
        <w:suppressLineNumbers/>
        <w:spacing w:after="0" w:line="480" w:lineRule="auto"/>
        <w:rPr>
          <w:rFonts w:eastAsia="Batang" w:cs="Arial"/>
          <w:szCs w:val="20"/>
          <w:lang w:val="en-US"/>
        </w:rPr>
      </w:pPr>
      <w:r w:rsidRPr="00E15702">
        <w:rPr>
          <w:rFonts w:eastAsia="Batang" w:cs="Arial"/>
          <w:i/>
          <w:iCs/>
          <w:szCs w:val="20"/>
          <w:lang w:val="en-US"/>
        </w:rPr>
        <w:t>CI</w:t>
      </w:r>
      <w:r w:rsidRPr="00E15702">
        <w:rPr>
          <w:rFonts w:eastAsia="Batang" w:cs="Arial"/>
          <w:szCs w:val="20"/>
          <w:lang w:val="en-US"/>
        </w:rPr>
        <w:t xml:space="preserve"> confidence interval; </w:t>
      </w:r>
      <w:r w:rsidRPr="00E15702">
        <w:rPr>
          <w:rFonts w:eastAsia="Batang" w:cs="Arial"/>
          <w:i/>
          <w:iCs/>
          <w:szCs w:val="20"/>
          <w:lang w:val="en-US"/>
        </w:rPr>
        <w:t>ECOG</w:t>
      </w:r>
      <w:r w:rsidRPr="00E15702">
        <w:rPr>
          <w:rFonts w:eastAsia="Batang" w:cs="Arial"/>
          <w:szCs w:val="20"/>
          <w:lang w:val="en-US"/>
        </w:rPr>
        <w:t xml:space="preserve"> Eastern Cooperative Oncology Group.</w:t>
      </w:r>
    </w:p>
    <w:sectPr w:rsidR="000E0CAB" w:rsidRPr="00E15702" w:rsidSect="00165E74">
      <w:footerReference w:type="default" r:id="rId4"/>
      <w:pgSz w:w="12240" w:h="15840" w:code="1"/>
      <w:pgMar w:top="1440" w:right="1440" w:bottom="1440" w:left="1440" w:header="709" w:footer="709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667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57A19D" w14:textId="77777777" w:rsidR="00F148D1" w:rsidRDefault="00E15702" w:rsidP="000006D1">
        <w:pPr>
          <w:pStyle w:val="Footer"/>
          <w:jc w:val="right"/>
        </w:pPr>
      </w:p>
      <w:p w14:paraId="37DFCF30" w14:textId="77777777" w:rsidR="00F148D1" w:rsidRDefault="00E15702" w:rsidP="000006D1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01C4566" w14:textId="77777777" w:rsidR="00F148D1" w:rsidRPr="000006D1" w:rsidRDefault="00E15702" w:rsidP="000006D1">
        <w:pPr>
          <w:pStyle w:val="Footer"/>
          <w:jc w:val="right"/>
          <w:rPr>
            <w:noProof/>
          </w:rPr>
        </w:pP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02"/>
    <w:rsid w:val="000E0CAB"/>
    <w:rsid w:val="0061270E"/>
    <w:rsid w:val="008E0925"/>
    <w:rsid w:val="00E1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03777"/>
  <w15:chartTrackingRefBased/>
  <w15:docId w15:val="{EFD7ED78-4997-4253-944D-2CBE4789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70E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15702"/>
    <w:pPr>
      <w:tabs>
        <w:tab w:val="center" w:pos="4513"/>
        <w:tab w:val="right" w:pos="9026"/>
      </w:tabs>
      <w:spacing w:after="0" w:line="240" w:lineRule="auto"/>
    </w:pPr>
    <w:rPr>
      <w:rFonts w:eastAsia="Batang" w:cs="Arial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15702"/>
    <w:rPr>
      <w:rFonts w:ascii="Arial" w:eastAsia="Batang" w:hAnsi="Arial" w:cs="Arial"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15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 Health Communications</dc:creator>
  <cp:keywords/>
  <dc:description/>
  <cp:lastModifiedBy>Open Health Communications</cp:lastModifiedBy>
  <cp:revision>1</cp:revision>
  <dcterms:created xsi:type="dcterms:W3CDTF">2021-07-09T09:12:00Z</dcterms:created>
  <dcterms:modified xsi:type="dcterms:W3CDTF">2021-07-09T09:16:00Z</dcterms:modified>
</cp:coreProperties>
</file>